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5E5E" w:sz="12"/>
        </w:pBdr>
        <w:spacing w:after="40"/>
      </w:pPr>
      <w:r>
        <w:rPr>
          <w:rFonts w:ascii="Calibri" w:cs="Calibri" w:eastAsia="Calibri" w:hAnsi="Calibri"/>
          <w:b/>
          <w:bCs/>
          <w:color w:val="1B5E5E"/>
          <w:sz w:val="26"/>
          <w:szCs w:val="26"/>
        </w:rPr>
        <w:t xml:space="preserve">TESTAHIL</w:t>
      </w:r>
      <w:r>
        <w:rPr>
          <w:rFonts w:ascii="Calibri" w:cs="Calibri" w:eastAsia="Calibri" w:hAnsi="Calibri"/>
          <w:color w:val="2A8F8F"/>
          <w:sz w:val="20"/>
          <w:szCs w:val="20"/>
        </w:rPr>
        <w:t xml:space="preserve">   ·   Independent Valuation Study — Educational Analysis</w:t>
      </w:r>
      <w:r>
        <w:rPr>
          <w:rFonts w:ascii="Calibri" w:cs="Calibri" w:eastAsia="Calibri" w:hAnsi="Calibri"/>
        </w:rPr>
        <w:ptab w:alignment="right" w:relativeTo="margin" w:leader="none"/>
      </w:r>
      <w:r>
        <w:rPr>
          <w:rFonts w:ascii="Calibri" w:cs="Calibri" w:eastAsia="Calibri" w:hAnsi="Calibri"/>
          <w:i/>
          <w:iCs/>
          <w:color w:val="6B6B6B"/>
          <w:sz w:val="18"/>
          <w:szCs w:val="18"/>
        </w:rPr>
        <w:t xml:space="preserve">Not investment advice</w:t>
      </w:r>
    </w:p>
    <w:p>
      <w:pPr>
        <w:spacing w:after="40" w:before="220"/>
      </w:pPr>
      <w:r>
        <w:rPr>
          <w:rFonts w:ascii="Calibri" w:cs="Calibri" w:eastAsia="Calibri" w:hAnsi="Calibri"/>
          <w:b/>
          <w:bCs/>
          <w:color w:val="6B6B6B"/>
          <w:sz w:val="22"/>
          <w:szCs w:val="22"/>
        </w:rPr>
        <w:t xml:space="preserve">Independent Valuation Study — Educational Analysis</w:t>
      </w:r>
    </w:p>
    <w:p>
      <w:pPr>
        <w:spacing w:after="40"/>
      </w:pPr>
      <w:r>
        <w:rPr>
          <w:rFonts w:ascii="Calibri" w:cs="Calibri" w:eastAsia="Calibri" w:hAnsi="Calibri"/>
          <w:b/>
          <w:bCs/>
          <w:color w:val="1A1A1A"/>
          <w:sz w:val="40"/>
          <w:szCs w:val="40"/>
        </w:rPr>
        <w:t xml:space="preserve">Reliance Industries Limited  (NSE: RELIANCE)</w:t>
      </w:r>
    </w:p>
    <w:p>
      <w:pPr>
        <w:spacing w:after="150"/>
      </w:pPr>
      <w:r>
        <w:rPr>
          <w:rFonts w:ascii="Calibri" w:cs="Calibri" w:eastAsia="Calibri" w:hAnsi="Calibri"/>
          <w:i/>
          <w:iCs/>
          <w:color w:val="2A8F8F"/>
          <w:sz w:val="21"/>
          <w:szCs w:val="21"/>
        </w:rPr>
        <w:t xml:space="preserve">Fundamental analysis · Technical analysis · Monte Carlo simulation — one integrated read</w:t>
      </w:r>
    </w:p>
    <w:p>
      <w:pPr>
        <w:pBdr>
          <w:top w:val="single" w:color="D6DEDE" w:sz="4"/>
          <w:bottom w:val="single" w:color="D6DEDE" w:sz="4"/>
        </w:pBdr>
        <w:spacing w:after="160"/>
      </w:pPr>
      <w:r>
        <w:rPr>
          <w:rFonts w:ascii="Calibri" w:cs="Calibri" w:eastAsia="Calibri" w:hAnsi="Calibri"/>
          <w:b/>
          <w:bCs/>
          <w:i w:val="false"/>
          <w:iCs w:val="false"/>
          <w:color w:val="1A1A1A"/>
          <w:sz w:val="21"/>
          <w:szCs w:val="21"/>
        </w:rPr>
        <w:t xml:space="preserve">Anchor: </w:t>
      </w:r>
      <w:r>
        <w:rPr>
          <w:rFonts w:ascii="Calibri" w:cs="Calibri" w:eastAsia="Calibri" w:hAnsi="Calibri"/>
          <w:b w:val="false"/>
          <w:bCs w:val="false"/>
          <w:i w:val="false"/>
          <w:iCs w:val="false"/>
          <w:color w:val="1A1A1A"/>
          <w:sz w:val="21"/>
          <w:szCs w:val="21"/>
        </w:rPr>
        <w:t xml:space="preserve">₹1,321.30 (06 Jul 2026 close) · ~1,353 cr shares (post the Oct-2024 1:1 bonus) · mkt cap ~₹17.88 lakh cr (₹17,87,719 cr) · India's largest listed company — an energy-to-consumer holding structure spanning O2C (oil-to-chemicals), Jio Platforms (digital &amp; telecom), Reliance Retail, oil &amp; gas exploration, JioStar media and a New Energy build-out · prices and probabilities computed 06 Jul 2026 from the attached daily history · primary lens: </w:t>
      </w:r>
      <w:r>
        <w:rPr>
          <w:rFonts w:ascii="Calibri" w:cs="Calibri" w:eastAsia="Calibri" w:hAnsi="Calibri"/>
          <w:b/>
          <w:bCs/>
          <w:i w:val="false"/>
          <w:iCs w:val="false"/>
          <w:color w:val="1A1A1A"/>
          <w:sz w:val="21"/>
          <w:szCs w:val="21"/>
        </w:rPr>
        <w:t xml:space="preserve">holding-company sum-of-the-parts</w:t>
      </w:r>
      <w:r>
        <w:rPr>
          <w:rFonts w:ascii="Calibri" w:cs="Calibri" w:eastAsia="Calibri" w:hAnsi="Calibri"/>
          <w:b w:val="false"/>
          <w:bCs w:val="false"/>
          <w:i w:val="false"/>
          <w:iCs w:val="false"/>
          <w:color w:val="1A1A1A"/>
          <w:sz w:val="21"/>
          <w:szCs w:val="21"/>
        </w:rPr>
        <w:t xml:space="preserve">. The Jio IPO value-crystallisation, the O2C refining/petrochemical margin cycle, and the holding-company discount are the swing factors.</w:t>
      </w:r>
    </w:p>
    <w:tbl>
      <w:tblPr>
        <w:tblW w:type="dxa" w:w="10080"/>
        <w:tblBorders>
          <w:top w:val="single" w:color="B0894B" w:sz="8"/>
          <w:left w:val="single" w:color="B0894B" w:sz="8"/>
          <w:bottom w:val="single" w:color="B0894B" w:sz="8"/>
          <w:right w:val="single" w:color="B0894B" w:sz="8"/>
          <w:insideH w:val="none"/>
          <w:insideV w:val="none"/>
        </w:tblBorders>
      </w:tblPr>
      <w:tblGrid>
        <w:gridCol w:w="10080"/>
      </w:tblGrid>
      <w:tr>
        <w:tc>
          <w:tcPr>
            <w:tcW w:type="dxa" w:w="10080"/>
            <w:shd w:fill="FBF7EE" w:color="auto" w:val="clear"/>
            <w:tcMar>
              <w:top w:type="dxa" w:w="120"/>
              <w:left w:type="dxa" w:w="160"/>
              <w:bottom w:type="dxa" w:w="120"/>
              <w:right w:type="dxa" w:w="160"/>
            </w:tcMar>
          </w:tcPr>
          <w:p>
            <w:pPr>
              <w:spacing w:after="0" w:line="268"/>
            </w:pPr>
            <w:r>
              <w:rPr>
                <w:rFonts w:ascii="Calibri" w:cs="Calibri" w:eastAsia="Calibri" w:hAnsi="Calibri"/>
                <w:b/>
                <w:bCs/>
                <w:i w:val="false"/>
                <w:iCs w:val="false"/>
                <w:color w:val="1B5E5E"/>
                <w:sz w:val="21"/>
                <w:szCs w:val="21"/>
              </w:rPr>
              <w:t xml:space="preserve">READ FIRST — what this document is, and is not.  </w:t>
            </w:r>
            <w:r>
              <w:rPr>
                <w:rFonts w:ascii="Calibri" w:cs="Calibri" w:eastAsia="Calibri" w:hAnsi="Calibri"/>
                <w:b w:val="false"/>
                <w:bCs w:val="false"/>
                <w:i w:val="false"/>
                <w:iCs w:val="false"/>
                <w:color w:val="1A1A1A"/>
                <w:sz w:val="21"/>
                <w:szCs w:val="21"/>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Indian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(FY26 results, 24 April 2026; Jio Platforms DRHP, 19 June 2026); forward-looking inputs — the sum-of-the-parts marks, the private-business marks on Jio and Retail, the holding-company discount, the multiples, the DCF and the Monte-Carlo factor probabilities — are the preparer's judgments and are flagged throughout. Consult a licensed financial advisor before any investment decision.</w:t>
            </w:r>
          </w:p>
        </w:tc>
      </w:tr>
    </w:tbl>
    <w:p>
      <w:pPr>
        <w:keepNext w:val="false"/>
        <w:spacing w:after="60" w:before="0" w:line="264"/>
        <w:jc w:val="left"/>
      </w:pPr>
      <w:r>
        <w:rPr>
          <w:rFonts w:ascii="Calibri" w:cs="Calibri" w:eastAsia="Calibri" w:hAnsi="Calibri"/>
          <w:b w:val="false"/>
          <w:bCs w:val="false"/>
          <w:i w:val="false"/>
          <w:iCs w:val="false"/>
          <w:color w:val="1A1A1A"/>
          <w:sz w:val="21"/>
          <w:szCs w:val="21"/>
        </w:rPr>
        <w:t xml:space="preserve"/>
      </w:r>
    </w:p>
    <w:p>
      <w:pPr>
        <w:pStyle w:val="Heading1"/>
        <w:spacing w:after="130" w:before="260"/>
      </w:pPr>
      <w:r>
        <w:rPr>
          <w:rFonts w:ascii="Calibri" w:cs="Calibri" w:eastAsia="Calibri" w:hAnsi="Calibri"/>
          <w:b/>
          <w:bCs/>
          <w:color w:val="1B5E5E"/>
          <w:sz w:val="30"/>
          <w:szCs w:val="30"/>
        </w:rPr>
        <w:t xml:space="preserve">Headline</w:t>
      </w:r>
    </w:p>
    <w:p>
      <w:pPr>
        <w:keepNext w:val="false"/>
        <w:spacing w:after="120" w:before="0" w:line="264"/>
        <w:jc w:val="left"/>
      </w:pPr>
      <w:r>
        <w:rPr>
          <w:rFonts w:ascii="Calibri" w:cs="Calibri" w:eastAsia="Calibri" w:hAnsi="Calibri"/>
          <w:b/>
          <w:bCs/>
          <w:i w:val="false"/>
          <w:iCs w:val="false"/>
          <w:color w:val="1A1A1A"/>
          <w:sz w:val="21"/>
          <w:szCs w:val="21"/>
        </w:rPr>
        <w:t xml:space="preserve">The model's read: modestly undervalued, with the upside resting on the Jio IPO crystallising private-market value and on O2C margins holding through the cycle.  </w:t>
      </w:r>
      <w:r>
        <w:rPr>
          <w:rFonts w:ascii="Calibri" w:cs="Calibri" w:eastAsia="Calibri" w:hAnsi="Calibri"/>
          <w:b w:val="false"/>
          <w:bCs w:val="false"/>
          <w:i w:val="false"/>
          <w:iCs w:val="false"/>
          <w:color w:val="1A1A1A"/>
          <w:sz w:val="21"/>
          <w:szCs w:val="21"/>
        </w:rPr>
        <w:t xml:space="preserve">At ₹1,321 the shares sit about 6% below our weighted central estimate of ₹1,395. The two anchor lenses agree closely — a holding-company sum-of-the-parts lands at ₹1,342 and a consolidated DCF at ₹1,359 — while a conservative relative-multiple read (₹1,322) marks the floor and a mid-cycle normalized-earnings read (₹1,552) marks the ceiling. The whole answer turns on two things. First, the </w:t>
      </w:r>
      <w:r>
        <w:rPr>
          <w:rFonts w:ascii="Calibri" w:cs="Calibri" w:eastAsia="Calibri" w:hAnsi="Calibri"/>
          <w:b/>
          <w:bCs/>
          <w:i w:val="false"/>
          <w:iCs w:val="false"/>
          <w:color w:val="1A1A1A"/>
          <w:sz w:val="21"/>
          <w:szCs w:val="21"/>
        </w:rPr>
        <w:t xml:space="preserve">crystallisation of private value</w:t>
      </w:r>
      <w:r>
        <w:rPr>
          <w:rFonts w:ascii="Calibri" w:cs="Calibri" w:eastAsia="Calibri" w:hAnsi="Calibri"/>
          <w:b w:val="false"/>
          <w:bCs w:val="false"/>
          <w:i w:val="false"/>
          <w:iCs w:val="false"/>
          <w:color w:val="1A1A1A"/>
          <w:sz w:val="21"/>
          <w:szCs w:val="21"/>
        </w:rPr>
        <w:t xml:space="preserve">: Jio Platforms filed its DRHP on 19 June 2026 and Reliance Retail carries a large private mark, so a listing that prints these businesses at or above the marks would narrow the ~6% holding-company discount the market currently applies to the summed parts. Second, </w:t>
      </w:r>
      <w:r>
        <w:rPr>
          <w:rFonts w:ascii="Calibri" w:cs="Calibri" w:eastAsia="Calibri" w:hAnsi="Calibri"/>
          <w:b/>
          <w:bCs/>
          <w:i w:val="false"/>
          <w:iCs w:val="false"/>
          <w:color w:val="1A1A1A"/>
          <w:sz w:val="21"/>
          <w:szCs w:val="21"/>
        </w:rPr>
        <w:t xml:space="preserve">O2C through-cycle margins</w:t>
      </w:r>
      <w:r>
        <w:rPr>
          <w:rFonts w:ascii="Calibri" w:cs="Calibri" w:eastAsia="Calibri" w:hAnsi="Calibri"/>
          <w:b w:val="false"/>
          <w:bCs w:val="false"/>
          <w:i w:val="false"/>
          <w:iCs w:val="false"/>
          <w:color w:val="1A1A1A"/>
          <w:sz w:val="21"/>
          <w:szCs w:val="21"/>
        </w:rPr>
        <w:t xml:space="preserve">: roughly a third of enterprise value sits in oil-to-chemicals, whose refining GRMs and polymer-to-feedstock deltas set the near-term earnings tone. Technically the tape is the mirror image of the deep-value names we usually cover — the stock has corrected from a January-2026 high near ₹1,600 to the low-₹1,300s, sits below its 50-, 100- and 200-day averages but has just reclaimed the 20-day, with RSI neutral at ~52 and the MACD histogram turning positive — so momentum is stabilising rather than trending. Over three months the Monte Carlo places the 5th–95th percentile band at roughly ₹1,067–1,707, with the median a touch above spot at ₹1,351.</w:t>
      </w:r>
    </w:p>
    <w:p>
      <w:pPr>
        <w:pStyle w:val="Heading1"/>
        <w:spacing w:after="130" w:before="260"/>
      </w:pPr>
      <w:r>
        <w:rPr>
          <w:rFonts w:ascii="Calibri" w:cs="Calibri" w:eastAsia="Calibri" w:hAnsi="Calibri"/>
          <w:b/>
          <w:bCs/>
          <w:color w:val="1B5E5E"/>
          <w:sz w:val="30"/>
          <w:szCs w:val="30"/>
        </w:rPr>
        <w:t xml:space="preserve">Valuation summary — every read at a glance</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260"/>
        <w:gridCol w:w="3260"/>
        <w:gridCol w:w="1780"/>
        <w:gridCol w:w="1780"/>
      </w:tblGrid>
      <w:tr>
        <w:trPr>
          <w:tblHeader/>
        </w:trPr>
        <w:tc>
          <w:tcPr>
            <w:tcW w:type="dxa" w:w="326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Lens / read</w:t>
            </w:r>
          </w:p>
        </w:tc>
        <w:tc>
          <w:tcPr>
            <w:tcW w:type="dxa" w:w="326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What it measures</w:t>
            </w:r>
          </w:p>
        </w:tc>
        <w:tc>
          <w:tcPr>
            <w:tcW w:type="dxa" w:w="17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Output</w:t>
            </w:r>
          </w:p>
        </w:tc>
        <w:tc>
          <w:tcPr>
            <w:tcW w:type="dxa" w:w="17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Takeaway</w:t>
            </w:r>
          </w:p>
        </w:tc>
      </w:tr>
      <w:tr>
        <w:tc>
          <w:tcPr>
            <w:tcW w:type="dxa" w:w="10080"/>
            <w:gridSpan w:val="4"/>
            <w:shd w:fill="E7EFEF" w:color="auto" w:val="clear"/>
            <w:tcMar>
              <w:top w:type="dxa" w:w="30"/>
              <w:left w:type="dxa" w:w="90"/>
              <w:bottom w:type="dxa" w:w="30"/>
              <w:right w:type="dxa" w:w="90"/>
            </w:tcMar>
          </w:tcPr>
          <w:p>
            <w:pPr>
              <w:spacing w:after="0" w:before="0" w:line="240"/>
              <w:jc w:val="left"/>
            </w:pPr>
            <w:r>
              <w:rPr>
                <w:rFonts w:ascii="Calibri" w:cs="Calibri" w:eastAsia="Calibri" w:hAnsi="Calibri"/>
                <w:b/>
                <w:bCs/>
                <w:color w:val="1B5E5E"/>
                <w:sz w:val="19"/>
                <w:szCs w:val="19"/>
              </w:rPr>
              <w:t xml:space="preserve">FUNDAMENTAL — what the business is worth (the anchor)</w:t>
            </w:r>
          </w:p>
        </w:tc>
      </w:tr>
      <w:tr>
        <w:tc>
          <w:tcPr>
            <w:tcW w:type="dxa" w:w="326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Sum-of-the-parts (primary)</w:t>
            </w:r>
          </w:p>
        </w:tc>
        <w:tc>
          <w:tcPr>
            <w:tcW w:type="dxa" w:w="32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Marked parts less holdco discount</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₹1,342</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 vs spot</w:t>
            </w:r>
          </w:p>
        </w:tc>
      </w:tr>
      <w:tr>
        <w:tc>
          <w:tcPr>
            <w:tcW w:type="dxa" w:w="326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Consolidated DCF</w:t>
            </w:r>
          </w:p>
        </w:tc>
        <w:tc>
          <w:tcPr>
            <w:tcW w:type="dxa" w:w="32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Discounted 5-yr cash flows</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₹1,359</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+2.9%</w:t>
            </w:r>
          </w:p>
        </w:tc>
      </w:tr>
      <w:tr>
        <w:tc>
          <w:tcPr>
            <w:tcW w:type="dxa" w:w="326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Relative multiples</w:t>
            </w:r>
          </w:p>
        </w:tc>
        <w:tc>
          <w:tcPr>
            <w:tcW w:type="dxa" w:w="32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Normalized EV/EBITDA</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₹1,322</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 · the floor</w:t>
            </w:r>
          </w:p>
        </w:tc>
      </w:tr>
      <w:tr>
        <w:tc>
          <w:tcPr>
            <w:tcW w:type="dxa" w:w="326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Normalized earnings</w:t>
            </w:r>
          </w:p>
        </w:tc>
        <w:tc>
          <w:tcPr>
            <w:tcW w:type="dxa" w:w="32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Mid-cycle PAT × P/E</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₹1,552</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 · the ceiling</w:t>
            </w:r>
          </w:p>
        </w:tc>
      </w:tr>
      <w:tr>
        <w:tc>
          <w:tcPr>
            <w:tcW w:type="dxa" w:w="326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Weighted central</w:t>
            </w:r>
          </w:p>
        </w:tc>
        <w:tc>
          <w:tcPr>
            <w:tcW w:type="dxa" w:w="326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Blend 40 / 20 / 15 / 25</w:t>
            </w:r>
          </w:p>
        </w:tc>
        <w:tc>
          <w:tcPr>
            <w:tcW w:type="dxa" w:w="17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₹1,395</w:t>
            </w:r>
          </w:p>
        </w:tc>
        <w:tc>
          <w:tcPr>
            <w:tcW w:type="dxa" w:w="17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+5.6% vs ₹1,321</w:t>
            </w:r>
          </w:p>
        </w:tc>
      </w:tr>
      <w:tr>
        <w:tc>
          <w:tcPr>
            <w:tcW w:type="dxa" w:w="10080"/>
            <w:gridSpan w:val="4"/>
            <w:shd w:fill="E7EFEF" w:color="auto" w:val="clear"/>
            <w:tcMar>
              <w:top w:type="dxa" w:w="30"/>
              <w:left w:type="dxa" w:w="90"/>
              <w:bottom w:type="dxa" w:w="30"/>
              <w:right w:type="dxa" w:w="90"/>
            </w:tcMar>
          </w:tcPr>
          <w:p>
            <w:pPr>
              <w:spacing w:after="0" w:before="0" w:line="240"/>
              <w:jc w:val="left"/>
            </w:pPr>
            <w:r>
              <w:rPr>
                <w:rFonts w:ascii="Calibri" w:cs="Calibri" w:eastAsia="Calibri" w:hAnsi="Calibri"/>
                <w:b/>
                <w:bCs/>
                <w:color w:val="1B5E5E"/>
                <w:sz w:val="19"/>
                <w:szCs w:val="19"/>
              </w:rPr>
              <w:t xml:space="preserve">TECHNICAL — what the tape is doing (timing, not value)</w:t>
            </w:r>
          </w:p>
        </w:tc>
      </w:tr>
      <w:tr>
        <w:tc>
          <w:tcPr>
            <w:tcW w:type="dxa" w:w="326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Trend &amp; momentum</w:t>
            </w:r>
          </w:p>
        </w:tc>
        <w:tc>
          <w:tcPr>
            <w:tcW w:type="dxa" w:w="32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Price vs the 20/50/100/200-day averages</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Below 50/100/200, above 20</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Corrective, stabilising</w:t>
            </w:r>
          </w:p>
        </w:tc>
      </w:tr>
      <w:tr>
        <w:tc>
          <w:tcPr>
            <w:tcW w:type="dxa" w:w="326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Momentum / range</w:t>
            </w:r>
          </w:p>
        </w:tc>
        <w:tc>
          <w:tcPr>
            <w:tcW w:type="dxa" w:w="32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RSI · MACD · 52-week range</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RSI 52 · MACD hist +2.8 · ₹1,259–1,592</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Neutral, turning up</w:t>
            </w:r>
          </w:p>
        </w:tc>
      </w:tr>
      <w:tr>
        <w:tc>
          <w:tcPr>
            <w:tcW w:type="dxa" w:w="10080"/>
            <w:gridSpan w:val="4"/>
            <w:shd w:fill="E7EFEF" w:color="auto" w:val="clear"/>
            <w:tcMar>
              <w:top w:type="dxa" w:w="30"/>
              <w:left w:type="dxa" w:w="90"/>
              <w:bottom w:type="dxa" w:w="30"/>
              <w:right w:type="dxa" w:w="90"/>
            </w:tcMar>
          </w:tcPr>
          <w:p>
            <w:pPr>
              <w:spacing w:after="0" w:before="0" w:line="240"/>
              <w:jc w:val="left"/>
            </w:pPr>
            <w:r>
              <w:rPr>
                <w:rFonts w:ascii="Calibri" w:cs="Calibri" w:eastAsia="Calibri" w:hAnsi="Calibri"/>
                <w:b/>
                <w:bCs/>
                <w:color w:val="1B5E5E"/>
                <w:sz w:val="19"/>
                <w:szCs w:val="19"/>
              </w:rPr>
              <w:t xml:space="preserve">MONTE CARLO — where price could go in 3 months (paths from spot)</w:t>
            </w:r>
          </w:p>
        </w:tc>
      </w:tr>
      <w:tr>
        <w:tc>
          <w:tcPr>
            <w:tcW w:type="dxa" w:w="326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T+20 sessions</w:t>
            </w:r>
          </w:p>
        </w:tc>
        <w:tc>
          <w:tcPr>
            <w:tcW w:type="dxa" w:w="32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50,000 paths · 16 factors</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p5 1,160 · p50 1,331 · p95 1,526</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Median ≈ spot</w:t>
            </w:r>
          </w:p>
        </w:tc>
      </w:tr>
      <w:tr>
        <w:tc>
          <w:tcPr>
            <w:tcW w:type="dxa" w:w="326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T+60 sessions</w:t>
            </w:r>
          </w:p>
        </w:tc>
        <w:tc>
          <w:tcPr>
            <w:tcW w:type="dxa" w:w="32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same engine, longer horizon</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p5 1,067 · p50 1,351 · p95 1,707</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Wide, right-skewed</w:t>
            </w:r>
          </w:p>
        </w:tc>
      </w:tr>
      <w:tr>
        <w:tc>
          <w:tcPr>
            <w:tcW w:type="dxa" w:w="10080"/>
            <w:gridSpan w:val="4"/>
            <w:shd w:fill="E7EFEF" w:color="auto" w:val="clear"/>
            <w:tcMar>
              <w:top w:type="dxa" w:w="30"/>
              <w:left w:type="dxa" w:w="90"/>
              <w:bottom w:type="dxa" w:w="30"/>
              <w:right w:type="dxa" w:w="90"/>
            </w:tcMar>
          </w:tcPr>
          <w:p>
            <w:pPr>
              <w:spacing w:after="0" w:before="0" w:line="240"/>
              <w:jc w:val="left"/>
            </w:pPr>
            <w:r>
              <w:rPr>
                <w:rFonts w:ascii="Calibri" w:cs="Calibri" w:eastAsia="Calibri" w:hAnsi="Calibri"/>
                <w:b/>
                <w:bCs/>
                <w:color w:val="1B5E5E"/>
                <w:sz w:val="19"/>
                <w:szCs w:val="19"/>
              </w:rPr>
              <w:t xml:space="preserve">EXPERT PANEL — three independent methods (Appendix C)</w:t>
            </w:r>
          </w:p>
        </w:tc>
      </w:tr>
      <w:tr>
        <w:tc>
          <w:tcPr>
            <w:tcW w:type="dxa" w:w="326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Expert 1 — sum-of-the-parts NAV</w:t>
            </w:r>
          </w:p>
        </w:tc>
        <w:tc>
          <w:tcPr>
            <w:tcW w:type="dxa" w:w="32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Holdco discount on marked parts</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₹1,360</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The anchor</w:t>
            </w:r>
          </w:p>
        </w:tc>
      </w:tr>
      <w:tr>
        <w:tc>
          <w:tcPr>
            <w:tcW w:type="dxa" w:w="326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Expert 2 — normalized earnings power</w:t>
            </w:r>
          </w:p>
        </w:tc>
        <w:tc>
          <w:tcPr>
            <w:tcW w:type="dxa" w:w="32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Mid-cycle PAT × multiple</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₹1,520</w:t>
            </w:r>
          </w:p>
        </w:tc>
        <w:tc>
          <w:tcPr>
            <w:tcW w:type="dxa" w:w="17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Most bullish</w:t>
            </w:r>
          </w:p>
        </w:tc>
      </w:tr>
      <w:tr>
        <w:tc>
          <w:tcPr>
            <w:tcW w:type="dxa" w:w="326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Expert 3 — cash returns (DCF + ROIC)</w:t>
            </w:r>
          </w:p>
        </w:tc>
        <w:tc>
          <w:tcPr>
            <w:tcW w:type="dxa" w:w="32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Return on capital vs ~11.5% WACC</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₹1,300</w:t>
            </w:r>
          </w:p>
        </w:tc>
        <w:tc>
          <w:tcPr>
            <w:tcW w:type="dxa" w:w="17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Most conservative</w:t>
            </w:r>
          </w:p>
        </w:tc>
      </w:tr>
      <w:tr>
        <w:tc>
          <w:tcPr>
            <w:tcW w:type="dxa" w:w="326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Panel range</w:t>
            </w:r>
          </w:p>
        </w:tc>
        <w:tc>
          <w:tcPr>
            <w:tcW w:type="dxa" w:w="326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Spread = the value-crystallisation question</w:t>
            </w:r>
          </w:p>
        </w:tc>
        <w:tc>
          <w:tcPr>
            <w:tcW w:type="dxa" w:w="17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₹1,300–1,520</w:t>
            </w:r>
          </w:p>
        </w:tc>
        <w:tc>
          <w:tcPr>
            <w:tcW w:type="dxa" w:w="17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Centres ~₹1,393</w:t>
            </w:r>
          </w:p>
        </w:tc>
      </w:tr>
    </w:tbl>
    <w:p>
      <w:pPr>
        <w:keepNext w:val="false"/>
        <w:spacing w:after="120" w:before="0" w:line="264"/>
        <w:jc w:val="left"/>
      </w:pPr>
      <w:r>
        <w:rPr>
          <w:rFonts w:ascii="Calibri" w:cs="Calibri" w:eastAsia="Calibri" w:hAnsi="Calibri"/>
          <w:b/>
          <w:bCs/>
          <w:i w:val="false"/>
          <w:iCs w:val="false"/>
          <w:color w:val="1A1A1A"/>
          <w:sz w:val="21"/>
          <w:szCs w:val="21"/>
        </w:rPr>
        <w:t xml:space="preserve">Bottom line.  </w:t>
      </w:r>
      <w:r>
        <w:rPr>
          <w:rFonts w:ascii="Calibri" w:cs="Calibri" w:eastAsia="Calibri" w:hAnsi="Calibri"/>
          <w:b w:val="false"/>
          <w:bCs w:val="false"/>
          <w:i w:val="false"/>
          <w:iCs w:val="false"/>
          <w:color w:val="1A1A1A"/>
          <w:sz w:val="21"/>
          <w:szCs w:val="21"/>
        </w:rPr>
        <w:t xml:space="preserve">Every read points the same way on value and disagrees only on magnitude. The fundamental central sits near ₹1,395 — about 6% above the ₹1,321 spot — the three experts span ₹1,300–1,520, and each turns on a single question: whether the sum of Reliance's parts is worth more listed and separated than bundled inside one holding company, and whether O2C margins hold. The technical tape is no longer a dissenter so much as a fence-sitter: oversold pressure from the January correction has eased, momentum is turning, and the three-month distribution centres just above spot rather than already at fair value.</w:t>
      </w:r>
    </w:p>
    <w:p>
      <w:pPr>
        <w:pStyle w:val="Heading1"/>
        <w:spacing w:after="130" w:before="260"/>
      </w:pPr>
      <w:r>
        <w:rPr>
          <w:rFonts w:ascii="Calibri" w:cs="Calibri" w:eastAsia="Calibri" w:hAnsi="Calibri"/>
          <w:b/>
          <w:bCs/>
          <w:color w:val="1B5E5E"/>
          <w:sz w:val="30"/>
          <w:szCs w:val="30"/>
        </w:rPr>
        <w:t xml:space="preserve">Company overview — Reliance Industries at a glance</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600"/>
        <w:gridCol w:w="6480"/>
      </w:tblGrid>
      <w:tr>
        <w:trPr>
          <w:tblHeader/>
        </w:trPr>
        <w:tc>
          <w:tcPr>
            <w:tcW w:type="dxa" w:w="360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Item</w:t>
            </w:r>
          </w:p>
        </w:tc>
        <w:tc>
          <w:tcPr>
            <w:tcW w:type="dxa" w:w="64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Value</w:t>
            </w:r>
          </w:p>
        </w:tc>
      </w:tr>
      <w:tr>
        <w:tc>
          <w:tcPr>
            <w:tcW w:type="dxa" w:w="3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Listed entity</w:t>
            </w:r>
          </w:p>
        </w:tc>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Reliance Industries Limited (NSE: RELIANCE; BSE: 500325)</w:t>
            </w:r>
          </w:p>
        </w:tc>
      </w:tr>
      <w:tr>
        <w:tc>
          <w:tcPr>
            <w:tcW w:type="dxa" w:w="36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What it owns</w:t>
            </w:r>
          </w:p>
        </w:tc>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O2C (refining &amp; petrochemicals) · Jio Platforms (66.4%, digital/telecom) · Reliance Retail (~85%) · Oil &amp; Gas E&amp;P (KG-D6) · JioStar media (~63%) · New Energy build-out</w:t>
            </w:r>
          </w:p>
        </w:tc>
      </w:tr>
      <w:tr>
        <w:tc>
          <w:tcPr>
            <w:tcW w:type="dxa" w:w="3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Spot / date</w:t>
            </w:r>
          </w:p>
        </w:tc>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₹1,321.30 · 06 Jul 2026 close</w:t>
            </w:r>
          </w:p>
        </w:tc>
      </w:tr>
      <w:tr>
        <w:tc>
          <w:tcPr>
            <w:tcW w:type="dxa" w:w="36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Shares · market cap</w:t>
            </w:r>
          </w:p>
        </w:tc>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~1,353 crore · ~₹17.88 lakh cr (₹17,87,719 cr)</w:t>
            </w:r>
          </w:p>
        </w:tc>
      </w:tr>
      <w:tr>
        <w:tc>
          <w:tcPr>
            <w:tcW w:type="dxa" w:w="3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Consolidated net debt</w:t>
            </w:r>
          </w:p>
        </w:tc>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₹1,24,717 cr (31 Mar 2026); gross debt ₹3,74,421 cr</w:t>
            </w:r>
          </w:p>
        </w:tc>
      </w:tr>
      <w:tr>
        <w:tc>
          <w:tcPr>
            <w:tcW w:type="dxa" w:w="36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FY26 revenue / EBITDA margin</w:t>
            </w:r>
          </w:p>
        </w:tc>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₹10,75,675 cr (+11.5% YoY) · 19.3%</w:t>
            </w:r>
          </w:p>
        </w:tc>
      </w:tr>
      <w:tr>
        <w:tc>
          <w:tcPr>
            <w:tcW w:type="dxa" w:w="3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FY26 PAT (attributable) · EPS</w:t>
            </w:r>
          </w:p>
        </w:tc>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₹80,775 cr · ₹59.7 (P/E ~22×)</w:t>
            </w:r>
          </w:p>
        </w:tc>
      </w:tr>
      <w:tr>
        <w:tc>
          <w:tcPr>
            <w:tcW w:type="dxa" w:w="36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Largest value blocks</w:t>
            </w:r>
          </w:p>
        </w:tc>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Jio + Retail ≈ half of gross EV; O2C ≈ a third</w:t>
            </w:r>
          </w:p>
        </w:tc>
      </w:tr>
      <w:tr>
        <w:tc>
          <w:tcPr>
            <w:tcW w:type="dxa" w:w="3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52-week range</w:t>
            </w:r>
          </w:p>
        </w:tc>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₹1,258.80 – ₹1,592.30</w:t>
            </w:r>
          </w:p>
        </w:tc>
      </w:tr>
      <w:tr>
        <w:tc>
          <w:tcPr>
            <w:tcW w:type="dxa" w:w="36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Chairman &amp; MD</w:t>
            </w:r>
          </w:p>
        </w:tc>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Mukesh D. Ambani</w:t>
            </w:r>
          </w:p>
        </w:tc>
      </w:tr>
      <w:tr>
        <w:tc>
          <w:tcPr>
            <w:tcW w:type="dxa" w:w="3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Corporate event in scope</w:t>
            </w:r>
          </w:p>
        </w:tc>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Jio Platforms DRHP filed 19 Jun 2026 (IPO path); 1:1 bonus issue Oct 2024</w:t>
            </w:r>
          </w:p>
        </w:tc>
      </w:tr>
    </w:tbl>
    <w:p>
      <w:pPr>
        <w:spacing w:after="160" w:before="60"/>
        <w:jc w:val="center"/>
      </w:pPr>
      <w:r>
        <w:rPr>
          <w:rFonts w:ascii="Calibri" w:cs="Calibri" w:eastAsia="Calibri" w:hAnsi="Calibri"/>
          <w:i/>
          <w:iCs/>
          <w:color w:val="6B6B6B"/>
          <w:sz w:val="17"/>
          <w:szCs w:val="17"/>
        </w:rPr>
        <w:t xml:space="preserve">Source: company FY26 results (24 Apr 2026), Jio Platforms DRHP (19 Jun 2026), NSE/BSE disclosures, exchange data. Values rounded.</w:t>
      </w:r>
    </w:p>
    <w:p>
      <w:pPr>
        <w:pStyle w:val="Heading1"/>
        <w:spacing w:after="130" w:before="260"/>
      </w:pPr>
      <w:r>
        <w:rPr>
          <w:rFonts w:ascii="Calibri" w:cs="Calibri" w:eastAsia="Calibri" w:hAnsi="Calibri"/>
          <w:b/>
          <w:bCs/>
          <w:color w:val="1B5E5E"/>
          <w:sz w:val="30"/>
          <w:szCs w:val="30"/>
        </w:rPr>
        <w:t xml:space="preserve">1  Fundamental valuation</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We value Reliance as a </w:t>
      </w:r>
      <w:r>
        <w:rPr>
          <w:rFonts w:ascii="Calibri" w:cs="Calibri" w:eastAsia="Calibri" w:hAnsi="Calibri"/>
          <w:b/>
          <w:bCs/>
          <w:i w:val="false"/>
          <w:iCs w:val="false"/>
          <w:color w:val="1A1A1A"/>
          <w:sz w:val="21"/>
          <w:szCs w:val="21"/>
        </w:rPr>
        <w:t xml:space="preserve">holding company</w:t>
      </w:r>
      <w:r>
        <w:rPr>
          <w:rFonts w:ascii="Calibri" w:cs="Calibri" w:eastAsia="Calibri" w:hAnsi="Calibri"/>
          <w:b w:val="false"/>
          <w:bCs w:val="false"/>
          <w:i w:val="false"/>
          <w:iCs w:val="false"/>
          <w:color w:val="1A1A1A"/>
          <w:sz w:val="21"/>
          <w:szCs w:val="21"/>
        </w:rPr>
        <w:t xml:space="preserve"> that consolidates several quite different businesses, and triangulate four lenses. The primary lens is a </w:t>
      </w:r>
      <w:r>
        <w:rPr>
          <w:rFonts w:ascii="Calibri" w:cs="Calibri" w:eastAsia="Calibri" w:hAnsi="Calibri"/>
          <w:b/>
          <w:bCs/>
          <w:i w:val="false"/>
          <w:iCs w:val="false"/>
          <w:color w:val="1A1A1A"/>
          <w:sz w:val="21"/>
          <w:szCs w:val="21"/>
        </w:rPr>
        <w:t xml:space="preserve">sum-of-the-parts (SOTP)</w:t>
      </w:r>
      <w:r>
        <w:rPr>
          <w:rFonts w:ascii="Calibri" w:cs="Calibri" w:eastAsia="Calibri" w:hAnsi="Calibri"/>
          <w:b w:val="false"/>
          <w:bCs w:val="false"/>
          <w:i w:val="false"/>
          <w:iCs w:val="false"/>
          <w:color w:val="1A1A1A"/>
          <w:sz w:val="21"/>
          <w:szCs w:val="21"/>
        </w:rPr>
        <w:t xml:space="preserve"> because the parts trade on entirely different economics — a capital-intensive commodity refiner-petrochemical complex, a high-margin subscriber-scale digital platform, a fast-growing but thin-margin retailer, an upstream gas producer, a media business and an early-stage New Energy option — and a single group multiple would blur them. A consolidated DCF, a relative-multiple cross-check and a normalized-earnings-power read complete the set. The weights and the football field are in §1.5; the swing factors — the Jio IPO value-crystallisation, O2C margins and the holdco discount — are dissected in §1.7 and the sensitivity grid in §1.9. Cost of equity is published explicitly (Ke = risk-free + equity-risk premium) in §1.2 and sensitised on a WACC × terminal-growth grid.</w:t>
      </w:r>
    </w:p>
    <w:p>
      <w:pPr>
        <w:pStyle w:val="Heading2"/>
        <w:spacing w:after="100" w:before="200"/>
      </w:pPr>
      <w:r>
        <w:rPr>
          <w:rFonts w:ascii="Calibri" w:cs="Calibri" w:eastAsia="Calibri" w:hAnsi="Calibri"/>
          <w:b/>
          <w:bCs/>
          <w:color w:val="2A8F8F"/>
          <w:sz w:val="25"/>
          <w:szCs w:val="25"/>
        </w:rPr>
        <w:t xml:space="preserve">1.1  Holding-company sum-of-the-parts — the primary lens</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Each business is marked on the basis that best fits it and taken at 100% enterprise value; from the summed EV we deduct consolidated net debt to reach a 100%-basis equity value, then deduct the minority interest in the part-owned subsidiaries (Jio, Retail, Media) to reach RIL-attributable equity, and finally apply a holding-company / complexity discount. Jio is marked on a digital-infrastructure EV/EBITDA (13.5×, a discount to global tower-plus-platform peers and inside the IPO band implied by the DRHP); Retail on a premium consumer multiple (28×, reflecting growth and the private-round history); O2C on a mid-cycle refining-petrochemical multiple (7×); E&amp;P on an upstream multiple (5×); Media on 14×; and New Energy on invested capital plus option value.</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900"/>
        <w:gridCol w:w="3480"/>
        <w:gridCol w:w="2700"/>
      </w:tblGrid>
      <w:tr>
        <w:trPr>
          <w:tblHeader/>
        </w:trPr>
        <w:tc>
          <w:tcPr>
            <w:tcW w:type="dxa" w:w="390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Part (base case)</w:t>
            </w:r>
          </w:p>
        </w:tc>
        <w:tc>
          <w:tcPr>
            <w:tcW w:type="dxa" w:w="34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Basis</w:t>
            </w:r>
          </w:p>
        </w:tc>
        <w:tc>
          <w:tcPr>
            <w:tcW w:type="dxa" w:w="27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EV / value (₹ cr)</w:t>
            </w:r>
          </w:p>
        </w:tc>
      </w:tr>
      <w:tr>
        <w:tc>
          <w:tcPr>
            <w:tcW w:type="dxa" w:w="3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Jio Platforms</w:t>
            </w:r>
          </w:p>
        </w:tc>
        <w:tc>
          <w:tcPr>
            <w:tcW w:type="dxa" w:w="3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EBITDA ₹76,255 cr × 13.5×</w:t>
            </w:r>
          </w:p>
        </w:tc>
        <w:tc>
          <w:tcPr>
            <w:tcW w:type="dxa" w:w="27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10,29,443</w:t>
            </w:r>
          </w:p>
        </w:tc>
      </w:tr>
      <w:tr>
        <w:tc>
          <w:tcPr>
            <w:tcW w:type="dxa" w:w="3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Reliance Retail</w:t>
            </w:r>
          </w:p>
        </w:tc>
        <w:tc>
          <w:tcPr>
            <w:tcW w:type="dxa" w:w="3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EBITDA ₹27,033 cr × 28×</w:t>
            </w:r>
          </w:p>
        </w:tc>
        <w:tc>
          <w:tcPr>
            <w:tcW w:type="dxa" w:w="27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7,56,924</w:t>
            </w:r>
          </w:p>
        </w:tc>
      </w:tr>
      <w:tr>
        <w:tc>
          <w:tcPr>
            <w:tcW w:type="dxa" w:w="3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O2C</w:t>
            </w:r>
          </w:p>
        </w:tc>
        <w:tc>
          <w:tcPr>
            <w:tcW w:type="dxa" w:w="3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EBITDA ₹60,546 cr × 7×</w:t>
            </w:r>
          </w:p>
        </w:tc>
        <w:tc>
          <w:tcPr>
            <w:tcW w:type="dxa" w:w="27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4,23,822</w:t>
            </w:r>
          </w:p>
        </w:tc>
      </w:tr>
      <w:tr>
        <w:tc>
          <w:tcPr>
            <w:tcW w:type="dxa" w:w="3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Oil &amp; Gas (E&amp;P)</w:t>
            </w:r>
          </w:p>
        </w:tc>
        <w:tc>
          <w:tcPr>
            <w:tcW w:type="dxa" w:w="3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EBITDA ₹19,050 cr × 5×</w:t>
            </w:r>
          </w:p>
        </w:tc>
        <w:tc>
          <w:tcPr>
            <w:tcW w:type="dxa" w:w="27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95,250</w:t>
            </w:r>
          </w:p>
        </w:tc>
      </w:tr>
      <w:tr>
        <w:tc>
          <w:tcPr>
            <w:tcW w:type="dxa" w:w="3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Media (JioStar)</w:t>
            </w:r>
          </w:p>
        </w:tc>
        <w:tc>
          <w:tcPr>
            <w:tcW w:type="dxa" w:w="3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EBITDA ₹4,885 cr × 14×</w:t>
            </w:r>
          </w:p>
        </w:tc>
        <w:tc>
          <w:tcPr>
            <w:tcW w:type="dxa" w:w="27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68,390</w:t>
            </w:r>
          </w:p>
        </w:tc>
      </w:tr>
      <w:tr>
        <w:tc>
          <w:tcPr>
            <w:tcW w:type="dxa" w:w="3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New Energy + other</w:t>
            </w:r>
          </w:p>
        </w:tc>
        <w:tc>
          <w:tcPr>
            <w:tcW w:type="dxa" w:w="3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Invested capital + option value</w:t>
            </w:r>
          </w:p>
        </w:tc>
        <w:tc>
          <w:tcPr>
            <w:tcW w:type="dxa" w:w="27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1,20,000</w:t>
            </w:r>
          </w:p>
        </w:tc>
      </w:tr>
      <w:tr>
        <w:tc>
          <w:tcPr>
            <w:tcW w:type="dxa" w:w="390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Σ Gross enterprise value (100%)</w:t>
            </w:r>
          </w:p>
        </w:tc>
        <w:tc>
          <w:tcPr>
            <w:tcW w:type="dxa" w:w="34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
            </w:r>
          </w:p>
        </w:tc>
        <w:tc>
          <w:tcPr>
            <w:tcW w:type="dxa" w:w="27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24,93,828</w:t>
            </w:r>
          </w:p>
        </w:tc>
      </w:tr>
      <w:tr>
        <w:tc>
          <w:tcPr>
            <w:tcW w:type="dxa" w:w="3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less: consolidated net debt</w:t>
            </w:r>
          </w:p>
        </w:tc>
        <w:tc>
          <w:tcPr>
            <w:tcW w:type="dxa" w:w="3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
            </w:r>
          </w:p>
        </w:tc>
        <w:tc>
          <w:tcPr>
            <w:tcW w:type="dxa" w:w="27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(1,24,717)</w:t>
            </w:r>
          </w:p>
        </w:tc>
      </w:tr>
      <w:tr>
        <w:tc>
          <w:tcPr>
            <w:tcW w:type="dxa" w:w="3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Equity value (100% basis)</w:t>
            </w:r>
          </w:p>
        </w:tc>
        <w:tc>
          <w:tcPr>
            <w:tcW w:type="dxa" w:w="3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
            </w:r>
          </w:p>
        </w:tc>
        <w:tc>
          <w:tcPr>
            <w:tcW w:type="dxa" w:w="27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23,69,112</w:t>
            </w:r>
          </w:p>
        </w:tc>
      </w:tr>
      <w:tr>
        <w:tc>
          <w:tcPr>
            <w:tcW w:type="dxa" w:w="3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less: minority interest (Jio/Retail/Media)</w:t>
            </w:r>
          </w:p>
        </w:tc>
        <w:tc>
          <w:tcPr>
            <w:tcW w:type="dxa" w:w="3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
            </w:r>
          </w:p>
        </w:tc>
        <w:tc>
          <w:tcPr>
            <w:tcW w:type="dxa" w:w="27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(4,58,416)</w:t>
            </w:r>
          </w:p>
        </w:tc>
      </w:tr>
      <w:tr>
        <w:tc>
          <w:tcPr>
            <w:tcW w:type="dxa" w:w="3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RIL-attributable equity (pre-discount)</w:t>
            </w:r>
          </w:p>
        </w:tc>
        <w:tc>
          <w:tcPr>
            <w:tcW w:type="dxa" w:w="3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 ₹1,412 / share</w:t>
            </w:r>
          </w:p>
        </w:tc>
        <w:tc>
          <w:tcPr>
            <w:tcW w:type="dxa" w:w="27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19,10,696</w:t>
            </w:r>
          </w:p>
        </w:tc>
      </w:tr>
      <w:tr>
        <w:tc>
          <w:tcPr>
            <w:tcW w:type="dxa" w:w="3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less: holdco / complexity discount</w:t>
            </w:r>
          </w:p>
        </w:tc>
        <w:tc>
          <w:tcPr>
            <w:tcW w:type="dxa" w:w="3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w:t>
            </w:r>
          </w:p>
        </w:tc>
        <w:tc>
          <w:tcPr>
            <w:tcW w:type="dxa" w:w="27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(95,535)</w:t>
            </w:r>
          </w:p>
        </w:tc>
      </w:tr>
      <w:tr>
        <w:tc>
          <w:tcPr>
            <w:tcW w:type="dxa" w:w="390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SOTP equity value</w:t>
            </w:r>
          </w:p>
        </w:tc>
        <w:tc>
          <w:tcPr>
            <w:tcW w:type="dxa" w:w="34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 ₹1,342 / share</w:t>
            </w:r>
          </w:p>
        </w:tc>
        <w:tc>
          <w:tcPr>
            <w:tcW w:type="dxa" w:w="27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18,15,161</w:t>
            </w:r>
          </w:p>
        </w:tc>
      </w:tr>
    </w:tbl>
    <w:p>
      <w:pPr>
        <w:keepNext w:val="false"/>
        <w:spacing w:after="120" w:before="0" w:line="264"/>
        <w:jc w:val="left"/>
      </w:pPr>
      <w:r>
        <w:rPr>
          <w:rFonts w:ascii="Calibri" w:cs="Calibri" w:eastAsia="Calibri" w:hAnsi="Calibri"/>
          <w:b/>
          <w:bCs/>
          <w:i w:val="false"/>
          <w:iCs w:val="false"/>
          <w:color w:val="1A1A1A"/>
          <w:sz w:val="21"/>
          <w:szCs w:val="21"/>
        </w:rPr>
        <w:t xml:space="preserve">SOTP base ≈ ₹1,342/share</w:t>
      </w:r>
      <w:r>
        <w:rPr>
          <w:rFonts w:ascii="Calibri" w:cs="Calibri" w:eastAsia="Calibri" w:hAnsi="Calibri"/>
          <w:b w:val="false"/>
          <w:bCs w:val="false"/>
          <w:i w:val="false"/>
          <w:iCs w:val="false"/>
          <w:color w:val="1A1A1A"/>
          <w:sz w:val="21"/>
          <w:szCs w:val="21"/>
        </w:rPr>
        <w:t xml:space="preserve">, with a bear–bull span of ₹1,008–₹1,712 driven mainly by the Jio and O2C multiples and the holdco discount (see §1.9). The pre-discount NAV of ₹1,412 says the market is paying ₹1,321 for ₹1,412 of marked assets — a ~6% implied holding-company discount, which is the crux of the bull case: a successful Jio IPO is the most direct mechanism for narrowing it.</w:t>
      </w:r>
    </w:p>
    <w:p>
      <w:pPr>
        <w:pStyle w:val="Heading2"/>
        <w:spacing w:after="100" w:before="200"/>
      </w:pPr>
      <w:r>
        <w:rPr>
          <w:rFonts w:ascii="Calibri" w:cs="Calibri" w:eastAsia="Calibri" w:hAnsi="Calibri"/>
          <w:b/>
          <w:bCs/>
          <w:color w:val="2A8F8F"/>
          <w:sz w:val="25"/>
          <w:szCs w:val="25"/>
        </w:rPr>
        <w:t xml:space="preserve">1.2  Consolidated DCF — the cash-flow cross-check</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A consolidated free-cash-flow-to-firm model is the natural check on the asset sum. We build a five-year explicit forecast off segment revenue and margin drivers, deduct a heavy but declining capex line (Reliance is past the peak of the Jio 5G and New Energy build-out, so capex fades from ~₹1.45 lakh cr toward ~₹1.20 lakh cr), and discount at a </w:t>
      </w:r>
      <w:r>
        <w:rPr>
          <w:rFonts w:ascii="Calibri" w:cs="Calibri" w:eastAsia="Calibri" w:hAnsi="Calibri"/>
          <w:b/>
          <w:bCs/>
          <w:i w:val="false"/>
          <w:iCs w:val="false"/>
          <w:color w:val="1A1A1A"/>
          <w:sz w:val="21"/>
          <w:szCs w:val="21"/>
        </w:rPr>
        <w:t xml:space="preserve">WACC of 11.5%</w:t>
      </w:r>
      <w:r>
        <w:rPr>
          <w:rFonts w:ascii="Calibri" w:cs="Calibri" w:eastAsia="Calibri" w:hAnsi="Calibri"/>
          <w:b w:val="false"/>
          <w:bCs w:val="false"/>
          <w:i w:val="false"/>
          <w:iCs w:val="false"/>
          <w:color w:val="1A1A1A"/>
          <w:sz w:val="21"/>
          <w:szCs w:val="21"/>
        </w:rPr>
        <w:t xml:space="preserve">. The cost of equity is stated explicitly: Ke = risk-free 6.5% + beta 1.0 × equity-risk premium 5.5% = 12.0%; blended with an after-tax cost of debt this gives the 11.5% WACC. Terminal growth is 5.0% and the tax rate 25%.</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480"/>
        <w:gridCol w:w="2200"/>
        <w:gridCol w:w="2200"/>
        <w:gridCol w:w="2200"/>
      </w:tblGrid>
      <w:tr>
        <w:trPr>
          <w:tblHeader/>
        </w:trPr>
        <w:tc>
          <w:tcPr>
            <w:tcW w:type="dxa" w:w="34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DCF input</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Bear</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Base</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Bull</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WACC</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12.5%</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11.5%</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10.5%</w:t>
            </w:r>
          </w:p>
        </w:tc>
      </w:tr>
      <w:tr>
        <w:tc>
          <w:tcPr>
            <w:tcW w:type="dxa" w:w="3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Terminal growth</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4.5%</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5.0%</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5.5%</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Normalized capex trajectory (₹ lakh cr)</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1.55→1.35</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1.45→1.20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1.35→1.05</w:t>
            </w:r>
          </w:p>
        </w:tc>
      </w:tr>
      <w:tr>
        <w:tc>
          <w:tcPr>
            <w:tcW w:type="dxa" w:w="34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Fair value (₹/share)</w:t>
            </w:r>
          </w:p>
        </w:tc>
        <w:tc>
          <w:tcPr>
            <w:tcW w:type="dxa" w:w="22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1,120</w:t>
            </w:r>
          </w:p>
        </w:tc>
        <w:tc>
          <w:tcPr>
            <w:tcW w:type="dxa" w:w="22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1,359</w:t>
            </w:r>
          </w:p>
        </w:tc>
        <w:tc>
          <w:tcPr>
            <w:tcW w:type="dxa" w:w="22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1,660</w:t>
            </w:r>
          </w:p>
        </w:tc>
      </w:tr>
    </w:tbl>
    <w:p>
      <w:pPr>
        <w:keepNext w:val="false"/>
        <w:spacing w:after="120" w:before="0" w:line="264"/>
        <w:jc w:val="left"/>
      </w:pPr>
      <w:r>
        <w:rPr>
          <w:rFonts w:ascii="Calibri" w:cs="Calibri" w:eastAsia="Calibri" w:hAnsi="Calibri"/>
          <w:b w:val="false"/>
          <w:bCs w:val="false"/>
          <w:i w:val="false"/>
          <w:iCs w:val="false"/>
          <w:color w:val="1A1A1A"/>
          <w:sz w:val="21"/>
          <w:szCs w:val="21"/>
        </w:rPr>
        <w:t xml:space="preserve">The base DCF of ₹1,359 lands just above the SOTP — reassuring, since the two methods share almost no inputs. The full five-year free-cash-flow build is shown below; every input links to the model's Assumptions sheet.</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2680"/>
        <w:gridCol w:w="1480"/>
        <w:gridCol w:w="1480"/>
        <w:gridCol w:w="1480"/>
        <w:gridCol w:w="1480"/>
        <w:gridCol w:w="1480"/>
      </w:tblGrid>
      <w:tr>
        <w:trPr>
          <w:tblHeader/>
        </w:trPr>
        <w:tc>
          <w:tcPr>
            <w:tcW w:type="dxa" w:w="26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 crore</w:t>
            </w:r>
          </w:p>
        </w:tc>
        <w:tc>
          <w:tcPr>
            <w:tcW w:type="dxa" w:w="14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FY27E</w:t>
            </w:r>
          </w:p>
        </w:tc>
        <w:tc>
          <w:tcPr>
            <w:tcW w:type="dxa" w:w="14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FY28E</w:t>
            </w:r>
          </w:p>
        </w:tc>
        <w:tc>
          <w:tcPr>
            <w:tcW w:type="dxa" w:w="14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FY29E</w:t>
            </w:r>
          </w:p>
        </w:tc>
        <w:tc>
          <w:tcPr>
            <w:tcW w:type="dxa" w:w="14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FY30E</w:t>
            </w:r>
          </w:p>
        </w:tc>
        <w:tc>
          <w:tcPr>
            <w:tcW w:type="dxa" w:w="14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FY31E</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Revenue</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11,63,377</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12,68,125</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13,82,911</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14,97,194</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16,16,003</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EBITDA</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2,31,178</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2,61,925</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2,91,011</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3,23,892</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3,55,108</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Depreciation &amp; amortisation</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60,496</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67,211</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73,294</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77,854</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82,416</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EBIT</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1,70,682</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1,94,715</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2,17,717</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2,46,037</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2,72,692</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NOPAT = EBIT×(1−t)</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1,28,012</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1,46,036</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1,63,288</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1,84,528</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2,04,519</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D&amp;A</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60,496</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67,211</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73,294</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77,854</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82,416</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Capex</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(1,45,000)</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(1,40,000)</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(1,30,000)</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(1,25,000)</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(1,20,000)</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Δ working capital (release)</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2,193</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2,619</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2,870</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2,857</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2,970</w:t>
            </w:r>
          </w:p>
        </w:tc>
      </w:tr>
      <w:tr>
        <w:tc>
          <w:tcPr>
            <w:tcW w:type="dxa" w:w="26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Free cash flow to firm</w:t>
            </w:r>
          </w:p>
        </w:tc>
        <w:tc>
          <w:tcPr>
            <w:tcW w:type="dxa" w:w="14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45,700</w:t>
            </w:r>
          </w:p>
        </w:tc>
        <w:tc>
          <w:tcPr>
            <w:tcW w:type="dxa" w:w="14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75,865</w:t>
            </w:r>
          </w:p>
        </w:tc>
        <w:tc>
          <w:tcPr>
            <w:tcW w:type="dxa" w:w="14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1,09,451</w:t>
            </w:r>
          </w:p>
        </w:tc>
        <w:tc>
          <w:tcPr>
            <w:tcW w:type="dxa" w:w="14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1,40,239</w:t>
            </w:r>
          </w:p>
        </w:tc>
        <w:tc>
          <w:tcPr>
            <w:tcW w:type="dxa" w:w="148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1,69,905</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Discount factor</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0.897</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0.804</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0.721</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0.647</w:t>
            </w:r>
          </w:p>
        </w:tc>
        <w:tc>
          <w:tcPr>
            <w:tcW w:type="dxa" w:w="14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0.580</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PV of FCFF</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40,986</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61,023</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78,958</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90,734</w:t>
            </w:r>
          </w:p>
        </w:tc>
        <w:tc>
          <w:tcPr>
            <w:tcW w:type="dxa" w:w="14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98,590</w:t>
            </w:r>
          </w:p>
        </w:tc>
      </w:tr>
    </w:tbl>
    <w:p>
      <w:pPr>
        <w:spacing w:after="160" w:before="60"/>
        <w:jc w:val="center"/>
      </w:pPr>
      <w:r>
        <w:rPr>
          <w:rFonts w:ascii="Calibri" w:cs="Calibri" w:eastAsia="Calibri" w:hAnsi="Calibri"/>
          <w:i/>
          <w:iCs/>
          <w:color w:val="6B6B6B"/>
          <w:sz w:val="17"/>
          <w:szCs w:val="17"/>
        </w:rPr>
        <w:t xml:space="preserve">Free cash flow to the firm, five-year explicit forecast. Every input links to the model's Assumptions sheet.</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6480"/>
        <w:gridCol w:w="3600"/>
      </w:tblGrid>
      <w:tr>
        <w:trPr>
          <w:tblHeader/>
        </w:trPr>
        <w:tc>
          <w:tcPr>
            <w:tcW w:type="dxa" w:w="64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DCF bridge to value</w:t>
            </w:r>
          </w:p>
        </w:tc>
        <w:tc>
          <w:tcPr>
            <w:tcW w:type="dxa" w:w="36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 crore / ₹ per share</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Σ PV of explicit FCFF (FY27–31)</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3,70,292</w:t>
            </w:r>
          </w:p>
        </w:tc>
      </w:tr>
      <w:tr>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Terminal value (Gordon, g = 5.0%)</w:t>
            </w:r>
          </w:p>
        </w:tc>
        <w:tc>
          <w:tcPr>
            <w:tcW w:type="dxa" w:w="36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27,44,627</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PV of terminal value</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15,92,608</w:t>
            </w:r>
          </w:p>
        </w:tc>
      </w:tr>
      <w:tr>
        <w:tc>
          <w:tcPr>
            <w:tcW w:type="dxa" w:w="64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Enterprise value</w:t>
            </w:r>
          </w:p>
        </w:tc>
        <w:tc>
          <w:tcPr>
            <w:tcW w:type="dxa" w:w="36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19,62,900</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less: consolidated net debt</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(1,24,717)</w:t>
            </w:r>
          </w:p>
        </w:tc>
      </w:tr>
      <w:tr>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Equity value</w:t>
            </w:r>
          </w:p>
        </w:tc>
        <w:tc>
          <w:tcPr>
            <w:tcW w:type="dxa" w:w="36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18,38,183</w:t>
            </w:r>
          </w:p>
        </w:tc>
      </w:tr>
      <w:tr>
        <w:tc>
          <w:tcPr>
            <w:tcW w:type="dxa" w:w="64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Fair value per share (₹)</w:t>
            </w:r>
          </w:p>
        </w:tc>
        <w:tc>
          <w:tcPr>
            <w:tcW w:type="dxa" w:w="36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1,359</w:t>
            </w:r>
          </w:p>
        </w:tc>
      </w:tr>
      <w:tr>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Terminal value as % of EV</w:t>
            </w:r>
          </w:p>
        </w:tc>
        <w:tc>
          <w:tcPr>
            <w:tcW w:type="dxa" w:w="36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81.1%</w:t>
            </w:r>
          </w:p>
        </w:tc>
      </w:tr>
    </w:tbl>
    <w:p>
      <w:pPr>
        <w:keepNext w:val="false"/>
        <w:spacing w:after="120" w:before="0" w:line="264"/>
        <w:jc w:val="left"/>
      </w:pPr>
      <w:r>
        <w:rPr>
          <w:rFonts w:ascii="Calibri" w:cs="Calibri" w:eastAsia="Calibri" w:hAnsi="Calibri"/>
          <w:b w:val="false"/>
          <w:bCs w:val="false"/>
          <w:i w:val="false"/>
          <w:iCs w:val="false"/>
          <w:color w:val="1A1A1A"/>
          <w:sz w:val="21"/>
          <w:szCs w:val="21"/>
        </w:rPr>
        <w:t xml:space="preserve">The DCF base of ₹1,359 is dependable as a cross-check but carries a fair warning device: </w:t>
      </w:r>
      <w:r>
        <w:rPr>
          <w:rFonts w:ascii="Calibri" w:cs="Calibri" w:eastAsia="Calibri" w:hAnsi="Calibri"/>
          <w:b/>
          <w:bCs/>
          <w:i w:val="false"/>
          <w:iCs w:val="false"/>
          <w:color w:val="1A1A1A"/>
          <w:sz w:val="21"/>
          <w:szCs w:val="21"/>
        </w:rPr>
        <w:t xml:space="preserve">terminal value is 81.1% of enterprise value</w:t>
      </w:r>
      <w:r>
        <w:rPr>
          <w:rFonts w:ascii="Calibri" w:cs="Calibri" w:eastAsia="Calibri" w:hAnsi="Calibri"/>
          <w:b w:val="false"/>
          <w:bCs w:val="false"/>
          <w:i w:val="false"/>
          <w:iCs w:val="false"/>
          <w:color w:val="1A1A1A"/>
          <w:sz w:val="21"/>
          <w:szCs w:val="21"/>
        </w:rPr>
        <w:t xml:space="preserve"> (disclosed per device A-7), which is high — a consequence of Reliance's long reinvestment runway suppressing near-term free cash while the terminal captures the mature cash machine. That dependency is made visible here and sensitised on the WACC × terminal-growth grid in §1.9 rather than blended silently into a single point; we do not average the DCF and a divergent multiple into false precision (device A-8).</w:t>
      </w:r>
    </w:p>
    <w:p>
      <w:pPr>
        <w:pStyle w:val="Heading2"/>
        <w:spacing w:after="100" w:before="200"/>
      </w:pPr>
      <w:r>
        <w:rPr>
          <w:rFonts w:ascii="Calibri" w:cs="Calibri" w:eastAsia="Calibri" w:hAnsi="Calibri"/>
          <w:b/>
          <w:bCs/>
          <w:color w:val="2A8F8F"/>
          <w:sz w:val="25"/>
          <w:szCs w:val="25"/>
        </w:rPr>
        <w:t xml:space="preserve">1.3  Relative multiples</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On a group basis Reliance screens fairly, not cheaply: FY26 consolidated EBITDA of ₹2,07,911 cr against an enterprise value of ~₹19,12,000 cr is ~9.2× EV/EBITDA, and the reported P/E is ~22× on attributable EPS of ₹59.7. Because the group blends a commodity refiner with a high-multiple digital platform, a single group multiple is inherently a blend; we mark the relative lens on a normalized through-cycle EBITDA and a blended EV/EBITDA that weights the segments' own peer multiples.</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480"/>
        <w:gridCol w:w="2200"/>
        <w:gridCol w:w="2200"/>
        <w:gridCol w:w="2200"/>
      </w:tblGrid>
      <w:tr>
        <w:trPr>
          <w:tblHeader/>
        </w:trPr>
        <w:tc>
          <w:tcPr>
            <w:tcW w:type="dxa" w:w="34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Relative basis</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Bear</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Base</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Bull</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Normalized EBITDA (₹ cr)</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2,05,000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2,20,000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2,35,000</w:t>
            </w:r>
          </w:p>
        </w:tc>
      </w:tr>
      <w:tr>
        <w:tc>
          <w:tcPr>
            <w:tcW w:type="dxa" w:w="3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Blended EV/EBITDA multiple</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8.2×</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8.7×</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9.4×</w:t>
            </w:r>
          </w:p>
        </w:tc>
      </w:tr>
      <w:tr>
        <w:tc>
          <w:tcPr>
            <w:tcW w:type="dxa" w:w="34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Fair value (₹/share)</w:t>
            </w:r>
          </w:p>
        </w:tc>
        <w:tc>
          <w:tcPr>
            <w:tcW w:type="dxa" w:w="22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1,179</w:t>
            </w:r>
          </w:p>
        </w:tc>
        <w:tc>
          <w:tcPr>
            <w:tcW w:type="dxa" w:w="22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1,322</w:t>
            </w:r>
          </w:p>
        </w:tc>
        <w:tc>
          <w:tcPr>
            <w:tcW w:type="dxa" w:w="22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1,509</w:t>
            </w:r>
          </w:p>
        </w:tc>
      </w:tr>
    </w:tbl>
    <w:p>
      <w:pPr>
        <w:keepNext w:val="false"/>
        <w:spacing w:after="120" w:before="0" w:line="264"/>
        <w:jc w:val="left"/>
      </w:pPr>
      <w:r>
        <w:rPr>
          <w:rFonts w:ascii="Calibri" w:cs="Calibri" w:eastAsia="Calibri" w:hAnsi="Calibri"/>
          <w:b/>
          <w:bCs/>
          <w:i w:val="false"/>
          <w:iCs w:val="false"/>
          <w:color w:val="1A1A1A"/>
          <w:sz w:val="21"/>
          <w:szCs w:val="21"/>
        </w:rPr>
        <w:t xml:space="preserve">Relative base ≈ ₹1,322</w:t>
      </w:r>
      <w:r>
        <w:rPr>
          <w:rFonts w:ascii="Calibri" w:cs="Calibri" w:eastAsia="Calibri" w:hAnsi="Calibri"/>
          <w:b w:val="false"/>
          <w:bCs w:val="false"/>
          <w:i w:val="false"/>
          <w:iCs w:val="false"/>
          <w:color w:val="1A1A1A"/>
          <w:sz w:val="21"/>
          <w:szCs w:val="21"/>
        </w:rPr>
        <w:t xml:space="preserve"> — essentially at spot, and the floor of the four lenses. It treats the group as a blended conglomerate rather than crediting the segment-level re-rating that a Jio listing could unlock, which is precisely what the SOTP does capture.</w:t>
      </w:r>
    </w:p>
    <w:p>
      <w:pPr>
        <w:pStyle w:val="Heading2"/>
        <w:spacing w:after="100" w:before="200"/>
      </w:pPr>
      <w:r>
        <w:rPr>
          <w:rFonts w:ascii="Calibri" w:cs="Calibri" w:eastAsia="Calibri" w:hAnsi="Calibri"/>
          <w:b/>
          <w:bCs/>
          <w:color w:val="2A8F8F"/>
          <w:sz w:val="25"/>
          <w:szCs w:val="25"/>
        </w:rPr>
        <w:t xml:space="preserve">1.4  Normalized earnings power</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If the group sustains its digital and retail growth while O2C runs at mid-cycle margins, mid-cycle attributable earnings sit above the FY26 print. We normalize consolidated attributable PAT to ~₹1,05,000 cr (Jio and Retail compounding, O2C at through-cycle GRMs, E&amp;P steady) and apply a justified through-cycle P/E of 20× — a discount to the growth segments' standalone multiples and a premium to a pure refiner, reflecting the mix.</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480"/>
        <w:gridCol w:w="2200"/>
        <w:gridCol w:w="2200"/>
        <w:gridCol w:w="2200"/>
      </w:tblGrid>
      <w:tr>
        <w:trPr>
          <w:tblHeader/>
        </w:trPr>
        <w:tc>
          <w:tcPr>
            <w:tcW w:type="dxa" w:w="34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Normalized-earnings basis</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Bear</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Base</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Bull</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Mid-cycle attributable PAT (₹ cr)</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95,000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1,05,000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1,15,000</w:t>
            </w:r>
          </w:p>
        </w:tc>
      </w:tr>
      <w:tr>
        <w:tc>
          <w:tcPr>
            <w:tcW w:type="dxa" w:w="3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Justified P/E</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17.5×</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20.0×</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22.4×</w:t>
            </w:r>
          </w:p>
        </w:tc>
      </w:tr>
      <w:tr>
        <w:tc>
          <w:tcPr>
            <w:tcW w:type="dxa" w:w="34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Fair value (₹/share)</w:t>
            </w:r>
          </w:p>
        </w:tc>
        <w:tc>
          <w:tcPr>
            <w:tcW w:type="dxa" w:w="22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1,231</w:t>
            </w:r>
          </w:p>
        </w:tc>
        <w:tc>
          <w:tcPr>
            <w:tcW w:type="dxa" w:w="22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1,552</w:t>
            </w:r>
          </w:p>
        </w:tc>
        <w:tc>
          <w:tcPr>
            <w:tcW w:type="dxa" w:w="22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1,904</w:t>
            </w:r>
          </w:p>
        </w:tc>
      </w:tr>
    </w:tbl>
    <w:p>
      <w:pPr>
        <w:keepNext w:val="false"/>
        <w:spacing w:after="120" w:before="0" w:line="264"/>
        <w:jc w:val="left"/>
      </w:pPr>
      <w:r>
        <w:rPr>
          <w:rFonts w:ascii="Calibri" w:cs="Calibri" w:eastAsia="Calibri" w:hAnsi="Calibri"/>
          <w:b/>
          <w:bCs/>
          <w:i w:val="false"/>
          <w:iCs w:val="false"/>
          <w:color w:val="1A1A1A"/>
          <w:sz w:val="21"/>
          <w:szCs w:val="21"/>
        </w:rPr>
        <w:t xml:space="preserve">Normalized-earnings base ≈ ₹1,552</w:t>
      </w:r>
      <w:r>
        <w:rPr>
          <w:rFonts w:ascii="Calibri" w:cs="Calibri" w:eastAsia="Calibri" w:hAnsi="Calibri"/>
          <w:b w:val="false"/>
          <w:bCs w:val="false"/>
          <w:i w:val="false"/>
          <w:iCs w:val="false"/>
          <w:color w:val="1A1A1A"/>
          <w:sz w:val="21"/>
          <w:szCs w:val="21"/>
        </w:rPr>
        <w:t xml:space="preserve"> — the recovery/growth lens and the ceiling of the central case. It is, in effect, the bet that the digital and retail franchises keep compounding and that O2C does not sit at a trough — the mirror of the relative lens's caution.</w:t>
      </w:r>
    </w:p>
    <w:p>
      <w:pPr>
        <w:pStyle w:val="Heading2"/>
        <w:spacing w:after="100" w:before="200"/>
      </w:pPr>
      <w:r>
        <w:rPr>
          <w:rFonts w:ascii="Calibri" w:cs="Calibri" w:eastAsia="Calibri" w:hAnsi="Calibri"/>
          <w:b/>
          <w:bCs/>
          <w:color w:val="2A8F8F"/>
          <w:sz w:val="25"/>
          <w:szCs w:val="25"/>
        </w:rPr>
        <w:t xml:space="preserve">1.5  Synthesis — four lenses</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We weight the SOTP most heavily because it respects the differing economics of the parts and captures the value-crystallisation optionality; the DCF and normalized-earnings lenses carry the growth thesis; the relative lens anchors the floor.</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280"/>
        <w:gridCol w:w="1520"/>
        <w:gridCol w:w="1760"/>
        <w:gridCol w:w="1760"/>
        <w:gridCol w:w="1760"/>
      </w:tblGrid>
      <w:tr>
        <w:trPr>
          <w:tblHeader/>
        </w:trPr>
        <w:tc>
          <w:tcPr>
            <w:tcW w:type="dxa" w:w="32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Lens</w:t>
            </w:r>
          </w:p>
        </w:tc>
        <w:tc>
          <w:tcPr>
            <w:tcW w:type="dxa" w:w="152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Weight</w:t>
            </w:r>
          </w:p>
        </w:tc>
        <w:tc>
          <w:tcPr>
            <w:tcW w:type="dxa" w:w="176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Bear</w:t>
            </w:r>
          </w:p>
        </w:tc>
        <w:tc>
          <w:tcPr>
            <w:tcW w:type="dxa" w:w="176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Base</w:t>
            </w:r>
          </w:p>
        </w:tc>
        <w:tc>
          <w:tcPr>
            <w:tcW w:type="dxa" w:w="176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Bull</w:t>
            </w:r>
          </w:p>
        </w:tc>
      </w:tr>
      <w:tr>
        <w:tc>
          <w:tcPr>
            <w:tcW w:type="dxa" w:w="32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Sum-of-the-parts</w:t>
            </w:r>
          </w:p>
        </w:tc>
        <w:tc>
          <w:tcPr>
            <w:tcW w:type="dxa" w:w="152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40%</w:t>
            </w:r>
          </w:p>
        </w:tc>
        <w:tc>
          <w:tcPr>
            <w:tcW w:type="dxa" w:w="17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1,008</w:t>
            </w:r>
          </w:p>
        </w:tc>
        <w:tc>
          <w:tcPr>
            <w:tcW w:type="dxa" w:w="17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1,342</w:t>
            </w:r>
          </w:p>
        </w:tc>
        <w:tc>
          <w:tcPr>
            <w:tcW w:type="dxa" w:w="17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1,712</w:t>
            </w:r>
          </w:p>
        </w:tc>
      </w:tr>
      <w:tr>
        <w:tc>
          <w:tcPr>
            <w:tcW w:type="dxa" w:w="32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Consolidated DCF</w:t>
            </w:r>
          </w:p>
        </w:tc>
        <w:tc>
          <w:tcPr>
            <w:tcW w:type="dxa" w:w="152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w:t>
            </w:r>
          </w:p>
        </w:tc>
        <w:tc>
          <w:tcPr>
            <w:tcW w:type="dxa" w:w="17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1,120</w:t>
            </w:r>
          </w:p>
        </w:tc>
        <w:tc>
          <w:tcPr>
            <w:tcW w:type="dxa" w:w="17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1,359</w:t>
            </w:r>
          </w:p>
        </w:tc>
        <w:tc>
          <w:tcPr>
            <w:tcW w:type="dxa" w:w="17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1,660</w:t>
            </w:r>
          </w:p>
        </w:tc>
      </w:tr>
      <w:tr>
        <w:tc>
          <w:tcPr>
            <w:tcW w:type="dxa" w:w="32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Relative multiples</w:t>
            </w:r>
          </w:p>
        </w:tc>
        <w:tc>
          <w:tcPr>
            <w:tcW w:type="dxa" w:w="152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w:t>
            </w:r>
          </w:p>
        </w:tc>
        <w:tc>
          <w:tcPr>
            <w:tcW w:type="dxa" w:w="17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1,179</w:t>
            </w:r>
          </w:p>
        </w:tc>
        <w:tc>
          <w:tcPr>
            <w:tcW w:type="dxa" w:w="17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1,322</w:t>
            </w:r>
          </w:p>
        </w:tc>
        <w:tc>
          <w:tcPr>
            <w:tcW w:type="dxa" w:w="17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1,509</w:t>
            </w:r>
          </w:p>
        </w:tc>
      </w:tr>
      <w:tr>
        <w:tc>
          <w:tcPr>
            <w:tcW w:type="dxa" w:w="32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Normalized earnings</w:t>
            </w:r>
          </w:p>
        </w:tc>
        <w:tc>
          <w:tcPr>
            <w:tcW w:type="dxa" w:w="152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25%</w:t>
            </w:r>
          </w:p>
        </w:tc>
        <w:tc>
          <w:tcPr>
            <w:tcW w:type="dxa" w:w="17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1,231</w:t>
            </w:r>
          </w:p>
        </w:tc>
        <w:tc>
          <w:tcPr>
            <w:tcW w:type="dxa" w:w="17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1,552</w:t>
            </w:r>
          </w:p>
        </w:tc>
        <w:tc>
          <w:tcPr>
            <w:tcW w:type="dxa" w:w="17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1,904</w:t>
            </w:r>
          </w:p>
        </w:tc>
      </w:tr>
      <w:tr>
        <w:tc>
          <w:tcPr>
            <w:tcW w:type="dxa" w:w="32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Weighted central</w:t>
            </w:r>
          </w:p>
        </w:tc>
        <w:tc>
          <w:tcPr>
            <w:tcW w:type="dxa" w:w="152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
            </w:r>
          </w:p>
        </w:tc>
        <w:tc>
          <w:tcPr>
            <w:tcW w:type="dxa" w:w="176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1,112</w:t>
            </w:r>
          </w:p>
        </w:tc>
        <w:tc>
          <w:tcPr>
            <w:tcW w:type="dxa" w:w="176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1,395</w:t>
            </w:r>
          </w:p>
        </w:tc>
        <w:tc>
          <w:tcPr>
            <w:tcW w:type="dxa" w:w="176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1,719</w:t>
            </w:r>
          </w:p>
        </w:tc>
      </w:tr>
    </w:tbl>
    <w:p>
      <w:pPr>
        <w:spacing w:after="4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1 — Valuation football field. Bars span bear–bull per lens; the brass tick is each base case; the gold band is the blended central range; the dark line is spot.</w:t>
      </w:r>
    </w:p>
    <w:p>
      <w:pPr>
        <w:keepNext w:val="false"/>
        <w:spacing w:after="120" w:before="0" w:line="264"/>
        <w:jc w:val="left"/>
      </w:pPr>
      <w:r>
        <w:rPr>
          <w:rFonts w:ascii="Calibri" w:cs="Calibri" w:eastAsia="Calibri" w:hAnsi="Calibri"/>
          <w:b/>
          <w:bCs/>
          <w:i w:val="false"/>
          <w:iCs w:val="false"/>
          <w:color w:val="1A1A1A"/>
          <w:sz w:val="21"/>
          <w:szCs w:val="21"/>
        </w:rPr>
        <w:t xml:space="preserve">Central fair value ≈ ₹1,395/share</w:t>
      </w:r>
      <w:r>
        <w:rPr>
          <w:rFonts w:ascii="Calibri" w:cs="Calibri" w:eastAsia="Calibri" w:hAnsi="Calibri"/>
          <w:b w:val="false"/>
          <w:bCs w:val="false"/>
          <w:i w:val="false"/>
          <w:iCs w:val="false"/>
          <w:color w:val="1A1A1A"/>
          <w:sz w:val="21"/>
          <w:szCs w:val="21"/>
        </w:rPr>
        <w:t xml:space="preserve">, about 6% above spot. The spread of the lenses (₹1,322 to ₹1,552 at base) is itself the message: this is not a deep-value or a clearly-expensive name, but a fairly-to-modestly-cheap holding whose re-rating depends on the crystallisation of segment value and on the O2C margin cycle.</w:t>
      </w:r>
    </w:p>
    <w:p>
      <w:pPr>
        <w:pStyle w:val="Heading2"/>
        <w:spacing w:after="100" w:before="200"/>
      </w:pPr>
      <w:r>
        <w:rPr>
          <w:rFonts w:ascii="Calibri" w:cs="Calibri" w:eastAsia="Calibri" w:hAnsi="Calibri"/>
          <w:b/>
          <w:bCs/>
          <w:color w:val="2A8F8F"/>
          <w:sz w:val="25"/>
          <w:szCs w:val="25"/>
        </w:rPr>
        <w:t xml:space="preserve">1.6  The holding-company assets — a deeper look</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Reliance's value is unusually well-diversified across four engines with different jobs. Jio is the high-margin scale asset (FY26 EBITDA ₹76,255 cr at a ~52% margin, RIL stake 66.4%, its own net debt ₹70,781 cr) and, with its DRHP filed, the clearest catalyst. Retail is the growth compounder (gross revenue ₹3,70,026 cr, EBITDA ₹27,033 cr at ~7.3%, RIL stake ~85%). O2C is the cash anchor and the cyclical swing (revenue ₹6,62,401 cr, EBITDA ₹60,546 cr at ~9.1%). E&amp;P (KG-D6 gas) is a steady contributor (EBITDA ₹19,050 cr), and New Energy is early-stage optionality. The table scores each part on the axes that matter.</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2680"/>
        <w:gridCol w:w="1900"/>
        <w:gridCol w:w="1900"/>
        <w:gridCol w:w="1900"/>
        <w:gridCol w:w="1700"/>
      </w:tblGrid>
      <w:tr>
        <w:trPr>
          <w:tblHeader/>
        </w:trPr>
        <w:tc>
          <w:tcPr>
            <w:tcW w:type="dxa" w:w="26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Part</w:t>
            </w:r>
          </w:p>
        </w:tc>
        <w:tc>
          <w:tcPr>
            <w:tcW w:type="dxa" w:w="19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Cyclicality</w:t>
            </w:r>
          </w:p>
        </w:tc>
        <w:tc>
          <w:tcPr>
            <w:tcW w:type="dxa" w:w="19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Margin trend</w:t>
            </w:r>
          </w:p>
        </w:tc>
        <w:tc>
          <w:tcPr>
            <w:tcW w:type="dxa" w:w="19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Capital intensity</w:t>
            </w:r>
          </w:p>
        </w:tc>
        <w:tc>
          <w:tcPr>
            <w:tcW w:type="dxa" w:w="17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Swing role</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Jio Platforms</w:t>
            </w:r>
          </w:p>
        </w:tc>
        <w:tc>
          <w:tcPr>
            <w:tcW w:type="dxa" w:w="1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Low</w:t>
            </w:r>
          </w:p>
        </w:tc>
        <w:tc>
          <w:tcPr>
            <w:tcW w:type="dxa" w:w="1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High, ~stable</w:t>
            </w:r>
          </w:p>
        </w:tc>
        <w:tc>
          <w:tcPr>
            <w:tcW w:type="dxa" w:w="1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High (past 5G peak)</w:t>
            </w:r>
          </w:p>
        </w:tc>
        <w:tc>
          <w:tcPr>
            <w:tcW w:type="dxa" w:w="17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Catalyst (IPO)</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Reliance Retail</w:t>
            </w:r>
          </w:p>
        </w:tc>
        <w:tc>
          <w:tcPr>
            <w:tcW w:type="dxa" w:w="1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Moderate</w:t>
            </w:r>
          </w:p>
        </w:tc>
        <w:tc>
          <w:tcPr>
            <w:tcW w:type="dxa" w:w="1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Improving</w:t>
            </w:r>
          </w:p>
        </w:tc>
        <w:tc>
          <w:tcPr>
            <w:tcW w:type="dxa" w:w="1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Moderate</w:t>
            </w:r>
          </w:p>
        </w:tc>
        <w:tc>
          <w:tcPr>
            <w:tcW w:type="dxa" w:w="17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Growth compounder</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O2C</w:t>
            </w:r>
          </w:p>
        </w:tc>
        <w:tc>
          <w:tcPr>
            <w:tcW w:type="dxa" w:w="1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High</w:t>
            </w:r>
          </w:p>
        </w:tc>
        <w:tc>
          <w:tcPr>
            <w:tcW w:type="dxa" w:w="1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Cyclical</w:t>
            </w:r>
          </w:p>
        </w:tc>
        <w:tc>
          <w:tcPr>
            <w:tcW w:type="dxa" w:w="1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High</w:t>
            </w:r>
          </w:p>
        </w:tc>
        <w:tc>
          <w:tcPr>
            <w:tcW w:type="dxa" w:w="17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Cash anchor / swing</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Oil &amp; Gas (E&amp;P)</w:t>
            </w:r>
          </w:p>
        </w:tc>
        <w:tc>
          <w:tcPr>
            <w:tcW w:type="dxa" w:w="1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High</w:t>
            </w:r>
          </w:p>
        </w:tc>
        <w:tc>
          <w:tcPr>
            <w:tcW w:type="dxa" w:w="1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Steady</w:t>
            </w:r>
          </w:p>
        </w:tc>
        <w:tc>
          <w:tcPr>
            <w:tcW w:type="dxa" w:w="1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High</w:t>
            </w:r>
          </w:p>
        </w:tc>
        <w:tc>
          <w:tcPr>
            <w:tcW w:type="dxa" w:w="17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Steady cash</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New Energy</w:t>
            </w:r>
          </w:p>
        </w:tc>
        <w:tc>
          <w:tcPr>
            <w:tcW w:type="dxa" w:w="1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w:t>
            </w:r>
          </w:p>
        </w:tc>
        <w:tc>
          <w:tcPr>
            <w:tcW w:type="dxa" w:w="1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Pre-revenue</w:t>
            </w:r>
          </w:p>
        </w:tc>
        <w:tc>
          <w:tcPr>
            <w:tcW w:type="dxa" w:w="1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Very high</w:t>
            </w:r>
          </w:p>
        </w:tc>
        <w:tc>
          <w:tcPr>
            <w:tcW w:type="dxa" w:w="17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Optionality</w:t>
            </w:r>
          </w:p>
        </w:tc>
      </w:tr>
    </w:tbl>
    <w:p>
      <w:pPr>
        <w:spacing w:after="40" w:before="10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38425"/>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2 — FY26 EBITDA by segment (₹ cr). Jio is the largest EBITDA pool; O2C the largest revenue pool.</w:t>
      </w:r>
    </w:p>
    <w:p>
      <w:pPr>
        <w:spacing w:after="40" w:before="10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14675"/>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3 — Sum-of-the-parts: RIL-attributable value by business (₹/share, after applying each stake).</w:t>
      </w:r>
    </w:p>
    <w:p>
      <w:pPr>
        <w:pStyle w:val="Heading2"/>
        <w:spacing w:after="100" w:before="200"/>
      </w:pPr>
      <w:r>
        <w:rPr>
          <w:rFonts w:ascii="Calibri" w:cs="Calibri" w:eastAsia="Calibri" w:hAnsi="Calibri"/>
          <w:b/>
          <w:bCs/>
          <w:color w:val="2A8F8F"/>
          <w:sz w:val="25"/>
          <w:szCs w:val="25"/>
        </w:rPr>
        <w:t xml:space="preserve">1.7  The crux — value-crystallisation, O2C margins, and the holdco discount</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Three judgments drive the valuation more than any other. First, </w:t>
      </w:r>
      <w:r>
        <w:rPr>
          <w:rFonts w:ascii="Calibri" w:cs="Calibri" w:eastAsia="Calibri" w:hAnsi="Calibri"/>
          <w:b/>
          <w:bCs/>
          <w:i w:val="false"/>
          <w:iCs w:val="false"/>
          <w:color w:val="1A1A1A"/>
          <w:sz w:val="21"/>
          <w:szCs w:val="21"/>
        </w:rPr>
        <w:t xml:space="preserve">the Jio IPO and value-crystallisation</w:t>
      </w:r>
      <w:r>
        <w:rPr>
          <w:rFonts w:ascii="Calibri" w:cs="Calibri" w:eastAsia="Calibri" w:hAnsi="Calibri"/>
          <w:b w:val="false"/>
          <w:bCs w:val="false"/>
          <w:i w:val="false"/>
          <w:iCs w:val="false"/>
          <w:color w:val="1A1A1A"/>
          <w:sz w:val="21"/>
          <w:szCs w:val="21"/>
        </w:rPr>
        <w:t xml:space="preserve">: Jio and Retail together are roughly half of gross EV, both marked off private/peer multiples. A Jio listing (DRHP filed 19 Jun 2026) that prints at or above the 13.5× we assume both validates the mark and gives the market a mechanism to narrow the holding-company discount. Second, </w:t>
      </w:r>
      <w:r>
        <w:rPr>
          <w:rFonts w:ascii="Calibri" w:cs="Calibri" w:eastAsia="Calibri" w:hAnsi="Calibri"/>
          <w:b/>
          <w:bCs/>
          <w:i w:val="false"/>
          <w:iCs w:val="false"/>
          <w:color w:val="1A1A1A"/>
          <w:sz w:val="21"/>
          <w:szCs w:val="21"/>
        </w:rPr>
        <w:t xml:space="preserve">O2C through-cycle margins</w:t>
      </w:r>
      <w:r>
        <w:rPr>
          <w:rFonts w:ascii="Calibri" w:cs="Calibri" w:eastAsia="Calibri" w:hAnsi="Calibri"/>
          <w:b w:val="false"/>
          <w:bCs w:val="false"/>
          <w:i w:val="false"/>
          <w:iCs w:val="false"/>
          <w:color w:val="1A1A1A"/>
          <w:sz w:val="21"/>
          <w:szCs w:val="21"/>
        </w:rPr>
        <w:t xml:space="preserve">: O2C is ~17% of gross EV and the most cyclical block, so refining GRMs and polymer deltas set the near-term tone. Third, </w:t>
      </w:r>
      <w:r>
        <w:rPr>
          <w:rFonts w:ascii="Calibri" w:cs="Calibri" w:eastAsia="Calibri" w:hAnsi="Calibri"/>
          <w:b/>
          <w:bCs/>
          <w:i w:val="false"/>
          <w:iCs w:val="false"/>
          <w:color w:val="1A1A1A"/>
          <w:sz w:val="21"/>
          <w:szCs w:val="21"/>
        </w:rPr>
        <w:t xml:space="preserve">the holdco discount</w:t>
      </w:r>
      <w:r>
        <w:rPr>
          <w:rFonts w:ascii="Calibri" w:cs="Calibri" w:eastAsia="Calibri" w:hAnsi="Calibri"/>
          <w:b w:val="false"/>
          <w:bCs w:val="false"/>
          <w:i w:val="false"/>
          <w:iCs w:val="false"/>
          <w:color w:val="1A1A1A"/>
          <w:sz w:val="21"/>
          <w:szCs w:val="21"/>
        </w:rPr>
        <w:t xml:space="preserve"> itself: at ~6% today it is modest by conglomerate standards, but it can widen on complexity or capital-allocation concerns as easily as it can narrow on crystallisation. We sensitise the first and third together on the grid in §1.9, and the second in real observable units below.</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Swing in real units — the O2C margin. Rather than an abstract EBITDA-margin percentage, we sensitise O2C on its observable drivers: the refining gross margin in $/bbl and the polymer-to-feedstock delta in $/t. The table shows the approximate ₹/share impact at the group level of moving each from our mid-cycle base.</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4080"/>
        <w:gridCol w:w="3000"/>
        <w:gridCol w:w="3000"/>
      </w:tblGrid>
      <w:tr>
        <w:trPr>
          <w:tblHeader/>
        </w:trPr>
        <w:tc>
          <w:tcPr>
            <w:tcW w:type="dxa" w:w="40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O2C driver (observable unit)</w:t>
            </w:r>
          </w:p>
        </w:tc>
        <w:tc>
          <w:tcPr>
            <w:tcW w:type="dxa" w:w="30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Bear / Base / Bull</w:t>
            </w:r>
          </w:p>
        </w:tc>
        <w:tc>
          <w:tcPr>
            <w:tcW w:type="dxa" w:w="30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 ₹/share swing (group)</w:t>
            </w:r>
          </w:p>
        </w:tc>
      </w:tr>
      <w:tr>
        <w:tc>
          <w:tcPr>
            <w:tcW w:type="dxa" w:w="4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Refining GRM ($/bbl)</w:t>
            </w:r>
          </w:p>
        </w:tc>
        <w:tc>
          <w:tcPr>
            <w:tcW w:type="dxa" w:w="30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7.5 / 9.5 / 11.5</w:t>
            </w:r>
          </w:p>
        </w:tc>
        <w:tc>
          <w:tcPr>
            <w:tcW w:type="dxa" w:w="30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−48 / base / +48</w:t>
            </w:r>
          </w:p>
        </w:tc>
      </w:tr>
      <w:tr>
        <w:tc>
          <w:tcPr>
            <w:tcW w:type="dxa" w:w="40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Polymer–naphtha delta ($/t)</w:t>
            </w:r>
          </w:p>
        </w:tc>
        <w:tc>
          <w:tcPr>
            <w:tcW w:type="dxa" w:w="30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380 / 460 / 540</w:t>
            </w:r>
          </w:p>
        </w:tc>
        <w:tc>
          <w:tcPr>
            <w:tcW w:type="dxa" w:w="30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−30 / base / +30</w:t>
            </w:r>
          </w:p>
        </w:tc>
      </w:tr>
      <w:tr>
        <w:tc>
          <w:tcPr>
            <w:tcW w:type="dxa" w:w="4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O2C EV/EBITDA (×)</w:t>
            </w:r>
          </w:p>
        </w:tc>
        <w:tc>
          <w:tcPr>
            <w:tcW w:type="dxa" w:w="30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6.0 / 7.0 / 8.0</w:t>
            </w:r>
          </w:p>
        </w:tc>
        <w:tc>
          <w:tcPr>
            <w:tcW w:type="dxa" w:w="30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−62 / base / +62</w:t>
            </w:r>
          </w:p>
        </w:tc>
      </w:tr>
    </w:tbl>
    <w:p>
      <w:pPr>
        <w:keepNext w:val="false"/>
        <w:spacing w:after="120" w:before="0" w:line="264"/>
        <w:jc w:val="left"/>
      </w:pPr>
      <w:r>
        <w:rPr>
          <w:rFonts w:ascii="Calibri" w:cs="Calibri" w:eastAsia="Calibri" w:hAnsi="Calibri"/>
          <w:b w:val="false"/>
          <w:bCs w:val="false"/>
          <w:i w:val="false"/>
          <w:iCs w:val="false"/>
          <w:color w:val="1A1A1A"/>
          <w:sz w:val="21"/>
          <w:szCs w:val="21"/>
        </w:rPr>
        <w:t xml:space="preserve">Swing in real units — the Jio mark. Because Jio is the single largest value block and the IPO is the catalyst, the crux table below re-prices the group across the Jio EV/EBITDA multiple, holding the other parts at base. This is the same axis carried into the §1.9 grid.</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360"/>
        <w:gridCol w:w="3360"/>
        <w:gridCol w:w="3360"/>
      </w:tblGrid>
      <w:tr>
        <w:trPr>
          <w:tblHeader/>
        </w:trPr>
        <w:tc>
          <w:tcPr>
            <w:tcW w:type="dxa" w:w="336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Jio EV/EBITDA</w:t>
            </w:r>
          </w:p>
        </w:tc>
        <w:tc>
          <w:tcPr>
            <w:tcW w:type="dxa" w:w="336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Implied Jio EV (₹ cr)</w:t>
            </w:r>
          </w:p>
        </w:tc>
        <w:tc>
          <w:tcPr>
            <w:tcW w:type="dxa" w:w="336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Group SOTP (₹/share, post-discount)</w:t>
            </w:r>
          </w:p>
        </w:tc>
      </w:tr>
      <w:tr>
        <w:tc>
          <w:tcPr>
            <w:tcW w:type="dxa" w:w="336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11.0×</w:t>
            </w:r>
          </w:p>
        </w:tc>
        <w:tc>
          <w:tcPr>
            <w:tcW w:type="dxa" w:w="33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8,38,805</w:t>
            </w:r>
          </w:p>
        </w:tc>
        <w:tc>
          <w:tcPr>
            <w:tcW w:type="dxa" w:w="33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1,229</w:t>
            </w:r>
          </w:p>
        </w:tc>
      </w:tr>
      <w:tr>
        <w:tc>
          <w:tcPr>
            <w:tcW w:type="dxa" w:w="336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12.5×</w:t>
            </w:r>
          </w:p>
        </w:tc>
        <w:tc>
          <w:tcPr>
            <w:tcW w:type="dxa" w:w="33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9,53,188</w:t>
            </w:r>
          </w:p>
        </w:tc>
        <w:tc>
          <w:tcPr>
            <w:tcW w:type="dxa" w:w="33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1,300</w:t>
            </w:r>
          </w:p>
        </w:tc>
      </w:tr>
      <w:tr>
        <w:tc>
          <w:tcPr>
            <w:tcW w:type="dxa" w:w="336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13.5×</w:t>
            </w:r>
          </w:p>
        </w:tc>
        <w:tc>
          <w:tcPr>
            <w:tcW w:type="dxa" w:w="33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10,29,443</w:t>
            </w:r>
          </w:p>
        </w:tc>
        <w:tc>
          <w:tcPr>
            <w:tcW w:type="dxa" w:w="33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1,342</w:t>
            </w:r>
          </w:p>
        </w:tc>
      </w:tr>
      <w:tr>
        <w:tc>
          <w:tcPr>
            <w:tcW w:type="dxa" w:w="336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15.0×</w:t>
            </w:r>
          </w:p>
        </w:tc>
        <w:tc>
          <w:tcPr>
            <w:tcW w:type="dxa" w:w="33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11,43,825</w:t>
            </w:r>
          </w:p>
        </w:tc>
        <w:tc>
          <w:tcPr>
            <w:tcW w:type="dxa" w:w="336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1,414</w:t>
            </w:r>
          </w:p>
        </w:tc>
      </w:tr>
      <w:tr>
        <w:tc>
          <w:tcPr>
            <w:tcW w:type="dxa" w:w="336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16.0×</w:t>
            </w:r>
          </w:p>
        </w:tc>
        <w:tc>
          <w:tcPr>
            <w:tcW w:type="dxa" w:w="33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12,20,080</w:t>
            </w:r>
          </w:p>
        </w:tc>
        <w:tc>
          <w:tcPr>
            <w:tcW w:type="dxa" w:w="336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1,461</w:t>
            </w:r>
          </w:p>
        </w:tc>
      </w:tr>
    </w:tbl>
    <w:p>
      <w:pPr>
        <w:pStyle w:val="Heading2"/>
        <w:spacing w:after="100" w:before="200"/>
      </w:pPr>
      <w:r>
        <w:rPr>
          <w:rFonts w:ascii="Calibri" w:cs="Calibri" w:eastAsia="Calibri" w:hAnsi="Calibri"/>
          <w:b/>
          <w:bCs/>
          <w:color w:val="2A8F8F"/>
          <w:sz w:val="25"/>
          <w:szCs w:val="25"/>
        </w:rPr>
        <w:t xml:space="preserve">1.8  Macro and country — India, crude, the rupee and rates</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Reliance is a domestic-demand compounder wrapped around a globally-priced commodity core. </w:t>
      </w:r>
      <w:r>
        <w:rPr>
          <w:rFonts w:ascii="Calibri" w:cs="Calibri" w:eastAsia="Calibri" w:hAnsi="Calibri"/>
          <w:b/>
          <w:bCs/>
          <w:i w:val="false"/>
          <w:iCs w:val="false"/>
          <w:color w:val="1A1A1A"/>
          <w:sz w:val="21"/>
          <w:szCs w:val="21"/>
        </w:rPr>
        <w:t xml:space="preserve">Crude and refining spreads</w:t>
      </w:r>
      <w:r>
        <w:rPr>
          <w:rFonts w:ascii="Calibri" w:cs="Calibri" w:eastAsia="Calibri" w:hAnsi="Calibri"/>
          <w:b w:val="false"/>
          <w:bCs w:val="false"/>
          <w:i w:val="false"/>
          <w:iCs w:val="false"/>
          <w:color w:val="1A1A1A"/>
          <w:sz w:val="21"/>
          <w:szCs w:val="21"/>
        </w:rPr>
        <w:t xml:space="preserve"> set O2C's earnings: Reliance is a complex refiner that generally benefits from wide light-heavy and product cracks, but a sharp crude spike compresses marketing margins and lifts feedstock cost. </w:t>
      </w:r>
      <w:r>
        <w:rPr>
          <w:rFonts w:ascii="Calibri" w:cs="Calibri" w:eastAsia="Calibri" w:hAnsi="Calibri"/>
          <w:b/>
          <w:bCs/>
          <w:i w:val="false"/>
          <w:iCs w:val="false"/>
          <w:color w:val="1A1A1A"/>
          <w:sz w:val="21"/>
          <w:szCs w:val="21"/>
        </w:rPr>
        <w:t xml:space="preserve">The rupee</w:t>
      </w:r>
      <w:r>
        <w:rPr>
          <w:rFonts w:ascii="Calibri" w:cs="Calibri" w:eastAsia="Calibri" w:hAnsi="Calibri"/>
          <w:b w:val="false"/>
          <w:bCs w:val="false"/>
          <w:i w:val="false"/>
          <w:iCs w:val="false"/>
          <w:color w:val="1A1A1A"/>
          <w:sz w:val="21"/>
          <w:szCs w:val="21"/>
        </w:rPr>
        <w:t xml:space="preserve"> cuts both ways — O2C revenue is USD-linked while crude is imported, a partial natural hedge. </w:t>
      </w:r>
      <w:r>
        <w:rPr>
          <w:rFonts w:ascii="Calibri" w:cs="Calibri" w:eastAsia="Calibri" w:hAnsi="Calibri"/>
          <w:b/>
          <w:bCs/>
          <w:i w:val="false"/>
          <w:iCs w:val="false"/>
          <w:color w:val="1A1A1A"/>
          <w:sz w:val="21"/>
          <w:szCs w:val="21"/>
        </w:rPr>
        <w:t xml:space="preserve">India consumption and rates</w:t>
      </w:r>
      <w:r>
        <w:rPr>
          <w:rFonts w:ascii="Calibri" w:cs="Calibri" w:eastAsia="Calibri" w:hAnsi="Calibri"/>
          <w:b w:val="false"/>
          <w:bCs w:val="false"/>
          <w:i w:val="false"/>
          <w:iCs w:val="false"/>
          <w:color w:val="1A1A1A"/>
          <w:sz w:val="21"/>
          <w:szCs w:val="21"/>
        </w:rPr>
        <w:t xml:space="preserve"> drive Jio and Retail: RBI policy easing supports discretionary demand and the discount rate, while telecom tariff moves and quick-commerce competition set the digital/retail trajectory. </w:t>
      </w:r>
      <w:r>
        <w:rPr>
          <w:rFonts w:ascii="Calibri" w:cs="Calibri" w:eastAsia="Calibri" w:hAnsi="Calibri"/>
          <w:b/>
          <w:bCs/>
          <w:i w:val="false"/>
          <w:iCs w:val="false"/>
          <w:color w:val="1A1A1A"/>
          <w:sz w:val="21"/>
          <w:szCs w:val="21"/>
        </w:rPr>
        <w:t xml:space="preserve">Foreign flows</w:t>
      </w:r>
      <w:r>
        <w:rPr>
          <w:rFonts w:ascii="Calibri" w:cs="Calibri" w:eastAsia="Calibri" w:hAnsi="Calibri"/>
          <w:b w:val="false"/>
          <w:bCs w:val="false"/>
          <w:i w:val="false"/>
          <w:iCs w:val="false"/>
          <w:color w:val="1A1A1A"/>
          <w:sz w:val="21"/>
          <w:szCs w:val="21"/>
        </w:rPr>
        <w:t xml:space="preserve"> matter mechanically for a stock this size — a Jio listing and any associated index rebalancing would be a passive-demand event. These macro levers sit behind the bear and bull cases in §1.5 and the catalysts in §5.</w:t>
      </w:r>
    </w:p>
    <w:p>
      <w:pPr>
        <w:pStyle w:val="Heading2"/>
        <w:spacing w:after="100" w:before="200"/>
      </w:pPr>
      <w:r>
        <w:rPr>
          <w:rFonts w:ascii="Calibri" w:cs="Calibri" w:eastAsia="Calibri" w:hAnsi="Calibri"/>
          <w:b/>
          <w:bCs/>
          <w:color w:val="2A8F8F"/>
          <w:sz w:val="25"/>
          <w:szCs w:val="25"/>
        </w:rPr>
        <w:t xml:space="preserve">1.9  SOTP sensitivity — the value-crystallisation grid</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Holding the other parts at base, the table re-prices the SOTP across the two crux inputs: the Jio EV/EBITDA multiple (the crystallisation axis) and the holding-company discount (the wrapper axis). Cells near spot (₹1,321) are the market's implied combination.</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2016"/>
        <w:gridCol w:w="2016"/>
        <w:gridCol w:w="2016"/>
        <w:gridCol w:w="2016"/>
        <w:gridCol w:w="2016"/>
      </w:tblGrid>
      <w:tr>
        <w:trPr>
          <w:tblHeader/>
        </w:trPr>
        <w:tc>
          <w:tcPr>
            <w:tcW w:type="dxa" w:w="2016"/>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Jio × ↓ / Holdco disc →</w:t>
            </w:r>
          </w:p>
        </w:tc>
        <w:tc>
          <w:tcPr>
            <w:tcW w:type="dxa" w:w="2016"/>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0%</w:t>
            </w:r>
          </w:p>
        </w:tc>
        <w:tc>
          <w:tcPr>
            <w:tcW w:type="dxa" w:w="2016"/>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5%</w:t>
            </w:r>
          </w:p>
        </w:tc>
        <w:tc>
          <w:tcPr>
            <w:tcW w:type="dxa" w:w="2016"/>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10%</w:t>
            </w:r>
          </w:p>
        </w:tc>
        <w:tc>
          <w:tcPr>
            <w:tcW w:type="dxa" w:w="2016"/>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12.5%</w:t>
            </w:r>
          </w:p>
        </w:tc>
      </w:tr>
      <w:tr>
        <w:tc>
          <w:tcPr>
            <w:tcW w:type="dxa" w:w="2016"/>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11.0×</w:t>
            </w:r>
          </w:p>
        </w:tc>
        <w:tc>
          <w:tcPr>
            <w:tcW w:type="dxa" w:w="2016"/>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1,293</w:t>
            </w:r>
          </w:p>
        </w:tc>
        <w:tc>
          <w:tcPr>
            <w:tcW w:type="dxa" w:w="2016"/>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1,229</w:t>
            </w:r>
          </w:p>
        </w:tc>
        <w:tc>
          <w:tcPr>
            <w:tcW w:type="dxa" w:w="2016"/>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1,164</w:t>
            </w:r>
          </w:p>
        </w:tc>
        <w:tc>
          <w:tcPr>
            <w:tcW w:type="dxa" w:w="2016"/>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1,132</w:t>
            </w:r>
          </w:p>
        </w:tc>
      </w:tr>
      <w:tr>
        <w:tc>
          <w:tcPr>
            <w:tcW w:type="dxa" w:w="2016"/>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12.5×</w:t>
            </w:r>
          </w:p>
        </w:tc>
        <w:tc>
          <w:tcPr>
            <w:tcW w:type="dxa" w:w="2016"/>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1,368</w:t>
            </w:r>
          </w:p>
        </w:tc>
        <w:tc>
          <w:tcPr>
            <w:tcW w:type="dxa" w:w="2016"/>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1,300</w:t>
            </w:r>
          </w:p>
        </w:tc>
        <w:tc>
          <w:tcPr>
            <w:tcW w:type="dxa" w:w="2016"/>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1,232</w:t>
            </w:r>
          </w:p>
        </w:tc>
        <w:tc>
          <w:tcPr>
            <w:tcW w:type="dxa" w:w="2016"/>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1,198</w:t>
            </w:r>
          </w:p>
        </w:tc>
      </w:tr>
      <w:tr>
        <w:tc>
          <w:tcPr>
            <w:tcW w:type="dxa" w:w="2016"/>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13.5×</w:t>
            </w:r>
          </w:p>
        </w:tc>
        <w:tc>
          <w:tcPr>
            <w:tcW w:type="dxa" w:w="2016"/>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1,412</w:t>
            </w:r>
          </w:p>
        </w:tc>
        <w:tc>
          <w:tcPr>
            <w:tcW w:type="dxa" w:w="2016"/>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1,342</w:t>
            </w:r>
          </w:p>
        </w:tc>
        <w:tc>
          <w:tcPr>
            <w:tcW w:type="dxa" w:w="2016"/>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1,271</w:t>
            </w:r>
          </w:p>
        </w:tc>
        <w:tc>
          <w:tcPr>
            <w:tcW w:type="dxa" w:w="2016"/>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1,236</w:t>
            </w:r>
          </w:p>
        </w:tc>
      </w:tr>
      <w:tr>
        <w:tc>
          <w:tcPr>
            <w:tcW w:type="dxa" w:w="2016"/>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15.0×</w:t>
            </w:r>
          </w:p>
        </w:tc>
        <w:tc>
          <w:tcPr>
            <w:tcW w:type="dxa" w:w="2016"/>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1,488</w:t>
            </w:r>
          </w:p>
        </w:tc>
        <w:tc>
          <w:tcPr>
            <w:tcW w:type="dxa" w:w="2016"/>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1,414</w:t>
            </w:r>
          </w:p>
        </w:tc>
        <w:tc>
          <w:tcPr>
            <w:tcW w:type="dxa" w:w="2016"/>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1,340</w:t>
            </w:r>
          </w:p>
        </w:tc>
        <w:tc>
          <w:tcPr>
            <w:tcW w:type="dxa" w:w="2016"/>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1,303</w:t>
            </w:r>
          </w:p>
        </w:tc>
      </w:tr>
      <w:tr>
        <w:tc>
          <w:tcPr>
            <w:tcW w:type="dxa" w:w="2016"/>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16.0×</w:t>
            </w:r>
          </w:p>
        </w:tc>
        <w:tc>
          <w:tcPr>
            <w:tcW w:type="dxa" w:w="2016"/>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1,539</w:t>
            </w:r>
          </w:p>
        </w:tc>
        <w:tc>
          <w:tcPr>
            <w:tcW w:type="dxa" w:w="2016"/>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1,461</w:t>
            </w:r>
          </w:p>
        </w:tc>
        <w:tc>
          <w:tcPr>
            <w:tcW w:type="dxa" w:w="2016"/>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1,384</w:t>
            </w:r>
          </w:p>
        </w:tc>
        <w:tc>
          <w:tcPr>
            <w:tcW w:type="dxa" w:w="2016"/>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1,346</w:t>
            </w:r>
          </w:p>
        </w:tc>
      </w:tr>
    </w:tbl>
    <w:p>
      <w:pPr>
        <w:spacing w:after="40" w:before="10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95650"/>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4 — SOTP sensitivity to the Jio EV/EBITDA multiple and the holding-company discount (₹/share, post-discount). Cells near spot shaded toward the centre.</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Read it as the bet you are taking: the market price is consistent with roughly a 12.5–13.5× Jio multiple at a 5–10% holdco discount — i.e. a partial, not a full, crystallisation is already priced. A successful IPO at the upper multiple with the discount narrowing is the clean bull path; a widening discount is the clean bear.</w:t>
      </w:r>
    </w:p>
    <w:p>
      <w:pPr>
        <w:pStyle w:val="Heading1"/>
        <w:spacing w:after="130" w:before="260"/>
      </w:pPr>
      <w:r>
        <w:rPr>
          <w:rFonts w:ascii="Calibri" w:cs="Calibri" w:eastAsia="Calibri" w:hAnsi="Calibri"/>
          <w:b/>
          <w:bCs/>
          <w:color w:val="1B5E5E"/>
          <w:sz w:val="30"/>
          <w:szCs w:val="30"/>
        </w:rPr>
        <w:t xml:space="preserve">2  Technical and price structure</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The tape is corrective but stabilising rather than trending down. Reliance has retraced from a January-2026 high near ₹1,600 to the low-₹1,300s; it sits below its 50-, 100- and 200-day moving averages but has reclaimed the 20-day, RSI is neutral in the low-50s, and the MACD histogram has turned positive as the MACD line crosses back above its signal — an early momentum turn off the correction low.</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480"/>
        <w:gridCol w:w="3900"/>
        <w:gridCol w:w="2700"/>
      </w:tblGrid>
      <w:tr>
        <w:trPr>
          <w:tblHeader/>
        </w:trPr>
        <w:tc>
          <w:tcPr>
            <w:tcW w:type="dxa" w:w="34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Indicator</w:t>
            </w:r>
          </w:p>
        </w:tc>
        <w:tc>
          <w:tcPr>
            <w:tcW w:type="dxa" w:w="39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Reading</w:t>
            </w:r>
          </w:p>
        </w:tc>
        <w:tc>
          <w:tcPr>
            <w:tcW w:type="dxa" w:w="27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Signal</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Spot</w:t>
            </w:r>
          </w:p>
        </w:tc>
        <w:tc>
          <w:tcPr>
            <w:tcW w:type="dxa" w:w="3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₹1,321.3</w:t>
            </w:r>
          </w:p>
        </w:tc>
        <w:tc>
          <w:tcPr>
            <w:tcW w:type="dxa" w:w="27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w:t>
            </w:r>
          </w:p>
        </w:tc>
      </w:tr>
      <w:tr>
        <w:tc>
          <w:tcPr>
            <w:tcW w:type="dxa" w:w="3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SMA 20 / 50</w:t>
            </w:r>
          </w:p>
        </w:tc>
        <w:tc>
          <w:tcPr>
            <w:tcW w:type="dxa" w:w="3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₹1,303 / ₹1,341</w:t>
            </w:r>
          </w:p>
        </w:tc>
        <w:tc>
          <w:tcPr>
            <w:tcW w:type="dxa" w:w="27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Above 20, below 50</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SMA 100 / 200</w:t>
            </w:r>
          </w:p>
        </w:tc>
        <w:tc>
          <w:tcPr>
            <w:tcW w:type="dxa" w:w="3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₹1,366 / ₹1,418</w:t>
            </w:r>
          </w:p>
        </w:tc>
        <w:tc>
          <w:tcPr>
            <w:tcW w:type="dxa" w:w="27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Below both — medium-term down</w:t>
            </w:r>
          </w:p>
        </w:tc>
      </w:tr>
      <w:tr>
        <w:tc>
          <w:tcPr>
            <w:tcW w:type="dxa" w:w="3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RSI (14)</w:t>
            </w:r>
          </w:p>
        </w:tc>
        <w:tc>
          <w:tcPr>
            <w:tcW w:type="dxa" w:w="3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51.8</w:t>
            </w:r>
          </w:p>
        </w:tc>
        <w:tc>
          <w:tcPr>
            <w:tcW w:type="dxa" w:w="27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Neutral</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MACD (12,26,9)</w:t>
            </w:r>
          </w:p>
        </w:tc>
        <w:tc>
          <w:tcPr>
            <w:tcW w:type="dxa" w:w="3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−5.90 line / −8.69 signal / +2.79 hist</w:t>
            </w:r>
          </w:p>
        </w:tc>
        <w:tc>
          <w:tcPr>
            <w:tcW w:type="dxa" w:w="27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Turning up (bullish cross)</w:t>
            </w:r>
          </w:p>
        </w:tc>
      </w:tr>
      <w:tr>
        <w:tc>
          <w:tcPr>
            <w:tcW w:type="dxa" w:w="3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52-week range</w:t>
            </w:r>
          </w:p>
        </w:tc>
        <w:tc>
          <w:tcPr>
            <w:tcW w:type="dxa" w:w="39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₹1,258.8 – ₹1,592.3</w:t>
            </w:r>
          </w:p>
        </w:tc>
        <w:tc>
          <w:tcPr>
            <w:tcW w:type="dxa" w:w="27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Lower third of range</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Realized vol (252d)</w:t>
            </w:r>
          </w:p>
        </w:tc>
        <w:tc>
          <w:tcPr>
            <w:tcW w:type="dxa" w:w="39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21.0%</w:t>
            </w:r>
          </w:p>
        </w:tc>
        <w:tc>
          <w:tcPr>
            <w:tcW w:type="dxa" w:w="27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Moderate</w:t>
            </w:r>
          </w:p>
        </w:tc>
      </w:tr>
    </w:tbl>
    <w:p>
      <w:pPr>
        <w:spacing w:after="40" w:before="10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62300"/>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5 — Price versus the moving-average stack, last 260 sessions.</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For the probabilistic work this matters in one way: a tape that has stopped falling and is turning up off a correction low reduces the near-term downside skew that a still-falling chart would imply, without adding any upward trend drift to the simulation (see §3). The technical and fundamental pictures are, for once, broadly aligned — both modestly constructive — and §6 reads the resulting probability zones.</w:t>
      </w:r>
    </w:p>
    <w:p>
      <w:pPr>
        <w:pStyle w:val="Heading1"/>
        <w:spacing w:after="130" w:before="260"/>
      </w:pPr>
      <w:r>
        <w:rPr>
          <w:rFonts w:ascii="Calibri" w:cs="Calibri" w:eastAsia="Calibri" w:hAnsi="Calibri"/>
          <w:b/>
          <w:bCs/>
          <w:color w:val="1B5E5E"/>
          <w:sz w:val="30"/>
          <w:szCs w:val="30"/>
        </w:rPr>
        <w:t xml:space="preserve">3  Monte Carlo — a probabilistic price map</w:t>
      </w:r>
    </w:p>
    <w:p>
      <w:pPr>
        <w:keepNext w:val="false"/>
        <w:spacing w:after="120" w:before="0" w:line="264"/>
        <w:jc w:val="left"/>
      </w:pPr>
      <w:r>
        <w:rPr>
          <w:rFonts w:ascii="Calibri" w:cs="Calibri" w:eastAsia="Calibri" w:hAnsi="Calibri"/>
          <w:b/>
          <w:bCs/>
          <w:i w:val="false"/>
          <w:iCs w:val="false"/>
          <w:color w:val="1A1A1A"/>
          <w:sz w:val="21"/>
          <w:szCs w:val="21"/>
        </w:rPr>
        <w:t xml:space="preserve">Reading the distribution first.  </w:t>
      </w:r>
      <w:r>
        <w:rPr>
          <w:rFonts w:ascii="Calibri" w:cs="Calibri" w:eastAsia="Calibri" w:hAnsi="Calibri"/>
          <w:b w:val="false"/>
          <w:bCs w:val="false"/>
          <w:i w:val="false"/>
          <w:iCs w:val="false"/>
          <w:color w:val="1A1A1A"/>
          <w:sz w:val="21"/>
          <w:szCs w:val="21"/>
        </w:rPr>
        <w:t xml:space="preserve">Before the mechanics, the five-row probability read below summarises the same 50,000 three-month paths the fan chart uses — the direction and skew already in the distribution, computed after simulation. It is presentation-only: it never feeds the drift or the width and leaves the calibration mathematically unchanged.</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5040"/>
        <w:gridCol w:w="5040"/>
      </w:tblGrid>
      <w:tr>
        <w:trPr>
          <w:tblHeader/>
        </w:trPr>
        <w:tc>
          <w:tcPr>
            <w:tcW w:type="dxa" w:w="504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Probability read (T+60)</w:t>
            </w:r>
          </w:p>
        </w:tc>
        <w:tc>
          <w:tcPr>
            <w:tcW w:type="dxa" w:w="504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Value</w:t>
            </w:r>
          </w:p>
        </w:tc>
      </w:tr>
      <w:tr>
        <w:tc>
          <w:tcPr>
            <w:tcW w:type="dxa" w:w="504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P(price above spot)</w:t>
            </w:r>
          </w:p>
        </w:tc>
        <w:tc>
          <w:tcPr>
            <w:tcW w:type="dxa" w:w="504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57%</w:t>
            </w:r>
          </w:p>
        </w:tc>
      </w:tr>
      <w:tr>
        <w:tc>
          <w:tcPr>
            <w:tcW w:type="dxa" w:w="504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P(+10%) vs P(−10%)  ·  odds</w:t>
            </w:r>
          </w:p>
        </w:tc>
        <w:tc>
          <w:tcPr>
            <w:tcW w:type="dxa" w:w="504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29% vs 17%  ·  1.70×</w:t>
            </w:r>
          </w:p>
        </w:tc>
      </w:tr>
      <w:tr>
        <w:tc>
          <w:tcPr>
            <w:tcW w:type="dxa" w:w="504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Median level  ·  % move</w:t>
            </w:r>
          </w:p>
        </w:tc>
        <w:tc>
          <w:tcPr>
            <w:tcW w:type="dxa" w:w="504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₹1,351  ·  +2.3%</w:t>
            </w:r>
          </w:p>
        </w:tc>
      </w:tr>
      <w:tr>
        <w:tc>
          <w:tcPr>
            <w:tcW w:type="dxa" w:w="504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50% band (25th–75th)  ·  as % of spot</w:t>
            </w:r>
          </w:p>
        </w:tc>
        <w:tc>
          <w:tcPr>
            <w:tcW w:type="dxa" w:w="504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₹1,235 – ₹1,478  ·  18.4%</w:t>
            </w:r>
          </w:p>
        </w:tc>
      </w:tr>
      <w:tr>
        <w:tc>
          <w:tcPr>
            <w:tcW w:type="dxa" w:w="504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Touch(+10%) / Touch(−10%)</w:t>
            </w:r>
          </w:p>
        </w:tc>
        <w:tc>
          <w:tcPr>
            <w:tcW w:type="dxa" w:w="504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48% / 33%</w:t>
            </w:r>
          </w:p>
        </w:tc>
      </w:tr>
    </w:tbl>
    <w:p>
      <w:pPr>
        <w:keepNext w:val="false"/>
        <w:spacing w:after="120" w:before="0" w:line="264"/>
        <w:jc w:val="left"/>
      </w:pPr>
      <w:r>
        <w:rPr>
          <w:rFonts w:ascii="Calibri" w:cs="Calibri" w:eastAsia="Calibri" w:hAnsi="Calibri"/>
          <w:b w:val="false"/>
          <w:bCs w:val="false"/>
          <w:i w:val="false"/>
          <w:iCs w:val="false"/>
          <w:color w:val="1A1A1A"/>
          <w:sz w:val="21"/>
          <w:szCs w:val="21"/>
        </w:rPr>
        <w:t xml:space="preserve">The read is mildly constructive and honestly so: a small majority of paths finish above spot, the upside/downside odds tilt ~1.7:1, and the median sits ~2% above spot. That tilt is not a manufactured trend — as an international (non-EGX) name the path drift is set to zero — it is the net of the factor stack below (a filed Jio IPO and Q1 results as the main positive discrete events, geopolitical/crude and regulatory drags as the negatives) plus the right-skew that a lognormal diffusion naturally carries.</w:t>
      </w:r>
    </w:p>
    <w:p>
      <w:pPr>
        <w:keepNext w:val="false"/>
        <w:spacing w:after="120" w:before="0" w:line="264"/>
        <w:jc w:val="left"/>
      </w:pPr>
      <w:r>
        <w:rPr>
          <w:rFonts w:ascii="Calibri" w:cs="Calibri" w:eastAsia="Calibri" w:hAnsi="Calibri"/>
          <w:b/>
          <w:bCs/>
          <w:i w:val="false"/>
          <w:iCs w:val="false"/>
          <w:color w:val="1A1A1A"/>
          <w:sz w:val="21"/>
          <w:szCs w:val="21"/>
        </w:rPr>
        <w:t xml:space="preserve">Mechanics.  </w:t>
      </w:r>
      <w:r>
        <w:rPr>
          <w:rFonts w:ascii="Calibri" w:cs="Calibri" w:eastAsia="Calibri" w:hAnsi="Calibri"/>
          <w:b w:val="false"/>
          <w:bCs w:val="false"/>
          <w:i w:val="false"/>
          <w:iCs w:val="false"/>
          <w:color w:val="1A1A1A"/>
          <w:sz w:val="21"/>
          <w:szCs w:val="21"/>
        </w:rPr>
        <w:t xml:space="preserve">We simulate 50,000 three-month price paths (seed 42) using a sixteen-factor stack: seven continuous macro/operating drivers contributing a small net forward drift, and nine discrete events that each fire with a probability and an impact. </w:t>
      </w:r>
      <w:r>
        <w:rPr>
          <w:rFonts w:ascii="Calibri" w:cs="Calibri" w:eastAsia="Calibri" w:hAnsi="Calibri"/>
          <w:b/>
          <w:bCs/>
          <w:i w:val="false"/>
          <w:iCs w:val="false"/>
          <w:color w:val="1A1A1A"/>
          <w:sz w:val="21"/>
          <w:szCs w:val="21"/>
        </w:rPr>
        <w:t xml:space="preserve">By design the paths diffuse from spot, and the §1 value gap is kept out of the drift</w:t>
      </w:r>
      <w:r>
        <w:rPr>
          <w:rFonts w:ascii="Calibri" w:cs="Calibri" w:eastAsia="Calibri" w:hAnsi="Calibri"/>
          <w:b w:val="false"/>
          <w:bCs w:val="false"/>
          <w:i w:val="false"/>
          <w:iCs w:val="false"/>
          <w:color w:val="1A1A1A"/>
          <w:sz w:val="21"/>
          <w:szCs w:val="21"/>
        </w:rPr>
        <w:t xml:space="preserve"> — the fundamental NAV gap lives in §1, not here; §3 maps where price could go from today, not where value sits. Diffusion volatility is sized by a pooled log-HAR variance cascade (variance lags 1/5/22) built on a gap-aware Yang-Zhang proxy from the OHLC, projecting the average daily variance over the next 60 sessions — regime-conditional by construction, tight in calm tape and wide in storm (annualized ≈25.0%). Innovations are unit-variance Student-t(5), implemented as a per-path chi-square variance mixture so the 60-day aggregate is exactly unit-variance t5 — a tighter interquartile body with honest tails. As an international name the secular drift is zero; the sixteen factors layer on top of that diffusion.</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400"/>
        <w:gridCol w:w="900"/>
        <w:gridCol w:w="3080"/>
        <w:gridCol w:w="900"/>
        <w:gridCol w:w="1800"/>
      </w:tblGrid>
      <w:tr>
        <w:trPr>
          <w:tblHeader/>
        </w:trPr>
        <w:tc>
          <w:tcPr>
            <w:tcW w:type="dxa" w:w="340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Continuous factor (7)</w:t>
            </w:r>
          </w:p>
        </w:tc>
        <w:tc>
          <w:tcPr>
            <w:tcW w:type="dxa" w:w="9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Dir.</w:t>
            </w:r>
          </w:p>
        </w:tc>
        <w:tc>
          <w:tcPr>
            <w:tcW w:type="dxa" w:w="30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Discrete event (9)</w:t>
            </w:r>
          </w:p>
        </w:tc>
        <w:tc>
          <w:tcPr>
            <w:tcW w:type="dxa" w:w="9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Prob.</w:t>
            </w:r>
          </w:p>
        </w:tc>
        <w:tc>
          <w:tcPr>
            <w:tcW w:type="dxa" w:w="18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Mean impact</w:t>
            </w:r>
          </w:p>
        </w:tc>
      </w:tr>
      <w:tr>
        <w:tc>
          <w:tcPr>
            <w:tcW w:type="dxa" w:w="34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Jio ARPU / 5G-broadband monetisation</w:t>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w:t>
            </w:r>
          </w:p>
        </w:tc>
        <w:tc>
          <w:tcPr>
            <w:tcW w:type="dxa" w:w="3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Jio IPO listing / value crystallisation</w:t>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55%</w:t>
            </w:r>
          </w:p>
        </w:tc>
        <w:tc>
          <w:tcPr>
            <w:tcW w:type="dxa" w:w="18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+3.0%</w:t>
            </w:r>
          </w:p>
        </w:tc>
      </w:tr>
      <w:tr>
        <w:tc>
          <w:tcPr>
            <w:tcW w:type="dxa" w:w="34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O2C GRM &amp; petrochemical spreads</w:t>
            </w:r>
          </w:p>
        </w:tc>
        <w:tc>
          <w:tcPr>
            <w:tcW w:type="dxa" w:w="900"/>
            <w:shd w:fill="F6F8F8"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w:t>
            </w:r>
          </w:p>
        </w:tc>
        <w:tc>
          <w:tcPr>
            <w:tcW w:type="dxa" w:w="30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Q1 FY27 results (late-Jul)</w:t>
            </w:r>
          </w:p>
        </w:tc>
        <w:tc>
          <w:tcPr>
            <w:tcW w:type="dxa" w:w="900"/>
            <w:shd w:fill="F6F8F8"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85%</w:t>
            </w:r>
          </w:p>
        </w:tc>
        <w:tc>
          <w:tcPr>
            <w:tcW w:type="dxa" w:w="18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+0.4%</w:t>
            </w:r>
          </w:p>
        </w:tc>
      </w:tr>
      <w:tr>
        <w:tc>
          <w:tcPr>
            <w:tcW w:type="dxa" w:w="34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Reliance Retail growth / q-commerce</w:t>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w:t>
            </w:r>
          </w:p>
        </w:tc>
        <w:tc>
          <w:tcPr>
            <w:tcW w:type="dxa" w:w="3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O2C margin swing (GRM/petchem cycle)</w:t>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40%</w:t>
            </w:r>
          </w:p>
        </w:tc>
        <w:tc>
          <w:tcPr>
            <w:tcW w:type="dxa" w:w="18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w:t>
            </w:r>
          </w:p>
        </w:tc>
      </w:tr>
      <w:tr>
        <w:tc>
          <w:tcPr>
            <w:tcW w:type="dxa" w:w="34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India consumption &amp; Nifty / flows</w:t>
            </w:r>
          </w:p>
        </w:tc>
        <w:tc>
          <w:tcPr>
            <w:tcW w:type="dxa" w:w="900"/>
            <w:shd w:fill="F6F8F8"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w:t>
            </w:r>
          </w:p>
        </w:tc>
        <w:tc>
          <w:tcPr>
            <w:tcW w:type="dxa" w:w="30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New Energy giga-factory milestone</w:t>
            </w:r>
          </w:p>
        </w:tc>
        <w:tc>
          <w:tcPr>
            <w:tcW w:type="dxa" w:w="900"/>
            <w:shd w:fill="F6F8F8"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35%</w:t>
            </w:r>
          </w:p>
        </w:tc>
        <w:tc>
          <w:tcPr>
            <w:tcW w:type="dxa" w:w="18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w:t>
            </w:r>
          </w:p>
        </w:tc>
      </w:tr>
      <w:tr>
        <w:tc>
          <w:tcPr>
            <w:tcW w:type="dxa" w:w="34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Crude / Brent</w:t>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w:t>
            </w:r>
          </w:p>
        </w:tc>
        <w:tc>
          <w:tcPr>
            <w:tcW w:type="dxa" w:w="3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Reliance Retail listing / unlock signal</w:t>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25%</w:t>
            </w:r>
          </w:p>
        </w:tc>
        <w:tc>
          <w:tcPr>
            <w:tcW w:type="dxa" w:w="18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w:t>
            </w:r>
          </w:p>
        </w:tc>
      </w:tr>
      <w:tr>
        <w:tc>
          <w:tcPr>
            <w:tcW w:type="dxa" w:w="34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USD/INR</w:t>
            </w:r>
          </w:p>
        </w:tc>
        <w:tc>
          <w:tcPr>
            <w:tcW w:type="dxa" w:w="900"/>
            <w:shd w:fill="F6F8F8"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w:t>
            </w:r>
          </w:p>
        </w:tc>
        <w:tc>
          <w:tcPr>
            <w:tcW w:type="dxa" w:w="30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Geopolitical / crude-spike shock</w:t>
            </w:r>
          </w:p>
        </w:tc>
        <w:tc>
          <w:tcPr>
            <w:tcW w:type="dxa" w:w="900"/>
            <w:shd w:fill="F6F8F8"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25%</w:t>
            </w:r>
          </w:p>
        </w:tc>
        <w:tc>
          <w:tcPr>
            <w:tcW w:type="dxa" w:w="18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−3.0%</w:t>
            </w:r>
          </w:p>
        </w:tc>
      </w:tr>
      <w:tr>
        <w:tc>
          <w:tcPr>
            <w:tcW w:type="dxa" w:w="34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India rate path (RBI)</w:t>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w:t>
            </w:r>
          </w:p>
        </w:tc>
        <w:tc>
          <w:tcPr>
            <w:tcW w:type="dxa" w:w="3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Regulatory drag (telecom/fuel levies)</w:t>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30%</w:t>
            </w:r>
          </w:p>
        </w:tc>
        <w:tc>
          <w:tcPr>
            <w:tcW w:type="dxa" w:w="18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w:t>
            </w:r>
          </w:p>
        </w:tc>
      </w:tr>
      <w:tr>
        <w:tc>
          <w:tcPr>
            <w:tcW w:type="dxa" w:w="34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w:r>
          </w:p>
        </w:tc>
        <w:tc>
          <w:tcPr>
            <w:tcW w:type="dxa" w:w="900"/>
            <w:shd w:fill="F6F8F8"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
            </w:r>
          </w:p>
        </w:tc>
        <w:tc>
          <w:tcPr>
            <w:tcW w:type="dxa" w:w="30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Index / flow rebalancing</w:t>
            </w:r>
          </w:p>
        </w:tc>
        <w:tc>
          <w:tcPr>
            <w:tcW w:type="dxa" w:w="900"/>
            <w:shd w:fill="F6F8F8"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30%</w:t>
            </w:r>
          </w:p>
        </w:tc>
        <w:tc>
          <w:tcPr>
            <w:tcW w:type="dxa" w:w="18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w:t>
            </w:r>
          </w:p>
        </w:tc>
      </w:tr>
      <w:tr>
        <w:tc>
          <w:tcPr>
            <w:tcW w:type="dxa" w:w="34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
            </w:r>
          </w:p>
        </w:tc>
        <w:tc>
          <w:tcPr>
            <w:tcW w:type="dxa" w:w="3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Capital return / dividend / debt action</w:t>
            </w:r>
          </w:p>
        </w:tc>
        <w:tc>
          <w:tcPr>
            <w:tcW w:type="dxa" w:w="900"/>
            <w:shd w:fill="FFFFFF" w:color="auto" w:val="clear"/>
            <w:tcMar>
              <w:top w:type="dxa" w:w="30"/>
              <w:left w:type="dxa" w:w="70"/>
              <w:bottom w:type="dxa" w:w="30"/>
              <w:right w:type="dxa" w:w="70"/>
            </w:tcMar>
            <w:vAlign w:val="center"/>
          </w:tcPr>
          <w:p>
            <w:pPr>
              <w:spacing w:after="0" w:before="0" w:line="240"/>
              <w:jc w:val="center"/>
            </w:pPr>
            <w:r>
              <w:rPr>
                <w:rFonts w:ascii="Calibri" w:cs="Calibri" w:eastAsia="Calibri" w:hAnsi="Calibri"/>
                <w:b w:val="false"/>
                <w:bCs w:val="false"/>
                <w:color w:val="1A1A1A"/>
                <w:sz w:val="19"/>
                <w:szCs w:val="19"/>
              </w:rPr>
              <w:t xml:space="preserve">25%</w:t>
            </w:r>
          </w:p>
        </w:tc>
        <w:tc>
          <w:tcPr>
            <w:tcW w:type="dxa" w:w="18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w:t>
            </w:r>
          </w:p>
        </w:tc>
      </w:tr>
    </w:tbl>
    <w:p>
      <w:pPr>
        <w:keepNext w:val="false"/>
        <w:spacing w:after="60" w:before="0" w:line="264"/>
        <w:jc w:val="left"/>
      </w:pPr>
      <w:r>
        <w:rPr>
          <w:rFonts w:ascii="Calibri" w:cs="Calibri" w:eastAsia="Calibri" w:hAnsi="Calibri"/>
          <w:b w:val="false"/>
          <w:bCs w:val="false"/>
          <w:i w:val="false"/>
          <w:iCs w:val="false"/>
          <w:color w:val="1A1A1A"/>
          <w:sz w:val="21"/>
          <w:szCs w:val="21"/>
        </w:rPr>
        <w:t xml:space="preserve">Percentile map (₹/share):</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080"/>
        <w:gridCol w:w="1400"/>
        <w:gridCol w:w="1400"/>
        <w:gridCol w:w="1400"/>
        <w:gridCol w:w="1400"/>
        <w:gridCol w:w="1400"/>
      </w:tblGrid>
      <w:tr>
        <w:trPr>
          <w:tblHeader/>
        </w:trPr>
        <w:tc>
          <w:tcPr>
            <w:tcW w:type="dxa" w:w="30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Horizon</w:t>
            </w:r>
          </w:p>
        </w:tc>
        <w:tc>
          <w:tcPr>
            <w:tcW w:type="dxa" w:w="14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p5</w:t>
            </w:r>
          </w:p>
        </w:tc>
        <w:tc>
          <w:tcPr>
            <w:tcW w:type="dxa" w:w="14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p25</w:t>
            </w:r>
          </w:p>
        </w:tc>
        <w:tc>
          <w:tcPr>
            <w:tcW w:type="dxa" w:w="14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p50</w:t>
            </w:r>
          </w:p>
        </w:tc>
        <w:tc>
          <w:tcPr>
            <w:tcW w:type="dxa" w:w="14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p75</w:t>
            </w:r>
          </w:p>
        </w:tc>
        <w:tc>
          <w:tcPr>
            <w:tcW w:type="dxa" w:w="14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p95</w:t>
            </w:r>
          </w:p>
        </w:tc>
      </w:tr>
      <w:tr>
        <w:tc>
          <w:tcPr>
            <w:tcW w:type="dxa" w:w="3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T+20 sessions</w:t>
            </w:r>
          </w:p>
        </w:tc>
        <w:tc>
          <w:tcPr>
            <w:tcW w:type="dxa" w:w="1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1,160</w:t>
            </w:r>
          </w:p>
        </w:tc>
        <w:tc>
          <w:tcPr>
            <w:tcW w:type="dxa" w:w="1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1,266</w:t>
            </w:r>
          </w:p>
        </w:tc>
        <w:tc>
          <w:tcPr>
            <w:tcW w:type="dxa" w:w="1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1,331</w:t>
            </w:r>
          </w:p>
        </w:tc>
        <w:tc>
          <w:tcPr>
            <w:tcW w:type="dxa" w:w="1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1,400</w:t>
            </w:r>
          </w:p>
        </w:tc>
        <w:tc>
          <w:tcPr>
            <w:tcW w:type="dxa" w:w="1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1,526</w:t>
            </w:r>
          </w:p>
        </w:tc>
      </w:tr>
      <w:tr>
        <w:tc>
          <w:tcPr>
            <w:tcW w:type="dxa" w:w="30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T+60 sessions</w:t>
            </w:r>
          </w:p>
        </w:tc>
        <w:tc>
          <w:tcPr>
            <w:tcW w:type="dxa" w:w="1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1,067</w:t>
            </w:r>
          </w:p>
        </w:tc>
        <w:tc>
          <w:tcPr>
            <w:tcW w:type="dxa" w:w="1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1,235</w:t>
            </w:r>
          </w:p>
        </w:tc>
        <w:tc>
          <w:tcPr>
            <w:tcW w:type="dxa" w:w="1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1,351</w:t>
            </w:r>
          </w:p>
        </w:tc>
        <w:tc>
          <w:tcPr>
            <w:tcW w:type="dxa" w:w="1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1,478</w:t>
            </w:r>
          </w:p>
        </w:tc>
        <w:tc>
          <w:tcPr>
            <w:tcW w:type="dxa" w:w="1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1,707</w:t>
            </w:r>
          </w:p>
        </w:tc>
      </w:tr>
    </w:tbl>
    <w:p>
      <w:pPr>
        <w:spacing w:after="40" w:before="10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14675"/>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6 — Forward price cone to T+60. The 50% interquartile band and the median are led; the gold dotted line marks the ₹1,395 fundamental central value, above the median.</w:t>
      </w:r>
    </w:p>
    <w:p>
      <w:pPr>
        <w:spacing w:after="4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47975"/>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7 — Price distribution at T+20.</w:t>
      </w:r>
    </w:p>
    <w:p>
      <w:pPr>
        <w:spacing w:after="4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47975"/>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8 — Price distribution at T+60.</w:t>
      </w:r>
    </w:p>
    <w:p>
      <w:pPr>
        <w:keepNext w:val="false"/>
        <w:spacing w:after="60" w:before="0" w:line="264"/>
        <w:jc w:val="left"/>
      </w:pPr>
      <w:r>
        <w:rPr>
          <w:rFonts w:ascii="Calibri" w:cs="Calibri" w:eastAsia="Calibri" w:hAnsi="Calibri"/>
          <w:b w:val="false"/>
          <w:bCs w:val="false"/>
          <w:i w:val="false"/>
          <w:iCs w:val="false"/>
          <w:color w:val="1A1A1A"/>
          <w:sz w:val="21"/>
          <w:szCs w:val="21"/>
        </w:rPr>
        <w:t xml:space="preserve">Level-touch ladder — the probability that price touches a level at any point by the horizon (running max for upside, running min for downside):</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2680"/>
        <w:gridCol w:w="2400"/>
        <w:gridCol w:w="2400"/>
        <w:gridCol w:w="2600"/>
      </w:tblGrid>
      <w:tr>
        <w:trPr>
          <w:tblHeader/>
        </w:trPr>
        <w:tc>
          <w:tcPr>
            <w:tcW w:type="dxa" w:w="26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Level</w:t>
            </w:r>
          </w:p>
        </w:tc>
        <w:tc>
          <w:tcPr>
            <w:tcW w:type="dxa" w:w="24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T+20 touch</w:t>
            </w:r>
          </w:p>
        </w:tc>
        <w:tc>
          <w:tcPr>
            <w:tcW w:type="dxa" w:w="24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T+60 touch</w:t>
            </w:r>
          </w:p>
        </w:tc>
        <w:tc>
          <w:tcPr>
            <w:tcW w:type="dxa" w:w="26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Note</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₹1,550</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25%</w:t>
            </w:r>
          </w:p>
        </w:tc>
        <w:tc>
          <w:tcPr>
            <w:tcW w:type="dxa" w:w="2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Toward the 52-wk high zone</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₹1,500</w:t>
            </w:r>
          </w:p>
        </w:tc>
        <w:tc>
          <w:tcPr>
            <w:tcW w:type="dxa" w:w="2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w:t>
            </w:r>
          </w:p>
        </w:tc>
        <w:tc>
          <w:tcPr>
            <w:tcW w:type="dxa" w:w="2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36%</w:t>
            </w:r>
          </w:p>
        </w:tc>
        <w:tc>
          <w:tcPr>
            <w:tcW w:type="dxa" w:w="26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Upper band</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₹1,450</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21%</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49%</w:t>
            </w:r>
          </w:p>
        </w:tc>
        <w:tc>
          <w:tcPr>
            <w:tcW w:type="dxa" w:w="2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Above central fair value</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₹1,400</w:t>
            </w:r>
          </w:p>
        </w:tc>
        <w:tc>
          <w:tcPr>
            <w:tcW w:type="dxa" w:w="2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39%</w:t>
            </w:r>
          </w:p>
        </w:tc>
        <w:tc>
          <w:tcPr>
            <w:tcW w:type="dxa" w:w="2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65%</w:t>
            </w:r>
          </w:p>
        </w:tc>
        <w:tc>
          <w:tcPr>
            <w:tcW w:type="dxa" w:w="26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Near central fair value</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₹1,350</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68%</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83%</w:t>
            </w:r>
          </w:p>
        </w:tc>
        <w:tc>
          <w:tcPr>
            <w:tcW w:type="dxa" w:w="2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Just above spot / median</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₹1,300</w:t>
            </w:r>
          </w:p>
        </w:tc>
        <w:tc>
          <w:tcPr>
            <w:tcW w:type="dxa" w:w="2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68%</w:t>
            </w:r>
          </w:p>
        </w:tc>
        <w:tc>
          <w:tcPr>
            <w:tcW w:type="dxa" w:w="2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80%</w:t>
            </w:r>
          </w:p>
        </w:tc>
        <w:tc>
          <w:tcPr>
            <w:tcW w:type="dxa" w:w="26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Just below spot</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₹1,250</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34%</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55%</w:t>
            </w:r>
          </w:p>
        </w:tc>
        <w:tc>
          <w:tcPr>
            <w:tcW w:type="dxa" w:w="2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Toward the 52-wk low</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₹1,200</w:t>
            </w:r>
          </w:p>
        </w:tc>
        <w:tc>
          <w:tcPr>
            <w:tcW w:type="dxa" w:w="2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w:t>
            </w:r>
          </w:p>
        </w:tc>
        <w:tc>
          <w:tcPr>
            <w:tcW w:type="dxa" w:w="24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36%</w:t>
            </w:r>
          </w:p>
        </w:tc>
        <w:tc>
          <w:tcPr>
            <w:tcW w:type="dxa" w:w="26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Lower band</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₹1,150</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w:t>
            </w:r>
          </w:p>
        </w:tc>
        <w:tc>
          <w:tcPr>
            <w:tcW w:type="dxa" w:w="24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23%</w:t>
            </w:r>
          </w:p>
        </w:tc>
        <w:tc>
          <w:tcPr>
            <w:tcW w:type="dxa" w:w="26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Deep downside</w:t>
            </w:r>
          </w:p>
        </w:tc>
      </w:tr>
    </w:tbl>
    <w:p>
      <w:pPr>
        <w:spacing w:after="40" w:before="10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67075"/>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9 — Level-touch probabilities by T+20 and T+60.</w:t>
      </w:r>
    </w:p>
    <w:p>
      <w:pPr>
        <w:pStyle w:val="Heading1"/>
        <w:spacing w:after="130" w:before="260"/>
      </w:pPr>
      <w:r>
        <w:rPr>
          <w:rFonts w:ascii="Calibri" w:cs="Calibri" w:eastAsia="Calibri" w:hAnsi="Calibri"/>
          <w:b/>
          <w:bCs/>
          <w:color w:val="1B5E5E"/>
          <w:sz w:val="30"/>
          <w:szCs w:val="30"/>
        </w:rPr>
        <w:t xml:space="preserve">4  Comparison of the lenses, and a verdict</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Three readings sit side by side. The fundamental lenses cluster at ₹1,322–₹1,552 with a central ₹1,395 — modestly above spot, contingent on value-crystallisation and O2C margins. The technical picture is broadly aligned for once — corrective but turning up off the January low. The probabilistic map says that over three months price is mildly right-skewed around spot with a moderate ~25% vol band — the median is ₹1,351, a touch above spot but below the ₹1,395 central, because the simulation does not assume the value gap closes inside the quarter.</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080"/>
        <w:gridCol w:w="3000"/>
        <w:gridCol w:w="4000"/>
      </w:tblGrid>
      <w:tr>
        <w:trPr>
          <w:tblHeader/>
        </w:trPr>
        <w:tc>
          <w:tcPr>
            <w:tcW w:type="dxa" w:w="30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Lens</w:t>
            </w:r>
          </w:p>
        </w:tc>
        <w:tc>
          <w:tcPr>
            <w:tcW w:type="dxa" w:w="30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Reads</w:t>
            </w:r>
          </w:p>
        </w:tc>
        <w:tc>
          <w:tcPr>
            <w:tcW w:type="dxa" w:w="40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Central / implication</w:t>
            </w:r>
          </w:p>
        </w:tc>
      </w:tr>
      <w:tr>
        <w:tc>
          <w:tcPr>
            <w:tcW w:type="dxa" w:w="3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Fundamental (4-lens)</w:t>
            </w:r>
          </w:p>
        </w:tc>
        <w:tc>
          <w:tcPr>
            <w:tcW w:type="dxa" w:w="30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Modestly cheap</w:t>
            </w:r>
          </w:p>
        </w:tc>
        <w:tc>
          <w:tcPr>
            <w:tcW w:type="dxa" w:w="40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₹1,395 (~+6%)</w:t>
            </w:r>
          </w:p>
        </w:tc>
      </w:tr>
      <w:tr>
        <w:tc>
          <w:tcPr>
            <w:tcW w:type="dxa" w:w="30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Technical</w:t>
            </w:r>
          </w:p>
        </w:tc>
        <w:tc>
          <w:tcPr>
            <w:tcW w:type="dxa" w:w="30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Corrective, turning up</w:t>
            </w:r>
          </w:p>
        </w:tc>
        <w:tc>
          <w:tcPr>
            <w:tcW w:type="dxa" w:w="40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Support ~₹1,259; resistance at the MA stack ₹1,341–1,418</w:t>
            </w:r>
          </w:p>
        </w:tc>
      </w:tr>
      <w:tr>
        <w:tc>
          <w:tcPr>
            <w:tcW w:type="dxa" w:w="30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Monte Carlo (3-month)</w:t>
            </w:r>
          </w:p>
        </w:tc>
        <w:tc>
          <w:tcPr>
            <w:tcW w:type="dxa" w:w="30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Mildly right-skewed</w:t>
            </w:r>
          </w:p>
        </w:tc>
        <w:tc>
          <w:tcPr>
            <w:tcW w:type="dxa" w:w="40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Median ₹1,351; p5–p95 ₹1,067–1,707</w:t>
            </w:r>
          </w:p>
        </w:tc>
      </w:tr>
    </w:tbl>
    <w:p>
      <w:pPr>
        <w:keepNext w:val="false"/>
        <w:spacing w:after="120" w:before="0" w:line="264"/>
        <w:jc w:val="left"/>
      </w:pPr>
      <w:r>
        <w:rPr>
          <w:rFonts w:ascii="Calibri" w:cs="Calibri" w:eastAsia="Calibri" w:hAnsi="Calibri"/>
          <w:b/>
          <w:bCs/>
          <w:i w:val="false"/>
          <w:iCs w:val="false"/>
          <w:color w:val="1A1A1A"/>
          <w:sz w:val="21"/>
          <w:szCs w:val="21"/>
        </w:rPr>
        <w:t xml:space="preserve">Verdict (a fair-value read, not a recommendation).  </w:t>
      </w:r>
      <w:r>
        <w:rPr>
          <w:rFonts w:ascii="Calibri" w:cs="Calibri" w:eastAsia="Calibri" w:hAnsi="Calibri"/>
          <w:b w:val="false"/>
          <w:bCs w:val="false"/>
          <w:i w:val="false"/>
          <w:iCs w:val="false"/>
          <w:color w:val="1A1A1A"/>
          <w:sz w:val="21"/>
          <w:szCs w:val="21"/>
        </w:rPr>
        <w:t xml:space="preserve">Reliance looks fairly-to-modestly-cheap on fundamentals, with a clear and unusually concentrated set of swing factors: the Jio IPO as a value-crystallisation event, the O2C margin cycle, and the holding-company discount. The technical stabilisation and the mildly right-skewed three-month distribution argue that any re-rating is a question of the IPO landing and margins holding over quarters, not of an imminent move. The honest summary is a value modestly above price, a near-term distribution centred just above price, and an outcome that hinges on crystallising segment value — which is why the bear–bull span (₹1,112–₹1,719) is wide. Readers should weigh the lenses themselves; we publish the distribution, not a target.</w:t>
      </w:r>
    </w:p>
    <w:p>
      <w:pPr>
        <w:pStyle w:val="Heading1"/>
        <w:spacing w:after="130" w:before="260"/>
      </w:pPr>
      <w:r>
        <w:rPr>
          <w:rFonts w:ascii="Calibri" w:cs="Calibri" w:eastAsia="Calibri" w:hAnsi="Calibri"/>
          <w:b/>
          <w:bCs/>
          <w:color w:val="1B5E5E"/>
          <w:sz w:val="30"/>
          <w:szCs w:val="30"/>
        </w:rPr>
        <w:t xml:space="preserve">5  Catalysts to watch</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Jio Platforms IPO.  </w:t>
      </w:r>
      <w:r>
        <w:rPr>
          <w:rFonts w:ascii="Calibri" w:cs="Calibri" w:eastAsia="Calibri" w:hAnsi="Calibri"/>
          <w:b w:val="false"/>
          <w:bCs w:val="false"/>
          <w:i w:val="false"/>
          <w:iCs w:val="false"/>
          <w:color w:val="1A1A1A"/>
          <w:sz w:val="21"/>
          <w:szCs w:val="21"/>
        </w:rPr>
        <w:t xml:space="preserve">The DRHP was filed 19 June 2026; pricing, the final band and the listing itself are the single largest value-crystallisation catalyst and the most direct route to narrowing the holdco discount.</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Q1 FY27 results (late-Jul 2026).  </w:t>
      </w:r>
      <w:r>
        <w:rPr>
          <w:rFonts w:ascii="Calibri" w:cs="Calibri" w:eastAsia="Calibri" w:hAnsi="Calibri"/>
          <w:b w:val="false"/>
          <w:bCs w:val="false"/>
          <w:i w:val="false"/>
          <w:iCs w:val="false"/>
          <w:color w:val="1A1A1A"/>
          <w:sz w:val="21"/>
          <w:szCs w:val="21"/>
        </w:rPr>
        <w:t xml:space="preserve">First clean post-year-end read on O2C margins, Jio ARPU and Retail momentum.</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O2C margin trajectory.  </w:t>
      </w:r>
      <w:r>
        <w:rPr>
          <w:rFonts w:ascii="Calibri" w:cs="Calibri" w:eastAsia="Calibri" w:hAnsi="Calibri"/>
          <w:b w:val="false"/>
          <w:bCs w:val="false"/>
          <w:i w:val="false"/>
          <w:iCs w:val="false"/>
          <w:color w:val="1A1A1A"/>
          <w:sz w:val="21"/>
          <w:szCs w:val="21"/>
        </w:rPr>
        <w:t xml:space="preserve">Refining GRMs and polymer-to-feedstock deltas — the observable drivers behind the cyclical block.</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Reliance Retail value-unlock.  </w:t>
      </w:r>
      <w:r>
        <w:rPr>
          <w:rFonts w:ascii="Calibri" w:cs="Calibri" w:eastAsia="Calibri" w:hAnsi="Calibri"/>
          <w:b w:val="false"/>
          <w:bCs w:val="false"/>
          <w:i w:val="false"/>
          <w:iCs w:val="false"/>
          <w:color w:val="1A1A1A"/>
          <w:sz w:val="21"/>
          <w:szCs w:val="21"/>
        </w:rPr>
        <w:t xml:space="preserve">Any signal on a Retail listing path or fresh private mark would re-rate the second-largest block.</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New Energy milestones.  </w:t>
      </w:r>
      <w:r>
        <w:rPr>
          <w:rFonts w:ascii="Calibri" w:cs="Calibri" w:eastAsia="Calibri" w:hAnsi="Calibri"/>
          <w:b w:val="false"/>
          <w:bCs w:val="false"/>
          <w:i w:val="false"/>
          <w:iCs w:val="false"/>
          <w:color w:val="1A1A1A"/>
          <w:sz w:val="21"/>
          <w:szCs w:val="21"/>
        </w:rPr>
        <w:t xml:space="preserve">Solar giga-factory and green-hydrogen commissioning convert the option value into cash-flow visibility.</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Crude &amp; the rupee.  </w:t>
      </w:r>
      <w:r>
        <w:rPr>
          <w:rFonts w:ascii="Calibri" w:cs="Calibri" w:eastAsia="Calibri" w:hAnsi="Calibri"/>
          <w:b w:val="false"/>
          <w:bCs w:val="false"/>
          <w:i w:val="false"/>
          <w:iCs w:val="false"/>
          <w:color w:val="1A1A1A"/>
          <w:sz w:val="21"/>
          <w:szCs w:val="21"/>
        </w:rPr>
        <w:t xml:space="preserve">A crude spike or a sharp INR move re-prices the O2C block and the import bill.</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Index / flow rebalancing.  </w:t>
      </w:r>
      <w:r>
        <w:rPr>
          <w:rFonts w:ascii="Calibri" w:cs="Calibri" w:eastAsia="Calibri" w:hAnsi="Calibri"/>
          <w:b w:val="false"/>
          <w:bCs w:val="false"/>
          <w:i w:val="false"/>
          <w:iCs w:val="false"/>
          <w:color w:val="1A1A1A"/>
          <w:sz w:val="21"/>
          <w:szCs w:val="21"/>
        </w:rPr>
        <w:t xml:space="preserve">A Jio listing and associated passive flows are a mechanical demand event for a stock this size.</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Capital &amp; balance-sheet actions.  </w:t>
      </w:r>
      <w:r>
        <w:rPr>
          <w:rFonts w:ascii="Calibri" w:cs="Calibri" w:eastAsia="Calibri" w:hAnsi="Calibri"/>
          <w:b w:val="false"/>
          <w:bCs w:val="false"/>
          <w:i w:val="false"/>
          <w:iCs w:val="false"/>
          <w:color w:val="1A1A1A"/>
          <w:sz w:val="21"/>
          <w:szCs w:val="21"/>
        </w:rPr>
        <w:t xml:space="preserve">Dividend policy, debt reduction and any capital-return surprise.</w:t>
      </w:r>
    </w:p>
    <w:p>
      <w:pPr>
        <w:pStyle w:val="Heading1"/>
        <w:spacing w:after="130" w:before="260"/>
      </w:pPr>
      <w:r>
        <w:rPr>
          <w:rFonts w:ascii="Calibri" w:cs="Calibri" w:eastAsia="Calibri" w:hAnsi="Calibri"/>
          <w:b/>
          <w:bCs/>
          <w:color w:val="1B5E5E"/>
          <w:sz w:val="30"/>
          <w:szCs w:val="30"/>
        </w:rPr>
        <w:t xml:space="preserve">6  Reading the probability zones</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Translating the three-month distribution into plain zones, anchored on spot ₹1,321 and the fair-value cluster:</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2500"/>
        <w:gridCol w:w="2000"/>
        <w:gridCol w:w="2200"/>
        <w:gridCol w:w="3380"/>
      </w:tblGrid>
      <w:tr>
        <w:trPr>
          <w:tblHeader/>
        </w:trPr>
        <w:tc>
          <w:tcPr>
            <w:tcW w:type="dxa" w:w="250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Zone (T+60)</w:t>
            </w:r>
          </w:p>
        </w:tc>
        <w:tc>
          <w:tcPr>
            <w:tcW w:type="dxa" w:w="20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Range</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Approx. prob.</w:t>
            </w:r>
          </w:p>
        </w:tc>
        <w:tc>
          <w:tcPr>
            <w:tcW w:type="dxa" w:w="33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What it would mean</w:t>
            </w:r>
          </w:p>
        </w:tc>
      </w:tr>
      <w:tr>
        <w:tc>
          <w:tcPr>
            <w:tcW w:type="dxa" w:w="25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Deep downside</w:t>
            </w:r>
          </w:p>
        </w:tc>
        <w:tc>
          <w:tcPr>
            <w:tcW w:type="dxa" w:w="20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&lt; ₹1,150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w:t>
            </w:r>
          </w:p>
        </w:tc>
        <w:tc>
          <w:tcPr>
            <w:tcW w:type="dxa" w:w="33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Crude/geopolitical shock or O2C trough; tests the correction low</w:t>
            </w:r>
          </w:p>
        </w:tc>
      </w:tr>
      <w:tr>
        <w:tc>
          <w:tcPr>
            <w:tcW w:type="dxa" w:w="25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Lower band</w:t>
            </w:r>
          </w:p>
        </w:tc>
        <w:tc>
          <w:tcPr>
            <w:tcW w:type="dxa" w:w="20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₹1,150–₹1,250</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~22%</w:t>
            </w:r>
          </w:p>
        </w:tc>
        <w:tc>
          <w:tcPr>
            <w:tcW w:type="dxa" w:w="33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Cycle softens; relative-multiple lens dominates</w:t>
            </w:r>
          </w:p>
        </w:tc>
      </w:tr>
      <w:tr>
        <w:tc>
          <w:tcPr>
            <w:tcW w:type="dxa" w:w="25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Around spot</w:t>
            </w:r>
          </w:p>
        </w:tc>
        <w:tc>
          <w:tcPr>
            <w:tcW w:type="dxa" w:w="20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₹1,250–₹1,400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~33%</w:t>
            </w:r>
          </w:p>
        </w:tc>
        <w:tc>
          <w:tcPr>
            <w:tcW w:type="dxa" w:w="33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Status quo; value gap unclosed, IPO pending</w:t>
            </w:r>
          </w:p>
        </w:tc>
      </w:tr>
      <w:tr>
        <w:tc>
          <w:tcPr>
            <w:tcW w:type="dxa" w:w="25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Upper band</w:t>
            </w:r>
          </w:p>
        </w:tc>
        <w:tc>
          <w:tcPr>
            <w:tcW w:type="dxa" w:w="20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₹1,400–₹1,550</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~21%</w:t>
            </w:r>
          </w:p>
        </w:tc>
        <w:tc>
          <w:tcPr>
            <w:tcW w:type="dxa" w:w="33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Crystallisation credited; toward central/normalized lens</w:t>
            </w:r>
          </w:p>
        </w:tc>
      </w:tr>
      <w:tr>
        <w:tc>
          <w:tcPr>
            <w:tcW w:type="dxa" w:w="25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Strong upside</w:t>
            </w:r>
          </w:p>
        </w:tc>
        <w:tc>
          <w:tcPr>
            <w:tcW w:type="dxa" w:w="20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&gt; ₹1,550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w:t>
            </w:r>
          </w:p>
        </w:tc>
        <w:tc>
          <w:tcPr>
            <w:tcW w:type="dxa" w:w="33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IPO at the upper mark + discount narrowing together</w:t>
            </w:r>
          </w:p>
        </w:tc>
      </w:tr>
    </w:tbl>
    <w:p>
      <w:pPr>
        <w:keepNext w:val="false"/>
        <w:spacing w:after="120" w:before="0" w:line="264"/>
        <w:jc w:val="left"/>
      </w:pPr>
      <w:r>
        <w:rPr>
          <w:rFonts w:ascii="Calibri" w:cs="Calibri" w:eastAsia="Calibri" w:hAnsi="Calibri"/>
          <w:b w:val="false"/>
          <w:bCs w:val="false"/>
          <w:i w:val="false"/>
          <w:iCs w:val="false"/>
          <w:color w:val="1A1A1A"/>
          <w:sz w:val="21"/>
          <w:szCs w:val="21"/>
        </w:rPr>
        <w:t xml:space="preserve">The distribution is mildly right-skewed, with the heavier upper tail coming from the discrete upside events (the Jio IPO above all, plus New Energy milestones, capital return and index flows). It is not a forecast; it is the spread of outcomes consistent with the stock's own volatility and the factor stack.</w:t>
      </w:r>
    </w:p>
    <w:p>
      <w:pPr>
        <w:pStyle w:val="Heading1"/>
        <w:spacing w:after="130" w:before="260"/>
      </w:pPr>
      <w:r>
        <w:rPr>
          <w:rFonts w:ascii="Calibri" w:cs="Calibri" w:eastAsia="Calibri" w:hAnsi="Calibri"/>
          <w:b/>
          <w:bCs/>
          <w:color w:val="1B5E5E"/>
          <w:sz w:val="30"/>
          <w:szCs w:val="30"/>
        </w:rPr>
        <w:t xml:space="preserve">7  Caveats and what would change our mind</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The IPO is the swing.  </w:t>
      </w:r>
      <w:r>
        <w:rPr>
          <w:rFonts w:ascii="Calibri" w:cs="Calibri" w:eastAsia="Calibri" w:hAnsi="Calibri"/>
          <w:b w:val="false"/>
          <w:bCs w:val="false"/>
          <w:i w:val="false"/>
          <w:iCs w:val="false"/>
          <w:color w:val="1A1A1A"/>
          <w:sz w:val="21"/>
          <w:szCs w:val="21"/>
        </w:rPr>
        <w:t xml:space="preserve">A large slice of the bull case rests on Jio (and later Retail) listing at or above the marks; a delayed, downsized or below-mark IPO would validate the market's discount rather than narrow it, pulling the central toward — or below — spot.</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O2C is cyclical.  </w:t>
      </w:r>
      <w:r>
        <w:rPr>
          <w:rFonts w:ascii="Calibri" w:cs="Calibri" w:eastAsia="Calibri" w:hAnsi="Calibri"/>
          <w:b w:val="false"/>
          <w:bCs w:val="false"/>
          <w:i w:val="false"/>
          <w:iCs w:val="false"/>
          <w:color w:val="1A1A1A"/>
          <w:sz w:val="21"/>
          <w:szCs w:val="21"/>
        </w:rPr>
        <w:t xml:space="preserve">A third of the swing sits in refining and petrochemical spreads; a sustained margin trough would cut both the SOTP mark and the normalized-earnings lens.</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Terminal-value dependence.  </w:t>
      </w:r>
      <w:r>
        <w:rPr>
          <w:rFonts w:ascii="Calibri" w:cs="Calibri" w:eastAsia="Calibri" w:hAnsi="Calibri"/>
          <w:b w:val="false"/>
          <w:bCs w:val="false"/>
          <w:i w:val="false"/>
          <w:iCs w:val="false"/>
          <w:color w:val="1A1A1A"/>
          <w:sz w:val="21"/>
          <w:szCs w:val="21"/>
        </w:rPr>
        <w:t xml:space="preserve">The DCF is 81% terminal value — a long-runway, capex-heavy business — so it is sensitive to the WACC and terminal-growth assumptions and should be read alongside the SOTP, not on its own.</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The discount can widen.  </w:t>
      </w:r>
      <w:r>
        <w:rPr>
          <w:rFonts w:ascii="Calibri" w:cs="Calibri" w:eastAsia="Calibri" w:hAnsi="Calibri"/>
          <w:b w:val="false"/>
          <w:bCs w:val="false"/>
          <w:i w:val="false"/>
          <w:iCs w:val="false"/>
          <w:color w:val="1A1A1A"/>
          <w:sz w:val="21"/>
          <w:szCs w:val="21"/>
        </w:rPr>
        <w:t xml:space="preserve">Complexity, capital-allocation perception or a weak IPO could push the holding-company discount past the ~6% the market applies today.</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Private marks are judgemental.  </w:t>
      </w:r>
      <w:r>
        <w:rPr>
          <w:rFonts w:ascii="Calibri" w:cs="Calibri" w:eastAsia="Calibri" w:hAnsi="Calibri"/>
          <w:b w:val="false"/>
          <w:bCs w:val="false"/>
          <w:i w:val="false"/>
          <w:iCs w:val="false"/>
          <w:color w:val="1A1A1A"/>
          <w:sz w:val="21"/>
          <w:szCs w:val="21"/>
        </w:rPr>
        <w:t xml:space="preserve">Retail and (pre-listing) Jio are valued off peer/private multiples, not a live market; the bull–bear range on those two lines is the widest single source of dispersion.</w:t>
      </w:r>
    </w:p>
    <w:p>
      <w:pPr>
        <w:pStyle w:val="ListParagraph"/>
        <w:numPr>
          <w:ilvl w:val="0"/>
          <w:numId w:val="1"/>
        </w:numPr>
        <w:spacing w:after="90" w:line="260"/>
      </w:pPr>
      <w:r>
        <w:rPr>
          <w:rFonts w:ascii="Calibri" w:cs="Calibri" w:eastAsia="Calibri" w:hAnsi="Calibri"/>
          <w:b/>
          <w:bCs/>
          <w:i w:val="false"/>
          <w:iCs w:val="false"/>
          <w:color w:val="1A1A1A"/>
          <w:sz w:val="21"/>
          <w:szCs w:val="21"/>
        </w:rPr>
        <w:t xml:space="preserve">Technical reminder.  </w:t>
      </w:r>
      <w:r>
        <w:rPr>
          <w:rFonts w:ascii="Calibri" w:cs="Calibri" w:eastAsia="Calibri" w:hAnsi="Calibri"/>
          <w:b w:val="false"/>
          <w:bCs w:val="false"/>
          <w:i w:val="false"/>
          <w:iCs w:val="false"/>
          <w:color w:val="1A1A1A"/>
          <w:sz w:val="21"/>
          <w:szCs w:val="21"/>
        </w:rPr>
        <w:t xml:space="preserve">A MACD turn off a correction low is an early, not a confirmed, momentum signal; below-trend tapes can resume. The technical read is context, not a trigger.</w:t>
      </w:r>
    </w:p>
    <w:p>
      <w:r>
        <w:t xml:space="preserve"/>
      </w:r>
      <w:r>
        <w:br w:type="page"/>
      </w:r>
    </w:p>
    <w:p>
      <w:pPr>
        <w:pStyle w:val="Heading1"/>
        <w:spacing w:after="130" w:before="260"/>
      </w:pPr>
      <w:r>
        <w:rPr>
          <w:rFonts w:ascii="Calibri" w:cs="Calibri" w:eastAsia="Calibri" w:hAnsi="Calibri"/>
          <w:b/>
          <w:bCs/>
          <w:color w:val="1B5E5E"/>
          <w:sz w:val="30"/>
          <w:szCs w:val="30"/>
        </w:rPr>
        <w:t xml:space="preserve">Appendix A  Financial statements</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Consolidated figures. FY24–FY26 are as reported / tied to the company's disclosed totals (FY26 results, 24 Apr 2026); FY27E–FY31E are the preparer's forecast, built as formulas linking to the model's Assumptions sheet. Both the income statement and the balance sheet carry three actual years plus a five-year forecast; the balance sheet balances to zero in every year.</w:t>
      </w:r>
    </w:p>
    <w:p>
      <w:pPr>
        <w:pStyle w:val="Heading3"/>
        <w:spacing w:after="90" w:before="160"/>
      </w:pPr>
      <w:r>
        <w:rPr>
          <w:rFonts w:ascii="Calibri" w:cs="Calibri" w:eastAsia="Calibri" w:hAnsi="Calibri"/>
          <w:b/>
          <w:bCs/>
          <w:color w:val="1B5E5E"/>
          <w:sz w:val="22"/>
          <w:szCs w:val="22"/>
        </w:rPr>
        <w:t xml:space="preserve">A.1  Income statement (consolidated, ₹ cr)</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2320"/>
        <w:gridCol w:w="970"/>
        <w:gridCol w:w="970"/>
        <w:gridCol w:w="970"/>
        <w:gridCol w:w="970"/>
        <w:gridCol w:w="970"/>
        <w:gridCol w:w="970"/>
        <w:gridCol w:w="970"/>
        <w:gridCol w:w="970"/>
      </w:tblGrid>
      <w:tr>
        <w:trPr>
          <w:tblHeader/>
        </w:trPr>
        <w:tc>
          <w:tcPr>
            <w:tcW w:type="dxa" w:w="232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5"/>
                <w:szCs w:val="15"/>
              </w:rPr>
              <w:t xml:space="preserve">Line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FY24</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FY25</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FY26</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FY27E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FY28E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FY29E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FY30E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FY31E</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Total revenue</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8,99,062</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9,64,693</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10,75,675</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11,63,377</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12,68,125</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13,82,911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14,97,194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16,16,003</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O2C revenue</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5,64,794</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6,26,921</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6,62,401</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6,88,897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7,23,342</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7,59,509</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7,89,889</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8,21,485</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Digital Services (Jio)</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1,10,175</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1,29,333</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1,46,885</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1,68,918</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1,92,566</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2,17,600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2,43,712</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2,70,520</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Reliance Retail</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3,06,645</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3,30,870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3,70,026</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4,18,129</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4,76,667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5,43,401</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6,14,043</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6,87,728</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Oil &amp; Gas / Media / other</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42,000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48,000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54,909</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58,204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61,696</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65,397</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69,321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73,481</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  less: inter-segment elim.</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(1,24,552)</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(1,70,431)</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(1,58,546)</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(1,70,771)</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(1,86,147)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(2,02,996)</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(2,19,772)</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(2,37,211)</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Consolidated EBITDA</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1,78,677</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1,83,344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2,07,911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2,31,178</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2,61,925</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2,91,011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3,23,892</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3,55,108</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EBITDA margin</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19.9%</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19.3%</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19.9%</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21.0%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21.6%</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22.0%</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Depreciation &amp; amortisation</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40,012</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52,000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55,000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60,496</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67,211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73,294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77,854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82,416</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EBIT</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1,38,665</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1,31,344</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1,52,911</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1,70,682</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1,94,715</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2,17,717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2,46,037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2,72,692</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Finance cost</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23,118</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23,000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27,157</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24,000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22,000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18,000</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PBT</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1,15,547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1,08,344</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1,25,754</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1,46,682</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1,72,715</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1,97,717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2,27,037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2,54,692</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Tax</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35,926</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27,000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30,000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36,671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43,179</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49,429</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56,759</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63,673</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PAT (total, incl. minority)</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79,621</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81,344</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95,754</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1,10,012</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1,29,536</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1,48,288</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1,70,278</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1,91,019</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less: minority &amp; associates</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11,696</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14,979</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17,602</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22,021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25,209</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30,650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34,383</w:t>
            </w:r>
          </w:p>
        </w:tc>
      </w:tr>
      <w:tr>
        <w:tc>
          <w:tcPr>
            <w:tcW w:type="dxa" w:w="232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PAT attributable to owners</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69,621</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69,648</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80,775</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92,410</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1,07,515</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1,23,079</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1,39,628</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1,56,636</w:t>
            </w:r>
          </w:p>
        </w:tc>
      </w:tr>
    </w:tbl>
    <w:p>
      <w:pPr>
        <w:spacing w:after="160" w:before="60"/>
        <w:jc w:val="center"/>
      </w:pPr>
      <w:r>
        <w:rPr>
          <w:rFonts w:ascii="Calibri" w:cs="Calibri" w:eastAsia="Calibri" w:hAnsi="Calibri"/>
          <w:i/>
          <w:iCs/>
          <w:color w:val="6B6B6B"/>
          <w:sz w:val="17"/>
          <w:szCs w:val="17"/>
        </w:rPr>
        <w:t xml:space="preserve">Source: RIL FY26 results (24 Apr 2026); segment splits per company disclosure. Some finance/tax/minority lines estimated to tie to reported PAT. Forecast = formulas linking to Assumptions.</w:t>
      </w:r>
    </w:p>
    <w:p>
      <w:pPr>
        <w:pStyle w:val="Heading3"/>
        <w:spacing w:after="90" w:before="160"/>
      </w:pPr>
      <w:r>
        <w:rPr>
          <w:rFonts w:ascii="Calibri" w:cs="Calibri" w:eastAsia="Calibri" w:hAnsi="Calibri"/>
          <w:b/>
          <w:bCs/>
          <w:color w:val="1B5E5E"/>
          <w:sz w:val="22"/>
          <w:szCs w:val="22"/>
        </w:rPr>
        <w:t xml:space="preserve">A.2  Balance sheet (consolidated, ₹ cr)</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2320"/>
        <w:gridCol w:w="970"/>
        <w:gridCol w:w="970"/>
        <w:gridCol w:w="970"/>
        <w:gridCol w:w="970"/>
        <w:gridCol w:w="970"/>
        <w:gridCol w:w="970"/>
        <w:gridCol w:w="970"/>
        <w:gridCol w:w="970"/>
      </w:tblGrid>
      <w:tr>
        <w:trPr>
          <w:tblHeader/>
        </w:trPr>
        <w:tc>
          <w:tcPr>
            <w:tcW w:type="dxa" w:w="232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5"/>
                <w:szCs w:val="15"/>
              </w:rPr>
              <w:t xml:space="preserve">Line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FY24</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FY25</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FY26</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FY27E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FY28E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FY29E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FY30E</w:t>
            </w:r>
          </w:p>
        </w:tc>
        <w:tc>
          <w:tcPr>
            <w:tcW w:type="dxa" w:w="97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5"/>
                <w:szCs w:val="15"/>
              </w:rPr>
              <w:t xml:space="preserve">FY31E</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PP&amp;E + intangibles (incl. CWIP)</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7,48,477</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8,19,200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9,16,609</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10,01,113</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10,73,903</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11,30,608</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11,77,754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12,15,338</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Inventory</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80,916</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86,822</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96,811</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1,04,704</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1,14,131</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1,24,462</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1,34,747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1,45,440</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Receivables</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40,458</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43,411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48,405</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52,352</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57,066</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62,231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67,374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72,720</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Cash &amp; equivalents</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85,000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81,200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1,20,065</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1,87,517</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2,84,506</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4,09,912</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Current investments</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1,34,000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1,45,447</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1,59,704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1,59,704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1,59,704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1,59,704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1,59,704</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1,59,704</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Other assets</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6,20,000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7,00,000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7,60,000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7,60,000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7,60,000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7,60,000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7,60,000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7,60,000</w:t>
            </w:r>
          </w:p>
        </w:tc>
      </w:tr>
      <w:tr>
        <w:tc>
          <w:tcPr>
            <w:tcW w:type="dxa" w:w="232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Total assets</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17,03,850</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18,79,881</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20,71,529</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21,59,073</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22,84,869</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24,24,522</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25,84,086</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27,63,114</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Equity (incl. minority)</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9,00,000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10,10,000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11,20,000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12,21,012</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13,40,048</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14,76,335</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16,32,614</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18,07,633</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Borrowings (gross debt)</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3,30,000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3,47,530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3,74,421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3,46,921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3,36,921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3,21,921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3,06,921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2,91,921</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Provisions</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78,000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85,000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85,000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85,000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85,000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85,000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85,000</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Payables</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1,43,850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1,54,351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1,72,108</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1,86,140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2,02,900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2,21,266</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2,39,551</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2,58,560</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Other liabilities</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2,60,000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2,90,000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3,20,000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3,20,000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3,20,000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3,20,000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3,20,000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3,20,000</w:t>
            </w:r>
          </w:p>
        </w:tc>
      </w:tr>
      <w:tr>
        <w:tc>
          <w:tcPr>
            <w:tcW w:type="dxa" w:w="232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Total liabilities &amp; equity</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17,03,850</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18,79,881</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20,71,529</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21,59,073</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22,84,869</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24,24,522</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25,84,086</w:t>
            </w:r>
          </w:p>
        </w:tc>
        <w:tc>
          <w:tcPr>
            <w:tcW w:type="dxa" w:w="97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27,63,114</w:t>
            </w:r>
          </w:p>
        </w:tc>
      </w:tr>
      <w:tr>
        <w:tc>
          <w:tcPr>
            <w:tcW w:type="dxa" w:w="232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Balance check (A − L&amp;E)</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w:t>
            </w:r>
          </w:p>
        </w:tc>
        <w:tc>
          <w:tcPr>
            <w:tcW w:type="dxa" w:w="97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0</w:t>
            </w:r>
          </w:p>
        </w:tc>
      </w:tr>
      <w:tr>
        <w:tc>
          <w:tcPr>
            <w:tcW w:type="dxa" w:w="232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Net debt</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1,16,000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1,17,083</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1,24,717</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1,06,017</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57,152</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(25,300)</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(1,37,289)</w:t>
            </w:r>
          </w:p>
        </w:tc>
        <w:tc>
          <w:tcPr>
            <w:tcW w:type="dxa" w:w="97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(2,77,695)</w:t>
            </w:r>
          </w:p>
        </w:tc>
      </w:tr>
    </w:tbl>
    <w:p>
      <w:pPr>
        <w:spacing w:after="160" w:before="60"/>
        <w:jc w:val="center"/>
      </w:pPr>
      <w:r>
        <w:rPr>
          <w:rFonts w:ascii="Calibri" w:cs="Calibri" w:eastAsia="Calibri" w:hAnsi="Calibri"/>
          <w:i/>
          <w:iCs/>
          <w:color w:val="6B6B6B"/>
          <w:sz w:val="17"/>
          <w:szCs w:val="17"/>
        </w:rPr>
        <w:t xml:space="preserve">Historical anchored to disclosed equity / borrowings / cash / net-debt; PP&amp;E plugs to balance. Forecast rolls forward. Net debt turns negative by FY29E as cumulative free cash exceeds gross debt paydown.</w:t>
      </w:r>
    </w:p>
    <w:p>
      <w:pPr>
        <w:pStyle w:val="Heading3"/>
        <w:spacing w:after="90" w:before="160"/>
      </w:pPr>
      <w:r>
        <w:rPr>
          <w:rFonts w:ascii="Calibri" w:cs="Calibri" w:eastAsia="Calibri" w:hAnsi="Calibri"/>
          <w:b/>
          <w:bCs/>
          <w:color w:val="1B5E5E"/>
          <w:sz w:val="22"/>
          <w:szCs w:val="22"/>
        </w:rPr>
        <w:t xml:space="preserve">A.3  Cash flow &amp; segment summary (₹ cr)</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3480"/>
        <w:gridCol w:w="2200"/>
        <w:gridCol w:w="2200"/>
        <w:gridCol w:w="2200"/>
      </w:tblGrid>
      <w:tr>
        <w:trPr>
          <w:tblHeader/>
        </w:trPr>
        <w:tc>
          <w:tcPr>
            <w:tcW w:type="dxa" w:w="34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Line</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FY24</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FY25</w:t>
            </w:r>
          </w:p>
        </w:tc>
        <w:tc>
          <w:tcPr>
            <w:tcW w:type="dxa" w:w="2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FY26</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Cash from operations (approx.)</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1,60,000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1,78,000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2,05,000</w:t>
            </w:r>
          </w:p>
        </w:tc>
      </w:tr>
      <w:tr>
        <w:tc>
          <w:tcPr>
            <w:tcW w:type="dxa" w:w="3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Capex</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(1,41,759)</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(1,31,746)</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(1,44,271)</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Free cash flow (pre-financing)</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18,241</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46,254</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60,729</w:t>
            </w:r>
          </w:p>
        </w:tc>
      </w:tr>
      <w:tr>
        <w:tc>
          <w:tcPr>
            <w:tcW w:type="dxa" w:w="3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Dividend paid</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₹5.5/sh</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₹5.5/sh</w:t>
            </w:r>
          </w:p>
        </w:tc>
        <w:tc>
          <w:tcPr>
            <w:tcW w:type="dxa" w:w="22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₹6.0/sh</w:t>
            </w:r>
          </w:p>
        </w:tc>
      </w:tr>
      <w:tr>
        <w:tc>
          <w:tcPr>
            <w:tcW w:type="dxa" w:w="3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Net debt (year-end)</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1,16,000</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1,17,083</w:t>
            </w:r>
          </w:p>
        </w:tc>
        <w:tc>
          <w:tcPr>
            <w:tcW w:type="dxa" w:w="22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1,24,717</w:t>
            </w:r>
          </w:p>
        </w:tc>
      </w:tr>
    </w:tbl>
    <w:p>
      <w:pPr>
        <w:spacing w:after="160" w:before="60"/>
        <w:jc w:val="center"/>
      </w:pPr>
      <w:r>
        <w:rPr>
          <w:rFonts w:ascii="Calibri" w:cs="Calibri" w:eastAsia="Calibri" w:hAnsi="Calibri"/>
          <w:i/>
          <w:iCs/>
          <w:color w:val="6B6B6B"/>
          <w:sz w:val="17"/>
          <w:szCs w:val="17"/>
        </w:rPr>
        <w:t xml:space="preserve">Source: company quarterly and full-year results FY24–FY26. Operating cash flow approximate; capex and dividend per disclosure. Figures rounded.</w:t>
      </w:r>
    </w:p>
    <w:p>
      <w:pPr>
        <w:pStyle w:val="Heading1"/>
        <w:spacing w:after="130" w:before="260"/>
      </w:pPr>
      <w:r>
        <w:rPr>
          <w:rFonts w:ascii="Calibri" w:cs="Calibri" w:eastAsia="Calibri" w:hAnsi="Calibri"/>
          <w:b/>
          <w:bCs/>
          <w:color w:val="1B5E5E"/>
          <w:sz w:val="30"/>
          <w:szCs w:val="30"/>
        </w:rPr>
        <w:t xml:space="preserve">Appendix B  Peer set, sector structure, and risks</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Reliance has no clean single comparable — it is a refiner-petrochemical complex, a telecom/digital platform, a retailer, an upstream producer and a media business in one wrapper. The peer set is therefore split by part.</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2680"/>
        <w:gridCol w:w="4200"/>
        <w:gridCol w:w="3200"/>
      </w:tblGrid>
      <w:tr>
        <w:trPr>
          <w:tblHeader/>
        </w:trPr>
        <w:tc>
          <w:tcPr>
            <w:tcW w:type="dxa" w:w="26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Part</w:t>
            </w:r>
          </w:p>
        </w:tc>
        <w:tc>
          <w:tcPr>
            <w:tcW w:type="dxa" w:w="4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Closest peers</w:t>
            </w:r>
          </w:p>
        </w:tc>
        <w:tc>
          <w:tcPr>
            <w:tcW w:type="dxa" w:w="3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Typical valuation</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O2C (refining/petchem)</w:t>
            </w:r>
          </w:p>
        </w:tc>
        <w:tc>
          <w:tcPr>
            <w:tcW w:type="dxa" w:w="4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Formosa, LG Chem, SABIC, global refiners</w:t>
            </w:r>
          </w:p>
        </w:tc>
        <w:tc>
          <w:tcPr>
            <w:tcW w:type="dxa" w:w="3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EV/EBITDA ~6–8×; cyclical</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Jio (digital/telecom)</w:t>
            </w:r>
          </w:p>
        </w:tc>
        <w:tc>
          <w:tcPr>
            <w:tcW w:type="dxa" w:w="42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Bharti Airtel, global tower+platform peers</w:t>
            </w:r>
          </w:p>
        </w:tc>
        <w:tc>
          <w:tcPr>
            <w:tcW w:type="dxa" w:w="32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EV/EBITDA ~11–16×; scale</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Reliance Retail</w:t>
            </w:r>
          </w:p>
        </w:tc>
        <w:tc>
          <w:tcPr>
            <w:tcW w:type="dxa" w:w="4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Avenue Supermarts (DMart), Trent, global grocers</w:t>
            </w:r>
          </w:p>
        </w:tc>
        <w:tc>
          <w:tcPr>
            <w:tcW w:type="dxa" w:w="3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EV/EBITDA ~25–35×; growth</w:t>
            </w:r>
          </w:p>
        </w:tc>
      </w:tr>
      <w:tr>
        <w:tc>
          <w:tcPr>
            <w:tcW w:type="dxa" w:w="26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Oil &amp; Gas (E&amp;P)</w:t>
            </w:r>
          </w:p>
        </w:tc>
        <w:tc>
          <w:tcPr>
            <w:tcW w:type="dxa" w:w="42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ONGC, Oil India, upstream majors</w:t>
            </w:r>
          </w:p>
        </w:tc>
        <w:tc>
          <w:tcPr>
            <w:tcW w:type="dxa" w:w="32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EV/EBITDA ~4–6×; commodity</w:t>
            </w:r>
          </w:p>
        </w:tc>
      </w:tr>
      <w:tr>
        <w:tc>
          <w:tcPr>
            <w:tcW w:type="dxa" w:w="26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Media (JioStar)</w:t>
            </w:r>
          </w:p>
        </w:tc>
        <w:tc>
          <w:tcPr>
            <w:tcW w:type="dxa" w:w="4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Zee, Sun TV, streaming peers</w:t>
            </w:r>
          </w:p>
        </w:tc>
        <w:tc>
          <w:tcPr>
            <w:tcW w:type="dxa" w:w="3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EV/EBITDA ~12–16×</w:t>
            </w:r>
          </w:p>
        </w:tc>
      </w:tr>
    </w:tbl>
    <w:p>
      <w:pPr>
        <w:keepNext w:val="false"/>
        <w:spacing w:after="120" w:before="0" w:line="264"/>
        <w:jc w:val="left"/>
      </w:pPr>
      <w:r>
        <w:rPr>
          <w:rFonts w:ascii="Calibri" w:cs="Calibri" w:eastAsia="Calibri" w:hAnsi="Calibri"/>
          <w:b/>
          <w:bCs/>
          <w:i w:val="false"/>
          <w:iCs w:val="false"/>
          <w:color w:val="1A1A1A"/>
          <w:sz w:val="21"/>
          <w:szCs w:val="21"/>
        </w:rPr>
        <w:t xml:space="preserve">Sector structure.  </w:t>
      </w:r>
      <w:r>
        <w:rPr>
          <w:rFonts w:ascii="Calibri" w:cs="Calibri" w:eastAsia="Calibri" w:hAnsi="Calibri"/>
          <w:b w:val="false"/>
          <w:bCs w:val="false"/>
          <w:i w:val="false"/>
          <w:iCs w:val="false"/>
          <w:color w:val="1A1A1A"/>
          <w:sz w:val="21"/>
          <w:szCs w:val="21"/>
        </w:rPr>
        <w:t xml:space="preserve">O2C is a globally-priced cyclical navigating the energy transition and Chinese petrochemical oversupply; refining spreads and polymer deltas are the swing macro variables. Indian telecom is a consolidated three-player market with improving ARPU and a 5G monetisation runway; Indian organized retail is structurally growing, competitive and now contested in quick-commerce. </w:t>
      </w:r>
      <w:r>
        <w:rPr>
          <w:rFonts w:ascii="Calibri" w:cs="Calibri" w:eastAsia="Calibri" w:hAnsi="Calibri"/>
          <w:b/>
          <w:bCs/>
          <w:i w:val="false"/>
          <w:iCs w:val="false"/>
          <w:color w:val="1A1A1A"/>
          <w:sz w:val="21"/>
          <w:szCs w:val="21"/>
        </w:rPr>
        <w:t xml:space="preserve">Principal risks:  </w:t>
      </w:r>
      <w:r>
        <w:rPr>
          <w:rFonts w:ascii="Calibri" w:cs="Calibri" w:eastAsia="Calibri" w:hAnsi="Calibri"/>
          <w:b w:val="false"/>
          <w:bCs w:val="false"/>
          <w:i w:val="false"/>
          <w:iCs w:val="false"/>
          <w:color w:val="1A1A1A"/>
          <w:sz w:val="21"/>
          <w:szCs w:val="21"/>
        </w:rPr>
        <w:t xml:space="preserve">a sustained O2C margin trough; a delayed or below-mark Jio IPO; a widening holding-company discount; heavy capex keeping free cash thin; a crude spike or sharp rupee move; telecom/fuel regulatory levies; and execution risk on the New Energy build-out.</w:t>
      </w:r>
    </w:p>
    <w:p>
      <w:r>
        <w:br w:type="page"/>
      </w:r>
    </w:p>
    <w:p>
      <w:pPr>
        <w:pStyle w:val="Heading1"/>
        <w:spacing w:after="130" w:before="260"/>
      </w:pPr>
      <w:r>
        <w:rPr>
          <w:rFonts w:ascii="Calibri" w:cs="Calibri" w:eastAsia="Calibri" w:hAnsi="Calibri"/>
          <w:b/>
          <w:bCs/>
          <w:color w:val="1B5E5E"/>
          <w:sz w:val="30"/>
          <w:szCs w:val="30"/>
        </w:rPr>
        <w:t xml:space="preserve">Appendix C  The expert valuation panel</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Every Testahil study closes with a panel of standing expert personas — drawn from the house Expert Persona Library, not invented for the occasion, so that each accumulates a track record across studies and a quarterly update is a re-run, not a re-training. For Reliance we cast the three whose methods both fit a holding-company-of-diverse-businesses and genuinely disagree: </w:t>
      </w:r>
      <w:r>
        <w:rPr>
          <w:rFonts w:ascii="Calibri" w:cs="Calibri" w:eastAsia="Calibri" w:hAnsi="Calibri"/>
          <w:b/>
          <w:bCs/>
          <w:i w:val="false"/>
          <w:iCs w:val="false"/>
          <w:color w:val="1A1A1A"/>
          <w:sz w:val="21"/>
          <w:szCs w:val="21"/>
        </w:rPr>
        <w:t xml:space="preserve">Expert 1</w:t>
      </w:r>
      <w:r>
        <w:rPr>
          <w:rFonts w:ascii="Calibri" w:cs="Calibri" w:eastAsia="Calibri" w:hAnsi="Calibri"/>
          <w:b w:val="false"/>
          <w:bCs w:val="false"/>
          <w:i w:val="false"/>
          <w:iCs w:val="false"/>
          <w:color w:val="1A1A1A"/>
          <w:sz w:val="21"/>
          <w:szCs w:val="21"/>
        </w:rPr>
        <w:t xml:space="preserve"> (sum-of-the-parts NAV and the holding-company discount), </w:t>
      </w:r>
      <w:r>
        <w:rPr>
          <w:rFonts w:ascii="Calibri" w:cs="Calibri" w:eastAsia="Calibri" w:hAnsi="Calibri"/>
          <w:b/>
          <w:bCs/>
          <w:i w:val="false"/>
          <w:iCs w:val="false"/>
          <w:color w:val="1A1A1A"/>
          <w:sz w:val="21"/>
          <w:szCs w:val="21"/>
        </w:rPr>
        <w:t xml:space="preserve">Expert 2</w:t>
      </w:r>
      <w:r>
        <w:rPr>
          <w:rFonts w:ascii="Calibri" w:cs="Calibri" w:eastAsia="Calibri" w:hAnsi="Calibri"/>
          <w:b w:val="false"/>
          <w:bCs w:val="false"/>
          <w:i w:val="false"/>
          <w:iCs w:val="false"/>
          <w:color w:val="1A1A1A"/>
          <w:sz w:val="21"/>
          <w:szCs w:val="21"/>
        </w:rPr>
        <w:t xml:space="preserve"> (normalized earnings power and relative multiples), and </w:t>
      </w:r>
      <w:r>
        <w:rPr>
          <w:rFonts w:ascii="Calibri" w:cs="Calibri" w:eastAsia="Calibri" w:hAnsi="Calibri"/>
          <w:b/>
          <w:bCs/>
          <w:i w:val="false"/>
          <w:iCs w:val="false"/>
          <w:color w:val="1A1A1A"/>
          <w:sz w:val="21"/>
          <w:szCs w:val="21"/>
        </w:rPr>
        <w:t xml:space="preserve">Expert 3</w:t>
      </w:r>
      <w:r>
        <w:rPr>
          <w:rFonts w:ascii="Calibri" w:cs="Calibri" w:eastAsia="Calibri" w:hAnsi="Calibri"/>
          <w:b w:val="false"/>
          <w:bCs w:val="false"/>
          <w:i w:val="false"/>
          <w:iCs w:val="false"/>
          <w:color w:val="1A1A1A"/>
          <w:sz w:val="21"/>
          <w:szCs w:val="21"/>
        </w:rPr>
        <w:t xml:space="preserve"> (cash returns — DCF and return on capital versus its cost). Each runs a different method, derives its fair value from shown workings, and states a falsification condition. The macro-policy lens — crude, the rupee, rates and regulation — runs through the body (§1.8, §5) rather than as a separate persona.</w:t>
      </w:r>
    </w:p>
    <w:p>
      <w:pPr>
        <w:pStyle w:val="Heading2"/>
        <w:spacing w:after="100" w:before="200"/>
      </w:pPr>
      <w:r>
        <w:rPr>
          <w:rFonts w:ascii="Calibri" w:cs="Calibri" w:eastAsia="Calibri" w:hAnsi="Calibri"/>
          <w:b/>
          <w:bCs/>
          <w:color w:val="2A8F8F"/>
          <w:sz w:val="25"/>
          <w:szCs w:val="25"/>
        </w:rPr>
        <w:t xml:space="preserve">C.1  Expert 1 — sum-of-the-parts NAV and the holding-company discount</w:t>
      </w:r>
    </w:p>
    <w:p>
      <w:pPr>
        <w:keepNext w:val="false"/>
        <w:spacing w:after="120" w:before="0" w:line="264"/>
        <w:jc w:val="left"/>
      </w:pPr>
      <w:r>
        <w:rPr>
          <w:rFonts w:ascii="Calibri" w:cs="Calibri" w:eastAsia="Calibri" w:hAnsi="Calibri"/>
          <w:b/>
          <w:bCs/>
          <w:i w:val="false"/>
          <w:iCs w:val="false"/>
          <w:color w:val="1A1A1A"/>
          <w:sz w:val="21"/>
          <w:szCs w:val="21"/>
        </w:rPr>
        <w:t xml:space="preserve">Worldview.  </w:t>
      </w:r>
      <w:r>
        <w:rPr>
          <w:rFonts w:ascii="Calibri" w:cs="Calibri" w:eastAsia="Calibri" w:hAnsi="Calibri"/>
          <w:b w:val="false"/>
          <w:bCs w:val="false"/>
          <w:i w:val="false"/>
          <w:iCs w:val="false"/>
          <w:color w:val="1A1A1A"/>
          <w:sz w:val="21"/>
          <w:szCs w:val="21"/>
        </w:rPr>
        <w:t xml:space="preserve">A holding company is worth the sum of its parts at realizable value, less a discount for the wrapper. He marks each asset to what it would fetch on its own — and, crucially here, asks what a listing would print — then compares that to what the market pays for the bundle.</w:t>
      </w:r>
    </w:p>
    <w:p>
      <w:pPr>
        <w:keepNext w:val="false"/>
        <w:spacing w:after="120" w:before="0" w:line="264"/>
        <w:jc w:val="left"/>
      </w:pPr>
      <w:r>
        <w:rPr>
          <w:rFonts w:ascii="Calibri" w:cs="Calibri" w:eastAsia="Calibri" w:hAnsi="Calibri"/>
          <w:b/>
          <w:bCs/>
          <w:i w:val="false"/>
          <w:iCs w:val="false"/>
          <w:color w:val="1A1A1A"/>
          <w:sz w:val="21"/>
          <w:szCs w:val="21"/>
        </w:rPr>
        <w:t xml:space="preserve">When it works / fails.  </w:t>
      </w:r>
      <w:r>
        <w:rPr>
          <w:rFonts w:ascii="Calibri" w:cs="Calibri" w:eastAsia="Calibri" w:hAnsi="Calibri"/>
          <w:b w:val="false"/>
          <w:bCs w:val="false"/>
          <w:i w:val="false"/>
          <w:iCs w:val="false"/>
          <w:color w:val="1A1A1A"/>
          <w:sz w:val="21"/>
          <w:szCs w:val="21"/>
        </w:rPr>
        <w:t xml:space="preserve">Best where the parts are separable and markable and a listing path exists to crystallise them; it fails when a private mark is stale or when the parts are genuinely worth less apart than together.</w:t>
      </w:r>
    </w:p>
    <w:p>
      <w:pPr>
        <w:keepNext w:val="false"/>
        <w:spacing w:after="120" w:before="0" w:line="264"/>
        <w:jc w:val="left"/>
      </w:pPr>
      <w:r>
        <w:rPr>
          <w:rFonts w:ascii="Calibri" w:cs="Calibri" w:eastAsia="Calibri" w:hAnsi="Calibri"/>
          <w:b/>
          <w:bCs/>
          <w:i w:val="false"/>
          <w:iCs w:val="false"/>
          <w:color w:val="1A1A1A"/>
          <w:sz w:val="21"/>
          <w:szCs w:val="21"/>
        </w:rPr>
        <w:t xml:space="preserve">Standard workings &amp; worked example.  </w:t>
      </w:r>
      <w:r>
        <w:rPr>
          <w:rFonts w:ascii="Calibri" w:cs="Calibri" w:eastAsia="Calibri" w:hAnsi="Calibri"/>
          <w:b w:val="false"/>
          <w:bCs w:val="false"/>
          <w:i w:val="false"/>
          <w:iCs w:val="false"/>
          <w:color w:val="1A1A1A"/>
          <w:sz w:val="21"/>
          <w:szCs w:val="21"/>
        </w:rPr>
        <w:t xml:space="preserve">Mark Jio on a digital-infrastructure multiple validated by the DRHP band, Retail on a premium consumer multiple anchored to its private rounds, O2C and E&amp;P on commodity multiples, Media on a media multiple; deduct consolidated net debt and minority interest; apply a fair holdco discount.</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6480"/>
        <w:gridCol w:w="3600"/>
      </w:tblGrid>
      <w:tr>
        <w:trPr>
          <w:tblHeader/>
        </w:trPr>
        <w:tc>
          <w:tcPr>
            <w:tcW w:type="dxa" w:w="64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Expert 1's marks (₹ cr)</w:t>
            </w:r>
          </w:p>
        </w:tc>
        <w:tc>
          <w:tcPr>
            <w:tcW w:type="dxa" w:w="36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Value</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Jio Platforms (13.5× EBITDA)</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10,29,443</w:t>
            </w:r>
          </w:p>
        </w:tc>
      </w:tr>
      <w:tr>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Reliance Retail (28× EBITDA)</w:t>
            </w:r>
          </w:p>
        </w:tc>
        <w:tc>
          <w:tcPr>
            <w:tcW w:type="dxa" w:w="36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7,56,924</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O2C (7× EBITDA)</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4,23,822</w:t>
            </w:r>
          </w:p>
        </w:tc>
      </w:tr>
      <w:tr>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Oil &amp; Gas (E&amp;P) + Media + New Energy</w:t>
            </w:r>
          </w:p>
        </w:tc>
        <w:tc>
          <w:tcPr>
            <w:tcW w:type="dxa" w:w="36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2,83,640</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Σ Gross EV − net debt − minority = ₹1,412/sh pre-discount</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19,10,696</w:t>
            </w:r>
          </w:p>
        </w:tc>
      </w:tr>
      <w:tr>
        <w:tc>
          <w:tcPr>
            <w:tcW w:type="dxa" w:w="64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Fair holdco discount 4% (IPO path clarifies structure) → ₹1,360/sh</w:t>
            </w:r>
          </w:p>
        </w:tc>
        <w:tc>
          <w:tcPr>
            <w:tcW w:type="dxa" w:w="36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 ₹1,360</w:t>
            </w:r>
          </w:p>
        </w:tc>
      </w:tr>
    </w:tbl>
    <w:p>
      <w:pPr>
        <w:keepNext w:val="false"/>
        <w:spacing w:after="120" w:before="0" w:line="264"/>
        <w:jc w:val="left"/>
      </w:pPr>
      <w:r>
        <w:rPr>
          <w:rFonts w:ascii="Calibri" w:cs="Calibri" w:eastAsia="Calibri" w:hAnsi="Calibri"/>
          <w:b/>
          <w:bCs/>
          <w:i w:val="false"/>
          <w:iCs w:val="false"/>
          <w:color w:val="1A1A1A"/>
          <w:sz w:val="21"/>
          <w:szCs w:val="21"/>
        </w:rPr>
        <w:t xml:space="preserve">Sensitivity (swing = the discount).  </w:t>
      </w:r>
      <w:r>
        <w:rPr>
          <w:rFonts w:ascii="Calibri" w:cs="Calibri" w:eastAsia="Calibri" w:hAnsi="Calibri"/>
          <w:b w:val="false"/>
          <w:bCs w:val="false"/>
          <w:i w:val="false"/>
          <w:iCs w:val="false"/>
          <w:color w:val="1A1A1A"/>
          <w:sz w:val="21"/>
          <w:szCs w:val="21"/>
        </w:rPr>
        <w:t xml:space="preserve">At a 0% discount ₹1,412; at 8%, ₹1,300; at 12.5%, ₹1,236.  </w:t>
      </w:r>
      <w:r>
        <w:rPr>
          <w:rFonts w:ascii="Calibri" w:cs="Calibri" w:eastAsia="Calibri" w:hAnsi="Calibri"/>
          <w:b/>
          <w:bCs/>
          <w:i w:val="false"/>
          <w:iCs w:val="false"/>
          <w:color w:val="1A1A1A"/>
          <w:sz w:val="21"/>
          <w:szCs w:val="21"/>
        </w:rPr>
        <w:t xml:space="preserve">Cross-examination.  </w:t>
      </w:r>
      <w:r>
        <w:rPr>
          <w:rFonts w:ascii="Calibri" w:cs="Calibri" w:eastAsia="Calibri" w:hAnsi="Calibri"/>
          <w:b w:val="false"/>
          <w:bCs w:val="false"/>
          <w:i w:val="false"/>
          <w:iCs w:val="false"/>
          <w:color w:val="1A1A1A"/>
          <w:sz w:val="21"/>
          <w:szCs w:val="21"/>
        </w:rPr>
        <w:t xml:space="preserve">He tells Expert 2 that mid-cycle earnings double-count assets already marked; he tells Expert 3 that a single group DCF blurs parts that deserve different discount rates and misses the listing optionality entirely.</w:t>
      </w:r>
    </w:p>
    <w:p>
      <w:pPr>
        <w:keepNext w:val="false"/>
        <w:spacing w:after="120" w:before="0" w:line="264"/>
        <w:jc w:val="left"/>
      </w:pPr>
      <w:r>
        <w:rPr>
          <w:rFonts w:ascii="Calibri" w:cs="Calibri" w:eastAsia="Calibri" w:hAnsi="Calibri"/>
          <w:b/>
          <w:bCs/>
          <w:i w:val="false"/>
          <w:iCs w:val="false"/>
          <w:color w:val="1A1A1A"/>
          <w:sz w:val="21"/>
          <w:szCs w:val="21"/>
        </w:rPr>
        <w:t xml:space="preserve">Verdict, falsification, market-implied.  </w:t>
      </w:r>
      <w:r>
        <w:rPr>
          <w:rFonts w:ascii="Calibri" w:cs="Calibri" w:eastAsia="Calibri" w:hAnsi="Calibri"/>
          <w:b/>
          <w:bCs/>
          <w:i w:val="false"/>
          <w:iCs w:val="false"/>
          <w:color w:val="1A1A1A"/>
          <w:sz w:val="21"/>
          <w:szCs w:val="21"/>
        </w:rPr>
        <w:t xml:space="preserve">Fair ₹1,360 (range ₹1,080–1,700).  </w:t>
      </w:r>
      <w:r>
        <w:rPr>
          <w:rFonts w:ascii="Calibri" w:cs="Calibri" w:eastAsia="Calibri" w:hAnsi="Calibri"/>
          <w:b w:val="false"/>
          <w:bCs w:val="false"/>
          <w:i w:val="false"/>
          <w:iCs w:val="false"/>
          <w:color w:val="1A1A1A"/>
          <w:sz w:val="21"/>
          <w:szCs w:val="21"/>
        </w:rPr>
        <w:t xml:space="preserve">Falsified if a part's realizable mark proves illusory — above all if Jio or Retail list below the assumed multiples — or if the discount structurally widens. The market price implies a ~6% discount to his NAV, a touch wider than he judges fair.</w:t>
      </w:r>
    </w:p>
    <w:p>
      <w:pPr>
        <w:pStyle w:val="Heading2"/>
        <w:spacing w:after="100" w:before="200"/>
      </w:pPr>
      <w:r>
        <w:rPr>
          <w:rFonts w:ascii="Calibri" w:cs="Calibri" w:eastAsia="Calibri" w:hAnsi="Calibri"/>
          <w:b/>
          <w:bCs/>
          <w:color w:val="2A8F8F"/>
          <w:sz w:val="25"/>
          <w:szCs w:val="25"/>
        </w:rPr>
        <w:t xml:space="preserve">C.2  Expert 2 — normalized earnings power and relative multiples</w:t>
      </w:r>
    </w:p>
    <w:p>
      <w:pPr>
        <w:keepNext w:val="false"/>
        <w:spacing w:after="120" w:before="0" w:line="264"/>
        <w:jc w:val="left"/>
      </w:pPr>
      <w:r>
        <w:rPr>
          <w:rFonts w:ascii="Calibri" w:cs="Calibri" w:eastAsia="Calibri" w:hAnsi="Calibri"/>
          <w:b/>
          <w:bCs/>
          <w:i w:val="false"/>
          <w:iCs w:val="false"/>
          <w:color w:val="1A1A1A"/>
          <w:sz w:val="21"/>
          <w:szCs w:val="21"/>
        </w:rPr>
        <w:t xml:space="preserve">Worldview.  </w:t>
      </w:r>
      <w:r>
        <w:rPr>
          <w:rFonts w:ascii="Calibri" w:cs="Calibri" w:eastAsia="Calibri" w:hAnsi="Calibri"/>
          <w:b w:val="false"/>
          <w:bCs w:val="false"/>
          <w:i w:val="false"/>
          <w:iCs w:val="false"/>
          <w:color w:val="1A1A1A"/>
          <w:sz w:val="21"/>
          <w:szCs w:val="21"/>
        </w:rPr>
        <w:t xml:space="preserve">An operating group is worth a fair multiple of its sustainable mid-cycle earnings; peaks and troughs are noise to be stripped out, and a growing digital-plus-retail mix earns a premium multiple over a pure refiner.</w:t>
      </w:r>
    </w:p>
    <w:p>
      <w:pPr>
        <w:keepNext w:val="false"/>
        <w:spacing w:after="120" w:before="0" w:line="264"/>
        <w:jc w:val="left"/>
      </w:pPr>
      <w:r>
        <w:rPr>
          <w:rFonts w:ascii="Calibri" w:cs="Calibri" w:eastAsia="Calibri" w:hAnsi="Calibri"/>
          <w:b/>
          <w:bCs/>
          <w:i w:val="false"/>
          <w:iCs w:val="false"/>
          <w:color w:val="1A1A1A"/>
          <w:sz w:val="21"/>
          <w:szCs w:val="21"/>
        </w:rPr>
        <w:t xml:space="preserve">When it works / fails.  </w:t>
      </w:r>
      <w:r>
        <w:rPr>
          <w:rFonts w:ascii="Calibri" w:cs="Calibri" w:eastAsia="Calibri" w:hAnsi="Calibri"/>
          <w:b w:val="false"/>
          <w:bCs w:val="false"/>
          <w:i w:val="false"/>
          <w:iCs w:val="false"/>
          <w:color w:val="1A1A1A"/>
          <w:sz w:val="21"/>
          <w:szCs w:val="21"/>
        </w:rPr>
        <w:t xml:space="preserve">Best for franchises with a compounding track record; it fails at structural breaks — if O2C margins are permanently lower or telecom tariffs stall, the normalization is simply wrong.</w:t>
      </w:r>
    </w:p>
    <w:p>
      <w:pPr>
        <w:keepNext w:val="false"/>
        <w:spacing w:after="120" w:before="0" w:line="264"/>
        <w:jc w:val="left"/>
      </w:pPr>
      <w:r>
        <w:rPr>
          <w:rFonts w:ascii="Calibri" w:cs="Calibri" w:eastAsia="Calibri" w:hAnsi="Calibri"/>
          <w:b/>
          <w:bCs/>
          <w:i w:val="false"/>
          <w:iCs w:val="false"/>
          <w:color w:val="1A1A1A"/>
          <w:sz w:val="21"/>
          <w:szCs w:val="21"/>
        </w:rPr>
        <w:t xml:space="preserve">Standard workings &amp; worked example.  </w:t>
      </w:r>
      <w:r>
        <w:rPr>
          <w:rFonts w:ascii="Calibri" w:cs="Calibri" w:eastAsia="Calibri" w:hAnsi="Calibri"/>
          <w:b w:val="false"/>
          <w:bCs w:val="false"/>
          <w:i w:val="false"/>
          <w:iCs w:val="false"/>
          <w:color w:val="1A1A1A"/>
          <w:sz w:val="21"/>
          <w:szCs w:val="21"/>
        </w:rPr>
        <w:t xml:space="preserve">Normalize the segments to mid-cycle, derive group attributable PAT, apply a justified blended P/E against history and the segment peers.</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6480"/>
        <w:gridCol w:w="3600"/>
      </w:tblGrid>
      <w:tr>
        <w:trPr>
          <w:tblHeader/>
        </w:trPr>
        <w:tc>
          <w:tcPr>
            <w:tcW w:type="dxa" w:w="64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Expert 2's normalization</w:t>
            </w:r>
          </w:p>
        </w:tc>
        <w:tc>
          <w:tcPr>
            <w:tcW w:type="dxa" w:w="36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Value</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Mid-cycle attributable PAT (₹ cr)</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1,05,000</w:t>
            </w:r>
          </w:p>
        </w:tc>
      </w:tr>
      <w:tr>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Shares (cr) → normalized EPS</w:t>
            </w:r>
          </w:p>
        </w:tc>
        <w:tc>
          <w:tcPr>
            <w:tcW w:type="dxa" w:w="36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1,353 → ₹77.6</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Justified blended P/E (growth mix)</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19.6×</w:t>
            </w:r>
          </w:p>
        </w:tc>
      </w:tr>
      <w:tr>
        <w:tc>
          <w:tcPr>
            <w:tcW w:type="dxa" w:w="64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Fair value → ₹1,520/sh</w:t>
            </w:r>
          </w:p>
        </w:tc>
        <w:tc>
          <w:tcPr>
            <w:tcW w:type="dxa" w:w="36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 ₹1,520</w:t>
            </w:r>
          </w:p>
        </w:tc>
      </w:tr>
    </w:tbl>
    <w:p>
      <w:pPr>
        <w:keepNext w:val="false"/>
        <w:spacing w:after="120" w:before="0" w:line="264"/>
        <w:jc w:val="left"/>
      </w:pPr>
      <w:r>
        <w:rPr>
          <w:rFonts w:ascii="Calibri" w:cs="Calibri" w:eastAsia="Calibri" w:hAnsi="Calibri"/>
          <w:b/>
          <w:bCs/>
          <w:i w:val="false"/>
          <w:iCs w:val="false"/>
          <w:color w:val="1A1A1A"/>
          <w:sz w:val="21"/>
          <w:szCs w:val="21"/>
        </w:rPr>
        <w:t xml:space="preserve">Sensitivity (swing = normalized margin / multiple).  </w:t>
      </w:r>
      <w:r>
        <w:rPr>
          <w:rFonts w:ascii="Calibri" w:cs="Calibri" w:eastAsia="Calibri" w:hAnsi="Calibri"/>
          <w:b w:val="false"/>
          <w:bCs w:val="false"/>
          <w:i w:val="false"/>
          <w:iCs w:val="false"/>
          <w:color w:val="1A1A1A"/>
          <w:sz w:val="21"/>
          <w:szCs w:val="21"/>
        </w:rPr>
        <w:t xml:space="preserve">At 17.5× ₹1,358; at 22.5×, ₹1,746.  </w:t>
      </w:r>
      <w:r>
        <w:rPr>
          <w:rFonts w:ascii="Calibri" w:cs="Calibri" w:eastAsia="Calibri" w:hAnsi="Calibri"/>
          <w:b/>
          <w:bCs/>
          <w:i w:val="false"/>
          <w:iCs w:val="false"/>
          <w:color w:val="1A1A1A"/>
          <w:sz w:val="21"/>
          <w:szCs w:val="21"/>
        </w:rPr>
        <w:t xml:space="preserve">Cross-examination.  </w:t>
      </w:r>
      <w:r>
        <w:rPr>
          <w:rFonts w:ascii="Calibri" w:cs="Calibri" w:eastAsia="Calibri" w:hAnsi="Calibri"/>
          <w:b w:val="false"/>
          <w:bCs w:val="false"/>
          <w:i w:val="false"/>
          <w:iCs w:val="false"/>
          <w:color w:val="1A1A1A"/>
          <w:sz w:val="21"/>
          <w:szCs w:val="21"/>
        </w:rPr>
        <w:t xml:space="preserve">He tells Expert 1 that NAV struck on today's numbers understates a business whose digital and retail engines will earn far more mid-cycle; he tells Expert 3 that ROIC pessimism ignores the operating leverage of Jio at scale and Retail's maturing store base.</w:t>
      </w:r>
    </w:p>
    <w:p>
      <w:pPr>
        <w:keepNext w:val="false"/>
        <w:spacing w:after="120" w:before="0" w:line="264"/>
        <w:jc w:val="left"/>
      </w:pPr>
      <w:r>
        <w:rPr>
          <w:rFonts w:ascii="Calibri" w:cs="Calibri" w:eastAsia="Calibri" w:hAnsi="Calibri"/>
          <w:b/>
          <w:bCs/>
          <w:i w:val="false"/>
          <w:iCs w:val="false"/>
          <w:color w:val="1A1A1A"/>
          <w:sz w:val="21"/>
          <w:szCs w:val="21"/>
        </w:rPr>
        <w:t xml:space="preserve">Verdict, falsification, market-implied.  </w:t>
      </w:r>
      <w:r>
        <w:rPr>
          <w:rFonts w:ascii="Calibri" w:cs="Calibri" w:eastAsia="Calibri" w:hAnsi="Calibri"/>
          <w:b/>
          <w:bCs/>
          <w:i w:val="false"/>
          <w:iCs w:val="false"/>
          <w:color w:val="1A1A1A"/>
          <w:sz w:val="21"/>
          <w:szCs w:val="21"/>
        </w:rPr>
        <w:t xml:space="preserve">Fair ₹1,520 (range ₹1,230–1,900) — the most bullish of the three.  </w:t>
      </w:r>
      <w:r>
        <w:rPr>
          <w:rFonts w:ascii="Calibri" w:cs="Calibri" w:eastAsia="Calibri" w:hAnsi="Calibri"/>
          <w:b w:val="false"/>
          <w:bCs w:val="false"/>
          <w:i w:val="false"/>
          <w:iCs w:val="false"/>
          <w:color w:val="1A1A1A"/>
          <w:sz w:val="21"/>
          <w:szCs w:val="21"/>
        </w:rPr>
        <w:t xml:space="preserve">Falsified by a structural margin re-rating down — O2C stuck in a trough or telecom ARPU stalling. The market implies normalized earnings ~15% below his: it does not yet fully credit the growth.</w:t>
      </w:r>
    </w:p>
    <w:p>
      <w:pPr>
        <w:pStyle w:val="Heading2"/>
        <w:spacing w:after="100" w:before="200"/>
      </w:pPr>
      <w:r>
        <w:rPr>
          <w:rFonts w:ascii="Calibri" w:cs="Calibri" w:eastAsia="Calibri" w:hAnsi="Calibri"/>
          <w:b/>
          <w:bCs/>
          <w:color w:val="2A8F8F"/>
          <w:sz w:val="25"/>
          <w:szCs w:val="25"/>
        </w:rPr>
        <w:t xml:space="preserve">C.3  Expert 3 — cash returns: DCF and ROIC versus the cost of capital</w:t>
      </w:r>
    </w:p>
    <w:p>
      <w:pPr>
        <w:keepNext w:val="false"/>
        <w:spacing w:after="120" w:before="0" w:line="264"/>
        <w:jc w:val="left"/>
      </w:pPr>
      <w:r>
        <w:rPr>
          <w:rFonts w:ascii="Calibri" w:cs="Calibri" w:eastAsia="Calibri" w:hAnsi="Calibri"/>
          <w:b/>
          <w:bCs/>
          <w:i w:val="false"/>
          <w:iCs w:val="false"/>
          <w:color w:val="1A1A1A"/>
          <w:sz w:val="21"/>
          <w:szCs w:val="21"/>
        </w:rPr>
        <w:t xml:space="preserve">Worldview.  </w:t>
      </w:r>
      <w:r>
        <w:rPr>
          <w:rFonts w:ascii="Calibri" w:cs="Calibri" w:eastAsia="Calibri" w:hAnsi="Calibri"/>
          <w:b w:val="false"/>
          <w:bCs w:val="false"/>
          <w:i w:val="false"/>
          <w:iCs w:val="false"/>
          <w:color w:val="1A1A1A"/>
          <w:sz w:val="21"/>
          <w:szCs w:val="21"/>
        </w:rPr>
        <w:t xml:space="preserve">A business creates value only when each unit of capital earns above its cost. Cash, not booked profit, is the test; he looks past the income statement to the economic-profit spread — and Reliance has spent a decade of very heavy capital.</w:t>
      </w:r>
    </w:p>
    <w:p>
      <w:pPr>
        <w:keepNext w:val="false"/>
        <w:spacing w:after="120" w:before="0" w:line="264"/>
        <w:jc w:val="left"/>
      </w:pPr>
      <w:r>
        <w:rPr>
          <w:rFonts w:ascii="Calibri" w:cs="Calibri" w:eastAsia="Calibri" w:hAnsi="Calibri"/>
          <w:b/>
          <w:bCs/>
          <w:i w:val="false"/>
          <w:iCs w:val="false"/>
          <w:color w:val="1A1A1A"/>
          <w:sz w:val="21"/>
          <w:szCs w:val="21"/>
        </w:rPr>
        <w:t xml:space="preserve">When it works / fails.  </w:t>
      </w:r>
      <w:r>
        <w:rPr>
          <w:rFonts w:ascii="Calibri" w:cs="Calibri" w:eastAsia="Calibri" w:hAnsi="Calibri"/>
          <w:b w:val="false"/>
          <w:bCs w:val="false"/>
          <w:i w:val="false"/>
          <w:iCs w:val="false"/>
          <w:color w:val="1A1A1A"/>
          <w:sz w:val="21"/>
          <w:szCs w:val="21"/>
        </w:rPr>
        <w:t xml:space="preserve">Best for capital-intensive businesses where returns on capital are the crux — which describes Reliance well; it fails where reinvestment economics are about to change sharply, e.g. if New Energy earns an unexpectedly high return.</w:t>
      </w:r>
    </w:p>
    <w:p>
      <w:pPr>
        <w:keepNext w:val="false"/>
        <w:spacing w:after="120" w:before="0" w:line="264"/>
        <w:jc w:val="left"/>
      </w:pPr>
      <w:r>
        <w:rPr>
          <w:rFonts w:ascii="Calibri" w:cs="Calibri" w:eastAsia="Calibri" w:hAnsi="Calibri"/>
          <w:b/>
          <w:bCs/>
          <w:i w:val="false"/>
          <w:iCs w:val="false"/>
          <w:color w:val="1A1A1A"/>
          <w:sz w:val="21"/>
          <w:szCs w:val="21"/>
        </w:rPr>
        <w:t xml:space="preserve">Standard workings &amp; worked example.  </w:t>
      </w:r>
      <w:r>
        <w:rPr>
          <w:rFonts w:ascii="Calibri" w:cs="Calibri" w:eastAsia="Calibri" w:hAnsi="Calibri"/>
          <w:b w:val="false"/>
          <w:bCs w:val="false"/>
          <w:i w:val="false"/>
          <w:iCs w:val="false"/>
          <w:color w:val="1A1A1A"/>
          <w:sz w:val="21"/>
          <w:szCs w:val="21"/>
        </w:rPr>
        <w:t xml:space="preserve">Build FCFF, compute ROIC against WACC, value as invested capital plus the present value of economic profit, fading excess returns to the cost of capital.</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6480"/>
        <w:gridCol w:w="3600"/>
      </w:tblGrid>
      <w:tr>
        <w:trPr>
          <w:tblHeader/>
        </w:trPr>
        <w:tc>
          <w:tcPr>
            <w:tcW w:type="dxa" w:w="648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Expert 3's economic-profit test</w:t>
            </w:r>
          </w:p>
        </w:tc>
        <w:tc>
          <w:tcPr>
            <w:tcW w:type="dxa" w:w="36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Value</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Normalized NOPAT (₹ cr)</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~1,15,000</w:t>
            </w:r>
          </w:p>
        </w:tc>
      </w:tr>
      <w:tr>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Invested capital (₹ cr)</w:t>
            </w:r>
          </w:p>
        </w:tc>
        <w:tc>
          <w:tcPr>
            <w:tcW w:type="dxa" w:w="36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~13,00,000</w:t>
            </w:r>
          </w:p>
        </w:tc>
      </w:tr>
      <w:tr>
        <w:tc>
          <w:tcPr>
            <w:tcW w:type="dxa" w:w="648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ROIC vs WACC</w:t>
            </w:r>
          </w:p>
        </w:tc>
        <w:tc>
          <w:tcPr>
            <w:tcW w:type="dxa" w:w="360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~8.8% vs ~11.5% → negative spread near-term</w:t>
            </w:r>
          </w:p>
        </w:tc>
      </w:tr>
      <w:tr>
        <w:tc>
          <w:tcPr>
            <w:tcW w:type="dxa" w:w="648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Heavy-capex phase suppresses FCF for years</w:t>
            </w:r>
          </w:p>
        </w:tc>
        <w:tc>
          <w:tcPr>
            <w:tcW w:type="dxa" w:w="360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mark near book</w:t>
            </w:r>
          </w:p>
        </w:tc>
      </w:tr>
      <w:tr>
        <w:tc>
          <w:tcPr>
            <w:tcW w:type="dxa" w:w="6480"/>
            <w:shd w:fill="F3EAD0"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bCs/>
                <w:color w:val="1A1A1A"/>
                <w:sz w:val="19"/>
                <w:szCs w:val="19"/>
              </w:rPr>
              <w:t xml:space="preserve">Fair value → ₹1,300/sh</w:t>
            </w:r>
          </w:p>
        </w:tc>
        <w:tc>
          <w:tcPr>
            <w:tcW w:type="dxa" w:w="3600"/>
            <w:shd w:fill="F3EAD0"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bCs/>
                <w:color w:val="1A1A1A"/>
                <w:sz w:val="19"/>
                <w:szCs w:val="19"/>
              </w:rPr>
              <w:t xml:space="preserve">→ ₹1,300</w:t>
            </w:r>
          </w:p>
        </w:tc>
      </w:tr>
    </w:tbl>
    <w:p>
      <w:pPr>
        <w:keepNext w:val="false"/>
        <w:spacing w:after="120" w:before="0" w:line="264"/>
        <w:jc w:val="left"/>
      </w:pPr>
      <w:r>
        <w:rPr>
          <w:rFonts w:ascii="Calibri" w:cs="Calibri" w:eastAsia="Calibri" w:hAnsi="Calibri"/>
          <w:b/>
          <w:bCs/>
          <w:i w:val="false"/>
          <w:iCs w:val="false"/>
          <w:color w:val="1A1A1A"/>
          <w:sz w:val="21"/>
          <w:szCs w:val="21"/>
        </w:rPr>
        <w:t xml:space="preserve">Sensitivity (swing = WACC / ROIC fade).  </w:t>
      </w:r>
      <w:r>
        <w:rPr>
          <w:rFonts w:ascii="Calibri" w:cs="Calibri" w:eastAsia="Calibri" w:hAnsi="Calibri"/>
          <w:b w:val="false"/>
          <w:bCs w:val="false"/>
          <w:i w:val="false"/>
          <w:iCs w:val="false"/>
          <w:color w:val="1A1A1A"/>
          <w:sz w:val="21"/>
          <w:szCs w:val="21"/>
        </w:rPr>
        <w:t xml:space="preserve">At a 10.5% WACC ₹1,470; at 12.5%, ₹1,150.  </w:t>
      </w:r>
      <w:r>
        <w:rPr>
          <w:rFonts w:ascii="Calibri" w:cs="Calibri" w:eastAsia="Calibri" w:hAnsi="Calibri"/>
          <w:b/>
          <w:bCs/>
          <w:i w:val="false"/>
          <w:iCs w:val="false"/>
          <w:color w:val="1A1A1A"/>
          <w:sz w:val="21"/>
          <w:szCs w:val="21"/>
        </w:rPr>
        <w:t xml:space="preserve">Cross-examination.  </w:t>
      </w:r>
      <w:r>
        <w:rPr>
          <w:rFonts w:ascii="Calibri" w:cs="Calibri" w:eastAsia="Calibri" w:hAnsi="Calibri"/>
          <w:b w:val="false"/>
          <w:bCs w:val="false"/>
          <w:i w:val="false"/>
          <w:iCs w:val="false"/>
          <w:color w:val="1A1A1A"/>
          <w:sz w:val="21"/>
          <w:szCs w:val="21"/>
        </w:rPr>
        <w:t xml:space="preserve">He tells Expert 2 that mid-cycle earnings without the capital cost to produce them is a half-truth — the New Energy and 5G build consume the very cash that a P/E capitalizes; he tells Expert 1 that summing marked parts ignores whether those parts earn their cost of capital today.</w:t>
      </w:r>
    </w:p>
    <w:p>
      <w:pPr>
        <w:keepNext w:val="false"/>
        <w:spacing w:after="120" w:before="0" w:line="264"/>
        <w:jc w:val="left"/>
      </w:pPr>
      <w:r>
        <w:rPr>
          <w:rFonts w:ascii="Calibri" w:cs="Calibri" w:eastAsia="Calibri" w:hAnsi="Calibri"/>
          <w:b/>
          <w:bCs/>
          <w:i w:val="false"/>
          <w:iCs w:val="false"/>
          <w:color w:val="1A1A1A"/>
          <w:sz w:val="21"/>
          <w:szCs w:val="21"/>
        </w:rPr>
        <w:t xml:space="preserve">Verdict, falsification, market-implied.  </w:t>
      </w:r>
      <w:r>
        <w:rPr>
          <w:rFonts w:ascii="Calibri" w:cs="Calibri" w:eastAsia="Calibri" w:hAnsi="Calibri"/>
          <w:b/>
          <w:bCs/>
          <w:i w:val="false"/>
          <w:iCs w:val="false"/>
          <w:color w:val="1A1A1A"/>
          <w:sz w:val="21"/>
          <w:szCs w:val="21"/>
        </w:rPr>
        <w:t xml:space="preserve">Fair ₹1,300 (range ₹1,090–1,650) — the most cautious of the three: fairly valued, little margin of safety.  </w:t>
      </w:r>
      <w:r>
        <w:rPr>
          <w:rFonts w:ascii="Calibri" w:cs="Calibri" w:eastAsia="Calibri" w:hAnsi="Calibri"/>
          <w:b w:val="false"/>
          <w:bCs w:val="false"/>
          <w:i w:val="false"/>
          <w:iCs w:val="false"/>
          <w:color w:val="1A1A1A"/>
          <w:sz w:val="21"/>
          <w:szCs w:val="21"/>
        </w:rPr>
        <w:t xml:space="preserve">Falsified by a durable ROIC lift above WACC — Jio and New Energy sustaining high incremental returns as capex normalises. The market price is almost exactly his number — on a cash-returns basis, the price is about right.</w:t>
      </w:r>
    </w:p>
    <w:p>
      <w:pPr>
        <w:pStyle w:val="Heading2"/>
        <w:spacing w:after="100" w:before="200"/>
      </w:pPr>
      <w:r>
        <w:rPr>
          <w:rFonts w:ascii="Calibri" w:cs="Calibri" w:eastAsia="Calibri" w:hAnsi="Calibri"/>
          <w:b/>
          <w:bCs/>
          <w:color w:val="2A8F8F"/>
          <w:sz w:val="25"/>
          <w:szCs w:val="25"/>
        </w:rPr>
        <w:t xml:space="preserve">C.5  The three in one room</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The single question they most disagree on is whether Reliance's parts are worth more listed and separated than bundled — and whether the capital already spent will earn its keep.</w:t>
      </w:r>
    </w:p>
    <w:p>
      <w:pPr>
        <w:keepNext w:val="false"/>
        <w:spacing w:after="120" w:before="0" w:line="264"/>
        <w:jc w:val="left"/>
      </w:pPr>
      <w:r>
        <w:rPr>
          <w:rFonts w:ascii="Calibri" w:cs="Calibri" w:eastAsia="Calibri" w:hAnsi="Calibri"/>
          <w:b/>
          <w:bCs/>
          <w:i w:val="false"/>
          <w:iCs w:val="false"/>
          <w:color w:val="1A1A1A"/>
          <w:sz w:val="21"/>
          <w:szCs w:val="21"/>
        </w:rPr>
        <w:t xml:space="preserve">Expert 2:  </w:t>
      </w:r>
      <w:r>
        <w:rPr>
          <w:rFonts w:ascii="Calibri" w:cs="Calibri" w:eastAsia="Calibri" w:hAnsi="Calibri"/>
          <w:b w:val="false"/>
          <w:bCs w:val="false"/>
          <w:i w:val="false"/>
          <w:iCs w:val="false"/>
          <w:color w:val="1A1A1A"/>
          <w:sz w:val="21"/>
          <w:szCs w:val="21"/>
        </w:rPr>
        <w:t xml:space="preserve">“Forget the wrapper. Jio at scale and Retail maturing earn about ₹1.05 lakh crore mid-cycle. Put a fair multiple on that mix and you are near ₹1,520 — the market is under-crediting the compounding.”</w:t>
      </w:r>
    </w:p>
    <w:p>
      <w:pPr>
        <w:keepNext w:val="false"/>
        <w:spacing w:after="120" w:before="0" w:line="264"/>
        <w:jc w:val="left"/>
      </w:pPr>
      <w:r>
        <w:rPr>
          <w:rFonts w:ascii="Calibri" w:cs="Calibri" w:eastAsia="Calibri" w:hAnsi="Calibri"/>
          <w:b/>
          <w:bCs/>
          <w:i w:val="false"/>
          <w:iCs w:val="false"/>
          <w:color w:val="1A1A1A"/>
          <w:sz w:val="21"/>
          <w:szCs w:val="21"/>
        </w:rPr>
        <w:t xml:space="preserve">Expert 3:  </w:t>
      </w:r>
      <w:r>
        <w:rPr>
          <w:rFonts w:ascii="Calibri" w:cs="Calibri" w:eastAsia="Calibri" w:hAnsi="Calibri"/>
          <w:b w:val="false"/>
          <w:bCs w:val="false"/>
          <w:i w:val="false"/>
          <w:iCs w:val="false"/>
          <w:color w:val="1A1A1A"/>
          <w:sz w:val="21"/>
          <w:szCs w:val="21"/>
        </w:rPr>
        <w:t xml:space="preserve">“And to earn it, Reliance has poured capital into 5G and now New Energy. Capitalize the earnings, but subtract the cash to make them. The return on capital barely clears — or misses — the hurdle. I credit no premium to book: ₹1,300.”</w:t>
      </w:r>
    </w:p>
    <w:p>
      <w:pPr>
        <w:keepNext w:val="false"/>
        <w:spacing w:after="120" w:before="0" w:line="264"/>
        <w:jc w:val="left"/>
      </w:pPr>
      <w:r>
        <w:rPr>
          <w:rFonts w:ascii="Calibri" w:cs="Calibri" w:eastAsia="Calibri" w:hAnsi="Calibri"/>
          <w:b/>
          <w:bCs/>
          <w:i w:val="false"/>
          <w:iCs w:val="false"/>
          <w:color w:val="1A1A1A"/>
          <w:sz w:val="21"/>
          <w:szCs w:val="21"/>
        </w:rPr>
        <w:t xml:space="preserve">Expert 1:  </w:t>
      </w:r>
      <w:r>
        <w:rPr>
          <w:rFonts w:ascii="Calibri" w:cs="Calibri" w:eastAsia="Calibri" w:hAnsi="Calibri"/>
          <w:b w:val="false"/>
          <w:bCs w:val="false"/>
          <w:i w:val="false"/>
          <w:iCs w:val="false"/>
          <w:color w:val="1A1A1A"/>
          <w:sz w:val="21"/>
          <w:szCs w:val="21"/>
        </w:rPr>
        <w:t xml:space="preserve">“You are both arguing about the engine. Mark the parts — Jio, Retail, O2C, the gas, the balance sheet — and the bundle is worth about ₹1,412 a share pre-discount. The market discounts it ~6%. The argument is the discount and whether the IPO narrows it, not the multiple: ₹1,360.”</w:t>
      </w:r>
    </w:p>
    <w:p>
      <w:pPr>
        <w:pStyle w:val="Heading2"/>
        <w:spacing w:after="100" w:before="200"/>
      </w:pPr>
      <w:r>
        <w:rPr>
          <w:rFonts w:ascii="Calibri" w:cs="Calibri" w:eastAsia="Calibri" w:hAnsi="Calibri"/>
          <w:b/>
          <w:bCs/>
          <w:color w:val="2A8F8F"/>
          <w:sz w:val="25"/>
          <w:szCs w:val="25"/>
        </w:rPr>
        <w:t xml:space="preserve">C.6  Reading the divergence</w:t>
      </w:r>
    </w:p>
    <w:p>
      <w:pPr>
        <w:spacing w:after="4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160" w:before="60"/>
        <w:jc w:val="center"/>
      </w:pPr>
      <w:r>
        <w:rPr>
          <w:rFonts w:ascii="Calibri" w:cs="Calibri" w:eastAsia="Calibri" w:hAnsi="Calibri"/>
          <w:i/>
          <w:iCs/>
          <w:color w:val="6B6B6B"/>
          <w:sz w:val="17"/>
          <w:szCs w:val="17"/>
        </w:rPr>
        <w:t xml:space="preserve">Figure C-1 — The three experts' fair-value ranges. Brass ticks are base cases; the gold band is the central; the dark line is spot. The spread is almost entirely a value-crystallisation and cost-of-capital disagreement.</w:t>
      </w:r>
    </w:p>
    <w:tbl>
      <w:tblPr>
        <w:tblW w:type="dxa" w:w="10080"/>
        <w:tblBorders>
          <w:top w:val="single" w:color="D6DEDE" w:sz="2"/>
          <w:left w:val="none" w:color="FFFFFF" w:sz="0"/>
          <w:bottom w:val="single" w:color="D6DEDE" w:sz="2"/>
          <w:right w:val="none" w:color="FFFFFF" w:sz="0"/>
          <w:insideH w:val="single" w:color="D6DEDE" w:sz="2"/>
          <w:insideV w:val="none" w:color="FFFFFF" w:sz="0"/>
        </w:tblBorders>
      </w:tblPr>
      <w:tblGrid>
        <w:gridCol w:w="2200"/>
        <w:gridCol w:w="3200"/>
        <w:gridCol w:w="2800"/>
        <w:gridCol w:w="1880"/>
      </w:tblGrid>
      <w:tr>
        <w:trPr>
          <w:tblHeader/>
        </w:trPr>
        <w:tc>
          <w:tcPr>
            <w:tcW w:type="dxa" w:w="2200"/>
            <w:shd w:fill="1B5E5E" w:color="auto" w:val="clear"/>
            <w:tcMar>
              <w:top w:type="dxa" w:w="40"/>
              <w:left w:type="dxa" w:w="70"/>
              <w:bottom w:type="dxa" w:w="40"/>
              <w:right w:type="dxa" w:w="70"/>
            </w:tcMar>
            <w:vAlign w:val="center"/>
          </w:tcPr>
          <w:p>
            <w:pPr>
              <w:spacing w:after="0" w:before="0" w:line="240"/>
              <w:jc w:val="left"/>
            </w:pPr>
            <w:r>
              <w:rPr>
                <w:rFonts w:ascii="Calibri" w:cs="Calibri" w:eastAsia="Calibri" w:hAnsi="Calibri"/>
                <w:b/>
                <w:bCs/>
                <w:color w:val="FFFFFF"/>
                <w:sz w:val="19"/>
                <w:szCs w:val="19"/>
              </w:rPr>
              <w:t xml:space="preserve">Expert</w:t>
            </w:r>
          </w:p>
        </w:tc>
        <w:tc>
          <w:tcPr>
            <w:tcW w:type="dxa" w:w="32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Method</w:t>
            </w:r>
          </w:p>
        </w:tc>
        <w:tc>
          <w:tcPr>
            <w:tcW w:type="dxa" w:w="280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Single swing assumption</w:t>
            </w:r>
          </w:p>
        </w:tc>
        <w:tc>
          <w:tcPr>
            <w:tcW w:type="dxa" w:w="1880"/>
            <w:shd w:fill="1B5E5E" w:color="auto" w:val="clear"/>
            <w:tcMar>
              <w:top w:type="dxa" w:w="40"/>
              <w:left w:type="dxa" w:w="70"/>
              <w:bottom w:type="dxa" w:w="40"/>
              <w:right w:type="dxa" w:w="70"/>
            </w:tcMar>
            <w:vAlign w:val="center"/>
          </w:tcPr>
          <w:p>
            <w:pPr>
              <w:spacing w:after="0" w:before="0" w:line="240"/>
              <w:jc w:val="center"/>
            </w:pPr>
            <w:r>
              <w:rPr>
                <w:rFonts w:ascii="Calibri" w:cs="Calibri" w:eastAsia="Calibri" w:hAnsi="Calibri"/>
                <w:b/>
                <w:bCs/>
                <w:color w:val="FFFFFF"/>
                <w:sz w:val="19"/>
                <w:szCs w:val="19"/>
              </w:rPr>
              <w:t xml:space="preserve">Base</w:t>
            </w:r>
          </w:p>
        </w:tc>
      </w:tr>
      <w:tr>
        <w:tc>
          <w:tcPr>
            <w:tcW w:type="dxa" w:w="2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Expert 1</w:t>
            </w:r>
          </w:p>
        </w:tc>
        <w:tc>
          <w:tcPr>
            <w:tcW w:type="dxa" w:w="3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Sum-of-the-parts NAV</w:t>
            </w:r>
          </w:p>
        </w:tc>
        <w:tc>
          <w:tcPr>
            <w:tcW w:type="dxa" w:w="28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Fair holdco discount (4%)</w:t>
            </w:r>
          </w:p>
        </w:tc>
        <w:tc>
          <w:tcPr>
            <w:tcW w:type="dxa" w:w="18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₹1,360</w:t>
            </w:r>
          </w:p>
        </w:tc>
      </w:tr>
      <w:tr>
        <w:tc>
          <w:tcPr>
            <w:tcW w:type="dxa" w:w="22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Expert 2</w:t>
            </w:r>
          </w:p>
        </w:tc>
        <w:tc>
          <w:tcPr>
            <w:tcW w:type="dxa" w:w="32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Normalized earnings power</w:t>
            </w:r>
          </w:p>
        </w:tc>
        <w:tc>
          <w:tcPr>
            <w:tcW w:type="dxa" w:w="2800"/>
            <w:shd w:fill="F6F8F8"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Mid-cycle PAT / ~19.6×</w:t>
            </w:r>
          </w:p>
        </w:tc>
        <w:tc>
          <w:tcPr>
            <w:tcW w:type="dxa" w:w="1880"/>
            <w:shd w:fill="F6F8F8"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₹1,520</w:t>
            </w:r>
          </w:p>
        </w:tc>
      </w:tr>
      <w:tr>
        <w:tc>
          <w:tcPr>
            <w:tcW w:type="dxa" w:w="2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Expert 3</w:t>
            </w:r>
          </w:p>
        </w:tc>
        <w:tc>
          <w:tcPr>
            <w:tcW w:type="dxa" w:w="32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Cash returns / ROIC</w:t>
            </w:r>
          </w:p>
        </w:tc>
        <w:tc>
          <w:tcPr>
            <w:tcW w:type="dxa" w:w="2800"/>
            <w:shd w:fill="FFFFFF" w:color="auto" w:val="clear"/>
            <w:tcMar>
              <w:top w:type="dxa" w:w="30"/>
              <w:left w:type="dxa" w:w="70"/>
              <w:bottom w:type="dxa" w:w="30"/>
              <w:right w:type="dxa" w:w="70"/>
            </w:tcMar>
            <w:vAlign w:val="center"/>
          </w:tcPr>
          <w:p>
            <w:pPr>
              <w:spacing w:after="0" w:before="0" w:line="240"/>
              <w:jc w:val="left"/>
            </w:pPr>
            <w:r>
              <w:rPr>
                <w:rFonts w:ascii="Calibri" w:cs="Calibri" w:eastAsia="Calibri" w:hAnsi="Calibri"/>
                <w:b w:val="false"/>
                <w:bCs w:val="false"/>
                <w:color w:val="1A1A1A"/>
                <w:sz w:val="19"/>
                <w:szCs w:val="19"/>
              </w:rPr>
              <w:t xml:space="preserve">ROIC versus a ~11.5% WACC</w:t>
            </w:r>
          </w:p>
        </w:tc>
        <w:tc>
          <w:tcPr>
            <w:tcW w:type="dxa" w:w="1880"/>
            <w:shd w:fill="FFFFFF" w:color="auto" w:val="clear"/>
            <w:tcMar>
              <w:top w:type="dxa" w:w="30"/>
              <w:left w:type="dxa" w:w="70"/>
              <w:bottom w:type="dxa" w:w="30"/>
              <w:right w:type="dxa" w:w="70"/>
            </w:tcMar>
            <w:vAlign w:val="center"/>
          </w:tcPr>
          <w:p>
            <w:pPr>
              <w:spacing w:after="0" w:before="0" w:line="240"/>
              <w:jc w:val="right"/>
            </w:pPr>
            <w:r>
              <w:rPr>
                <w:rFonts w:ascii="Calibri" w:cs="Calibri" w:eastAsia="Calibri" w:hAnsi="Calibri"/>
                <w:b w:val="false"/>
                <w:bCs w:val="false"/>
                <w:color w:val="1A1A1A"/>
                <w:sz w:val="19"/>
                <w:szCs w:val="19"/>
              </w:rPr>
              <w:t xml:space="preserve">₹1,300</w:t>
            </w:r>
          </w:p>
        </w:tc>
      </w:tr>
    </w:tbl>
    <w:p>
      <w:pPr>
        <w:keepNext w:val="false"/>
        <w:spacing w:after="120" w:before="0" w:line="264"/>
        <w:jc w:val="left"/>
      </w:pPr>
      <w:r>
        <w:rPr>
          <w:rFonts w:ascii="Calibri" w:cs="Calibri" w:eastAsia="Calibri" w:hAnsi="Calibri"/>
          <w:b w:val="false"/>
          <w:bCs w:val="false"/>
          <w:i w:val="false"/>
          <w:iCs w:val="false"/>
          <w:color w:val="1A1A1A"/>
          <w:sz w:val="21"/>
          <w:szCs w:val="21"/>
        </w:rPr>
        <w:t xml:space="preserve">The spread — ₹1,300 to ₹1,520 at base — is moderate, and it is almost entirely a disagreement about crystallisation and the cost of capital: none of the three contests the existence or scale of Jio, Retail or O2C. What separates them is whether the parts earn a premium to their asset base (Expert 2, operating leverage), barely clear their capital cost (Expert 3, the cash to earn it), or are a discount question that a listing resolves (Expert 1). The ₹220 spread is therefore a clean measure of one uncertainty — whether Reliance's next phase converts heavy invested capital and private marks into realised, listed value. Resolve that, and the three converge.</w:t>
      </w:r>
    </w:p>
    <w:p>
      <w:pPr>
        <w:keepNext w:val="false"/>
        <w:spacing w:after="120" w:before="0" w:line="264"/>
        <w:jc w:val="left"/>
      </w:pPr>
      <w:r>
        <w:rPr>
          <w:rFonts w:ascii="Calibri" w:cs="Calibri" w:eastAsia="Calibri" w:hAnsi="Calibri"/>
          <w:b w:val="false"/>
          <w:bCs w:val="false"/>
          <w:i/>
          <w:iCs/>
          <w:color w:val="6B6B6B"/>
          <w:sz w:val="17"/>
          <w:szCs w:val="17"/>
        </w:rPr>
        <w:t xml:space="preserve">Each expert's point fair value (and bull/base/bear) is logged with the study date (06 Jul 2026) and spot (₹1,321.30) as an internal per-expert track record, kept separate from the core Calibration Ledger.</w:t>
      </w:r>
    </w:p>
    <w:p>
      <w:r>
        <w:br w:type="page"/>
      </w:r>
    </w:p>
    <w:p>
      <w:pPr>
        <w:pStyle w:val="Heading1"/>
        <w:spacing w:after="130" w:before="260"/>
      </w:pPr>
      <w:r>
        <w:rPr>
          <w:rFonts w:ascii="Calibri" w:cs="Calibri" w:eastAsia="Calibri" w:hAnsi="Calibri"/>
          <w:b/>
          <w:bCs/>
          <w:color w:val="1B5E5E"/>
          <w:sz w:val="30"/>
          <w:szCs w:val="30"/>
        </w:rPr>
        <w:t xml:space="preserve">About this series</w:t>
      </w:r>
    </w:p>
    <w:p>
      <w:pPr>
        <w:keepNext w:val="false"/>
        <w:spacing w:after="120" w:before="0" w:line="264"/>
        <w:jc w:val="left"/>
      </w:pPr>
      <w:r>
        <w:rPr>
          <w:rFonts w:ascii="Calibri" w:cs="Calibri" w:eastAsia="Calibri" w:hAnsi="Calibri"/>
          <w:b w:val="false"/>
          <w:bCs w:val="false"/>
          <w:i w:val="false"/>
          <w:iCs w:val="false"/>
          <w:color w:val="1A1A1A"/>
          <w:sz w:val="21"/>
          <w:szCs w:val="21"/>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30" w:before="260"/>
      </w:pPr>
      <w:r>
        <w:rPr>
          <w:rFonts w:ascii="Calibri" w:cs="Calibri" w:eastAsia="Calibri" w:hAnsi="Calibri"/>
          <w:b/>
          <w:bCs/>
          <w:color w:val="1B5E5E"/>
          <w:sz w:val="30"/>
          <w:szCs w:val="30"/>
        </w:rPr>
        <w:t xml:space="preserve">Disclosure &amp; Disclaimer</w:t>
      </w:r>
    </w:p>
    <w:p>
      <w:pPr>
        <w:spacing w:after="120" w:line="264"/>
      </w:pPr>
      <w:r>
        <w:rPr>
          <w:rFonts w:ascii="Calibri" w:cs="Calibri" w:eastAsia="Calibri" w:hAnsi="Calibri"/>
          <w:b/>
          <w:bCs/>
          <w:i/>
          <w:iCs/>
          <w:color w:val="1A1A1A"/>
          <w:sz w:val="20"/>
          <w:szCs w:val="20"/>
        </w:rPr>
        <w:t xml:space="preserve">Not investment advice.  </w:t>
      </w:r>
      <w:r>
        <w:rPr>
          <w:rFonts w:ascii="Calibri" w:cs="Calibri" w:eastAsia="Calibri" w:hAnsi="Calibri"/>
          <w:color w:val="1A1A1A"/>
          <w:sz w:val="20"/>
          <w:szCs w:val="20"/>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20" w:line="264"/>
      </w:pPr>
      <w:r>
        <w:rPr>
          <w:rFonts w:ascii="Calibri" w:cs="Calibri" w:eastAsia="Calibri" w:hAnsi="Calibri"/>
          <w:b/>
          <w:bCs/>
          <w:i/>
          <w:iCs/>
          <w:color w:val="1A1A1A"/>
          <w:sz w:val="20"/>
          <w:szCs w:val="20"/>
        </w:rPr>
        <w:t xml:space="preserve">No licence; no advisory relationship.  </w:t>
      </w:r>
      <w:r>
        <w:rPr>
          <w:rFonts w:ascii="Calibri" w:cs="Calibri" w:eastAsia="Calibri" w:hAnsi="Calibri"/>
          <w:color w:val="1A1A1A"/>
          <w:sz w:val="20"/>
          <w:szCs w:val="20"/>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20" w:line="264"/>
      </w:pPr>
      <w:r>
        <w:rPr>
          <w:rFonts w:ascii="Calibri" w:cs="Calibri" w:eastAsia="Calibri" w:hAnsi="Calibri"/>
          <w:b/>
          <w:bCs/>
          <w:i/>
          <w:iCs/>
          <w:color w:val="1A1A1A"/>
          <w:sz w:val="20"/>
          <w:szCs w:val="20"/>
        </w:rPr>
        <w:t xml:space="preserve">Holdings disclosure.  </w:t>
      </w:r>
      <w:r>
        <w:rPr>
          <w:rFonts w:ascii="Calibri" w:cs="Calibri" w:eastAsia="Calibri" w:hAnsi="Calibri"/>
          <w:color w:val="1A1A1A"/>
          <w:sz w:val="20"/>
          <w:szCs w:val="20"/>
        </w:rPr>
        <w:t xml:space="preserve">The preparer may hold, and may in the future take or dispose of, a position in the security discussed in this report, and may transact at any time without notice. This is a potential conflict of interest you should weigh.</w:t>
      </w:r>
    </w:p>
    <w:p>
      <w:pPr>
        <w:spacing w:after="120" w:line="264"/>
      </w:pPr>
      <w:r>
        <w:rPr>
          <w:rFonts w:ascii="Calibri" w:cs="Calibri" w:eastAsia="Calibri" w:hAnsi="Calibri"/>
          <w:b/>
          <w:bCs/>
          <w:i/>
          <w:iCs/>
          <w:color w:val="1A1A1A"/>
          <w:sz w:val="20"/>
          <w:szCs w:val="20"/>
        </w:rPr>
        <w:t xml:space="preserve">Sources &amp; accuracy.  </w:t>
      </w:r>
      <w:r>
        <w:rPr>
          <w:rFonts w:ascii="Calibri" w:cs="Calibri" w:eastAsia="Calibri" w:hAnsi="Calibri"/>
          <w:color w:val="1A1A1A"/>
          <w:sz w:val="20"/>
          <w:szCs w:val="20"/>
        </w:rPr>
        <w:t xml:space="preserve">Reported financial and operating figures are drawn from the company's public disclosure and other public sources believed reliable but not independently verified; they may contain errors or be superseded. Forward-looking inputs — the SOTP marks, the private-business marks on Jio and Retail, the holding-company discount, projections, multiples, the DCF and Monte-Carlo factor probabilities — are the preparer's own judgments and are inherently uncertain.</w:t>
      </w:r>
    </w:p>
    <w:p>
      <w:pPr>
        <w:spacing w:after="120" w:line="264"/>
      </w:pPr>
      <w:r>
        <w:rPr>
          <w:rFonts w:ascii="Calibri" w:cs="Calibri" w:eastAsia="Calibri" w:hAnsi="Calibri"/>
          <w:b/>
          <w:bCs/>
          <w:i/>
          <w:iCs/>
          <w:color w:val="1A1A1A"/>
          <w:sz w:val="20"/>
          <w:szCs w:val="20"/>
        </w:rPr>
        <w:t xml:space="preserve">Forward-looking statements.  </w:t>
      </w:r>
      <w:r>
        <w:rPr>
          <w:rFonts w:ascii="Calibri" w:cs="Calibri" w:eastAsia="Calibri" w:hAnsi="Calibri"/>
          <w:color w:val="1A1A1A"/>
          <w:sz w:val="20"/>
          <w:szCs w:val="20"/>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20" w:line="264"/>
      </w:pPr>
      <w:r>
        <w:rPr>
          <w:rFonts w:ascii="Calibri" w:cs="Calibri" w:eastAsia="Calibri" w:hAnsi="Calibri"/>
          <w:b/>
          <w:bCs/>
          <w:i/>
          <w:iCs/>
          <w:color w:val="1A1A1A"/>
          <w:sz w:val="20"/>
          <w:szCs w:val="20"/>
        </w:rPr>
        <w:t xml:space="preserve">No reliance; your responsibility.  </w:t>
      </w:r>
      <w:r>
        <w:rPr>
          <w:rFonts w:ascii="Calibri" w:cs="Calibri" w:eastAsia="Calibri" w:hAnsi="Calibri"/>
          <w:color w:val="1A1A1A"/>
          <w:sz w:val="20"/>
          <w:szCs w:val="20"/>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20" w:line="264"/>
      </w:pPr>
      <w:r>
        <w:rPr>
          <w:rFonts w:ascii="Calibri" w:cs="Calibri" w:eastAsia="Calibri" w:hAnsi="Calibri"/>
          <w:b/>
          <w:bCs/>
          <w:i/>
          <w:iCs/>
          <w:color w:val="1A1A1A"/>
          <w:sz w:val="20"/>
          <w:szCs w:val="20"/>
        </w:rPr>
        <w:t xml:space="preserve">Currency &amp; figures.  </w:t>
      </w:r>
      <w:r>
        <w:rPr>
          <w:rFonts w:ascii="Calibri" w:cs="Calibri" w:eastAsia="Calibri" w:hAnsi="Calibri"/>
          <w:color w:val="1A1A1A"/>
          <w:sz w:val="20"/>
          <w:szCs w:val="20"/>
        </w:rPr>
        <w:t xml:space="preserve">Figures are in Indian rupees (₹); cr denotes crore and lakh cr denotes 100,000 crore. Rounding may cause totals to differ slightly. Spot price and market data are as of 06 July 2026 and change continuously.</w:t>
      </w:r>
    </w:p>
    <w:p>
      <w:pPr>
        <w:pBdr>
          <w:top w:val="single" w:color="1B5E5E" w:sz="12"/>
        </w:pBdr>
        <w:spacing w:before="220"/>
      </w:pPr>
      <w:r>
        <w:rPr>
          <w:rFonts w:ascii="Calibri" w:cs="Calibri" w:eastAsia="Calibri" w:hAnsi="Calibri"/>
          <w:i/>
          <w:iCs/>
          <w:color w:val="2A8F8F"/>
          <w:sz w:val="17"/>
          <w:szCs w:val="17"/>
        </w:rPr>
        <w:t xml:space="preserve">TESTAHIL · Independent Valuation Study · Educational Analysis · Reliance Industries Limited (NSE: RELIANCE) · edition 06-07-2026 · reporting currency INR</w:t>
      </w:r>
    </w:p>
    <w:p>
      <w:pPr>
        <w:spacing w:before="40"/>
        <w:jc w:val="center"/>
      </w:pPr>
      <w:r>
        <w:rPr>
          <w:rFonts w:ascii="Calibri" w:cs="Calibri" w:eastAsia="Calibri" w:hAnsi="Calibri"/>
          <w:b/>
          <w:bCs/>
          <w:color w:val="1B5E5E"/>
          <w:sz w:val="18"/>
          <w:szCs w:val="18"/>
        </w:rPr>
        <w:t xml:space="preserve">testahil.com</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E" w:sz="2"/>
      </w:pBdr>
      <w:tabs>
        <w:tab w:val="right" w:pos="10080"/>
      </w:tabs>
      <w:spacing w:after="20"/>
    </w:pPr>
    <w:r>
      <w:rPr>
        <w:rFonts w:ascii="Calibri" w:cs="Calibri" w:eastAsia="Calibri" w:hAnsi="Calibri"/>
        <w:color w:val="6B6B6B"/>
        <w:sz w:val="15"/>
        <w:szCs w:val="15"/>
      </w:rPr>
      <w:t xml:space="preserve">Testahil · Independent Valuation Study</w:t>
    </w:r>
    <w:r>
      <w:rPr>
        <w:rFonts w:ascii="Calibri" w:cs="Calibri" w:eastAsia="Calibri" w:hAnsi="Calibri"/>
        <w:color w:val="6B6B6B"/>
        <w:sz w:val="15"/>
        <w:szCs w:val="15"/>
      </w:rPr>
      <w:t xml:space="preserve">	Reliance Industries Ltd (NSE: RELIANCE)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0b5fb75ca113bb8b68436696b144a72c091adf3.png"/><Relationship Id="rId9" Type="http://schemas.openxmlformats.org/officeDocument/2006/relationships/image" Target="media/a82c0ed28bee07ddfca6853c106b599c3ed61659.png"/><Relationship Id="rId10" Type="http://schemas.openxmlformats.org/officeDocument/2006/relationships/image" Target="media/0020e81f65cb38c70730f3e739ffda64e519c747.png"/><Relationship Id="rId11" Type="http://schemas.openxmlformats.org/officeDocument/2006/relationships/image" Target="media/345bf7b887fa79a276f88c4b50a483520bd42872.png"/><Relationship Id="rId12" Type="http://schemas.openxmlformats.org/officeDocument/2006/relationships/image" Target="media/744fecd120a2505a9f7849d8ae1e9ea7942795f8.png"/><Relationship Id="rId13" Type="http://schemas.openxmlformats.org/officeDocument/2006/relationships/image" Target="media/947cc7915e0e6742d8d3b5a24d16d31e2f5b11c6.png"/><Relationship Id="rId14" Type="http://schemas.openxmlformats.org/officeDocument/2006/relationships/image" Target="media/2adaa9777c4086b568074f045ac5a5ecbd4fb2f9.png"/><Relationship Id="rId15" Type="http://schemas.openxmlformats.org/officeDocument/2006/relationships/image" Target="media/f1690c37f2568dbe00ec5553aa470dfc2bd035de.png"/><Relationship Id="rId16" Type="http://schemas.openxmlformats.org/officeDocument/2006/relationships/image" Target="media/a806e457a1b65fa570c64f9fe5ac6f8fb2398cb8.png"/><Relationship Id="rId17" Type="http://schemas.openxmlformats.org/officeDocument/2006/relationships/image" Target="media/a2426aef388a255ce1b5159e18b15290ee113f4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Reliance Industries — Independent Valuation Study</dc:title>
  <dc:creator>Testahil</dc:creator>
  <dc:description>Educational valuation study</dc:description>
  <cp:lastModifiedBy>Un-named</cp:lastModifiedBy>
  <cp:revision>1</cp:revision>
  <dcterms:created xsi:type="dcterms:W3CDTF">2026-07-06T20:20:22.606Z</dcterms:created>
  <dcterms:modified xsi:type="dcterms:W3CDTF">2026-07-06T20:20:22.616Z</dcterms:modified>
</cp:coreProperties>
</file>

<file path=docProps/custom.xml><?xml version="1.0" encoding="utf-8"?>
<Properties xmlns="http://schemas.openxmlformats.org/officeDocument/2006/custom-properties" xmlns:vt="http://schemas.openxmlformats.org/officeDocument/2006/docPropsVTypes"/>
</file>