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single" w:sz="4" w:space="0" w:color="1C3A36"/>
          <w:left w:val="single" w:sz="4" w:space="0" w:color="1C3A36"/>
          <w:bottom w:val="single" w:sz="4" w:space="0" w:color="1C3A36"/>
          <w:right w:val="single" w:sz="4" w:space="0" w:color="1C3A36"/>
          <w:insideH w:val="single" w:sz="4" w:space="0" w:color="1C3A36"/>
          <w:insideV w:val="single" w:sz="4" w:space="0" w:color="1C3A36"/>
        </w:tblBorders>
      </w:tblPr>
      <w:tblGrid>
        <w:gridCol w:w="5083"/>
        <w:gridCol w:w="5083"/>
      </w:tblGrid>
      <w:tr>
        <w:tc>
          <w:tcPr>
            <w:tcW w:type="dxa" w:w="5083"/>
          </w:tcPr>
          <w:p>
            <w:r/>
            <w:r>
              <w:rPr>
                <w:b/>
                <w:color w:val="1C3A36"/>
                <w:sz w:val="18"/>
              </w:rPr>
              <w:t>Testahil  ·  Independent Valuation Study</w:t>
            </w:r>
          </w:p>
        </w:tc>
        <w:tc>
          <w:tcPr>
            <w:tcW w:type="dxa" w:w="5083"/>
          </w:tcPr>
          <w:p>
            <w:pPr>
              <w:jc w:val="right"/>
            </w:pPr>
            <w:r/>
            <w:r>
              <w:rPr>
                <w:i/>
                <w:color w:val="6E7B77"/>
                <w:sz w:val="18"/>
              </w:rPr>
              <w:t>Not investment advice</w:t>
            </w:r>
          </w:p>
        </w:tc>
      </w:tr>
    </w:tbl>
    <w:p>
      <w:pPr>
        <w:spacing w:after="60" w:before="0"/>
      </w:pPr>
      <w:r>
        <w:rPr>
          <w:b w:val="0"/>
          <w:i/>
          <w:color w:val="6E7B77"/>
          <w:sz w:val="18"/>
        </w:rPr>
        <w:t>Independent Valuation Study — Educational Analysis</w:t>
      </w:r>
    </w:p>
    <w:p>
      <w:pPr>
        <w:spacing w:after="100" w:before="260"/>
      </w:pPr>
      <w:r>
        <w:rPr>
          <w:b/>
          <w:i w:val="0"/>
          <w:color w:val="1C3A36"/>
          <w:sz w:val="30"/>
        </w:rPr>
        <w:t>Riyad Bank  (Tadawul: 1010)</w:t>
      </w:r>
    </w:p>
    <w:p>
      <w:pPr>
        <w:spacing w:after="120" w:before="0"/>
      </w:pPr>
      <w:r>
        <w:rPr>
          <w:b w:val="0"/>
          <w:i/>
          <w:color w:val="896F36"/>
          <w:sz w:val="20"/>
        </w:rPr>
        <w:t>Fundamental analysis · Technical analysis · Monte Carlo simulation — one integrated read</w:t>
      </w:r>
    </w:p>
    <w:p>
      <w:pPr>
        <w:spacing w:after="240" w:before="0"/>
      </w:pPr>
      <w:r>
        <w:rPr>
          <w:b/>
          <w:i w:val="0"/>
          <w:color w:val="1C3A36"/>
          <w:sz w:val="20"/>
        </w:rPr>
        <w:t xml:space="preserve">Anchor: </w:t>
      </w:r>
      <w:r>
        <w:rPr>
          <w:b w:val="0"/>
          <w:i w:val="0"/>
          <w:color w:val="1C3A36"/>
          <w:sz w:val="20"/>
        </w:rPr>
        <w:t>SAR 20.23 (07 Jul 2026 close) · ~3,988mn shares (capital SAR 40bn after the 1-for-3 bonus completed Q2-2026) · market cap ~SAR 81bn (~US$22bn) · the third-largest Saudi bank by assets. This is Testahil's first coverage name on the Saudi market (Tadawul).</w:t>
      </w:r>
    </w:p>
    <w:tbl>
      <w:tblPr>
        <w:tblW w:type="auto" w:w="0"/>
        <w:tblLook w:firstColumn="1" w:firstRow="1" w:lastColumn="0" w:lastRow="0" w:noHBand="0" w:noVBand="1" w:val="04A0"/>
        <w:tblBorders>
          <w:top w:val="single" w:sz="4" w:space="0" w:color="F6F1E6"/>
          <w:left w:val="single" w:sz="4" w:space="0" w:color="F6F1E6"/>
          <w:bottom w:val="single" w:sz="4" w:space="0" w:color="F6F1E6"/>
          <w:right w:val="single" w:sz="4" w:space="0" w:color="F6F1E6"/>
          <w:insideH w:val="single" w:sz="4" w:space="0" w:color="F6F1E6"/>
          <w:insideV w:val="single" w:sz="4" w:space="0" w:color="F6F1E6"/>
        </w:tblBorders>
      </w:tblPr>
      <w:tblGrid>
        <w:gridCol w:w="10166"/>
      </w:tblGrid>
      <w:tr>
        <w:tc>
          <w:tcPr>
            <w:tcW w:type="dxa" w:w="10166"/>
            <w:shd w:val="clear" w:color="auto" w:fill="F6F1E6"/>
          </w:tcPr>
          <w:p>
            <w:r/>
            <w:r>
              <w:rPr>
                <w:b/>
                <w:color w:val="1C3A36"/>
                <w:sz w:val="22"/>
              </w:rPr>
              <w:t>READ FIRST — what this is, and what it is not</w:t>
            </w:r>
          </w:p>
          <w:p>
            <w:r>
              <w:rPr>
                <w:color w:val="1C3A36"/>
                <w:sz w:val="18"/>
              </w:rPr>
              <w:t>•  The read: moderately undervalued on the intrinsic lenses, conditional on Riyad Bank defending a mid-teens ROE. Weighted central ≈ SAR 26.6 vs spot SAR 20.23 (~+32%). Sell-side consensus PT is ~SAR 27 (Jefferies Buy at SAR 36.50), so a mid-20s central is conservative relative to the street, not aggressive.</w:t>
            </w:r>
          </w:p>
          <w:p>
            <w:r>
              <w:rPr>
                <w:color w:val="1C3A36"/>
                <w:sz w:val="18"/>
              </w:rPr>
              <w:t>•  The tension worth understanding: RIBL earns ~16% on equity but trades at only ~1.22× book. Discount lenses (DDM SAR 24, normalized floor SAR 21) sit near spot; excess-return lenses (residual income SAR 33, FCFE SAR 32) sit well above. The spread is the question of whether retained capital compounding at 16% is worth crediting, or whether the market's skepticism is right.</w:t>
            </w:r>
          </w:p>
          <w:p>
            <w:r>
              <w:rPr>
                <w:color w:val="1C3A36"/>
                <w:sz w:val="18"/>
              </w:rPr>
              <w:t>•  Cost of equity is built bottom-up: SAR risk-free 5.3% + beta 1.00 × Saudi ERP 5.0% = Ke 10.3%. Do NOT read this as a USD hurdle rate — the riyal's USD peg does not make the SAR and USD curves interchangeable, so the local SAR curve is used throughout.</w:t>
            </w:r>
          </w:p>
          <w:p>
            <w:r>
              <w:rPr>
                <w:color w:val="1C3A36"/>
                <w:sz w:val="18"/>
              </w:rPr>
              <w:t>•  All per-share figures are on the current post-bonus share count (~3,988mn). Some balance-sheet sub-lines are estimated to disclosed totals (Tier-1 sukuk, common-equity split) and flagged where used.</w:t>
            </w:r>
          </w:p>
        </w:tc>
      </w:tr>
    </w:tbl>
    <w:p/>
    <w:p>
      <w:pPr>
        <w:spacing w:after="100" w:before="260"/>
      </w:pPr>
      <w:r>
        <w:rPr>
          <w:b/>
          <w:i w:val="0"/>
          <w:color w:val="1C3A36"/>
          <w:sz w:val="30"/>
        </w:rPr>
        <w:t>Headline</w:t>
      </w:r>
    </w:p>
    <w:p>
      <w:pPr>
        <w:spacing w:after="120" w:before="0"/>
      </w:pPr>
      <w:r>
        <w:rPr>
          <w:b/>
          <w:i w:val="0"/>
          <w:color w:val="1C3A36"/>
          <w:sz w:val="20"/>
        </w:rPr>
        <w:t xml:space="preserve">The model's read: </w:t>
      </w:r>
      <w:r>
        <w:rPr>
          <w:b w:val="0"/>
          <w:i w:val="0"/>
          <w:color w:val="1C3A36"/>
          <w:sz w:val="20"/>
        </w:rPr>
        <w:t>moderately undervalued, on the condition that Riyad Bank sustains a mid-teens return on equity through the SAMA/Fed easing cycle. At SAR 20.23 the bank trades at ~1.22× book and ~8.0× trailing earnings, with a 5.2% dividend yield — a valuation that already prices in meaningful ROE fade. The fundamental lenses span SAR 21 to SAR 33; the weighted central of SAR 26.6 sits ~32% above spot, and spot sits at the low end of the fundamental range — at or just below the cautious floor. The Monte Carlo, which prices near-term travel independent of value, has its median at spot with a 50% three-month band of SAR 19.0–21.6.</w:t>
      </w:r>
    </w:p>
    <w:p>
      <w:pPr>
        <w:spacing w:after="120" w:before="0"/>
      </w:pPr>
      <w:r>
        <w:rPr>
          <w:b w:val="0"/>
          <w:i w:val="0"/>
          <w:color w:val="1C3A36"/>
          <w:sz w:val="19"/>
        </w:rPr>
        <w:t>The bear case, stated fairly. The market is not obviously wrong. A ~1.22× book multiple on a 16% ROE bank is the price of skepticism about persistence: RIBL's FY25 return leaned on a peak net-interest margin and a cost of risk (37bps) near the bottom of its range, both of which normalise as SAMA follows the Fed lower and the benign credit cycle matures. Strip the margin back toward ~2.65% and the cost of risk up toward ~55bps, and the through-cycle ROE settles closer to 13–14% — at which point a ~1.2× book is roughly fair, not cheap. The undervaluation thesis is therefore not a free lunch; it is a bet that RIBL's low-cost deposit franchise (a large share of the book is non-interest-bearing) defends the margin better than the market fears, and that its corporate-and-mortgage book holds asset quality through the cycle. Everything in §1 that follows is, at bottom, a way of pricing that single bet.</w:t>
      </w:r>
    </w:p>
    <w:p>
      <w:pPr>
        <w:spacing w:after="100" w:before="260"/>
      </w:pPr>
      <w:r>
        <w:rPr>
          <w:b/>
          <w:i w:val="0"/>
          <w:color w:val="1C3A36"/>
          <w:sz w:val="30"/>
        </w:rPr>
        <w:t>Valuation summary — every read at a glance</w:t>
      </w:r>
    </w:p>
    <w:p>
      <w:pPr>
        <w:spacing w:after="120" w:before="0"/>
      </w:pPr>
      <w:r>
        <w:rPr>
          <w:b w:val="0"/>
          <w:i w:val="0"/>
          <w:color w:val="1C3A36"/>
          <w:sz w:val="19"/>
        </w:rPr>
        <w:t>One table for the reads that follow — what the bank is worth (fundamental), what the tape is doing (technical), where price could travel over three months (Monte Carlo), and how three independent experts value it.</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41"/>
        <w:gridCol w:w="2541"/>
        <w:gridCol w:w="2541"/>
        <w:gridCol w:w="2541"/>
      </w:tblGrid>
      <w:tr>
        <w:tc>
          <w:tcPr>
            <w:tcW w:type="dxa" w:w="2160"/>
            <w:shd w:val="clear" w:color="auto" w:fill="1C3A36"/>
          </w:tcPr>
          <w:p>
            <w:r/>
            <w:r>
              <w:rPr>
                <w:b/>
                <w:color w:val="FFFFFF"/>
                <w:sz w:val="17"/>
              </w:rPr>
              <w:t>Lens / read</w:t>
            </w:r>
          </w:p>
        </w:tc>
        <w:tc>
          <w:tcPr>
            <w:tcW w:type="dxa" w:w="2736"/>
            <w:shd w:val="clear" w:color="auto" w:fill="1C3A36"/>
          </w:tcPr>
          <w:p>
            <w:r/>
            <w:r>
              <w:rPr>
                <w:b/>
                <w:color w:val="FFFFFF"/>
                <w:sz w:val="17"/>
              </w:rPr>
              <w:t>What it measures</w:t>
            </w:r>
          </w:p>
        </w:tc>
        <w:tc>
          <w:tcPr>
            <w:tcW w:type="dxa" w:w="1440"/>
            <w:shd w:val="clear" w:color="auto" w:fill="1C3A36"/>
          </w:tcPr>
          <w:p>
            <w:r/>
            <w:r>
              <w:rPr>
                <w:b/>
                <w:color w:val="FFFFFF"/>
                <w:sz w:val="17"/>
              </w:rPr>
              <w:t>Output</w:t>
            </w:r>
          </w:p>
        </w:tc>
        <w:tc>
          <w:tcPr>
            <w:tcW w:type="dxa" w:w="3024"/>
            <w:shd w:val="clear" w:color="auto" w:fill="1C3A36"/>
          </w:tcPr>
          <w:p>
            <w:r/>
            <w:r>
              <w:rPr>
                <w:b/>
                <w:color w:val="FFFFFF"/>
                <w:sz w:val="17"/>
              </w:rPr>
              <w:t>Takeaway</w:t>
            </w:r>
          </w:p>
        </w:tc>
      </w:tr>
      <w:tr>
        <w:tc>
          <w:tcPr>
            <w:tcW w:type="dxa" w:w="2160"/>
          </w:tcPr>
          <w:p>
            <w:r/>
            <w:r>
              <w:rPr>
                <w:color w:val="1C3A36"/>
                <w:sz w:val="17"/>
              </w:rPr>
              <w:t>Fundamental — DDM</w:t>
            </w:r>
          </w:p>
        </w:tc>
        <w:tc>
          <w:tcPr>
            <w:tcW w:type="dxa" w:w="2736"/>
          </w:tcPr>
          <w:p>
            <w:r/>
            <w:r>
              <w:rPr>
                <w:color w:val="1C3A36"/>
                <w:sz w:val="17"/>
              </w:rPr>
              <w:t>PV of dividends actually paid</w:t>
            </w:r>
          </w:p>
        </w:tc>
        <w:tc>
          <w:tcPr>
            <w:tcW w:type="dxa" w:w="1440"/>
          </w:tcPr>
          <w:p>
            <w:r/>
            <w:r>
              <w:rPr>
                <w:color w:val="1C3A36"/>
                <w:sz w:val="17"/>
              </w:rPr>
              <w:t>SAR 24</w:t>
            </w:r>
          </w:p>
        </w:tc>
        <w:tc>
          <w:tcPr>
            <w:tcW w:type="dxa" w:w="3024"/>
          </w:tcPr>
          <w:p>
            <w:r/>
            <w:r>
              <w:rPr>
                <w:color w:val="1C3A36"/>
                <w:sz w:val="17"/>
              </w:rPr>
              <w:t>Cautious anchor; still above spot on a 5.2% yield</w:t>
            </w:r>
          </w:p>
        </w:tc>
      </w:tr>
      <w:tr>
        <w:tc>
          <w:tcPr>
            <w:tcW w:type="dxa" w:w="2160"/>
            <w:shd w:val="clear" w:color="auto" w:fill="EFF3F1"/>
          </w:tcPr>
          <w:p>
            <w:r/>
            <w:r>
              <w:rPr>
                <w:color w:val="1C3A36"/>
                <w:sz w:val="17"/>
              </w:rPr>
              <w:t>Fundamental — FCFE</w:t>
            </w:r>
          </w:p>
        </w:tc>
        <w:tc>
          <w:tcPr>
            <w:tcW w:type="dxa" w:w="2736"/>
            <w:shd w:val="clear" w:color="auto" w:fill="EFF3F1"/>
          </w:tcPr>
          <w:p>
            <w:r/>
            <w:r>
              <w:rPr>
                <w:color w:val="1C3A36"/>
                <w:sz w:val="17"/>
              </w:rPr>
              <w:t>PV of distributable capital</w:t>
            </w:r>
          </w:p>
        </w:tc>
        <w:tc>
          <w:tcPr>
            <w:tcW w:type="dxa" w:w="1440"/>
            <w:shd w:val="clear" w:color="auto" w:fill="EFF3F1"/>
          </w:tcPr>
          <w:p>
            <w:r/>
            <w:r>
              <w:rPr>
                <w:color w:val="1C3A36"/>
                <w:sz w:val="17"/>
              </w:rPr>
              <w:t>SAR 32</w:t>
            </w:r>
          </w:p>
        </w:tc>
        <w:tc>
          <w:tcPr>
            <w:tcW w:type="dxa" w:w="3024"/>
            <w:shd w:val="clear" w:color="auto" w:fill="EFF3F1"/>
          </w:tcPr>
          <w:p>
            <w:r/>
            <w:r>
              <w:rPr>
                <w:color w:val="1C3A36"/>
                <w:sz w:val="17"/>
              </w:rPr>
              <w:t>High: bank over-retains at 16% ROE</w:t>
            </w:r>
          </w:p>
        </w:tc>
      </w:tr>
      <w:tr>
        <w:tc>
          <w:tcPr>
            <w:tcW w:type="dxa" w:w="2160"/>
          </w:tcPr>
          <w:p>
            <w:r/>
            <w:r>
              <w:rPr>
                <w:color w:val="1C3A36"/>
                <w:sz w:val="17"/>
              </w:rPr>
              <w:t>Fundamental — residual income</w:t>
            </w:r>
          </w:p>
        </w:tc>
        <w:tc>
          <w:tcPr>
            <w:tcW w:type="dxa" w:w="2736"/>
          </w:tcPr>
          <w:p>
            <w:r/>
            <w:r>
              <w:rPr>
                <w:color w:val="1C3A36"/>
                <w:sz w:val="17"/>
              </w:rPr>
              <w:t>Book value + PV of excess returns</w:t>
            </w:r>
          </w:p>
        </w:tc>
        <w:tc>
          <w:tcPr>
            <w:tcW w:type="dxa" w:w="1440"/>
          </w:tcPr>
          <w:p>
            <w:r/>
            <w:r>
              <w:rPr>
                <w:color w:val="1C3A36"/>
                <w:sz w:val="17"/>
              </w:rPr>
              <w:t>SAR 33</w:t>
            </w:r>
          </w:p>
        </w:tc>
        <w:tc>
          <w:tcPr>
            <w:tcW w:type="dxa" w:w="3024"/>
          </w:tcPr>
          <w:p>
            <w:r/>
            <w:r>
              <w:rPr>
                <w:color w:val="1C3A36"/>
                <w:sz w:val="17"/>
              </w:rPr>
              <w:t>High: full excess-return credit, ~2x book</w:t>
            </w:r>
          </w:p>
        </w:tc>
      </w:tr>
      <w:tr>
        <w:tc>
          <w:tcPr>
            <w:tcW w:type="dxa" w:w="2160"/>
            <w:shd w:val="clear" w:color="auto" w:fill="EFF3F1"/>
          </w:tcPr>
          <w:p>
            <w:r/>
            <w:r>
              <w:rPr>
                <w:color w:val="1C3A36"/>
                <w:sz w:val="17"/>
              </w:rPr>
              <w:t>Fundamental — relative</w:t>
            </w:r>
          </w:p>
        </w:tc>
        <w:tc>
          <w:tcPr>
            <w:tcW w:type="dxa" w:w="2736"/>
            <w:shd w:val="clear" w:color="auto" w:fill="EFF3F1"/>
          </w:tcPr>
          <w:p>
            <w:r/>
            <w:r>
              <w:rPr>
                <w:color w:val="1C3A36"/>
                <w:sz w:val="17"/>
              </w:rPr>
              <w:t>Peer P/B &amp; forward P/E</w:t>
            </w:r>
          </w:p>
        </w:tc>
        <w:tc>
          <w:tcPr>
            <w:tcW w:type="dxa" w:w="1440"/>
            <w:shd w:val="clear" w:color="auto" w:fill="EFF3F1"/>
          </w:tcPr>
          <w:p>
            <w:r/>
            <w:r>
              <w:rPr>
                <w:color w:val="1C3A36"/>
                <w:sz w:val="17"/>
              </w:rPr>
              <w:t>SAR 25</w:t>
            </w:r>
          </w:p>
        </w:tc>
        <w:tc>
          <w:tcPr>
            <w:tcW w:type="dxa" w:w="3024"/>
            <w:shd w:val="clear" w:color="auto" w:fill="EFF3F1"/>
          </w:tcPr>
          <w:p>
            <w:r/>
            <w:r>
              <w:rPr>
                <w:color w:val="1C3A36"/>
                <w:sz w:val="17"/>
              </w:rPr>
              <w:t>Modestly above spot vs sector ~1.4× book</w:t>
            </w:r>
          </w:p>
        </w:tc>
      </w:tr>
      <w:tr>
        <w:tc>
          <w:tcPr>
            <w:tcW w:type="dxa" w:w="2160"/>
          </w:tcPr>
          <w:p>
            <w:r/>
            <w:r>
              <w:rPr>
                <w:color w:val="1C3A36"/>
                <w:sz w:val="17"/>
              </w:rPr>
              <w:t>Fundamental — normalized</w:t>
            </w:r>
          </w:p>
        </w:tc>
        <w:tc>
          <w:tcPr>
            <w:tcW w:type="dxa" w:w="2736"/>
          </w:tcPr>
          <w:p>
            <w:r/>
            <w:r>
              <w:rPr>
                <w:color w:val="1C3A36"/>
                <w:sz w:val="17"/>
              </w:rPr>
              <w:t>Through-cycle ROE floor</w:t>
            </w:r>
          </w:p>
        </w:tc>
        <w:tc>
          <w:tcPr>
            <w:tcW w:type="dxa" w:w="1440"/>
          </w:tcPr>
          <w:p>
            <w:r/>
            <w:r>
              <w:rPr>
                <w:color w:val="1C3A36"/>
                <w:sz w:val="17"/>
              </w:rPr>
              <w:t>SAR 21</w:t>
            </w:r>
          </w:p>
        </w:tc>
        <w:tc>
          <w:tcPr>
            <w:tcW w:type="dxa" w:w="3024"/>
          </w:tcPr>
          <w:p>
            <w:r/>
            <w:r>
              <w:rPr>
                <w:color w:val="1C3A36"/>
                <w:sz w:val="17"/>
              </w:rPr>
              <w:t>The floor; near spot</w:t>
            </w:r>
          </w:p>
        </w:tc>
      </w:tr>
      <w:tr>
        <w:tc>
          <w:tcPr>
            <w:tcW w:type="dxa" w:w="2160"/>
            <w:shd w:val="clear" w:color="auto" w:fill="EFF3F1"/>
          </w:tcPr>
          <w:p>
            <w:r/>
            <w:r>
              <w:rPr>
                <w:color w:val="1C3A36"/>
                <w:sz w:val="17"/>
              </w:rPr>
              <w:t>Fundamental — weighted central</w:t>
            </w:r>
          </w:p>
        </w:tc>
        <w:tc>
          <w:tcPr>
            <w:tcW w:type="dxa" w:w="2736"/>
            <w:shd w:val="clear" w:color="auto" w:fill="EFF3F1"/>
          </w:tcPr>
          <w:p>
            <w:r/>
            <w:r>
              <w:rPr>
                <w:color w:val="1C3A36"/>
                <w:sz w:val="17"/>
              </w:rPr>
              <w:t>Blend of the five</w:t>
            </w:r>
          </w:p>
        </w:tc>
        <w:tc>
          <w:tcPr>
            <w:tcW w:type="dxa" w:w="1440"/>
            <w:shd w:val="clear" w:color="auto" w:fill="EFF3F1"/>
          </w:tcPr>
          <w:p>
            <w:r/>
            <w:r>
              <w:rPr>
                <w:color w:val="1C3A36"/>
                <w:sz w:val="17"/>
              </w:rPr>
              <w:t>SAR 26.6</w:t>
            </w:r>
          </w:p>
        </w:tc>
        <w:tc>
          <w:tcPr>
            <w:tcW w:type="dxa" w:w="3024"/>
            <w:shd w:val="clear" w:color="auto" w:fill="EFF3F1"/>
          </w:tcPr>
          <w:p>
            <w:r/>
            <w:r>
              <w:rPr>
                <w:color w:val="1C3A36"/>
                <w:sz w:val="17"/>
              </w:rPr>
              <w:t>~+32% vs spot</w:t>
            </w:r>
          </w:p>
        </w:tc>
      </w:tr>
      <w:tr>
        <w:tc>
          <w:tcPr>
            <w:tcW w:type="dxa" w:w="2160"/>
          </w:tcPr>
          <w:p>
            <w:r/>
            <w:r>
              <w:rPr>
                <w:color w:val="1C3A36"/>
                <w:sz w:val="17"/>
              </w:rPr>
              <w:t>Technical</w:t>
            </w:r>
          </w:p>
        </w:tc>
        <w:tc>
          <w:tcPr>
            <w:tcW w:type="dxa" w:w="2736"/>
          </w:tcPr>
          <w:p>
            <w:r/>
            <w:r>
              <w:rPr>
                <w:color w:val="1C3A36"/>
                <w:sz w:val="17"/>
              </w:rPr>
              <w:t>Trend / momentum of the tape</w:t>
            </w:r>
          </w:p>
        </w:tc>
        <w:tc>
          <w:tcPr>
            <w:tcW w:type="dxa" w:w="1440"/>
          </w:tcPr>
          <w:p>
            <w:r/>
            <w:r>
              <w:rPr>
                <w:color w:val="1C3A36"/>
                <w:sz w:val="17"/>
              </w:rPr>
              <w:t>Soft, oversold</w:t>
            </w:r>
          </w:p>
        </w:tc>
        <w:tc>
          <w:tcPr>
            <w:tcW w:type="dxa" w:w="3024"/>
          </w:tcPr>
          <w:p>
            <w:r/>
            <w:r>
              <w:rPr>
                <w:color w:val="1C3A36"/>
                <w:sz w:val="17"/>
              </w:rPr>
              <w:t>Below all four MAs; RSI ~27 (oversold)</w:t>
            </w:r>
          </w:p>
        </w:tc>
      </w:tr>
      <w:tr>
        <w:tc>
          <w:tcPr>
            <w:tcW w:type="dxa" w:w="2160"/>
            <w:shd w:val="clear" w:color="auto" w:fill="EFF3F1"/>
          </w:tcPr>
          <w:p>
            <w:r/>
            <w:r>
              <w:rPr>
                <w:color w:val="1C3A36"/>
                <w:sz w:val="17"/>
              </w:rPr>
              <w:t>Monte Carlo — 50% band, T+60</w:t>
            </w:r>
          </w:p>
        </w:tc>
        <w:tc>
          <w:tcPr>
            <w:tcW w:type="dxa" w:w="2736"/>
            <w:shd w:val="clear" w:color="auto" w:fill="EFF3F1"/>
          </w:tcPr>
          <w:p>
            <w:r/>
            <w:r>
              <w:rPr>
                <w:color w:val="1C3A36"/>
                <w:sz w:val="17"/>
              </w:rPr>
              <w:t>3-month price travel</w:t>
            </w:r>
          </w:p>
        </w:tc>
        <w:tc>
          <w:tcPr>
            <w:tcW w:type="dxa" w:w="1440"/>
            <w:shd w:val="clear" w:color="auto" w:fill="EFF3F1"/>
          </w:tcPr>
          <w:p>
            <w:r/>
            <w:r>
              <w:rPr>
                <w:color w:val="1C3A36"/>
                <w:sz w:val="17"/>
              </w:rPr>
              <w:t>SAR 19.0–21.6</w:t>
            </w:r>
          </w:p>
        </w:tc>
        <w:tc>
          <w:tcPr>
            <w:tcW w:type="dxa" w:w="3024"/>
            <w:shd w:val="clear" w:color="auto" w:fill="EFF3F1"/>
          </w:tcPr>
          <w:p>
            <w:r/>
            <w:r>
              <w:rPr>
                <w:color w:val="1C3A36"/>
                <w:sz w:val="17"/>
              </w:rPr>
              <w:t>Median at spot; zero drift by house rule</w:t>
            </w:r>
          </w:p>
        </w:tc>
      </w:tr>
      <w:tr>
        <w:tc>
          <w:tcPr>
            <w:tcW w:type="dxa" w:w="2160"/>
          </w:tcPr>
          <w:p>
            <w:r/>
            <w:r>
              <w:rPr>
                <w:color w:val="1C3A36"/>
                <w:sz w:val="17"/>
              </w:rPr>
              <w:t>Monte Carlo — 90% band, T+60</w:t>
            </w:r>
          </w:p>
        </w:tc>
        <w:tc>
          <w:tcPr>
            <w:tcW w:type="dxa" w:w="2736"/>
          </w:tcPr>
          <w:p>
            <w:r/>
            <w:r>
              <w:rPr>
                <w:color w:val="1C3A36"/>
                <w:sz w:val="17"/>
              </w:rPr>
              <w:t>Tail range</w:t>
            </w:r>
          </w:p>
        </w:tc>
        <w:tc>
          <w:tcPr>
            <w:tcW w:type="dxa" w:w="1440"/>
          </w:tcPr>
          <w:p>
            <w:r/>
            <w:r>
              <w:rPr>
                <w:color w:val="1C3A36"/>
                <w:sz w:val="17"/>
              </w:rPr>
              <w:t>SAR 16.9–24.2</w:t>
            </w:r>
          </w:p>
        </w:tc>
        <w:tc>
          <w:tcPr>
            <w:tcW w:type="dxa" w:w="3024"/>
          </w:tcPr>
          <w:p>
            <w:r/>
            <w:r>
              <w:rPr>
                <w:color w:val="1C3A36"/>
                <w:sz w:val="17"/>
              </w:rPr>
              <w:t>Mild right skew, fat left tail</w:t>
            </w:r>
          </w:p>
        </w:tc>
      </w:tr>
      <w:tr>
        <w:tc>
          <w:tcPr>
            <w:tcW w:type="dxa" w:w="2160"/>
            <w:shd w:val="clear" w:color="auto" w:fill="EFF3F1"/>
          </w:tcPr>
          <w:p>
            <w:r/>
            <w:r>
              <w:rPr>
                <w:color w:val="1C3A36"/>
                <w:sz w:val="17"/>
              </w:rPr>
              <w:t>Expert panel (3, blended)</w:t>
            </w:r>
          </w:p>
        </w:tc>
        <w:tc>
          <w:tcPr>
            <w:tcW w:type="dxa" w:w="2736"/>
            <w:shd w:val="clear" w:color="auto" w:fill="EFF3F1"/>
          </w:tcPr>
          <w:p>
            <w:r/>
            <w:r>
              <w:rPr>
                <w:color w:val="1C3A36"/>
                <w:sz w:val="17"/>
              </w:rPr>
              <w:t>Independent methods</w:t>
            </w:r>
          </w:p>
        </w:tc>
        <w:tc>
          <w:tcPr>
            <w:tcW w:type="dxa" w:w="1440"/>
            <w:shd w:val="clear" w:color="auto" w:fill="EFF3F1"/>
          </w:tcPr>
          <w:p>
            <w:r/>
            <w:r>
              <w:rPr>
                <w:color w:val="1C3A36"/>
                <w:sz w:val="17"/>
              </w:rPr>
              <w:t>~SAR 22–29</w:t>
            </w:r>
          </w:p>
        </w:tc>
        <w:tc>
          <w:tcPr>
            <w:tcW w:type="dxa" w:w="3024"/>
            <w:shd w:val="clear" w:color="auto" w:fill="EFF3F1"/>
          </w:tcPr>
          <w:p>
            <w:r/>
            <w:r>
              <w:rPr>
                <w:color w:val="1C3A36"/>
                <w:sz w:val="17"/>
              </w:rPr>
              <w:t>Converge on undervalued-if-ROE-holds</w:t>
            </w:r>
          </w:p>
        </w:tc>
      </w:tr>
    </w:tbl>
    <w:p>
      <w:pPr>
        <w:spacing w:after="120" w:before="0"/>
      </w:pPr>
      <w:r>
        <w:rPr>
          <w:b/>
          <w:i w:val="0"/>
          <w:color w:val="1C3A36"/>
          <w:sz w:val="20"/>
        </w:rPr>
        <w:t xml:space="preserve">Bottom line.  </w:t>
      </w:r>
      <w:r>
        <w:rPr>
          <w:b w:val="0"/>
          <w:i w:val="0"/>
          <w:color w:val="1C3A36"/>
          <w:sz w:val="20"/>
        </w:rPr>
        <w:t>The reads point the same way on direction — spot below fair — and disagree only on how much credit to give Riyad Bank's retained-earnings machine. The fundamental central near SAR 26.6 is ~32% above spot; the Monte Carlo says the next three months are a coin-flip around spot, weighted very slightly by an oversold tape. The single swing factor is whether a ~16% ROE persists as rates fall.</w:t>
      </w:r>
    </w:p>
    <w:p>
      <w:pPr>
        <w:spacing w:after="100" w:before="260"/>
      </w:pPr>
      <w:r>
        <w:rPr>
          <w:b/>
          <w:i w:val="0"/>
          <w:color w:val="1C3A36"/>
          <w:sz w:val="30"/>
        </w:rPr>
        <w:t>Company overview — Riyad Bank at a glance</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83"/>
        <w:gridCol w:w="5083"/>
      </w:tblGrid>
      <w:tr>
        <w:tc>
          <w:tcPr>
            <w:tcW w:type="dxa" w:w="3600"/>
            <w:shd w:val="clear" w:color="auto" w:fill="1C3A36"/>
          </w:tcPr>
          <w:p>
            <w:r/>
            <w:r>
              <w:rPr>
                <w:b/>
                <w:color w:val="FFFFFF"/>
                <w:sz w:val="17"/>
              </w:rPr>
              <w:t>Item</w:t>
            </w:r>
          </w:p>
        </w:tc>
        <w:tc>
          <w:tcPr>
            <w:tcW w:type="dxa" w:w="5760"/>
            <w:shd w:val="clear" w:color="auto" w:fill="1C3A36"/>
          </w:tcPr>
          <w:p>
            <w:r/>
            <w:r>
              <w:rPr>
                <w:b/>
                <w:color w:val="FFFFFF"/>
                <w:sz w:val="17"/>
              </w:rPr>
              <w:t>Value</w:t>
            </w:r>
          </w:p>
        </w:tc>
      </w:tr>
      <w:tr>
        <w:tc>
          <w:tcPr>
            <w:tcW w:type="dxa" w:w="3600"/>
          </w:tcPr>
          <w:p>
            <w:r/>
            <w:r>
              <w:rPr>
                <w:color w:val="1C3A36"/>
                <w:sz w:val="17"/>
              </w:rPr>
              <w:t>Exchange / ticker</w:t>
            </w:r>
          </w:p>
        </w:tc>
        <w:tc>
          <w:tcPr>
            <w:tcW w:type="dxa" w:w="5760"/>
          </w:tcPr>
          <w:p>
            <w:r/>
            <w:r>
              <w:rPr>
                <w:color w:val="1C3A36"/>
                <w:sz w:val="17"/>
              </w:rPr>
              <w:t>Tadawul (Saudi Exchange) · 1010 · RIBL</w:t>
            </w:r>
          </w:p>
        </w:tc>
      </w:tr>
      <w:tr>
        <w:tc>
          <w:tcPr>
            <w:tcW w:type="dxa" w:w="3600"/>
            <w:shd w:val="clear" w:color="auto" w:fill="EFF3F1"/>
          </w:tcPr>
          <w:p>
            <w:r/>
            <w:r>
              <w:rPr>
                <w:color w:val="1C3A36"/>
                <w:sz w:val="17"/>
              </w:rPr>
              <w:t>Business</w:t>
            </w:r>
          </w:p>
        </w:tc>
        <w:tc>
          <w:tcPr>
            <w:tcW w:type="dxa" w:w="5760"/>
            <w:shd w:val="clear" w:color="auto" w:fill="EFF3F1"/>
          </w:tcPr>
          <w:p>
            <w:r/>
            <w:r>
              <w:rPr>
                <w:color w:val="1C3A36"/>
                <w:sz w:val="17"/>
              </w:rPr>
              <w:t>Universal bank — Retail, Corporate, Treasury &amp; Investments, Investment Banking &amp; Brokerage</w:t>
            </w:r>
          </w:p>
        </w:tc>
      </w:tr>
      <w:tr>
        <w:tc>
          <w:tcPr>
            <w:tcW w:type="dxa" w:w="3600"/>
          </w:tcPr>
          <w:p>
            <w:r/>
            <w:r>
              <w:rPr>
                <w:color w:val="1C3A36"/>
                <w:sz w:val="17"/>
              </w:rPr>
              <w:t>Position</w:t>
            </w:r>
          </w:p>
        </w:tc>
        <w:tc>
          <w:tcPr>
            <w:tcW w:type="dxa" w:w="5760"/>
          </w:tcPr>
          <w:p>
            <w:r/>
            <w:r>
              <w:rPr>
                <w:color w:val="1C3A36"/>
                <w:sz w:val="17"/>
              </w:rPr>
              <w:t>3rd-largest Saudi bank by assets; 334 domestic branches + London/Houston/Singapore</w:t>
            </w:r>
          </w:p>
        </w:tc>
      </w:tr>
      <w:tr>
        <w:tc>
          <w:tcPr>
            <w:tcW w:type="dxa" w:w="3600"/>
            <w:shd w:val="clear" w:color="auto" w:fill="EFF3F1"/>
          </w:tcPr>
          <w:p>
            <w:r/>
            <w:r>
              <w:rPr>
                <w:color w:val="1C3A36"/>
                <w:sz w:val="17"/>
              </w:rPr>
              <w:t>Shares outstanding (post 1-for-3 bonus, Q2-2026)</w:t>
            </w:r>
          </w:p>
        </w:tc>
        <w:tc>
          <w:tcPr>
            <w:tcW w:type="dxa" w:w="5760"/>
            <w:shd w:val="clear" w:color="auto" w:fill="EFF3F1"/>
          </w:tcPr>
          <w:p>
            <w:r/>
            <w:r>
              <w:rPr>
                <w:color w:val="1C3A36"/>
                <w:sz w:val="17"/>
              </w:rPr>
              <w:t>~3,988 million (capital SAR 40bn)</w:t>
            </w:r>
          </w:p>
        </w:tc>
      </w:tr>
      <w:tr>
        <w:tc>
          <w:tcPr>
            <w:tcW w:type="dxa" w:w="3600"/>
          </w:tcPr>
          <w:p>
            <w:r/>
            <w:r>
              <w:rPr>
                <w:color w:val="1C3A36"/>
                <w:sz w:val="17"/>
              </w:rPr>
              <w:t>Market cap (spot SAR 20.23)</w:t>
            </w:r>
          </w:p>
        </w:tc>
        <w:tc>
          <w:tcPr>
            <w:tcW w:type="dxa" w:w="5760"/>
          </w:tcPr>
          <w:p>
            <w:r/>
            <w:r>
              <w:rPr>
                <w:color w:val="1C3A36"/>
                <w:sz w:val="17"/>
              </w:rPr>
              <w:t>~SAR 81bn (~US$22bn)</w:t>
            </w:r>
          </w:p>
        </w:tc>
      </w:tr>
      <w:tr>
        <w:tc>
          <w:tcPr>
            <w:tcW w:type="dxa" w:w="3600"/>
            <w:shd w:val="clear" w:color="auto" w:fill="EFF3F1"/>
          </w:tcPr>
          <w:p>
            <w:r/>
            <w:r>
              <w:rPr>
                <w:color w:val="1C3A36"/>
                <w:sz w:val="17"/>
              </w:rPr>
              <w:t>FY2025 net income</w:t>
            </w:r>
          </w:p>
        </w:tc>
        <w:tc>
          <w:tcPr>
            <w:tcW w:type="dxa" w:w="5760"/>
            <w:shd w:val="clear" w:color="auto" w:fill="EFF3F1"/>
          </w:tcPr>
          <w:p>
            <w:r/>
            <w:r>
              <w:rPr>
                <w:color w:val="1C3A36"/>
                <w:sz w:val="17"/>
              </w:rPr>
              <w:t>SAR 10,411mn (+11.7% YoY)</w:t>
            </w:r>
          </w:p>
        </w:tc>
      </w:tr>
      <w:tr>
        <w:tc>
          <w:tcPr>
            <w:tcW w:type="dxa" w:w="3600"/>
          </w:tcPr>
          <w:p>
            <w:r/>
            <w:r>
              <w:rPr>
                <w:color w:val="1C3A36"/>
                <w:sz w:val="17"/>
              </w:rPr>
              <w:t>FY2025 EPS / DPS (post-bonus)</w:t>
            </w:r>
          </w:p>
        </w:tc>
        <w:tc>
          <w:tcPr>
            <w:tcW w:type="dxa" w:w="5760"/>
          </w:tcPr>
          <w:p>
            <w:r/>
            <w:r>
              <w:rPr>
                <w:color w:val="1C3A36"/>
                <w:sz w:val="17"/>
              </w:rPr>
              <w:t>SAR 2.52 / SAR 1.05 (payout ~42%)</w:t>
            </w:r>
          </w:p>
        </w:tc>
      </w:tr>
      <w:tr>
        <w:tc>
          <w:tcPr>
            <w:tcW w:type="dxa" w:w="3600"/>
            <w:shd w:val="clear" w:color="auto" w:fill="EFF3F1"/>
          </w:tcPr>
          <w:p>
            <w:r/>
            <w:r>
              <w:rPr>
                <w:color w:val="1C3A36"/>
                <w:sz w:val="17"/>
              </w:rPr>
              <w:t>FY2025 ROE / cost-to-income</w:t>
            </w:r>
          </w:p>
        </w:tc>
        <w:tc>
          <w:tcPr>
            <w:tcW w:type="dxa" w:w="5760"/>
            <w:shd w:val="clear" w:color="auto" w:fill="EFF3F1"/>
          </w:tcPr>
          <w:p>
            <w:r/>
            <w:r>
              <w:rPr>
                <w:color w:val="1C3A36"/>
                <w:sz w:val="17"/>
              </w:rPr>
              <w:t>16.9% (disclosed) / 29.6%</w:t>
            </w:r>
          </w:p>
        </w:tc>
      </w:tr>
      <w:tr>
        <w:tc>
          <w:tcPr>
            <w:tcW w:type="dxa" w:w="3600"/>
          </w:tcPr>
          <w:p>
            <w:r/>
            <w:r>
              <w:rPr>
                <w:color w:val="1C3A36"/>
                <w:sz w:val="17"/>
              </w:rPr>
              <w:t>FY2025 NIM</w:t>
            </w:r>
          </w:p>
        </w:tc>
        <w:tc>
          <w:tcPr>
            <w:tcW w:type="dxa" w:w="5760"/>
          </w:tcPr>
          <w:p>
            <w:r/>
            <w:r>
              <w:rPr>
                <w:color w:val="1C3A36"/>
                <w:sz w:val="17"/>
              </w:rPr>
              <w:t>2.88%</w:t>
            </w:r>
          </w:p>
        </w:tc>
      </w:tr>
      <w:tr>
        <w:tc>
          <w:tcPr>
            <w:tcW w:type="dxa" w:w="3600"/>
            <w:shd w:val="clear" w:color="auto" w:fill="EFF3F1"/>
          </w:tcPr>
          <w:p>
            <w:r/>
            <w:r>
              <w:rPr>
                <w:color w:val="1C3A36"/>
                <w:sz w:val="17"/>
              </w:rPr>
              <w:t>Total assets / loans / deposits (FY2025)</w:t>
            </w:r>
          </w:p>
        </w:tc>
        <w:tc>
          <w:tcPr>
            <w:tcW w:type="dxa" w:w="5760"/>
            <w:shd w:val="clear" w:color="auto" w:fill="EFF3F1"/>
          </w:tcPr>
          <w:p>
            <w:r/>
            <w:r>
              <w:rPr>
                <w:color w:val="1C3A36"/>
                <w:sz w:val="17"/>
              </w:rPr>
              <w:t>SAR 519,481mn / 373,305mn / 331,721mn</w:t>
            </w:r>
          </w:p>
        </w:tc>
      </w:tr>
      <w:tr>
        <w:tc>
          <w:tcPr>
            <w:tcW w:type="dxa" w:w="3600"/>
          </w:tcPr>
          <w:p>
            <w:r/>
            <w:r>
              <w:rPr>
                <w:color w:val="1C3A36"/>
                <w:sz w:val="17"/>
              </w:rPr>
              <w:t>Ownership</w:t>
            </w:r>
          </w:p>
        </w:tc>
        <w:tc>
          <w:tcPr>
            <w:tcW w:type="dxa" w:w="5760"/>
          </w:tcPr>
          <w:p>
            <w:r/>
            <w:r>
              <w:rPr>
                <w:color w:val="1C3A36"/>
                <w:sz w:val="17"/>
              </w:rPr>
              <w:t>PIF 21.8%, Government of Saudi Arabia 10.4%</w:t>
            </w:r>
          </w:p>
        </w:tc>
      </w:tr>
      <w:tr>
        <w:tc>
          <w:tcPr>
            <w:tcW w:type="dxa" w:w="3600"/>
            <w:shd w:val="clear" w:color="auto" w:fill="EFF3F1"/>
          </w:tcPr>
          <w:p>
            <w:r/>
            <w:r>
              <w:rPr>
                <w:color w:val="1C3A36"/>
                <w:sz w:val="17"/>
              </w:rPr>
              <w:t>Sovereign rating</w:t>
            </w:r>
          </w:p>
        </w:tc>
        <w:tc>
          <w:tcPr>
            <w:tcW w:type="dxa" w:w="5760"/>
            <w:shd w:val="clear" w:color="auto" w:fill="EFF3F1"/>
          </w:tcPr>
          <w:p>
            <w:r/>
            <w:r>
              <w:rPr>
                <w:color w:val="1C3A36"/>
                <w:sz w:val="17"/>
              </w:rPr>
              <w:t>Saudi Arabia A+ (S&amp;P/Fitch, 2026)</w:t>
            </w:r>
          </w:p>
        </w:tc>
      </w:tr>
      <w:tr>
        <w:tc>
          <w:tcPr>
            <w:tcW w:type="dxa" w:w="3600"/>
          </w:tcPr>
          <w:p>
            <w:r/>
            <w:r>
              <w:rPr>
                <w:color w:val="1C3A36"/>
                <w:sz w:val="17"/>
              </w:rPr>
              <w:t>Valuation (spot)</w:t>
            </w:r>
          </w:p>
        </w:tc>
        <w:tc>
          <w:tcPr>
            <w:tcW w:type="dxa" w:w="5760"/>
          </w:tcPr>
          <w:p>
            <w:r/>
            <w:r>
              <w:rPr>
                <w:color w:val="1C3A36"/>
                <w:sz w:val="17"/>
              </w:rPr>
              <w:t>P/B ~1.22× · P/E ~8.0× · dividend yield 5.2%</w:t>
            </w:r>
          </w:p>
        </w:tc>
      </w:tr>
    </w:tbl>
    <w:p>
      <w:pPr>
        <w:spacing w:after="180" w:before="0"/>
      </w:pPr>
      <w:r>
        <w:rPr>
          <w:b w:val="0"/>
          <w:i/>
          <w:color w:val="6E7B77"/>
          <w:sz w:val="17"/>
        </w:rPr>
        <w:t>Source: Riyad Bank FY2025 results (2 Feb 2026), FY2023 annual report, Q1-2026 results (Apr 2026), Tadawul disclosures, Yahoo Finance balance sheet history. Values rounded; some balance-sheet detail estimated to disclosed totals.</w:t>
      </w:r>
    </w:p>
    <w:p>
      <w:pPr>
        <w:spacing w:after="100" w:before="260"/>
      </w:pPr>
      <w:r>
        <w:rPr>
          <w:b/>
          <w:i w:val="0"/>
          <w:color w:val="1C3A36"/>
          <w:sz w:val="30"/>
        </w:rPr>
        <w:t>1  Fundamental valuation</w:t>
      </w:r>
    </w:p>
    <w:p>
      <w:pPr>
        <w:spacing w:after="120" w:before="0"/>
      </w:pPr>
      <w:r>
        <w:rPr>
          <w:b w:val="0"/>
          <w:i w:val="0"/>
          <w:color w:val="1C3A36"/>
          <w:sz w:val="20"/>
        </w:rPr>
        <w:t>We value Riyad Bank as a bank, and triangulate five lenses. The primary lens is a dividend discount model (DDM), because a mature, profitable, dividend-paying bank is ultimately worth the present value of what it distributes. We cross-check with an equity DCF (FCFE), a residual-income / justified-P/B model, relative multiples, and a normalized-earnings floor. For a bank we do not build a blended WACC — customer deposits and interbank funding are operating inputs, not an optional capital-structure choice — so every lens discounts at the cost of equity, Ke.</w:t>
      </w:r>
    </w:p>
    <w:p>
      <w:pPr>
        <w:spacing w:after="60" w:before="180"/>
      </w:pPr>
      <w:r>
        <w:rPr>
          <w:b/>
          <w:i w:val="0"/>
          <w:color w:val="1C3A36"/>
          <w:sz w:val="23"/>
        </w:rPr>
        <w:t>1.1  Dividend discount model — the primary lens</w:t>
      </w:r>
    </w:p>
    <w:p>
      <w:pPr>
        <w:spacing w:after="120" w:before="0"/>
      </w:pPr>
      <w:r>
        <w:rPr>
          <w:b w:val="0"/>
          <w:i w:val="0"/>
          <w:color w:val="1C3A36"/>
          <w:sz w:val="19"/>
        </w:rPr>
        <w:t>We forecast the dividend per share five years out — net income from the driver model (§1.6), a payout ratio rising gently from ~42% toward ~47% as capital builds post-bonus — discount at Ke = 10.3%, and add a Gordon terminal value at 4.5% growth.</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94"/>
        <w:gridCol w:w="1694"/>
        <w:gridCol w:w="1694"/>
        <w:gridCol w:w="1694"/>
        <w:gridCol w:w="1694"/>
        <w:gridCol w:w="1694"/>
      </w:tblGrid>
      <w:tr>
        <w:tc>
          <w:tcPr>
            <w:tcW w:type="dxa" w:w="2304"/>
            <w:shd w:val="clear" w:color="auto" w:fill="1C3A36"/>
          </w:tcPr>
          <w:p>
            <w:r/>
            <w:r>
              <w:rPr>
                <w:b/>
                <w:color w:val="FFFFFF"/>
                <w:sz w:val="17"/>
              </w:rPr>
              <w:t>DDM build</w:t>
            </w:r>
          </w:p>
        </w:tc>
        <w:tc>
          <w:tcPr>
            <w:tcW w:type="dxa" w:w="1440"/>
            <w:shd w:val="clear" w:color="auto" w:fill="1C3A36"/>
          </w:tcPr>
          <w:p>
            <w:r/>
            <w:r>
              <w:rPr>
                <w:b/>
                <w:color w:val="FFFFFF"/>
                <w:sz w:val="17"/>
              </w:rPr>
              <w:t>FY26E</w:t>
            </w:r>
          </w:p>
        </w:tc>
        <w:tc>
          <w:tcPr>
            <w:tcW w:type="dxa" w:w="1440"/>
            <w:shd w:val="clear" w:color="auto" w:fill="1C3A36"/>
          </w:tcPr>
          <w:p>
            <w:r/>
            <w:r>
              <w:rPr>
                <w:b/>
                <w:color w:val="FFFFFF"/>
                <w:sz w:val="17"/>
              </w:rPr>
              <w:t>FY27E</w:t>
            </w:r>
          </w:p>
        </w:tc>
        <w:tc>
          <w:tcPr>
            <w:tcW w:type="dxa" w:w="1440"/>
            <w:shd w:val="clear" w:color="auto" w:fill="1C3A36"/>
          </w:tcPr>
          <w:p>
            <w:r/>
            <w:r>
              <w:rPr>
                <w:b/>
                <w:color w:val="FFFFFF"/>
                <w:sz w:val="17"/>
              </w:rPr>
              <w:t>FY28E</w:t>
            </w:r>
          </w:p>
        </w:tc>
        <w:tc>
          <w:tcPr>
            <w:tcW w:type="dxa" w:w="1440"/>
            <w:shd w:val="clear" w:color="auto" w:fill="1C3A36"/>
          </w:tcPr>
          <w:p>
            <w:r/>
            <w:r>
              <w:rPr>
                <w:b/>
                <w:color w:val="FFFFFF"/>
                <w:sz w:val="17"/>
              </w:rPr>
              <w:t>FY29E</w:t>
            </w:r>
          </w:p>
        </w:tc>
        <w:tc>
          <w:tcPr>
            <w:tcW w:type="dxa" w:w="1440"/>
            <w:shd w:val="clear" w:color="auto" w:fill="1C3A36"/>
          </w:tcPr>
          <w:p>
            <w:r/>
            <w:r>
              <w:rPr>
                <w:b/>
                <w:color w:val="FFFFFF"/>
                <w:sz w:val="17"/>
              </w:rPr>
              <w:t>FY30E</w:t>
            </w:r>
          </w:p>
        </w:tc>
      </w:tr>
      <w:tr>
        <w:tc>
          <w:tcPr>
            <w:tcW w:type="dxa" w:w="2304"/>
          </w:tcPr>
          <w:p>
            <w:r/>
            <w:r>
              <w:rPr>
                <w:color w:val="1C3A36"/>
                <w:sz w:val="17"/>
              </w:rPr>
              <w:t>DPS (SAR)</w:t>
            </w:r>
          </w:p>
        </w:tc>
        <w:tc>
          <w:tcPr>
            <w:tcW w:type="dxa" w:w="1440"/>
          </w:tcPr>
          <w:p>
            <w:r/>
            <w:r>
              <w:rPr>
                <w:color w:val="1C3A36"/>
                <w:sz w:val="17"/>
              </w:rPr>
              <w:t>1.18</w:t>
            </w:r>
          </w:p>
        </w:tc>
        <w:tc>
          <w:tcPr>
            <w:tcW w:type="dxa" w:w="1440"/>
          </w:tcPr>
          <w:p>
            <w:r/>
            <w:r>
              <w:rPr>
                <w:color w:val="1C3A36"/>
                <w:sz w:val="17"/>
              </w:rPr>
              <w:t>1.30</w:t>
            </w:r>
          </w:p>
        </w:tc>
        <w:tc>
          <w:tcPr>
            <w:tcW w:type="dxa" w:w="1440"/>
          </w:tcPr>
          <w:p>
            <w:r/>
            <w:r>
              <w:rPr>
                <w:color w:val="1C3A36"/>
                <w:sz w:val="17"/>
              </w:rPr>
              <w:t>1.42</w:t>
            </w:r>
          </w:p>
        </w:tc>
        <w:tc>
          <w:tcPr>
            <w:tcW w:type="dxa" w:w="1440"/>
          </w:tcPr>
          <w:p>
            <w:r/>
            <w:r>
              <w:rPr>
                <w:color w:val="1C3A36"/>
                <w:sz w:val="17"/>
              </w:rPr>
              <w:t>1.54</w:t>
            </w:r>
          </w:p>
        </w:tc>
        <w:tc>
          <w:tcPr>
            <w:tcW w:type="dxa" w:w="1440"/>
          </w:tcPr>
          <w:p>
            <w:r/>
            <w:r>
              <w:rPr>
                <w:color w:val="1C3A36"/>
                <w:sz w:val="17"/>
              </w:rPr>
              <w:t>1.66</w:t>
            </w:r>
          </w:p>
        </w:tc>
      </w:tr>
      <w:tr>
        <w:tc>
          <w:tcPr>
            <w:tcW w:type="dxa" w:w="2304"/>
            <w:shd w:val="clear" w:color="auto" w:fill="EFF3F1"/>
          </w:tcPr>
          <w:p>
            <w:r/>
            <w:r>
              <w:rPr>
                <w:color w:val="1C3A36"/>
                <w:sz w:val="17"/>
              </w:rPr>
              <w:t>Discount factor</w:t>
            </w:r>
          </w:p>
        </w:tc>
        <w:tc>
          <w:tcPr>
            <w:tcW w:type="dxa" w:w="1440"/>
            <w:shd w:val="clear" w:color="auto" w:fill="EFF3F1"/>
          </w:tcPr>
          <w:p>
            <w:r/>
            <w:r>
              <w:rPr>
                <w:color w:val="1C3A36"/>
                <w:sz w:val="17"/>
              </w:rPr>
              <w:t>0.907</w:t>
            </w:r>
          </w:p>
        </w:tc>
        <w:tc>
          <w:tcPr>
            <w:tcW w:type="dxa" w:w="1440"/>
            <w:shd w:val="clear" w:color="auto" w:fill="EFF3F1"/>
          </w:tcPr>
          <w:p>
            <w:r/>
            <w:r>
              <w:rPr>
                <w:color w:val="1C3A36"/>
                <w:sz w:val="17"/>
              </w:rPr>
              <w:t>0.822</w:t>
            </w:r>
          </w:p>
        </w:tc>
        <w:tc>
          <w:tcPr>
            <w:tcW w:type="dxa" w:w="1440"/>
            <w:shd w:val="clear" w:color="auto" w:fill="EFF3F1"/>
          </w:tcPr>
          <w:p>
            <w:r/>
            <w:r>
              <w:rPr>
                <w:color w:val="1C3A36"/>
                <w:sz w:val="17"/>
              </w:rPr>
              <w:t>0.745</w:t>
            </w:r>
          </w:p>
        </w:tc>
        <w:tc>
          <w:tcPr>
            <w:tcW w:type="dxa" w:w="1440"/>
            <w:shd w:val="clear" w:color="auto" w:fill="EFF3F1"/>
          </w:tcPr>
          <w:p>
            <w:r/>
            <w:r>
              <w:rPr>
                <w:color w:val="1C3A36"/>
                <w:sz w:val="17"/>
              </w:rPr>
              <w:t>0.676</w:t>
            </w:r>
          </w:p>
        </w:tc>
        <w:tc>
          <w:tcPr>
            <w:tcW w:type="dxa" w:w="1440"/>
            <w:shd w:val="clear" w:color="auto" w:fill="EFF3F1"/>
          </w:tcPr>
          <w:p>
            <w:r/>
            <w:r>
              <w:rPr>
                <w:color w:val="1C3A36"/>
                <w:sz w:val="17"/>
              </w:rPr>
              <w:t>0.613</w:t>
            </w:r>
          </w:p>
        </w:tc>
      </w:tr>
      <w:tr>
        <w:tc>
          <w:tcPr>
            <w:tcW w:type="dxa" w:w="2304"/>
          </w:tcPr>
          <w:p>
            <w:r/>
            <w:r>
              <w:rPr>
                <w:color w:val="1C3A36"/>
                <w:sz w:val="17"/>
              </w:rPr>
              <w:t>PV of dividend (SAR)</w:t>
            </w:r>
          </w:p>
        </w:tc>
        <w:tc>
          <w:tcPr>
            <w:tcW w:type="dxa" w:w="1440"/>
          </w:tcPr>
          <w:p>
            <w:r/>
            <w:r>
              <w:rPr>
                <w:color w:val="1C3A36"/>
                <w:sz w:val="17"/>
              </w:rPr>
              <w:t>1.070</w:t>
            </w:r>
          </w:p>
        </w:tc>
        <w:tc>
          <w:tcPr>
            <w:tcW w:type="dxa" w:w="1440"/>
          </w:tcPr>
          <w:p>
            <w:r/>
            <w:r>
              <w:rPr>
                <w:color w:val="1C3A36"/>
                <w:sz w:val="17"/>
              </w:rPr>
              <w:t>1.069</w:t>
            </w:r>
          </w:p>
        </w:tc>
        <w:tc>
          <w:tcPr>
            <w:tcW w:type="dxa" w:w="1440"/>
          </w:tcPr>
          <w:p>
            <w:r/>
            <w:r>
              <w:rPr>
                <w:color w:val="1C3A36"/>
                <w:sz w:val="17"/>
              </w:rPr>
              <w:t>1.058</w:t>
            </w:r>
          </w:p>
        </w:tc>
        <w:tc>
          <w:tcPr>
            <w:tcW w:type="dxa" w:w="1440"/>
          </w:tcPr>
          <w:p>
            <w:r/>
            <w:r>
              <w:rPr>
                <w:color w:val="1C3A36"/>
                <w:sz w:val="17"/>
              </w:rPr>
              <w:t>1.041</w:t>
            </w:r>
          </w:p>
        </w:tc>
        <w:tc>
          <w:tcPr>
            <w:tcW w:type="dxa" w:w="1440"/>
          </w:tcPr>
          <w:p>
            <w:r/>
            <w:r>
              <w:rPr>
                <w:color w:val="1C3A36"/>
                <w:sz w:val="17"/>
              </w:rPr>
              <w:t>1.019</w:t>
            </w:r>
          </w:p>
        </w:tc>
      </w:tr>
    </w:tbl>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83"/>
        <w:gridCol w:w="5083"/>
      </w:tblGrid>
      <w:tr>
        <w:tc>
          <w:tcPr>
            <w:tcW w:type="dxa" w:w="4608"/>
            <w:shd w:val="clear" w:color="auto" w:fill="1C3A36"/>
          </w:tcPr>
          <w:p>
            <w:r/>
            <w:r>
              <w:rPr>
                <w:b/>
                <w:color w:val="FFFFFF"/>
                <w:sz w:val="17"/>
              </w:rPr>
            </w:r>
          </w:p>
        </w:tc>
        <w:tc>
          <w:tcPr>
            <w:tcW w:type="dxa" w:w="2304"/>
            <w:shd w:val="clear" w:color="auto" w:fill="1C3A36"/>
          </w:tcPr>
          <w:p>
            <w:r/>
            <w:r>
              <w:rPr>
                <w:b/>
                <w:color w:val="FFFFFF"/>
                <w:sz w:val="17"/>
              </w:rPr>
              <w:t>SAR / share</w:t>
            </w:r>
          </w:p>
        </w:tc>
      </w:tr>
      <w:tr>
        <w:tc>
          <w:tcPr>
            <w:tcW w:type="dxa" w:w="4608"/>
          </w:tcPr>
          <w:p>
            <w:r/>
            <w:r>
              <w:rPr>
                <w:color w:val="1C3A36"/>
                <w:sz w:val="17"/>
              </w:rPr>
              <w:t>Σ PV of explicit dividends (FY26–30)</w:t>
            </w:r>
          </w:p>
        </w:tc>
        <w:tc>
          <w:tcPr>
            <w:tcW w:type="dxa" w:w="2304"/>
          </w:tcPr>
          <w:p>
            <w:r/>
            <w:r>
              <w:rPr>
                <w:color w:val="1C3A36"/>
                <w:sz w:val="17"/>
              </w:rPr>
              <w:t>5.26</w:t>
            </w:r>
          </w:p>
        </w:tc>
      </w:tr>
      <w:tr>
        <w:tc>
          <w:tcPr>
            <w:tcW w:type="dxa" w:w="4608"/>
            <w:shd w:val="clear" w:color="auto" w:fill="EFF3F1"/>
          </w:tcPr>
          <w:p>
            <w:r/>
            <w:r>
              <w:rPr>
                <w:color w:val="1C3A36"/>
                <w:sz w:val="17"/>
              </w:rPr>
              <w:t>Terminal DPS (FY31, +4.5%)</w:t>
            </w:r>
          </w:p>
        </w:tc>
        <w:tc>
          <w:tcPr>
            <w:tcW w:type="dxa" w:w="2304"/>
            <w:shd w:val="clear" w:color="auto" w:fill="EFF3F1"/>
          </w:tcPr>
          <w:p>
            <w:r/>
            <w:r>
              <w:rPr>
                <w:color w:val="1C3A36"/>
                <w:sz w:val="17"/>
              </w:rPr>
              <w:t>1.74</w:t>
            </w:r>
          </w:p>
        </w:tc>
      </w:tr>
      <w:tr>
        <w:tc>
          <w:tcPr>
            <w:tcW w:type="dxa" w:w="4608"/>
          </w:tcPr>
          <w:p>
            <w:r/>
            <w:r>
              <w:rPr>
                <w:color w:val="1C3A36"/>
                <w:sz w:val="17"/>
              </w:rPr>
              <w:t>Terminal value at Ke−g (5.8%)</w:t>
            </w:r>
          </w:p>
        </w:tc>
        <w:tc>
          <w:tcPr>
            <w:tcW w:type="dxa" w:w="2304"/>
          </w:tcPr>
          <w:p>
            <w:r/>
            <w:r>
              <w:rPr>
                <w:color w:val="1C3A36"/>
                <w:sz w:val="17"/>
              </w:rPr>
              <w:t>30.0</w:t>
            </w:r>
          </w:p>
        </w:tc>
      </w:tr>
      <w:tr>
        <w:tc>
          <w:tcPr>
            <w:tcW w:type="dxa" w:w="4608"/>
            <w:shd w:val="clear" w:color="auto" w:fill="EFF3F1"/>
          </w:tcPr>
          <w:p>
            <w:r/>
            <w:r>
              <w:rPr>
                <w:color w:val="1C3A36"/>
                <w:sz w:val="17"/>
              </w:rPr>
              <w:t>PV of terminal value</w:t>
            </w:r>
          </w:p>
        </w:tc>
        <w:tc>
          <w:tcPr>
            <w:tcW w:type="dxa" w:w="2304"/>
            <w:shd w:val="clear" w:color="auto" w:fill="EFF3F1"/>
          </w:tcPr>
          <w:p>
            <w:r/>
            <w:r>
              <w:rPr>
                <w:color w:val="1C3A36"/>
                <w:sz w:val="17"/>
              </w:rPr>
              <w:t>18.4</w:t>
            </w:r>
          </w:p>
        </w:tc>
      </w:tr>
      <w:tr>
        <w:tc>
          <w:tcPr>
            <w:tcW w:type="dxa" w:w="4608"/>
          </w:tcPr>
          <w:p>
            <w:r/>
            <w:r>
              <w:rPr>
                <w:color w:val="1C3A36"/>
                <w:sz w:val="17"/>
              </w:rPr>
              <w:t>DDM fair value</w:t>
            </w:r>
          </w:p>
        </w:tc>
        <w:tc>
          <w:tcPr>
            <w:tcW w:type="dxa" w:w="2304"/>
          </w:tcPr>
          <w:p>
            <w:r/>
            <w:r>
              <w:rPr>
                <w:color w:val="1C3A36"/>
                <w:sz w:val="17"/>
              </w:rPr>
              <w:t>23.6</w:t>
            </w:r>
          </w:p>
        </w:tc>
      </w:tr>
      <w:tr>
        <w:tc>
          <w:tcPr>
            <w:tcW w:type="dxa" w:w="4608"/>
            <w:shd w:val="clear" w:color="auto" w:fill="EFF3F1"/>
          </w:tcPr>
          <w:p>
            <w:r/>
            <w:r>
              <w:rPr>
                <w:color w:val="1C3A36"/>
                <w:sz w:val="17"/>
              </w:rPr>
              <w:t>Terminal value as % of DDM</w:t>
            </w:r>
          </w:p>
        </w:tc>
        <w:tc>
          <w:tcPr>
            <w:tcW w:type="dxa" w:w="2304"/>
            <w:shd w:val="clear" w:color="auto" w:fill="EFF3F1"/>
          </w:tcPr>
          <w:p>
            <w:r/>
            <w:r>
              <w:rPr>
                <w:color w:val="1C3A36"/>
                <w:sz w:val="17"/>
              </w:rPr>
              <w:t>78%</w:t>
            </w:r>
          </w:p>
        </w:tc>
      </w:tr>
    </w:tbl>
    <w:p>
      <w:pPr>
        <w:spacing w:after="120" w:before="0"/>
      </w:pPr>
      <w:r>
        <w:rPr>
          <w:b/>
          <w:i w:val="0"/>
          <w:color w:val="1C3A36"/>
          <w:sz w:val="20"/>
        </w:rPr>
        <w:t xml:space="preserve">DDM base ≈ SAR 24/share.  </w:t>
      </w:r>
      <w:r>
        <w:rPr>
          <w:b w:val="0"/>
          <w:i w:val="0"/>
          <w:color w:val="1C3A36"/>
          <w:sz w:val="20"/>
        </w:rPr>
        <w:t>This is the cautious anchor — and unlike a low-yielding compounder, it still lands above spot, because Riyad Bank pays a real 5.2% dividend that is itself close to fair value on distributions alone. The model is terminal-heavy (TV 78% of value), so it is sensitive to the Ke–g spread we sensitise in §1.9.</w:t>
      </w:r>
    </w:p>
    <w:p>
      <w:pPr>
        <w:spacing w:after="60" w:before="180"/>
      </w:pPr>
      <w:r>
        <w:rPr>
          <w:b/>
          <w:i w:val="0"/>
          <w:color w:val="1C3A36"/>
          <w:sz w:val="23"/>
        </w:rPr>
        <w:t>1.2  Discounted cash flow (equity DCF / FCFE)</w:t>
      </w:r>
    </w:p>
    <w:p>
      <w:pPr>
        <w:spacing w:after="120" w:before="0"/>
      </w:pPr>
      <w:r>
        <w:rPr>
          <w:b w:val="0"/>
          <w:i w:val="0"/>
          <w:color w:val="1C3A36"/>
          <w:sz w:val="19"/>
        </w:rPr>
        <w:t>For a bank the relevant cash flow is free cash flow to equity — net income less the common-equity capital that must be retained to fund risk-weighted-asset (RWA) growth at the target ratio. What is left is genuinely distributable, whether or not it is paid.</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83"/>
        <w:gridCol w:w="5083"/>
      </w:tblGrid>
      <w:tr>
        <w:tc>
          <w:tcPr>
            <w:tcW w:type="dxa" w:w="5184"/>
            <w:shd w:val="clear" w:color="auto" w:fill="1C3A36"/>
          </w:tcPr>
          <w:p>
            <w:r/>
            <w:r>
              <w:rPr>
                <w:b/>
                <w:color w:val="FFFFFF"/>
                <w:sz w:val="17"/>
              </w:rPr>
              <w:t>Ke build</w:t>
            </w:r>
          </w:p>
        </w:tc>
        <w:tc>
          <w:tcPr>
            <w:tcW w:type="dxa" w:w="2016"/>
            <w:shd w:val="clear" w:color="auto" w:fill="1C3A36"/>
          </w:tcPr>
          <w:p>
            <w:r/>
            <w:r>
              <w:rPr>
                <w:b/>
                <w:color w:val="FFFFFF"/>
                <w:sz w:val="17"/>
              </w:rPr>
              <w:t>Value</w:t>
            </w:r>
          </w:p>
        </w:tc>
      </w:tr>
      <w:tr>
        <w:tc>
          <w:tcPr>
            <w:tcW w:type="dxa" w:w="5184"/>
          </w:tcPr>
          <w:p>
            <w:r/>
            <w:r>
              <w:rPr>
                <w:color w:val="1C3A36"/>
                <w:sz w:val="17"/>
              </w:rPr>
              <w:t>Risk-free rate (SAR 10Y sukuk)</w:t>
            </w:r>
          </w:p>
        </w:tc>
        <w:tc>
          <w:tcPr>
            <w:tcW w:type="dxa" w:w="2016"/>
          </w:tcPr>
          <w:p>
            <w:r/>
            <w:r>
              <w:rPr>
                <w:color w:val="1C3A36"/>
                <w:sz w:val="17"/>
              </w:rPr>
              <w:t>5.3%</w:t>
            </w:r>
          </w:p>
        </w:tc>
      </w:tr>
      <w:tr>
        <w:tc>
          <w:tcPr>
            <w:tcW w:type="dxa" w:w="5184"/>
            <w:shd w:val="clear" w:color="auto" w:fill="EFF3F1"/>
          </w:tcPr>
          <w:p>
            <w:r/>
            <w:r>
              <w:rPr>
                <w:color w:val="1C3A36"/>
                <w:sz w:val="17"/>
              </w:rPr>
              <w:t>Equity risk premium (Damodaran Jan-2026, Saudi)</w:t>
            </w:r>
          </w:p>
        </w:tc>
        <w:tc>
          <w:tcPr>
            <w:tcW w:type="dxa" w:w="2016"/>
            <w:shd w:val="clear" w:color="auto" w:fill="EFF3F1"/>
          </w:tcPr>
          <w:p>
            <w:r/>
            <w:r>
              <w:rPr>
                <w:color w:val="1C3A36"/>
                <w:sz w:val="17"/>
              </w:rPr>
              <w:t>5.0%</w:t>
            </w:r>
          </w:p>
        </w:tc>
      </w:tr>
      <w:tr>
        <w:tc>
          <w:tcPr>
            <w:tcW w:type="dxa" w:w="5184"/>
          </w:tcPr>
          <w:p>
            <w:r/>
            <w:r>
              <w:rPr>
                <w:color w:val="1C3A36"/>
                <w:sz w:val="17"/>
              </w:rPr>
              <w:t>Beta (assumed — no reliable TASI regression)</w:t>
            </w:r>
          </w:p>
        </w:tc>
        <w:tc>
          <w:tcPr>
            <w:tcW w:type="dxa" w:w="2016"/>
          </w:tcPr>
          <w:p>
            <w:r/>
            <w:r>
              <w:rPr>
                <w:color w:val="1C3A36"/>
                <w:sz w:val="17"/>
              </w:rPr>
              <w:t>1.00</w:t>
            </w:r>
          </w:p>
        </w:tc>
      </w:tr>
      <w:tr>
        <w:tc>
          <w:tcPr>
            <w:tcW w:type="dxa" w:w="5184"/>
            <w:shd w:val="clear" w:color="auto" w:fill="EFF3F1"/>
          </w:tcPr>
          <w:p>
            <w:r/>
            <w:r>
              <w:rPr>
                <w:color w:val="1C3A36"/>
                <w:sz w:val="17"/>
              </w:rPr>
              <w:t>Cost of equity Ke = rf + β·ERP</w:t>
            </w:r>
          </w:p>
        </w:tc>
        <w:tc>
          <w:tcPr>
            <w:tcW w:type="dxa" w:w="2016"/>
            <w:shd w:val="clear" w:color="auto" w:fill="EFF3F1"/>
          </w:tcPr>
          <w:p>
            <w:r/>
            <w:r>
              <w:rPr>
                <w:color w:val="1C3A36"/>
                <w:sz w:val="17"/>
              </w:rPr>
              <w:t>10.3%</w:t>
            </w:r>
          </w:p>
        </w:tc>
      </w:tr>
    </w:tbl>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94"/>
        <w:gridCol w:w="1694"/>
        <w:gridCol w:w="1694"/>
        <w:gridCol w:w="1694"/>
        <w:gridCol w:w="1694"/>
        <w:gridCol w:w="1694"/>
      </w:tblGrid>
      <w:tr>
        <w:tc>
          <w:tcPr>
            <w:tcW w:type="dxa" w:w="2880"/>
            <w:shd w:val="clear" w:color="auto" w:fill="1C3A36"/>
          </w:tcPr>
          <w:p>
            <w:r/>
            <w:r>
              <w:rPr>
                <w:b/>
                <w:color w:val="FFFFFF"/>
                <w:sz w:val="17"/>
              </w:rPr>
              <w:t>FCFE build (SAR mn)</w:t>
            </w:r>
          </w:p>
        </w:tc>
        <w:tc>
          <w:tcPr>
            <w:tcW w:type="dxa" w:w="1296"/>
            <w:shd w:val="clear" w:color="auto" w:fill="1C3A36"/>
          </w:tcPr>
          <w:p>
            <w:r/>
            <w:r>
              <w:rPr>
                <w:b/>
                <w:color w:val="FFFFFF"/>
                <w:sz w:val="17"/>
              </w:rPr>
              <w:t>FY26E</w:t>
            </w:r>
          </w:p>
        </w:tc>
        <w:tc>
          <w:tcPr>
            <w:tcW w:type="dxa" w:w="1296"/>
            <w:shd w:val="clear" w:color="auto" w:fill="1C3A36"/>
          </w:tcPr>
          <w:p>
            <w:r/>
            <w:r>
              <w:rPr>
                <w:b/>
                <w:color w:val="FFFFFF"/>
                <w:sz w:val="17"/>
              </w:rPr>
              <w:t>FY27E</w:t>
            </w:r>
          </w:p>
        </w:tc>
        <w:tc>
          <w:tcPr>
            <w:tcW w:type="dxa" w:w="1296"/>
            <w:shd w:val="clear" w:color="auto" w:fill="1C3A36"/>
          </w:tcPr>
          <w:p>
            <w:r/>
            <w:r>
              <w:rPr>
                <w:b/>
                <w:color w:val="FFFFFF"/>
                <w:sz w:val="17"/>
              </w:rPr>
              <w:t>FY28E</w:t>
            </w:r>
          </w:p>
        </w:tc>
        <w:tc>
          <w:tcPr>
            <w:tcW w:type="dxa" w:w="1296"/>
            <w:shd w:val="clear" w:color="auto" w:fill="1C3A36"/>
          </w:tcPr>
          <w:p>
            <w:r/>
            <w:r>
              <w:rPr>
                <w:b/>
                <w:color w:val="FFFFFF"/>
                <w:sz w:val="17"/>
              </w:rPr>
              <w:t>FY29E</w:t>
            </w:r>
          </w:p>
        </w:tc>
        <w:tc>
          <w:tcPr>
            <w:tcW w:type="dxa" w:w="1296"/>
            <w:shd w:val="clear" w:color="auto" w:fill="1C3A36"/>
          </w:tcPr>
          <w:p>
            <w:r/>
            <w:r>
              <w:rPr>
                <w:b/>
                <w:color w:val="FFFFFF"/>
                <w:sz w:val="17"/>
              </w:rPr>
              <w:t>FY30E</w:t>
            </w:r>
          </w:p>
        </w:tc>
      </w:tr>
      <w:tr>
        <w:tc>
          <w:tcPr>
            <w:tcW w:type="dxa" w:w="2880"/>
          </w:tcPr>
          <w:p>
            <w:r/>
            <w:r>
              <w:rPr>
                <w:color w:val="1C3A36"/>
                <w:sz w:val="17"/>
              </w:rPr>
              <w:t>Net income</w:t>
            </w:r>
          </w:p>
        </w:tc>
        <w:tc>
          <w:tcPr>
            <w:tcW w:type="dxa" w:w="1296"/>
          </w:tcPr>
          <w:p>
            <w:r/>
            <w:r>
              <w:rPr>
                <w:color w:val="1C3A36"/>
                <w:sz w:val="17"/>
              </w:rPr>
              <w:t>11,296</w:t>
            </w:r>
          </w:p>
        </w:tc>
        <w:tc>
          <w:tcPr>
            <w:tcW w:type="dxa" w:w="1296"/>
          </w:tcPr>
          <w:p>
            <w:r/>
            <w:r>
              <w:rPr>
                <w:color w:val="1C3A36"/>
                <w:sz w:val="17"/>
              </w:rPr>
              <w:t>12,143</w:t>
            </w:r>
          </w:p>
        </w:tc>
        <w:tc>
          <w:tcPr>
            <w:tcW w:type="dxa" w:w="1296"/>
          </w:tcPr>
          <w:p>
            <w:r/>
            <w:r>
              <w:rPr>
                <w:color w:val="1C3A36"/>
                <w:sz w:val="17"/>
              </w:rPr>
              <w:t>12,932</w:t>
            </w:r>
          </w:p>
        </w:tc>
        <w:tc>
          <w:tcPr>
            <w:tcW w:type="dxa" w:w="1296"/>
          </w:tcPr>
          <w:p>
            <w:r/>
            <w:r>
              <w:rPr>
                <w:color w:val="1C3A36"/>
                <w:sz w:val="17"/>
              </w:rPr>
              <w:t>13,708</w:t>
            </w:r>
          </w:p>
        </w:tc>
        <w:tc>
          <w:tcPr>
            <w:tcW w:type="dxa" w:w="1296"/>
          </w:tcPr>
          <w:p>
            <w:r/>
            <w:r>
              <w:rPr>
                <w:color w:val="1C3A36"/>
                <w:sz w:val="17"/>
              </w:rPr>
              <w:t>14,462</w:t>
            </w:r>
          </w:p>
        </w:tc>
      </w:tr>
      <w:tr>
        <w:tc>
          <w:tcPr>
            <w:tcW w:type="dxa" w:w="2880"/>
            <w:shd w:val="clear" w:color="auto" w:fill="EFF3F1"/>
          </w:tcPr>
          <w:p>
            <w:r/>
            <w:r>
              <w:rPr>
                <w:color w:val="1C3A36"/>
                <w:sz w:val="17"/>
              </w:rPr>
              <w:t>− capital retained for RWA growth</w:t>
            </w:r>
          </w:p>
        </w:tc>
        <w:tc>
          <w:tcPr>
            <w:tcW w:type="dxa" w:w="1296"/>
            <w:shd w:val="clear" w:color="auto" w:fill="EFF3F1"/>
          </w:tcPr>
          <w:p>
            <w:r/>
            <w:r>
              <w:rPr>
                <w:color w:val="1C3A36"/>
                <w:sz w:val="17"/>
              </w:rPr>
              <w:t>5,117</w:t>
            </w:r>
          </w:p>
        </w:tc>
        <w:tc>
          <w:tcPr>
            <w:tcW w:type="dxa" w:w="1296"/>
            <w:shd w:val="clear" w:color="auto" w:fill="EFF3F1"/>
          </w:tcPr>
          <w:p>
            <w:r/>
            <w:r>
              <w:rPr>
                <w:color w:val="1C3A36"/>
                <w:sz w:val="17"/>
              </w:rPr>
              <w:t>5,245</w:t>
            </w:r>
          </w:p>
        </w:tc>
        <w:tc>
          <w:tcPr>
            <w:tcW w:type="dxa" w:w="1296"/>
            <w:shd w:val="clear" w:color="auto" w:fill="EFF3F1"/>
          </w:tcPr>
          <w:p>
            <w:r/>
            <w:r>
              <w:rPr>
                <w:color w:val="1C3A36"/>
                <w:sz w:val="17"/>
              </w:rPr>
              <w:t>5,336</w:t>
            </w:r>
          </w:p>
        </w:tc>
        <w:tc>
          <w:tcPr>
            <w:tcW w:type="dxa" w:w="1296"/>
            <w:shd w:val="clear" w:color="auto" w:fill="EFF3F1"/>
          </w:tcPr>
          <w:p>
            <w:r/>
            <w:r>
              <w:rPr>
                <w:color w:val="1C3A36"/>
                <w:sz w:val="17"/>
              </w:rPr>
              <w:t>5,382</w:t>
            </w:r>
          </w:p>
        </w:tc>
        <w:tc>
          <w:tcPr>
            <w:tcW w:type="dxa" w:w="1296"/>
            <w:shd w:val="clear" w:color="auto" w:fill="EFF3F1"/>
          </w:tcPr>
          <w:p>
            <w:r/>
            <w:r>
              <w:rPr>
                <w:color w:val="1C3A36"/>
                <w:sz w:val="17"/>
              </w:rPr>
              <w:t>5,381</w:t>
            </w:r>
          </w:p>
        </w:tc>
      </w:tr>
      <w:tr>
        <w:tc>
          <w:tcPr>
            <w:tcW w:type="dxa" w:w="2880"/>
          </w:tcPr>
          <w:p>
            <w:r/>
            <w:r>
              <w:rPr>
                <w:color w:val="1C3A36"/>
                <w:sz w:val="17"/>
              </w:rPr>
              <w:t>= FCFE</w:t>
            </w:r>
          </w:p>
        </w:tc>
        <w:tc>
          <w:tcPr>
            <w:tcW w:type="dxa" w:w="1296"/>
          </w:tcPr>
          <w:p>
            <w:r/>
            <w:r>
              <w:rPr>
                <w:color w:val="1C3A36"/>
                <w:sz w:val="17"/>
              </w:rPr>
              <w:t>6,179</w:t>
            </w:r>
          </w:p>
        </w:tc>
        <w:tc>
          <w:tcPr>
            <w:tcW w:type="dxa" w:w="1296"/>
          </w:tcPr>
          <w:p>
            <w:r/>
            <w:r>
              <w:rPr>
                <w:color w:val="1C3A36"/>
                <w:sz w:val="17"/>
              </w:rPr>
              <w:t>6,898</w:t>
            </w:r>
          </w:p>
        </w:tc>
        <w:tc>
          <w:tcPr>
            <w:tcW w:type="dxa" w:w="1296"/>
          </w:tcPr>
          <w:p>
            <w:r/>
            <w:r>
              <w:rPr>
                <w:color w:val="1C3A36"/>
                <w:sz w:val="17"/>
              </w:rPr>
              <w:t>7,596</w:t>
            </w:r>
          </w:p>
        </w:tc>
        <w:tc>
          <w:tcPr>
            <w:tcW w:type="dxa" w:w="1296"/>
          </w:tcPr>
          <w:p>
            <w:r/>
            <w:r>
              <w:rPr>
                <w:color w:val="1C3A36"/>
                <w:sz w:val="17"/>
              </w:rPr>
              <w:t>8,326</w:t>
            </w:r>
          </w:p>
        </w:tc>
        <w:tc>
          <w:tcPr>
            <w:tcW w:type="dxa" w:w="1296"/>
          </w:tcPr>
          <w:p>
            <w:r/>
            <w:r>
              <w:rPr>
                <w:color w:val="1C3A36"/>
                <w:sz w:val="17"/>
              </w:rPr>
              <w:t>9,081</w:t>
            </w:r>
          </w:p>
        </w:tc>
      </w:tr>
      <w:tr>
        <w:tc>
          <w:tcPr>
            <w:tcW w:type="dxa" w:w="2880"/>
            <w:shd w:val="clear" w:color="auto" w:fill="EFF3F1"/>
          </w:tcPr>
          <w:p>
            <w:r/>
            <w:r>
              <w:rPr>
                <w:color w:val="1C3A36"/>
                <w:sz w:val="17"/>
              </w:rPr>
              <w:t>PV of FCFE</w:t>
            </w:r>
          </w:p>
        </w:tc>
        <w:tc>
          <w:tcPr>
            <w:tcW w:type="dxa" w:w="1296"/>
            <w:shd w:val="clear" w:color="auto" w:fill="EFF3F1"/>
          </w:tcPr>
          <w:p>
            <w:r/>
            <w:r>
              <w:rPr>
                <w:color w:val="1C3A36"/>
                <w:sz w:val="17"/>
              </w:rPr>
              <w:t>5,602</w:t>
            </w:r>
          </w:p>
        </w:tc>
        <w:tc>
          <w:tcPr>
            <w:tcW w:type="dxa" w:w="1296"/>
            <w:shd w:val="clear" w:color="auto" w:fill="EFF3F1"/>
          </w:tcPr>
          <w:p>
            <w:r/>
            <w:r>
              <w:rPr>
                <w:color w:val="1C3A36"/>
                <w:sz w:val="17"/>
              </w:rPr>
              <w:t>5,670</w:t>
            </w:r>
          </w:p>
        </w:tc>
        <w:tc>
          <w:tcPr>
            <w:tcW w:type="dxa" w:w="1296"/>
            <w:shd w:val="clear" w:color="auto" w:fill="EFF3F1"/>
          </w:tcPr>
          <w:p>
            <w:r/>
            <w:r>
              <w:rPr>
                <w:color w:val="1C3A36"/>
                <w:sz w:val="17"/>
              </w:rPr>
              <w:t>5,661</w:t>
            </w:r>
          </w:p>
        </w:tc>
        <w:tc>
          <w:tcPr>
            <w:tcW w:type="dxa" w:w="1296"/>
            <w:shd w:val="clear" w:color="auto" w:fill="EFF3F1"/>
          </w:tcPr>
          <w:p>
            <w:r/>
            <w:r>
              <w:rPr>
                <w:color w:val="1C3A36"/>
                <w:sz w:val="17"/>
              </w:rPr>
              <w:t>5,625</w:t>
            </w:r>
          </w:p>
        </w:tc>
        <w:tc>
          <w:tcPr>
            <w:tcW w:type="dxa" w:w="1296"/>
            <w:shd w:val="clear" w:color="auto" w:fill="EFF3F1"/>
          </w:tcPr>
          <w:p>
            <w:r/>
            <w:r>
              <w:rPr>
                <w:color w:val="1C3A36"/>
                <w:sz w:val="17"/>
              </w:rPr>
              <w:t>5,562</w:t>
            </w:r>
          </w:p>
        </w:tc>
      </w:tr>
    </w:tbl>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83"/>
        <w:gridCol w:w="5083"/>
      </w:tblGrid>
      <w:tr>
        <w:tc>
          <w:tcPr>
            <w:tcW w:type="dxa" w:w="4608"/>
            <w:shd w:val="clear" w:color="auto" w:fill="1C3A36"/>
          </w:tcPr>
          <w:p>
            <w:r/>
            <w:r>
              <w:rPr>
                <w:b/>
                <w:color w:val="FFFFFF"/>
                <w:sz w:val="17"/>
              </w:rPr>
            </w:r>
          </w:p>
        </w:tc>
        <w:tc>
          <w:tcPr>
            <w:tcW w:type="dxa" w:w="2304"/>
            <w:shd w:val="clear" w:color="auto" w:fill="1C3A36"/>
          </w:tcPr>
          <w:p>
            <w:r/>
            <w:r>
              <w:rPr>
                <w:b/>
                <w:color w:val="FFFFFF"/>
                <w:sz w:val="17"/>
              </w:rPr>
              <w:t>SAR mn / share</w:t>
            </w:r>
          </w:p>
        </w:tc>
      </w:tr>
      <w:tr>
        <w:tc>
          <w:tcPr>
            <w:tcW w:type="dxa" w:w="4608"/>
          </w:tcPr>
          <w:p>
            <w:r/>
            <w:r>
              <w:rPr>
                <w:color w:val="1C3A36"/>
                <w:sz w:val="17"/>
              </w:rPr>
              <w:t>Σ PV of explicit FCFE</w:t>
            </w:r>
          </w:p>
        </w:tc>
        <w:tc>
          <w:tcPr>
            <w:tcW w:type="dxa" w:w="2304"/>
          </w:tcPr>
          <w:p>
            <w:r/>
            <w:r>
              <w:rPr>
                <w:color w:val="1C3A36"/>
                <w:sz w:val="17"/>
              </w:rPr>
              <w:t>28,120</w:t>
            </w:r>
          </w:p>
        </w:tc>
      </w:tr>
      <w:tr>
        <w:tc>
          <w:tcPr>
            <w:tcW w:type="dxa" w:w="4608"/>
            <w:shd w:val="clear" w:color="auto" w:fill="EFF3F1"/>
          </w:tcPr>
          <w:p>
            <w:r/>
            <w:r>
              <w:rPr>
                <w:color w:val="1C3A36"/>
                <w:sz w:val="17"/>
              </w:rPr>
              <w:t>PV of terminal FCFE</w:t>
            </w:r>
          </w:p>
        </w:tc>
        <w:tc>
          <w:tcPr>
            <w:tcW w:type="dxa" w:w="2304"/>
            <w:shd w:val="clear" w:color="auto" w:fill="EFF3F1"/>
          </w:tcPr>
          <w:p>
            <w:r/>
            <w:r>
              <w:rPr>
                <w:color w:val="1C3A36"/>
                <w:sz w:val="17"/>
              </w:rPr>
              <w:t>100,222</w:t>
            </w:r>
          </w:p>
        </w:tc>
      </w:tr>
      <w:tr>
        <w:tc>
          <w:tcPr>
            <w:tcW w:type="dxa" w:w="4608"/>
          </w:tcPr>
          <w:p>
            <w:r/>
            <w:r>
              <w:rPr>
                <w:color w:val="1C3A36"/>
                <w:sz w:val="17"/>
              </w:rPr>
              <w:t>Equity value</w:t>
            </w:r>
          </w:p>
        </w:tc>
        <w:tc>
          <w:tcPr>
            <w:tcW w:type="dxa" w:w="2304"/>
          </w:tcPr>
          <w:p>
            <w:r/>
            <w:r>
              <w:rPr>
                <w:color w:val="1C3A36"/>
                <w:sz w:val="17"/>
              </w:rPr>
              <w:t>128,342</w:t>
            </w:r>
          </w:p>
        </w:tc>
      </w:tr>
      <w:tr>
        <w:tc>
          <w:tcPr>
            <w:tcW w:type="dxa" w:w="4608"/>
            <w:shd w:val="clear" w:color="auto" w:fill="EFF3F1"/>
          </w:tcPr>
          <w:p>
            <w:r/>
            <w:r>
              <w:rPr>
                <w:color w:val="1C3A36"/>
                <w:sz w:val="17"/>
              </w:rPr>
              <w:t>÷ shares (3,988mn) = FCFE value / share</w:t>
            </w:r>
          </w:p>
        </w:tc>
        <w:tc>
          <w:tcPr>
            <w:tcW w:type="dxa" w:w="2304"/>
            <w:shd w:val="clear" w:color="auto" w:fill="EFF3F1"/>
          </w:tcPr>
          <w:p>
            <w:r/>
            <w:r>
              <w:rPr>
                <w:color w:val="1C3A36"/>
                <w:sz w:val="17"/>
              </w:rPr>
              <w:t>SAR 32.2</w:t>
            </w:r>
          </w:p>
        </w:tc>
      </w:tr>
    </w:tbl>
    <w:p>
      <w:pPr>
        <w:spacing w:after="120" w:before="0"/>
      </w:pPr>
      <w:r>
        <w:rPr>
          <w:b w:val="0"/>
          <w:i w:val="0"/>
          <w:color w:val="1C3A36"/>
          <w:sz w:val="19"/>
        </w:rPr>
        <w:t>The FCFE base of SAR 32 sits well above the DDM because Riyad Bank retains more than it distributes: it earns more than it needs to fund RWA growth and pays out only ~42%, so its potential dividend (FCFE) is larger than the actual dividend the DDM discounts. This lens is the most aggressive and the most retention-dependent — its value is only realised if that retained capital keeps earning ~16%.</w:t>
      </w:r>
    </w:p>
    <w:p>
      <w:pPr>
        <w:spacing w:after="60" w:before="180"/>
      </w:pPr>
      <w:r>
        <w:rPr>
          <w:b/>
          <w:i w:val="0"/>
          <w:color w:val="1C3A36"/>
          <w:sz w:val="23"/>
        </w:rPr>
        <w:t>1.3  Residual income valuation</w:t>
      </w:r>
    </w:p>
    <w:p>
      <w:pPr>
        <w:spacing w:after="120" w:before="0"/>
      </w:pPr>
      <w:r>
        <w:rPr>
          <w:b w:val="0"/>
          <w:i w:val="0"/>
          <w:color w:val="1C3A36"/>
          <w:sz w:val="19"/>
        </w:rPr>
        <w:t>The residual-income model is how a bank specialist most naturally values a bank — it is the sole primary model our regional reference house (EFG Hermes) uses across its bank coverage. A bank creates value only in the years it earns more than its cost of equity on its book: residual income = net income − (Ke × opening book value). Fair value = today's book value + the present value of five years of residual income + a terminal value.</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94"/>
        <w:gridCol w:w="1694"/>
        <w:gridCol w:w="1694"/>
        <w:gridCol w:w="1694"/>
        <w:gridCol w:w="1694"/>
        <w:gridCol w:w="1694"/>
      </w:tblGrid>
      <w:tr>
        <w:tc>
          <w:tcPr>
            <w:tcW w:type="dxa" w:w="2880"/>
            <w:shd w:val="clear" w:color="auto" w:fill="1C3A36"/>
          </w:tcPr>
          <w:p>
            <w:r/>
            <w:r>
              <w:rPr>
                <w:b/>
                <w:color w:val="FFFFFF"/>
                <w:sz w:val="17"/>
              </w:rPr>
              <w:t>Residual income build (SAR mn)</w:t>
            </w:r>
          </w:p>
        </w:tc>
        <w:tc>
          <w:tcPr>
            <w:tcW w:type="dxa" w:w="1296"/>
            <w:shd w:val="clear" w:color="auto" w:fill="1C3A36"/>
          </w:tcPr>
          <w:p>
            <w:r/>
            <w:r>
              <w:rPr>
                <w:b/>
                <w:color w:val="FFFFFF"/>
                <w:sz w:val="17"/>
              </w:rPr>
              <w:t>FY26E</w:t>
            </w:r>
          </w:p>
        </w:tc>
        <w:tc>
          <w:tcPr>
            <w:tcW w:type="dxa" w:w="1296"/>
            <w:shd w:val="clear" w:color="auto" w:fill="1C3A36"/>
          </w:tcPr>
          <w:p>
            <w:r/>
            <w:r>
              <w:rPr>
                <w:b/>
                <w:color w:val="FFFFFF"/>
                <w:sz w:val="17"/>
              </w:rPr>
              <w:t>FY27E</w:t>
            </w:r>
          </w:p>
        </w:tc>
        <w:tc>
          <w:tcPr>
            <w:tcW w:type="dxa" w:w="1296"/>
            <w:shd w:val="clear" w:color="auto" w:fill="1C3A36"/>
          </w:tcPr>
          <w:p>
            <w:r/>
            <w:r>
              <w:rPr>
                <w:b/>
                <w:color w:val="FFFFFF"/>
                <w:sz w:val="17"/>
              </w:rPr>
              <w:t>FY28E</w:t>
            </w:r>
          </w:p>
        </w:tc>
        <w:tc>
          <w:tcPr>
            <w:tcW w:type="dxa" w:w="1296"/>
            <w:shd w:val="clear" w:color="auto" w:fill="1C3A36"/>
          </w:tcPr>
          <w:p>
            <w:r/>
            <w:r>
              <w:rPr>
                <w:b/>
                <w:color w:val="FFFFFF"/>
                <w:sz w:val="17"/>
              </w:rPr>
              <w:t>FY29E</w:t>
            </w:r>
          </w:p>
        </w:tc>
        <w:tc>
          <w:tcPr>
            <w:tcW w:type="dxa" w:w="1296"/>
            <w:shd w:val="clear" w:color="auto" w:fill="1C3A36"/>
          </w:tcPr>
          <w:p>
            <w:r/>
            <w:r>
              <w:rPr>
                <w:b/>
                <w:color w:val="FFFFFF"/>
                <w:sz w:val="17"/>
              </w:rPr>
              <w:t>FY30E</w:t>
            </w:r>
          </w:p>
        </w:tc>
      </w:tr>
      <w:tr>
        <w:tc>
          <w:tcPr>
            <w:tcW w:type="dxa" w:w="2880"/>
          </w:tcPr>
          <w:p>
            <w:r/>
            <w:r>
              <w:rPr>
                <w:color w:val="1C3A36"/>
                <w:sz w:val="17"/>
              </w:rPr>
              <w:t>Opening book value (common equity)</w:t>
            </w:r>
          </w:p>
        </w:tc>
        <w:tc>
          <w:tcPr>
            <w:tcW w:type="dxa" w:w="1296"/>
          </w:tcPr>
          <w:p>
            <w:r/>
            <w:r>
              <w:rPr>
                <w:color w:val="1C3A36"/>
                <w:sz w:val="17"/>
              </w:rPr>
              <w:t>66,000</w:t>
            </w:r>
          </w:p>
        </w:tc>
        <w:tc>
          <w:tcPr>
            <w:tcW w:type="dxa" w:w="1296"/>
          </w:tcPr>
          <w:p>
            <w:r/>
            <w:r>
              <w:rPr>
                <w:color w:val="1C3A36"/>
                <w:sz w:val="17"/>
              </w:rPr>
              <w:t>72,239</w:t>
            </w:r>
          </w:p>
        </w:tc>
        <w:tc>
          <w:tcPr>
            <w:tcW w:type="dxa" w:w="1296"/>
          </w:tcPr>
          <w:p>
            <w:r/>
            <w:r>
              <w:rPr>
                <w:color w:val="1C3A36"/>
                <w:sz w:val="17"/>
              </w:rPr>
              <w:t>78,843</w:t>
            </w:r>
          </w:p>
        </w:tc>
        <w:tc>
          <w:tcPr>
            <w:tcW w:type="dxa" w:w="1296"/>
          </w:tcPr>
          <w:p>
            <w:r/>
            <w:r>
              <w:rPr>
                <w:color w:val="1C3A36"/>
                <w:sz w:val="17"/>
              </w:rPr>
              <w:t>85,764</w:t>
            </w:r>
          </w:p>
        </w:tc>
        <w:tc>
          <w:tcPr>
            <w:tcW w:type="dxa" w:w="1296"/>
          </w:tcPr>
          <w:p>
            <w:r/>
            <w:r>
              <w:rPr>
                <w:color w:val="1C3A36"/>
                <w:sz w:val="17"/>
              </w:rPr>
              <w:t>92,977</w:t>
            </w:r>
          </w:p>
        </w:tc>
      </w:tr>
      <w:tr>
        <w:tc>
          <w:tcPr>
            <w:tcW w:type="dxa" w:w="2880"/>
            <w:shd w:val="clear" w:color="auto" w:fill="EFF3F1"/>
          </w:tcPr>
          <w:p>
            <w:r/>
            <w:r>
              <w:rPr>
                <w:color w:val="1C3A36"/>
                <w:sz w:val="17"/>
              </w:rPr>
              <w:t>Net income to common</w:t>
            </w:r>
          </w:p>
        </w:tc>
        <w:tc>
          <w:tcPr>
            <w:tcW w:type="dxa" w:w="1296"/>
            <w:shd w:val="clear" w:color="auto" w:fill="EFF3F1"/>
          </w:tcPr>
          <w:p>
            <w:r/>
            <w:r>
              <w:rPr>
                <w:color w:val="1C3A36"/>
                <w:sz w:val="17"/>
              </w:rPr>
              <w:t>10,946</w:t>
            </w:r>
          </w:p>
        </w:tc>
        <w:tc>
          <w:tcPr>
            <w:tcW w:type="dxa" w:w="1296"/>
            <w:shd w:val="clear" w:color="auto" w:fill="EFF3F1"/>
          </w:tcPr>
          <w:p>
            <w:r/>
            <w:r>
              <w:rPr>
                <w:color w:val="1C3A36"/>
                <w:sz w:val="17"/>
              </w:rPr>
              <w:t>11,793</w:t>
            </w:r>
          </w:p>
        </w:tc>
        <w:tc>
          <w:tcPr>
            <w:tcW w:type="dxa" w:w="1296"/>
            <w:shd w:val="clear" w:color="auto" w:fill="EFF3F1"/>
          </w:tcPr>
          <w:p>
            <w:r/>
            <w:r>
              <w:rPr>
                <w:color w:val="1C3A36"/>
                <w:sz w:val="17"/>
              </w:rPr>
              <w:t>12,582</w:t>
            </w:r>
          </w:p>
        </w:tc>
        <w:tc>
          <w:tcPr>
            <w:tcW w:type="dxa" w:w="1296"/>
            <w:shd w:val="clear" w:color="auto" w:fill="EFF3F1"/>
          </w:tcPr>
          <w:p>
            <w:r/>
            <w:r>
              <w:rPr>
                <w:color w:val="1C3A36"/>
                <w:sz w:val="17"/>
              </w:rPr>
              <w:t>13,358</w:t>
            </w:r>
          </w:p>
        </w:tc>
        <w:tc>
          <w:tcPr>
            <w:tcW w:type="dxa" w:w="1296"/>
            <w:shd w:val="clear" w:color="auto" w:fill="EFF3F1"/>
          </w:tcPr>
          <w:p>
            <w:r/>
            <w:r>
              <w:rPr>
                <w:color w:val="1C3A36"/>
                <w:sz w:val="17"/>
              </w:rPr>
              <w:t>14,112</w:t>
            </w:r>
          </w:p>
        </w:tc>
      </w:tr>
      <w:tr>
        <w:tc>
          <w:tcPr>
            <w:tcW w:type="dxa" w:w="2880"/>
          </w:tcPr>
          <w:p>
            <w:r/>
            <w:r>
              <w:rPr>
                <w:color w:val="1C3A36"/>
                <w:sz w:val="17"/>
              </w:rPr>
              <w:t>− equity charge (Ke × opening BV)</w:t>
            </w:r>
          </w:p>
        </w:tc>
        <w:tc>
          <w:tcPr>
            <w:tcW w:type="dxa" w:w="1296"/>
          </w:tcPr>
          <w:p>
            <w:r/>
            <w:r>
              <w:rPr>
                <w:color w:val="1C3A36"/>
                <w:sz w:val="17"/>
              </w:rPr>
              <w:t>6,798</w:t>
            </w:r>
          </w:p>
        </w:tc>
        <w:tc>
          <w:tcPr>
            <w:tcW w:type="dxa" w:w="1296"/>
          </w:tcPr>
          <w:p>
            <w:r/>
            <w:r>
              <w:rPr>
                <w:color w:val="1C3A36"/>
                <w:sz w:val="17"/>
              </w:rPr>
              <w:t>7,441</w:t>
            </w:r>
          </w:p>
        </w:tc>
        <w:tc>
          <w:tcPr>
            <w:tcW w:type="dxa" w:w="1296"/>
          </w:tcPr>
          <w:p>
            <w:r/>
            <w:r>
              <w:rPr>
                <w:color w:val="1C3A36"/>
                <w:sz w:val="17"/>
              </w:rPr>
              <w:t>8,121</w:t>
            </w:r>
          </w:p>
        </w:tc>
        <w:tc>
          <w:tcPr>
            <w:tcW w:type="dxa" w:w="1296"/>
          </w:tcPr>
          <w:p>
            <w:r/>
            <w:r>
              <w:rPr>
                <w:color w:val="1C3A36"/>
                <w:sz w:val="17"/>
              </w:rPr>
              <w:t>8,834</w:t>
            </w:r>
          </w:p>
        </w:tc>
        <w:tc>
          <w:tcPr>
            <w:tcW w:type="dxa" w:w="1296"/>
          </w:tcPr>
          <w:p>
            <w:r/>
            <w:r>
              <w:rPr>
                <w:color w:val="1C3A36"/>
                <w:sz w:val="17"/>
              </w:rPr>
              <w:t>9,577</w:t>
            </w:r>
          </w:p>
        </w:tc>
      </w:tr>
      <w:tr>
        <w:tc>
          <w:tcPr>
            <w:tcW w:type="dxa" w:w="2880"/>
            <w:shd w:val="clear" w:color="auto" w:fill="EFF3F1"/>
          </w:tcPr>
          <w:p>
            <w:r/>
            <w:r>
              <w:rPr>
                <w:color w:val="1C3A36"/>
                <w:sz w:val="17"/>
              </w:rPr>
              <w:t>= residual income</w:t>
            </w:r>
          </w:p>
        </w:tc>
        <w:tc>
          <w:tcPr>
            <w:tcW w:type="dxa" w:w="1296"/>
            <w:shd w:val="clear" w:color="auto" w:fill="EFF3F1"/>
          </w:tcPr>
          <w:p>
            <w:r/>
            <w:r>
              <w:rPr>
                <w:color w:val="1C3A36"/>
                <w:sz w:val="17"/>
              </w:rPr>
              <w:t>4,148</w:t>
            </w:r>
          </w:p>
        </w:tc>
        <w:tc>
          <w:tcPr>
            <w:tcW w:type="dxa" w:w="1296"/>
            <w:shd w:val="clear" w:color="auto" w:fill="EFF3F1"/>
          </w:tcPr>
          <w:p>
            <w:r/>
            <w:r>
              <w:rPr>
                <w:color w:val="1C3A36"/>
                <w:sz w:val="17"/>
              </w:rPr>
              <w:t>4,352</w:t>
            </w:r>
          </w:p>
        </w:tc>
        <w:tc>
          <w:tcPr>
            <w:tcW w:type="dxa" w:w="1296"/>
            <w:shd w:val="clear" w:color="auto" w:fill="EFF3F1"/>
          </w:tcPr>
          <w:p>
            <w:r/>
            <w:r>
              <w:rPr>
                <w:color w:val="1C3A36"/>
                <w:sz w:val="17"/>
              </w:rPr>
              <w:t>4,462</w:t>
            </w:r>
          </w:p>
        </w:tc>
        <w:tc>
          <w:tcPr>
            <w:tcW w:type="dxa" w:w="1296"/>
            <w:shd w:val="clear" w:color="auto" w:fill="EFF3F1"/>
          </w:tcPr>
          <w:p>
            <w:r/>
            <w:r>
              <w:rPr>
                <w:color w:val="1C3A36"/>
                <w:sz w:val="17"/>
              </w:rPr>
              <w:t>4,525</w:t>
            </w:r>
          </w:p>
        </w:tc>
        <w:tc>
          <w:tcPr>
            <w:tcW w:type="dxa" w:w="1296"/>
            <w:shd w:val="clear" w:color="auto" w:fill="EFF3F1"/>
          </w:tcPr>
          <w:p>
            <w:r/>
            <w:r>
              <w:rPr>
                <w:color w:val="1C3A36"/>
                <w:sz w:val="17"/>
              </w:rPr>
              <w:t>4,536</w:t>
            </w:r>
          </w:p>
        </w:tc>
      </w:tr>
      <w:tr>
        <w:tc>
          <w:tcPr>
            <w:tcW w:type="dxa" w:w="2880"/>
          </w:tcPr>
          <w:p>
            <w:r/>
            <w:r>
              <w:rPr>
                <w:color w:val="1C3A36"/>
                <w:sz w:val="17"/>
              </w:rPr>
              <w:t>PV of residual income</w:t>
            </w:r>
          </w:p>
        </w:tc>
        <w:tc>
          <w:tcPr>
            <w:tcW w:type="dxa" w:w="1296"/>
          </w:tcPr>
          <w:p>
            <w:r/>
            <w:r>
              <w:rPr>
                <w:color w:val="1C3A36"/>
                <w:sz w:val="17"/>
              </w:rPr>
              <w:t>3,761</w:t>
            </w:r>
          </w:p>
        </w:tc>
        <w:tc>
          <w:tcPr>
            <w:tcW w:type="dxa" w:w="1296"/>
          </w:tcPr>
          <w:p>
            <w:r/>
            <w:r>
              <w:rPr>
                <w:color w:val="1C3A36"/>
                <w:sz w:val="17"/>
              </w:rPr>
              <w:t>3,578</w:t>
            </w:r>
          </w:p>
        </w:tc>
        <w:tc>
          <w:tcPr>
            <w:tcW w:type="dxa" w:w="1296"/>
          </w:tcPr>
          <w:p>
            <w:r/>
            <w:r>
              <w:rPr>
                <w:color w:val="1C3A36"/>
                <w:sz w:val="17"/>
              </w:rPr>
              <w:t>3,325</w:t>
            </w:r>
          </w:p>
        </w:tc>
        <w:tc>
          <w:tcPr>
            <w:tcW w:type="dxa" w:w="1296"/>
          </w:tcPr>
          <w:p>
            <w:r/>
            <w:r>
              <w:rPr>
                <w:color w:val="1C3A36"/>
                <w:sz w:val="17"/>
              </w:rPr>
              <w:t>3,057</w:t>
            </w:r>
          </w:p>
        </w:tc>
        <w:tc>
          <w:tcPr>
            <w:tcW w:type="dxa" w:w="1296"/>
          </w:tcPr>
          <w:p>
            <w:r/>
            <w:r>
              <w:rPr>
                <w:color w:val="1C3A36"/>
                <w:sz w:val="17"/>
              </w:rPr>
              <w:t>2,778</w:t>
            </w:r>
          </w:p>
        </w:tc>
      </w:tr>
    </w:tbl>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83"/>
        <w:gridCol w:w="5083"/>
      </w:tblGrid>
      <w:tr>
        <w:tc>
          <w:tcPr>
            <w:tcW w:type="dxa" w:w="4608"/>
            <w:shd w:val="clear" w:color="auto" w:fill="1C3A36"/>
          </w:tcPr>
          <w:p>
            <w:r/>
            <w:r>
              <w:rPr>
                <w:b/>
                <w:color w:val="FFFFFF"/>
                <w:sz w:val="17"/>
              </w:rPr>
            </w:r>
          </w:p>
        </w:tc>
        <w:tc>
          <w:tcPr>
            <w:tcW w:type="dxa" w:w="2304"/>
            <w:shd w:val="clear" w:color="auto" w:fill="1C3A36"/>
          </w:tcPr>
          <w:p>
            <w:r/>
            <w:r>
              <w:rPr>
                <w:b/>
                <w:color w:val="FFFFFF"/>
                <w:sz w:val="17"/>
              </w:rPr>
              <w:t>SAR mn / share</w:t>
            </w:r>
          </w:p>
        </w:tc>
      </w:tr>
      <w:tr>
        <w:tc>
          <w:tcPr>
            <w:tcW w:type="dxa" w:w="4608"/>
          </w:tcPr>
          <w:p>
            <w:r/>
            <w:r>
              <w:rPr>
                <w:color w:val="1C3A36"/>
                <w:sz w:val="17"/>
              </w:rPr>
              <w:t>Book value FY25 (starting equity)</w:t>
            </w:r>
          </w:p>
        </w:tc>
        <w:tc>
          <w:tcPr>
            <w:tcW w:type="dxa" w:w="2304"/>
          </w:tcPr>
          <w:p>
            <w:r/>
            <w:r>
              <w:rPr>
                <w:color w:val="1C3A36"/>
                <w:sz w:val="17"/>
              </w:rPr>
              <w:t>66,000</w:t>
            </w:r>
          </w:p>
        </w:tc>
      </w:tr>
      <w:tr>
        <w:tc>
          <w:tcPr>
            <w:tcW w:type="dxa" w:w="4608"/>
            <w:shd w:val="clear" w:color="auto" w:fill="EFF3F1"/>
          </w:tcPr>
          <w:p>
            <w:r/>
            <w:r>
              <w:rPr>
                <w:color w:val="1C3A36"/>
                <w:sz w:val="17"/>
              </w:rPr>
              <w:t>Σ PV of explicit residual income</w:t>
            </w:r>
          </w:p>
        </w:tc>
        <w:tc>
          <w:tcPr>
            <w:tcW w:type="dxa" w:w="2304"/>
            <w:shd w:val="clear" w:color="auto" w:fill="EFF3F1"/>
          </w:tcPr>
          <w:p>
            <w:r/>
            <w:r>
              <w:rPr>
                <w:color w:val="1C3A36"/>
                <w:sz w:val="17"/>
              </w:rPr>
              <w:t>16,498</w:t>
            </w:r>
          </w:p>
        </w:tc>
      </w:tr>
      <w:tr>
        <w:tc>
          <w:tcPr>
            <w:tcW w:type="dxa" w:w="4608"/>
          </w:tcPr>
          <w:p>
            <w:r/>
            <w:r>
              <w:rPr>
                <w:color w:val="1C3A36"/>
                <w:sz w:val="17"/>
              </w:rPr>
              <w:t>Terminal value (RI perpetuity at g 4.5%)</w:t>
            </w:r>
          </w:p>
        </w:tc>
        <w:tc>
          <w:tcPr>
            <w:tcW w:type="dxa" w:w="2304"/>
          </w:tcPr>
          <w:p>
            <w:r/>
            <w:r>
              <w:rPr>
                <w:color w:val="1C3A36"/>
                <w:sz w:val="17"/>
              </w:rPr>
              <w:t>81,721</w:t>
            </w:r>
          </w:p>
        </w:tc>
      </w:tr>
      <w:tr>
        <w:tc>
          <w:tcPr>
            <w:tcW w:type="dxa" w:w="4608"/>
            <w:shd w:val="clear" w:color="auto" w:fill="EFF3F1"/>
          </w:tcPr>
          <w:p>
            <w:r/>
            <w:r>
              <w:rPr>
                <w:color w:val="1C3A36"/>
                <w:sz w:val="17"/>
              </w:rPr>
              <w:t>PV of terminal value</w:t>
            </w:r>
          </w:p>
        </w:tc>
        <w:tc>
          <w:tcPr>
            <w:tcW w:type="dxa" w:w="2304"/>
            <w:shd w:val="clear" w:color="auto" w:fill="EFF3F1"/>
          </w:tcPr>
          <w:p>
            <w:r/>
            <w:r>
              <w:rPr>
                <w:color w:val="1C3A36"/>
                <w:sz w:val="17"/>
              </w:rPr>
              <w:t>50,056</w:t>
            </w:r>
          </w:p>
        </w:tc>
      </w:tr>
      <w:tr>
        <w:tc>
          <w:tcPr>
            <w:tcW w:type="dxa" w:w="4608"/>
          </w:tcPr>
          <w:p>
            <w:r/>
            <w:r>
              <w:rPr>
                <w:color w:val="1C3A36"/>
                <w:sz w:val="17"/>
              </w:rPr>
              <w:t>Equity value</w:t>
            </w:r>
          </w:p>
        </w:tc>
        <w:tc>
          <w:tcPr>
            <w:tcW w:type="dxa" w:w="2304"/>
          </w:tcPr>
          <w:p>
            <w:r/>
            <w:r>
              <w:rPr>
                <w:color w:val="1C3A36"/>
                <w:sz w:val="17"/>
              </w:rPr>
              <w:t>132,554</w:t>
            </w:r>
          </w:p>
        </w:tc>
      </w:tr>
      <w:tr>
        <w:tc>
          <w:tcPr>
            <w:tcW w:type="dxa" w:w="4608"/>
            <w:shd w:val="clear" w:color="auto" w:fill="EFF3F1"/>
          </w:tcPr>
          <w:p>
            <w:r/>
            <w:r>
              <w:rPr>
                <w:color w:val="1C3A36"/>
                <w:sz w:val="17"/>
              </w:rPr>
              <w:t>÷ shares = residual-income value / share</w:t>
            </w:r>
          </w:p>
        </w:tc>
        <w:tc>
          <w:tcPr>
            <w:tcW w:type="dxa" w:w="2304"/>
            <w:shd w:val="clear" w:color="auto" w:fill="EFF3F1"/>
          </w:tcPr>
          <w:p>
            <w:r/>
            <w:r>
              <w:rPr>
                <w:color w:val="1C3A36"/>
                <w:sz w:val="17"/>
              </w:rPr>
              <w:t>SAR 33.2</w:t>
            </w:r>
          </w:p>
        </w:tc>
      </w:tr>
      <w:tr>
        <w:tc>
          <w:tcPr>
            <w:tcW w:type="dxa" w:w="4608"/>
          </w:tcPr>
          <w:p>
            <w:r/>
            <w:r>
              <w:rPr>
                <w:color w:val="1C3A36"/>
                <w:sz w:val="17"/>
              </w:rPr>
              <w:t>Implied exit multiple on FY25 book</w:t>
            </w:r>
          </w:p>
        </w:tc>
        <w:tc>
          <w:tcPr>
            <w:tcW w:type="dxa" w:w="2304"/>
          </w:tcPr>
          <w:p>
            <w:r/>
            <w:r>
              <w:rPr>
                <w:color w:val="1C3A36"/>
                <w:sz w:val="17"/>
              </w:rPr>
              <w:t>2.01×</w:t>
            </w:r>
          </w:p>
        </w:tc>
      </w:tr>
    </w:tbl>
    <w:p>
      <w:pPr>
        <w:spacing w:after="120" w:before="0"/>
      </w:pPr>
      <w:r>
        <w:rPr>
          <w:b/>
          <w:i w:val="0"/>
          <w:color w:val="1C3A36"/>
          <w:sz w:val="20"/>
        </w:rPr>
        <w:t xml:space="preserve">Residual-income value ≈ SAR 33/share (2.0× book).  </w:t>
      </w:r>
      <w:r>
        <w:rPr>
          <w:b w:val="0"/>
          <w:i w:val="0"/>
          <w:color w:val="1C3A36"/>
          <w:sz w:val="20"/>
        </w:rPr>
        <w:t>This is the excess-return lens in full: it fully credits RIBL earning ~16% on equity against a 10.3% cost of equity, so the model says a bank compounding book at that spread is worth ~2× book — well above the 1.22× the market pays. A more conservative reading takes a through-cycle ROE of 14.5% and solves the single-period justified P/B, (ROE−g)/(Ke−g) = 1.72× × BVPS SAR 16.55 = SAR 28; that through-cycle version is the reading Expert 1 carries in Appendix C. Like the FCFE, this lens is only realised if the mid-teens ROE persists — it is the mathematical statement of the bull case.</w:t>
      </w:r>
    </w:p>
    <w:p>
      <w:pPr>
        <w:spacing w:after="60" w:before="180"/>
      </w:pPr>
      <w:r>
        <w:rPr>
          <w:b/>
          <w:i w:val="0"/>
          <w:color w:val="1C3A36"/>
          <w:sz w:val="23"/>
        </w:rPr>
        <w:t>1.4  Relative multiples</w:t>
      </w:r>
    </w:p>
    <w:p>
      <w:pPr>
        <w:spacing w:after="120" w:before="0"/>
      </w:pPr>
      <w:r>
        <w:rPr>
          <w:b w:val="0"/>
          <w:i w:val="0"/>
          <w:color w:val="1C3A36"/>
          <w:sz w:val="19"/>
        </w:rPr>
        <w:t>RIBL trades at ~1.22× book and ~8.0× trailing earnings — a discount to the Saudi banking sector's ~1.4–1.6× book, despite a 16% ROE and a sub-30% cost-to-income ratio. On a Gordon-justified multiple, a 16% ROE bank at Ke 10.3% and 4.5% growth supports ~1.8–2.0× book — well above the ~1.22× the market pays.</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2448"/>
            <w:shd w:val="clear" w:color="auto" w:fill="1C3A36"/>
          </w:tcPr>
          <w:p>
            <w:r/>
            <w:r>
              <w:rPr>
                <w:b/>
                <w:color w:val="FFFFFF"/>
                <w:sz w:val="17"/>
              </w:rPr>
              <w:t>Relative read</w:t>
            </w:r>
          </w:p>
        </w:tc>
        <w:tc>
          <w:tcPr>
            <w:tcW w:type="dxa" w:w="3888"/>
            <w:shd w:val="clear" w:color="auto" w:fill="1C3A36"/>
          </w:tcPr>
          <w:p>
            <w:r/>
            <w:r>
              <w:rPr>
                <w:b/>
                <w:color w:val="FFFFFF"/>
                <w:sz w:val="17"/>
              </w:rPr>
              <w:t>Workings</w:t>
            </w:r>
          </w:p>
        </w:tc>
        <w:tc>
          <w:tcPr>
            <w:tcW w:type="dxa" w:w="1440"/>
            <w:shd w:val="clear" w:color="auto" w:fill="1C3A36"/>
          </w:tcPr>
          <w:p>
            <w:r/>
            <w:r>
              <w:rPr>
                <w:b/>
                <w:color w:val="FFFFFF"/>
                <w:sz w:val="17"/>
              </w:rPr>
              <w:t>SAR/share</w:t>
            </w:r>
          </w:p>
        </w:tc>
      </w:tr>
      <w:tr>
        <w:tc>
          <w:tcPr>
            <w:tcW w:type="dxa" w:w="2448"/>
          </w:tcPr>
          <w:p>
            <w:r/>
            <w:r>
              <w:rPr>
                <w:color w:val="1C3A36"/>
                <w:sz w:val="17"/>
              </w:rPr>
              <w:t>Sector P/B</w:t>
            </w:r>
          </w:p>
        </w:tc>
        <w:tc>
          <w:tcPr>
            <w:tcW w:type="dxa" w:w="3888"/>
          </w:tcPr>
          <w:p>
            <w:r/>
            <w:r>
              <w:rPr>
                <w:color w:val="1C3A36"/>
                <w:sz w:val="17"/>
              </w:rPr>
              <w:t>1.40× × BVPS SAR 16.55</w:t>
            </w:r>
          </w:p>
        </w:tc>
        <w:tc>
          <w:tcPr>
            <w:tcW w:type="dxa" w:w="1440"/>
          </w:tcPr>
          <w:p>
            <w:r/>
            <w:r>
              <w:rPr>
                <w:color w:val="1C3A36"/>
                <w:sz w:val="17"/>
              </w:rPr>
              <w:t>23.2</w:t>
            </w:r>
          </w:p>
        </w:tc>
      </w:tr>
      <w:tr>
        <w:tc>
          <w:tcPr>
            <w:tcW w:type="dxa" w:w="2448"/>
            <w:shd w:val="clear" w:color="auto" w:fill="EFF3F1"/>
          </w:tcPr>
          <w:p>
            <w:r/>
            <w:r>
              <w:rPr>
                <w:color w:val="1C3A36"/>
                <w:sz w:val="17"/>
              </w:rPr>
              <w:t>Forward P/E</w:t>
            </w:r>
          </w:p>
        </w:tc>
        <w:tc>
          <w:tcPr>
            <w:tcW w:type="dxa" w:w="3888"/>
            <w:shd w:val="clear" w:color="auto" w:fill="EFF3F1"/>
          </w:tcPr>
          <w:p>
            <w:r/>
            <w:r>
              <w:rPr>
                <w:color w:val="1C3A36"/>
                <w:sz w:val="17"/>
              </w:rPr>
              <w:t>9.5× × FY26E EPS SAR 2.75</w:t>
            </w:r>
          </w:p>
        </w:tc>
        <w:tc>
          <w:tcPr>
            <w:tcW w:type="dxa" w:w="1440"/>
            <w:shd w:val="clear" w:color="auto" w:fill="EFF3F1"/>
          </w:tcPr>
          <w:p>
            <w:r/>
            <w:r>
              <w:rPr>
                <w:color w:val="1C3A36"/>
                <w:sz w:val="17"/>
              </w:rPr>
              <w:t>26.1</w:t>
            </w:r>
          </w:p>
        </w:tc>
      </w:tr>
      <w:tr>
        <w:tc>
          <w:tcPr>
            <w:tcW w:type="dxa" w:w="2448"/>
          </w:tcPr>
          <w:p>
            <w:r/>
            <w:r>
              <w:rPr>
                <w:color w:val="1C3A36"/>
                <w:sz w:val="17"/>
              </w:rPr>
              <w:t>Relative blend</w:t>
            </w:r>
          </w:p>
        </w:tc>
        <w:tc>
          <w:tcPr>
            <w:tcW w:type="dxa" w:w="3888"/>
          </w:tcPr>
          <w:p>
            <w:r/>
            <w:r>
              <w:rPr>
                <w:color w:val="1C3A36"/>
                <w:sz w:val="17"/>
              </w:rPr>
              <w:t>average of the two</w:t>
            </w:r>
          </w:p>
        </w:tc>
        <w:tc>
          <w:tcPr>
            <w:tcW w:type="dxa" w:w="1440"/>
          </w:tcPr>
          <w:p>
            <w:r/>
            <w:r>
              <w:rPr>
                <w:color w:val="1C3A36"/>
                <w:sz w:val="17"/>
              </w:rPr>
              <w:t>24.6</w:t>
            </w:r>
          </w:p>
        </w:tc>
      </w:tr>
    </w:tbl>
    <w:p>
      <w:pPr>
        <w:spacing w:after="60" w:before="180"/>
      </w:pPr>
      <w:r>
        <w:rPr>
          <w:b/>
          <w:i w:val="0"/>
          <w:color w:val="1C3A36"/>
          <w:sz w:val="23"/>
        </w:rPr>
        <w:t>1.5  Normalized earnings power — the floor</w:t>
      </w:r>
    </w:p>
    <w:p>
      <w:pPr>
        <w:spacing w:after="120" w:before="0"/>
      </w:pPr>
      <w:r>
        <w:rPr>
          <w:b w:val="0"/>
          <w:i w:val="0"/>
          <w:color w:val="1C3A36"/>
          <w:sz w:val="19"/>
        </w:rPr>
        <w:t>The conservative floor. We take a through-cycle ROE of 14% — below the FY25 16% peak, acknowledging that a record NIM and a benign cost of risk normalise as rates fall — apply it to current book value per share (SAR 16.55) for normalized EPS of SAR 2.32, and capitalise at a sober through-cycle 9× P/E → SAR 21. This lens deliberately ignores growth and retention, and lands essentially at spot — the market is pricing RIBL as if the through-cycle ROE is the whole story.</w:t>
      </w:r>
    </w:p>
    <w:p>
      <w:pPr>
        <w:spacing w:after="60" w:before="180"/>
      </w:pPr>
      <w:r>
        <w:rPr>
          <w:b/>
          <w:i w:val="0"/>
          <w:color w:val="1C3A36"/>
          <w:sz w:val="23"/>
        </w:rPr>
        <w:t>1.6  Synthesis — five lenses</w:t>
      </w:r>
    </w:p>
    <w:p>
      <w:pPr>
        <w:spacing w:after="120" w:before="0"/>
      </w:pPr>
      <w:r>
        <w:rPr>
          <w:b w:val="0"/>
          <w:i w:val="0"/>
          <w:color w:val="1C3A36"/>
          <w:sz w:val="19"/>
        </w:rPr>
        <w:t>We anchor on the two intrinsic lenses that best fit a mid-teens-ROE bank — the dividend model and the residual-income model. We weight the DDM most (it discounts cash actually paid), give the residual-income and relative lenses meaningful weight, and treat the FCFE as a high cross-check and the normalized read as a floor.</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41"/>
        <w:gridCol w:w="2541"/>
        <w:gridCol w:w="2541"/>
        <w:gridCol w:w="2541"/>
      </w:tblGrid>
      <w:tr>
        <w:tc>
          <w:tcPr>
            <w:tcW w:type="dxa" w:w="3168"/>
            <w:shd w:val="clear" w:color="auto" w:fill="1C3A36"/>
          </w:tcPr>
          <w:p>
            <w:r/>
            <w:r>
              <w:rPr>
                <w:b/>
                <w:color w:val="FFFFFF"/>
                <w:sz w:val="17"/>
              </w:rPr>
              <w:t>Lens</w:t>
            </w:r>
          </w:p>
        </w:tc>
        <w:tc>
          <w:tcPr>
            <w:tcW w:type="dxa" w:w="1440"/>
            <w:shd w:val="clear" w:color="auto" w:fill="1C3A36"/>
          </w:tcPr>
          <w:p>
            <w:r/>
            <w:r>
              <w:rPr>
                <w:b/>
                <w:color w:val="FFFFFF"/>
                <w:sz w:val="17"/>
              </w:rPr>
              <w:t>Fair value</w:t>
            </w:r>
          </w:p>
        </w:tc>
        <w:tc>
          <w:tcPr>
            <w:tcW w:type="dxa" w:w="1008"/>
            <w:shd w:val="clear" w:color="auto" w:fill="1C3A36"/>
          </w:tcPr>
          <w:p>
            <w:r/>
            <w:r>
              <w:rPr>
                <w:b/>
                <w:color w:val="FFFFFF"/>
                <w:sz w:val="17"/>
              </w:rPr>
              <w:t>Weight</w:t>
            </w:r>
          </w:p>
        </w:tc>
        <w:tc>
          <w:tcPr>
            <w:tcW w:type="dxa" w:w="3744"/>
            <w:shd w:val="clear" w:color="auto" w:fill="1C3A36"/>
          </w:tcPr>
          <w:p>
            <w:r/>
            <w:r>
              <w:rPr>
                <w:b/>
                <w:color w:val="FFFFFF"/>
                <w:sz w:val="17"/>
              </w:rPr>
              <w:t>What it captures</w:t>
            </w:r>
          </w:p>
        </w:tc>
      </w:tr>
      <w:tr>
        <w:tc>
          <w:tcPr>
            <w:tcW w:type="dxa" w:w="3168"/>
          </w:tcPr>
          <w:p>
            <w:r/>
            <w:r>
              <w:rPr>
                <w:color w:val="1C3A36"/>
                <w:sz w:val="17"/>
              </w:rPr>
              <w:t>DDM</w:t>
            </w:r>
          </w:p>
        </w:tc>
        <w:tc>
          <w:tcPr>
            <w:tcW w:type="dxa" w:w="1440"/>
          </w:tcPr>
          <w:p>
            <w:r/>
            <w:r>
              <w:rPr>
                <w:color w:val="1C3A36"/>
                <w:sz w:val="17"/>
              </w:rPr>
              <w:t>SAR 23.6</w:t>
            </w:r>
          </w:p>
        </w:tc>
        <w:tc>
          <w:tcPr>
            <w:tcW w:type="dxa" w:w="1008"/>
          </w:tcPr>
          <w:p>
            <w:r/>
            <w:r>
              <w:rPr>
                <w:color w:val="1C3A36"/>
                <w:sz w:val="17"/>
              </w:rPr>
              <w:t>30%</w:t>
            </w:r>
          </w:p>
        </w:tc>
        <w:tc>
          <w:tcPr>
            <w:tcW w:type="dxa" w:w="3744"/>
          </w:tcPr>
          <w:p>
            <w:r/>
            <w:r>
              <w:rPr>
                <w:color w:val="1C3A36"/>
                <w:sz w:val="17"/>
              </w:rPr>
              <w:t>Cash actually distributed</w:t>
            </w:r>
          </w:p>
        </w:tc>
      </w:tr>
      <w:tr>
        <w:tc>
          <w:tcPr>
            <w:tcW w:type="dxa" w:w="3168"/>
            <w:shd w:val="clear" w:color="auto" w:fill="EFF3F1"/>
          </w:tcPr>
          <w:p>
            <w:r/>
            <w:r>
              <w:rPr>
                <w:color w:val="1C3A36"/>
                <w:sz w:val="17"/>
              </w:rPr>
              <w:t>Residual income</w:t>
            </w:r>
          </w:p>
        </w:tc>
        <w:tc>
          <w:tcPr>
            <w:tcW w:type="dxa" w:w="1440"/>
            <w:shd w:val="clear" w:color="auto" w:fill="EFF3F1"/>
          </w:tcPr>
          <w:p>
            <w:r/>
            <w:r>
              <w:rPr>
                <w:color w:val="1C3A36"/>
                <w:sz w:val="17"/>
              </w:rPr>
              <w:t>SAR 33.2</w:t>
            </w:r>
          </w:p>
        </w:tc>
        <w:tc>
          <w:tcPr>
            <w:tcW w:type="dxa" w:w="1008"/>
            <w:shd w:val="clear" w:color="auto" w:fill="EFF3F1"/>
          </w:tcPr>
          <w:p>
            <w:r/>
            <w:r>
              <w:rPr>
                <w:color w:val="1C3A36"/>
                <w:sz w:val="17"/>
              </w:rPr>
              <w:t>20%</w:t>
            </w:r>
          </w:p>
        </w:tc>
        <w:tc>
          <w:tcPr>
            <w:tcW w:type="dxa" w:w="3744"/>
            <w:shd w:val="clear" w:color="auto" w:fill="EFF3F1"/>
          </w:tcPr>
          <w:p>
            <w:r/>
            <w:r>
              <w:rPr>
                <w:color w:val="1C3A36"/>
                <w:sz w:val="17"/>
              </w:rPr>
              <w:t>Book + PV of excess returns (~2x book)</w:t>
            </w:r>
          </w:p>
        </w:tc>
      </w:tr>
      <w:tr>
        <w:tc>
          <w:tcPr>
            <w:tcW w:type="dxa" w:w="3168"/>
          </w:tcPr>
          <w:p>
            <w:r/>
            <w:r>
              <w:rPr>
                <w:color w:val="1C3A36"/>
                <w:sz w:val="17"/>
              </w:rPr>
              <w:t>FCFE (equity DCF)</w:t>
            </w:r>
          </w:p>
        </w:tc>
        <w:tc>
          <w:tcPr>
            <w:tcW w:type="dxa" w:w="1440"/>
          </w:tcPr>
          <w:p>
            <w:r/>
            <w:r>
              <w:rPr>
                <w:color w:val="1C3A36"/>
                <w:sz w:val="17"/>
              </w:rPr>
              <w:t>SAR 32.2</w:t>
            </w:r>
          </w:p>
        </w:tc>
        <w:tc>
          <w:tcPr>
            <w:tcW w:type="dxa" w:w="1008"/>
          </w:tcPr>
          <w:p>
            <w:r/>
            <w:r>
              <w:rPr>
                <w:color w:val="1C3A36"/>
                <w:sz w:val="17"/>
              </w:rPr>
              <w:t>15%</w:t>
            </w:r>
          </w:p>
        </w:tc>
        <w:tc>
          <w:tcPr>
            <w:tcW w:type="dxa" w:w="3744"/>
          </w:tcPr>
          <w:p>
            <w:r/>
            <w:r>
              <w:rPr>
                <w:color w:val="1C3A36"/>
                <w:sz w:val="17"/>
              </w:rPr>
              <w:t>Distributable capital</w:t>
            </w:r>
          </w:p>
        </w:tc>
      </w:tr>
      <w:tr>
        <w:tc>
          <w:tcPr>
            <w:tcW w:type="dxa" w:w="3168"/>
            <w:shd w:val="clear" w:color="auto" w:fill="EFF3F1"/>
          </w:tcPr>
          <w:p>
            <w:r/>
            <w:r>
              <w:rPr>
                <w:color w:val="1C3A36"/>
                <w:sz w:val="17"/>
              </w:rPr>
              <w:t>Relative multiples</w:t>
            </w:r>
          </w:p>
        </w:tc>
        <w:tc>
          <w:tcPr>
            <w:tcW w:type="dxa" w:w="1440"/>
            <w:shd w:val="clear" w:color="auto" w:fill="EFF3F1"/>
          </w:tcPr>
          <w:p>
            <w:r/>
            <w:r>
              <w:rPr>
                <w:color w:val="1C3A36"/>
                <w:sz w:val="17"/>
              </w:rPr>
              <w:t>SAR 24.6</w:t>
            </w:r>
          </w:p>
        </w:tc>
        <w:tc>
          <w:tcPr>
            <w:tcW w:type="dxa" w:w="1008"/>
            <w:shd w:val="clear" w:color="auto" w:fill="EFF3F1"/>
          </w:tcPr>
          <w:p>
            <w:r/>
            <w:r>
              <w:rPr>
                <w:color w:val="1C3A36"/>
                <w:sz w:val="17"/>
              </w:rPr>
              <w:t>20%</w:t>
            </w:r>
          </w:p>
        </w:tc>
        <w:tc>
          <w:tcPr>
            <w:tcW w:type="dxa" w:w="3744"/>
            <w:shd w:val="clear" w:color="auto" w:fill="EFF3F1"/>
          </w:tcPr>
          <w:p>
            <w:r/>
            <w:r>
              <w:rPr>
                <w:color w:val="1C3A36"/>
                <w:sz w:val="17"/>
              </w:rPr>
              <w:t>Peer P/B &amp; fwd P/E</w:t>
            </w:r>
          </w:p>
        </w:tc>
      </w:tr>
      <w:tr>
        <w:tc>
          <w:tcPr>
            <w:tcW w:type="dxa" w:w="3168"/>
          </w:tcPr>
          <w:p>
            <w:r/>
            <w:r>
              <w:rPr>
                <w:color w:val="1C3A36"/>
                <w:sz w:val="17"/>
              </w:rPr>
              <w:t>Normalized earnings power</w:t>
            </w:r>
          </w:p>
        </w:tc>
        <w:tc>
          <w:tcPr>
            <w:tcW w:type="dxa" w:w="1440"/>
          </w:tcPr>
          <w:p>
            <w:r/>
            <w:r>
              <w:rPr>
                <w:color w:val="1C3A36"/>
                <w:sz w:val="17"/>
              </w:rPr>
              <w:t>SAR 20.9</w:t>
            </w:r>
          </w:p>
        </w:tc>
        <w:tc>
          <w:tcPr>
            <w:tcW w:type="dxa" w:w="1008"/>
          </w:tcPr>
          <w:p>
            <w:r/>
            <w:r>
              <w:rPr>
                <w:color w:val="1C3A36"/>
                <w:sz w:val="17"/>
              </w:rPr>
              <w:t>15%</w:t>
            </w:r>
          </w:p>
        </w:tc>
        <w:tc>
          <w:tcPr>
            <w:tcW w:type="dxa" w:w="3744"/>
          </w:tcPr>
          <w:p>
            <w:r/>
            <w:r>
              <w:rPr>
                <w:color w:val="1C3A36"/>
                <w:sz w:val="17"/>
              </w:rPr>
              <w:t>Through-cycle floor</w:t>
            </w:r>
          </w:p>
        </w:tc>
      </w:tr>
      <w:tr>
        <w:tc>
          <w:tcPr>
            <w:tcW w:type="dxa" w:w="3168"/>
            <w:shd w:val="clear" w:color="auto" w:fill="EFF3F1"/>
          </w:tcPr>
          <w:p>
            <w:r/>
            <w:r>
              <w:rPr>
                <w:color w:val="1C3A36"/>
                <w:sz w:val="17"/>
              </w:rPr>
              <w:t>Weighted central</w:t>
            </w:r>
          </w:p>
        </w:tc>
        <w:tc>
          <w:tcPr>
            <w:tcW w:type="dxa" w:w="1440"/>
            <w:shd w:val="clear" w:color="auto" w:fill="EFF3F1"/>
          </w:tcPr>
          <w:p>
            <w:r/>
            <w:r>
              <w:rPr>
                <w:color w:val="1C3A36"/>
                <w:sz w:val="17"/>
              </w:rPr>
              <w:t>SAR 26.6</w:t>
            </w:r>
          </w:p>
        </w:tc>
        <w:tc>
          <w:tcPr>
            <w:tcW w:type="dxa" w:w="1008"/>
            <w:shd w:val="clear" w:color="auto" w:fill="EFF3F1"/>
          </w:tcPr>
          <w:p>
            <w:r/>
            <w:r>
              <w:rPr>
                <w:color w:val="1C3A36"/>
                <w:sz w:val="17"/>
              </w:rPr>
              <w:t>100%</w:t>
            </w:r>
          </w:p>
        </w:tc>
        <w:tc>
          <w:tcPr>
            <w:tcW w:type="dxa" w:w="3744"/>
            <w:shd w:val="clear" w:color="auto" w:fill="EFF3F1"/>
          </w:tcPr>
          <w:p>
            <w:r/>
            <w:r>
              <w:rPr>
                <w:color w:val="1C3A36"/>
                <w:sz w:val="17"/>
              </w:rPr>
              <w:t>~+32% vs spot SAR 20.23</w:t>
            </w:r>
          </w:p>
        </w:tc>
      </w:tr>
    </w:tbl>
    <w:p>
      <w:pPr>
        <w:jc w:val="center"/>
      </w:pPr>
      <w:r>
        <w:drawing>
          <wp:inline xmlns:a="http://schemas.openxmlformats.org/drawingml/2006/main" xmlns:pic="http://schemas.openxmlformats.org/drawingml/2006/picture">
            <wp:extent cx="5943600" cy="2149813"/>
            <wp:docPr id="1" name="Picture 1"/>
            <wp:cNvGraphicFramePr>
              <a:graphicFrameLocks noChangeAspect="1"/>
            </wp:cNvGraphicFramePr>
            <a:graphic>
              <a:graphicData uri="http://schemas.openxmlformats.org/drawingml/2006/picture">
                <pic:pic>
                  <pic:nvPicPr>
                    <pic:cNvPr id="0" name="fig2_field.png"/>
                    <pic:cNvPicPr/>
                  </pic:nvPicPr>
                  <pic:blipFill>
                    <a:blip r:embed="rId9"/>
                    <a:stretch>
                      <a:fillRect/>
                    </a:stretch>
                  </pic:blipFill>
                  <pic:spPr>
                    <a:xfrm>
                      <a:off x="0" y="0"/>
                      <a:ext cx="5943600" cy="2149813"/>
                    </a:xfrm>
                    <a:prstGeom prst="rect"/>
                  </pic:spPr>
                </pic:pic>
              </a:graphicData>
            </a:graphic>
          </wp:inline>
        </w:drawing>
      </w:r>
    </w:p>
    <w:p>
      <w:pPr>
        <w:spacing w:after="180" w:before="0"/>
      </w:pPr>
      <w:r>
        <w:rPr>
          <w:b w:val="0"/>
          <w:i/>
          <w:color w:val="6E7B77"/>
          <w:sz w:val="17"/>
        </w:rPr>
        <w:t>Figure 2 — Valuation football field: the dividend lens marks the low end, the excess-return lenses the high end; the spread is the retention question. Spot sits at the low end of the range.</w:t>
      </w:r>
    </w:p>
    <w:p>
      <w:pPr>
        <w:spacing w:after="120" w:before="0"/>
      </w:pPr>
      <w:r>
        <w:rPr>
          <w:b w:val="0"/>
          <w:i w:val="0"/>
          <w:color w:val="1C3A36"/>
          <w:sz w:val="19"/>
        </w:rPr>
        <w:t>The football field makes the disagreement plain. Every lens lands between SAR 21 and SAR 32; spot sits at the very low end, and the weighted central of SAR 26.6 is ~32% above it. The distance from the low lens (distributions) to the high lens (FCFE) is a clean measure of one thing: what Riyad Bank's retained capital is worth.</w:t>
      </w:r>
    </w:p>
    <w:p>
      <w:pPr>
        <w:spacing w:after="60" w:before="180"/>
      </w:pPr>
      <w:r>
        <w:rPr>
          <w:b/>
          <w:i w:val="0"/>
          <w:color w:val="1C3A36"/>
          <w:sz w:val="23"/>
        </w:rPr>
        <w:t>1.7  The bank driver build — a deeper look</w:t>
      </w:r>
    </w:p>
    <w:p>
      <w:pPr>
        <w:spacing w:after="120" w:before="0"/>
      </w:pPr>
      <w:r>
        <w:rPr>
          <w:b w:val="0"/>
          <w:i w:val="0"/>
          <w:color w:val="1C3A36"/>
          <w:sz w:val="19"/>
        </w:rPr>
        <w:t>Behind the lenses is one engine: net income built from a net-interest-margin path, a fee line, a cost-to-income ratio and a cost-of-risk charge, feeding a DuPont return decomposition and a capital schedule. FY23–25 are disclosed; the forward path is the house view.</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30"/>
        <w:gridCol w:w="1130"/>
        <w:gridCol w:w="1130"/>
        <w:gridCol w:w="1130"/>
        <w:gridCol w:w="1130"/>
        <w:gridCol w:w="1130"/>
        <w:gridCol w:w="1130"/>
        <w:gridCol w:w="1130"/>
        <w:gridCol w:w="1130"/>
      </w:tblGrid>
      <w:tr>
        <w:tc>
          <w:tcPr>
            <w:tcW w:type="dxa" w:w="2160"/>
            <w:shd w:val="clear" w:color="auto" w:fill="1C3A36"/>
          </w:tcPr>
          <w:p>
            <w:r/>
            <w:r>
              <w:rPr>
                <w:b/>
                <w:color w:val="FFFFFF"/>
                <w:sz w:val="17"/>
              </w:rPr>
              <w:t>Driver</w:t>
            </w:r>
          </w:p>
        </w:tc>
        <w:tc>
          <w:tcPr>
            <w:tcW w:type="dxa" w:w="1224"/>
            <w:shd w:val="clear" w:color="auto" w:fill="1C3A36"/>
          </w:tcPr>
          <w:p>
            <w:r/>
            <w:r>
              <w:rPr>
                <w:b/>
                <w:color w:val="FFFFFF"/>
                <w:sz w:val="17"/>
              </w:rPr>
              <w:t>FY23</w:t>
            </w:r>
          </w:p>
        </w:tc>
        <w:tc>
          <w:tcPr>
            <w:tcW w:type="dxa" w:w="1224"/>
            <w:shd w:val="clear" w:color="auto" w:fill="1C3A36"/>
          </w:tcPr>
          <w:p>
            <w:r/>
            <w:r>
              <w:rPr>
                <w:b/>
                <w:color w:val="FFFFFF"/>
                <w:sz w:val="17"/>
              </w:rPr>
              <w:t>FY24</w:t>
            </w:r>
          </w:p>
        </w:tc>
        <w:tc>
          <w:tcPr>
            <w:tcW w:type="dxa" w:w="1224"/>
            <w:shd w:val="clear" w:color="auto" w:fill="1C3A36"/>
          </w:tcPr>
          <w:p>
            <w:r/>
            <w:r>
              <w:rPr>
                <w:b/>
                <w:color w:val="FFFFFF"/>
                <w:sz w:val="17"/>
              </w:rPr>
              <w:t>FY25</w:t>
            </w:r>
          </w:p>
        </w:tc>
        <w:tc>
          <w:tcPr>
            <w:tcW w:type="dxa" w:w="1224"/>
            <w:shd w:val="clear" w:color="auto" w:fill="1C3A36"/>
          </w:tcPr>
          <w:p>
            <w:r/>
            <w:r>
              <w:rPr>
                <w:b/>
                <w:color w:val="FFFFFF"/>
                <w:sz w:val="17"/>
              </w:rPr>
              <w:t>FY26E</w:t>
            </w:r>
          </w:p>
        </w:tc>
        <w:tc>
          <w:tcPr>
            <w:tcW w:type="dxa" w:w="1224"/>
            <w:shd w:val="clear" w:color="auto" w:fill="1C3A36"/>
          </w:tcPr>
          <w:p>
            <w:r/>
            <w:r>
              <w:rPr>
                <w:b/>
                <w:color w:val="FFFFFF"/>
                <w:sz w:val="17"/>
              </w:rPr>
              <w:t>FY27E</w:t>
            </w:r>
          </w:p>
        </w:tc>
        <w:tc>
          <w:tcPr>
            <w:tcW w:type="dxa" w:w="1224"/>
            <w:shd w:val="clear" w:color="auto" w:fill="1C3A36"/>
          </w:tcPr>
          <w:p>
            <w:r/>
            <w:r>
              <w:rPr>
                <w:b/>
                <w:color w:val="FFFFFF"/>
                <w:sz w:val="17"/>
              </w:rPr>
              <w:t>FY28E</w:t>
            </w:r>
          </w:p>
        </w:tc>
        <w:tc>
          <w:tcPr>
            <w:tcW w:type="dxa" w:w="1224"/>
            <w:shd w:val="clear" w:color="auto" w:fill="1C3A36"/>
          </w:tcPr>
          <w:p>
            <w:r/>
            <w:r>
              <w:rPr>
                <w:b/>
                <w:color w:val="FFFFFF"/>
                <w:sz w:val="17"/>
              </w:rPr>
              <w:t>FY29E</w:t>
            </w:r>
          </w:p>
        </w:tc>
        <w:tc>
          <w:tcPr>
            <w:tcW w:type="dxa" w:w="1130"/>
            <w:shd w:val="clear" w:color="auto" w:fill="1C3A36"/>
          </w:tcPr>
          <w:p>
            <w:r/>
            <w:r>
              <w:rPr>
                <w:b/>
                <w:color w:val="FFFFFF"/>
                <w:sz w:val="17"/>
              </w:rPr>
              <w:t>FY30E</w:t>
            </w:r>
          </w:p>
        </w:tc>
      </w:tr>
      <w:tr>
        <w:tc>
          <w:tcPr>
            <w:tcW w:type="dxa" w:w="2160"/>
          </w:tcPr>
          <w:p>
            <w:r/>
            <w:r>
              <w:rPr>
                <w:color w:val="1C3A36"/>
                <w:sz w:val="17"/>
              </w:rPr>
              <w:t>Net income (SAR mn)</w:t>
            </w:r>
          </w:p>
        </w:tc>
        <w:tc>
          <w:tcPr>
            <w:tcW w:type="dxa" w:w="1224"/>
          </w:tcPr>
          <w:p>
            <w:r/>
            <w:r>
              <w:rPr>
                <w:color w:val="1C3A36"/>
                <w:sz w:val="17"/>
              </w:rPr>
              <w:t>8,036</w:t>
            </w:r>
          </w:p>
        </w:tc>
        <w:tc>
          <w:tcPr>
            <w:tcW w:type="dxa" w:w="1224"/>
          </w:tcPr>
          <w:p>
            <w:r/>
            <w:r>
              <w:rPr>
                <w:color w:val="1C3A36"/>
                <w:sz w:val="17"/>
              </w:rPr>
              <w:t>9,322</w:t>
            </w:r>
          </w:p>
        </w:tc>
        <w:tc>
          <w:tcPr>
            <w:tcW w:type="dxa" w:w="1224"/>
          </w:tcPr>
          <w:p>
            <w:r/>
            <w:r>
              <w:rPr>
                <w:color w:val="1C3A36"/>
                <w:sz w:val="17"/>
              </w:rPr>
              <w:t>10,411</w:t>
            </w:r>
          </w:p>
        </w:tc>
        <w:tc>
          <w:tcPr>
            <w:tcW w:type="dxa" w:w="1224"/>
          </w:tcPr>
          <w:p>
            <w:r/>
            <w:r>
              <w:rPr>
                <w:color w:val="1C3A36"/>
                <w:sz w:val="17"/>
              </w:rPr>
              <w:t>11,296</w:t>
            </w:r>
          </w:p>
        </w:tc>
        <w:tc>
          <w:tcPr>
            <w:tcW w:type="dxa" w:w="1224"/>
          </w:tcPr>
          <w:p>
            <w:r/>
            <w:r>
              <w:rPr>
                <w:color w:val="1C3A36"/>
                <w:sz w:val="17"/>
              </w:rPr>
              <w:t>12,143</w:t>
            </w:r>
          </w:p>
        </w:tc>
        <w:tc>
          <w:tcPr>
            <w:tcW w:type="dxa" w:w="1224"/>
          </w:tcPr>
          <w:p>
            <w:r/>
            <w:r>
              <w:rPr>
                <w:color w:val="1C3A36"/>
                <w:sz w:val="17"/>
              </w:rPr>
              <w:t>12,932</w:t>
            </w:r>
          </w:p>
        </w:tc>
        <w:tc>
          <w:tcPr>
            <w:tcW w:type="dxa" w:w="1224"/>
          </w:tcPr>
          <w:p>
            <w:r/>
            <w:r>
              <w:rPr>
                <w:color w:val="1C3A36"/>
                <w:sz w:val="17"/>
              </w:rPr>
              <w:t>13,708</w:t>
            </w:r>
          </w:p>
        </w:tc>
        <w:tc>
          <w:tcPr>
            <w:tcW w:type="dxa" w:w="1130"/>
          </w:tcPr>
          <w:p>
            <w:r/>
            <w:r>
              <w:rPr>
                <w:color w:val="1C3A36"/>
                <w:sz w:val="17"/>
              </w:rPr>
              <w:t>14,462</w:t>
            </w:r>
          </w:p>
        </w:tc>
      </w:tr>
      <w:tr>
        <w:tc>
          <w:tcPr>
            <w:tcW w:type="dxa" w:w="2160"/>
            <w:shd w:val="clear" w:color="auto" w:fill="EFF3F1"/>
          </w:tcPr>
          <w:p>
            <w:r/>
            <w:r>
              <w:rPr>
                <w:color w:val="1C3A36"/>
                <w:sz w:val="17"/>
              </w:rPr>
              <w:t>NIM (%)</w:t>
            </w:r>
          </w:p>
        </w:tc>
        <w:tc>
          <w:tcPr>
            <w:tcW w:type="dxa" w:w="1224"/>
            <w:shd w:val="clear" w:color="auto" w:fill="EFF3F1"/>
          </w:tcPr>
          <w:p>
            <w:r/>
            <w:r>
              <w:rPr>
                <w:color w:val="1C3A36"/>
                <w:sz w:val="17"/>
              </w:rPr>
              <w:t>2.90</w:t>
            </w:r>
          </w:p>
        </w:tc>
        <w:tc>
          <w:tcPr>
            <w:tcW w:type="dxa" w:w="1224"/>
            <w:shd w:val="clear" w:color="auto" w:fill="EFF3F1"/>
          </w:tcPr>
          <w:p>
            <w:r/>
            <w:r>
              <w:rPr>
                <w:color w:val="1C3A36"/>
                <w:sz w:val="17"/>
              </w:rPr>
              <w:t>2.85</w:t>
            </w:r>
          </w:p>
        </w:tc>
        <w:tc>
          <w:tcPr>
            <w:tcW w:type="dxa" w:w="1224"/>
            <w:shd w:val="clear" w:color="auto" w:fill="EFF3F1"/>
          </w:tcPr>
          <w:p>
            <w:r/>
            <w:r>
              <w:rPr>
                <w:color w:val="1C3A36"/>
                <w:sz w:val="17"/>
              </w:rPr>
              <w:t>2.88</w:t>
            </w:r>
          </w:p>
        </w:tc>
        <w:tc>
          <w:tcPr>
            <w:tcW w:type="dxa" w:w="1224"/>
            <w:shd w:val="clear" w:color="auto" w:fill="EFF3F1"/>
          </w:tcPr>
          <w:p>
            <w:r/>
            <w:r>
              <w:rPr>
                <w:color w:val="1C3A36"/>
                <w:sz w:val="17"/>
              </w:rPr>
              <w:t>2.80</w:t>
            </w:r>
          </w:p>
        </w:tc>
        <w:tc>
          <w:tcPr>
            <w:tcW w:type="dxa" w:w="1224"/>
            <w:shd w:val="clear" w:color="auto" w:fill="EFF3F1"/>
          </w:tcPr>
          <w:p>
            <w:r/>
            <w:r>
              <w:rPr>
                <w:color w:val="1C3A36"/>
                <w:sz w:val="17"/>
              </w:rPr>
              <w:t>2.75</w:t>
            </w:r>
          </w:p>
        </w:tc>
        <w:tc>
          <w:tcPr>
            <w:tcW w:type="dxa" w:w="1224"/>
            <w:shd w:val="clear" w:color="auto" w:fill="EFF3F1"/>
          </w:tcPr>
          <w:p>
            <w:r/>
            <w:r>
              <w:rPr>
                <w:color w:val="1C3A36"/>
                <w:sz w:val="17"/>
              </w:rPr>
              <w:t>2.70</w:t>
            </w:r>
          </w:p>
        </w:tc>
        <w:tc>
          <w:tcPr>
            <w:tcW w:type="dxa" w:w="1224"/>
            <w:shd w:val="clear" w:color="auto" w:fill="EFF3F1"/>
          </w:tcPr>
          <w:p>
            <w:r/>
            <w:r>
              <w:rPr>
                <w:color w:val="1C3A36"/>
                <w:sz w:val="17"/>
              </w:rPr>
              <w:t>2.68</w:t>
            </w:r>
          </w:p>
        </w:tc>
        <w:tc>
          <w:tcPr>
            <w:tcW w:type="dxa" w:w="1130"/>
            <w:shd w:val="clear" w:color="auto" w:fill="EFF3F1"/>
          </w:tcPr>
          <w:p>
            <w:r/>
            <w:r>
              <w:rPr>
                <w:color w:val="1C3A36"/>
                <w:sz w:val="17"/>
              </w:rPr>
              <w:t>2.65</w:t>
            </w:r>
          </w:p>
        </w:tc>
      </w:tr>
      <w:tr>
        <w:tc>
          <w:tcPr>
            <w:tcW w:type="dxa" w:w="2160"/>
          </w:tcPr>
          <w:p>
            <w:r/>
            <w:r>
              <w:rPr>
                <w:color w:val="1C3A36"/>
                <w:sz w:val="17"/>
              </w:rPr>
              <w:t>Cost-to-income (%)</w:t>
            </w:r>
          </w:p>
        </w:tc>
        <w:tc>
          <w:tcPr>
            <w:tcW w:type="dxa" w:w="1224"/>
          </w:tcPr>
          <w:p>
            <w:r/>
            <w:r>
              <w:rPr>
                <w:color w:val="1C3A36"/>
                <w:sz w:val="17"/>
              </w:rPr>
              <w:t>33</w:t>
            </w:r>
          </w:p>
        </w:tc>
        <w:tc>
          <w:tcPr>
            <w:tcW w:type="dxa" w:w="1224"/>
          </w:tcPr>
          <w:p>
            <w:r/>
            <w:r>
              <w:rPr>
                <w:color w:val="1C3A36"/>
                <w:sz w:val="17"/>
              </w:rPr>
              <w:t>31</w:t>
            </w:r>
          </w:p>
        </w:tc>
        <w:tc>
          <w:tcPr>
            <w:tcW w:type="dxa" w:w="1224"/>
          </w:tcPr>
          <w:p>
            <w:r/>
            <w:r>
              <w:rPr>
                <w:color w:val="1C3A36"/>
                <w:sz w:val="17"/>
              </w:rPr>
              <w:t>30</w:t>
            </w:r>
          </w:p>
        </w:tc>
        <w:tc>
          <w:tcPr>
            <w:tcW w:type="dxa" w:w="1224"/>
          </w:tcPr>
          <w:p>
            <w:r/>
            <w:r>
              <w:rPr>
                <w:color w:val="1C3A36"/>
                <w:sz w:val="17"/>
              </w:rPr>
              <w:t>30</w:t>
            </w:r>
          </w:p>
        </w:tc>
        <w:tc>
          <w:tcPr>
            <w:tcW w:type="dxa" w:w="1224"/>
          </w:tcPr>
          <w:p>
            <w:r/>
            <w:r>
              <w:rPr>
                <w:color w:val="1C3A36"/>
                <w:sz w:val="17"/>
              </w:rPr>
              <w:t>30</w:t>
            </w:r>
          </w:p>
        </w:tc>
        <w:tc>
          <w:tcPr>
            <w:tcW w:type="dxa" w:w="1224"/>
          </w:tcPr>
          <w:p>
            <w:r/>
            <w:r>
              <w:rPr>
                <w:color w:val="1C3A36"/>
                <w:sz w:val="17"/>
              </w:rPr>
              <w:t>30</w:t>
            </w:r>
          </w:p>
        </w:tc>
        <w:tc>
          <w:tcPr>
            <w:tcW w:type="dxa" w:w="1224"/>
          </w:tcPr>
          <w:p>
            <w:r/>
            <w:r>
              <w:rPr>
                <w:color w:val="1C3A36"/>
                <w:sz w:val="17"/>
              </w:rPr>
              <w:t>30</w:t>
            </w:r>
          </w:p>
        </w:tc>
        <w:tc>
          <w:tcPr>
            <w:tcW w:type="dxa" w:w="1130"/>
          </w:tcPr>
          <w:p>
            <w:r/>
            <w:r>
              <w:rPr>
                <w:color w:val="1C3A36"/>
                <w:sz w:val="17"/>
              </w:rPr>
              <w:t>30</w:t>
            </w:r>
          </w:p>
        </w:tc>
      </w:tr>
      <w:tr>
        <w:tc>
          <w:tcPr>
            <w:tcW w:type="dxa" w:w="2160"/>
            <w:shd w:val="clear" w:color="auto" w:fill="EFF3F1"/>
          </w:tcPr>
          <w:p>
            <w:r/>
            <w:r>
              <w:rPr>
                <w:color w:val="1C3A36"/>
                <w:sz w:val="17"/>
              </w:rPr>
              <w:t>Cost of risk (bps)</w:t>
            </w:r>
          </w:p>
        </w:tc>
        <w:tc>
          <w:tcPr>
            <w:tcW w:type="dxa" w:w="1224"/>
            <w:shd w:val="clear" w:color="auto" w:fill="EFF3F1"/>
          </w:tcPr>
          <w:p>
            <w:r/>
            <w:r>
              <w:rPr>
                <w:color w:val="1C3A36"/>
                <w:sz w:val="17"/>
              </w:rPr>
              <w:t>55</w:t>
            </w:r>
          </w:p>
        </w:tc>
        <w:tc>
          <w:tcPr>
            <w:tcW w:type="dxa" w:w="1224"/>
            <w:shd w:val="clear" w:color="auto" w:fill="EFF3F1"/>
          </w:tcPr>
          <w:p>
            <w:r/>
            <w:r>
              <w:rPr>
                <w:color w:val="1C3A36"/>
                <w:sz w:val="17"/>
              </w:rPr>
              <w:t>51</w:t>
            </w:r>
          </w:p>
        </w:tc>
        <w:tc>
          <w:tcPr>
            <w:tcW w:type="dxa" w:w="1224"/>
            <w:shd w:val="clear" w:color="auto" w:fill="EFF3F1"/>
          </w:tcPr>
          <w:p>
            <w:r/>
            <w:r>
              <w:rPr>
                <w:color w:val="1C3A36"/>
                <w:sz w:val="17"/>
              </w:rPr>
              <w:t>37</w:t>
            </w:r>
          </w:p>
        </w:tc>
        <w:tc>
          <w:tcPr>
            <w:tcW w:type="dxa" w:w="1224"/>
            <w:shd w:val="clear" w:color="auto" w:fill="EFF3F1"/>
          </w:tcPr>
          <w:p>
            <w:r/>
            <w:r>
              <w:rPr>
                <w:color w:val="1C3A36"/>
                <w:sz w:val="17"/>
              </w:rPr>
              <w:t>42</w:t>
            </w:r>
          </w:p>
        </w:tc>
        <w:tc>
          <w:tcPr>
            <w:tcW w:type="dxa" w:w="1224"/>
            <w:shd w:val="clear" w:color="auto" w:fill="EFF3F1"/>
          </w:tcPr>
          <w:p>
            <w:r/>
            <w:r>
              <w:rPr>
                <w:color w:val="1C3A36"/>
                <w:sz w:val="17"/>
              </w:rPr>
              <w:t>44</w:t>
            </w:r>
          </w:p>
        </w:tc>
        <w:tc>
          <w:tcPr>
            <w:tcW w:type="dxa" w:w="1224"/>
            <w:shd w:val="clear" w:color="auto" w:fill="EFF3F1"/>
          </w:tcPr>
          <w:p>
            <w:r/>
            <w:r>
              <w:rPr>
                <w:color w:val="1C3A36"/>
                <w:sz w:val="17"/>
              </w:rPr>
              <w:t>45</w:t>
            </w:r>
          </w:p>
        </w:tc>
        <w:tc>
          <w:tcPr>
            <w:tcW w:type="dxa" w:w="1224"/>
            <w:shd w:val="clear" w:color="auto" w:fill="EFF3F1"/>
          </w:tcPr>
          <w:p>
            <w:r/>
            <w:r>
              <w:rPr>
                <w:color w:val="1C3A36"/>
                <w:sz w:val="17"/>
              </w:rPr>
              <w:t>45</w:t>
            </w:r>
          </w:p>
        </w:tc>
        <w:tc>
          <w:tcPr>
            <w:tcW w:type="dxa" w:w="1130"/>
            <w:shd w:val="clear" w:color="auto" w:fill="EFF3F1"/>
          </w:tcPr>
          <w:p>
            <w:r/>
            <w:r>
              <w:rPr>
                <w:color w:val="1C3A36"/>
                <w:sz w:val="17"/>
              </w:rPr>
              <w:t>45</w:t>
            </w:r>
          </w:p>
        </w:tc>
      </w:tr>
      <w:tr>
        <w:tc>
          <w:tcPr>
            <w:tcW w:type="dxa" w:w="2160"/>
          </w:tcPr>
          <w:p>
            <w:r/>
            <w:r>
              <w:rPr>
                <w:color w:val="1C3A36"/>
                <w:sz w:val="17"/>
              </w:rPr>
              <w:t>Loans (SAR bn)</w:t>
            </w:r>
          </w:p>
        </w:tc>
        <w:tc>
          <w:tcPr>
            <w:tcW w:type="dxa" w:w="1224"/>
          </w:tcPr>
          <w:p>
            <w:r/>
            <w:r>
              <w:rPr>
                <w:color w:val="1C3A36"/>
                <w:sz w:val="17"/>
              </w:rPr>
              <w:t>282</w:t>
            </w:r>
          </w:p>
        </w:tc>
        <w:tc>
          <w:tcPr>
            <w:tcW w:type="dxa" w:w="1224"/>
          </w:tcPr>
          <w:p>
            <w:r/>
            <w:r>
              <w:rPr>
                <w:color w:val="1C3A36"/>
                <w:sz w:val="17"/>
              </w:rPr>
              <w:t>320</w:t>
            </w:r>
          </w:p>
        </w:tc>
        <w:tc>
          <w:tcPr>
            <w:tcW w:type="dxa" w:w="1224"/>
          </w:tcPr>
          <w:p>
            <w:r/>
            <w:r>
              <w:rPr>
                <w:color w:val="1C3A36"/>
                <w:sz w:val="17"/>
              </w:rPr>
              <w:t>373</w:t>
            </w:r>
          </w:p>
        </w:tc>
        <w:tc>
          <w:tcPr>
            <w:tcW w:type="dxa" w:w="1224"/>
          </w:tcPr>
          <w:p>
            <w:r/>
            <w:r>
              <w:rPr>
                <w:color w:val="1C3A36"/>
                <w:sz w:val="17"/>
              </w:rPr>
              <w:t>407</w:t>
            </w:r>
          </w:p>
        </w:tc>
        <w:tc>
          <w:tcPr>
            <w:tcW w:type="dxa" w:w="1224"/>
          </w:tcPr>
          <w:p>
            <w:r/>
            <w:r>
              <w:rPr>
                <w:color w:val="1C3A36"/>
                <w:sz w:val="17"/>
              </w:rPr>
              <w:t>441</w:t>
            </w:r>
          </w:p>
        </w:tc>
        <w:tc>
          <w:tcPr>
            <w:tcW w:type="dxa" w:w="1224"/>
          </w:tcPr>
          <w:p>
            <w:r/>
            <w:r>
              <w:rPr>
                <w:color w:val="1C3A36"/>
                <w:sz w:val="17"/>
              </w:rPr>
              <w:t>477</w:t>
            </w:r>
          </w:p>
        </w:tc>
        <w:tc>
          <w:tcPr>
            <w:tcW w:type="dxa" w:w="1224"/>
          </w:tcPr>
          <w:p>
            <w:r/>
            <w:r>
              <w:rPr>
                <w:color w:val="1C3A36"/>
                <w:sz w:val="17"/>
              </w:rPr>
              <w:t>513</w:t>
            </w:r>
          </w:p>
        </w:tc>
        <w:tc>
          <w:tcPr>
            <w:tcW w:type="dxa" w:w="1130"/>
          </w:tcPr>
          <w:p>
            <w:r/>
            <w:r>
              <w:rPr>
                <w:color w:val="1C3A36"/>
                <w:sz w:val="17"/>
              </w:rPr>
              <w:t>548</w:t>
            </w:r>
          </w:p>
        </w:tc>
      </w:tr>
      <w:tr>
        <w:tc>
          <w:tcPr>
            <w:tcW w:type="dxa" w:w="2160"/>
            <w:shd w:val="clear" w:color="auto" w:fill="EFF3F1"/>
          </w:tcPr>
          <w:p>
            <w:r/>
            <w:r>
              <w:rPr>
                <w:color w:val="1C3A36"/>
                <w:sz w:val="17"/>
              </w:rPr>
              <w:t>ROAE (%)</w:t>
            </w:r>
          </w:p>
        </w:tc>
        <w:tc>
          <w:tcPr>
            <w:tcW w:type="dxa" w:w="1224"/>
            <w:shd w:val="clear" w:color="auto" w:fill="EFF3F1"/>
          </w:tcPr>
          <w:p>
            <w:r/>
            <w:r>
              <w:rPr>
                <w:color w:val="1C3A36"/>
                <w:sz w:val="17"/>
              </w:rPr>
              <w:t>n/a</w:t>
            </w:r>
          </w:p>
        </w:tc>
        <w:tc>
          <w:tcPr>
            <w:tcW w:type="dxa" w:w="1224"/>
            <w:shd w:val="clear" w:color="auto" w:fill="EFF3F1"/>
          </w:tcPr>
          <w:p>
            <w:r/>
            <w:r>
              <w:rPr>
                <w:color w:val="1C3A36"/>
                <w:sz w:val="17"/>
              </w:rPr>
              <w:t>16.0</w:t>
            </w:r>
          </w:p>
        </w:tc>
        <w:tc>
          <w:tcPr>
            <w:tcW w:type="dxa" w:w="1224"/>
            <w:shd w:val="clear" w:color="auto" w:fill="EFF3F1"/>
          </w:tcPr>
          <w:p>
            <w:r/>
            <w:r>
              <w:rPr>
                <w:color w:val="1C3A36"/>
                <w:sz w:val="17"/>
              </w:rPr>
              <w:t>16.0</w:t>
            </w:r>
          </w:p>
        </w:tc>
        <w:tc>
          <w:tcPr>
            <w:tcW w:type="dxa" w:w="1224"/>
            <w:shd w:val="clear" w:color="auto" w:fill="EFF3F1"/>
          </w:tcPr>
          <w:p>
            <w:r/>
            <w:r>
              <w:rPr>
                <w:color w:val="1C3A36"/>
                <w:sz w:val="17"/>
              </w:rPr>
              <w:t>15.8</w:t>
            </w:r>
          </w:p>
        </w:tc>
        <w:tc>
          <w:tcPr>
            <w:tcW w:type="dxa" w:w="1224"/>
            <w:shd w:val="clear" w:color="auto" w:fill="EFF3F1"/>
          </w:tcPr>
          <w:p>
            <w:r/>
            <w:r>
              <w:rPr>
                <w:color w:val="1C3A36"/>
                <w:sz w:val="17"/>
              </w:rPr>
              <w:t>15.6</w:t>
            </w:r>
          </w:p>
        </w:tc>
        <w:tc>
          <w:tcPr>
            <w:tcW w:type="dxa" w:w="1224"/>
            <w:shd w:val="clear" w:color="auto" w:fill="EFF3F1"/>
          </w:tcPr>
          <w:p>
            <w:r/>
            <w:r>
              <w:rPr>
                <w:color w:val="1C3A36"/>
                <w:sz w:val="17"/>
              </w:rPr>
              <w:t>15.3</w:t>
            </w:r>
          </w:p>
        </w:tc>
        <w:tc>
          <w:tcPr>
            <w:tcW w:type="dxa" w:w="1224"/>
            <w:shd w:val="clear" w:color="auto" w:fill="EFF3F1"/>
          </w:tcPr>
          <w:p>
            <w:r/>
            <w:r>
              <w:rPr>
                <w:color w:val="1C3A36"/>
                <w:sz w:val="17"/>
              </w:rPr>
              <w:t>14.9</w:t>
            </w:r>
          </w:p>
        </w:tc>
        <w:tc>
          <w:tcPr>
            <w:tcW w:type="dxa" w:w="1130"/>
            <w:shd w:val="clear" w:color="auto" w:fill="EFF3F1"/>
          </w:tcPr>
          <w:p>
            <w:r/>
            <w:r>
              <w:rPr>
                <w:color w:val="1C3A36"/>
                <w:sz w:val="17"/>
              </w:rPr>
              <w:t>14.6</w:t>
            </w:r>
          </w:p>
        </w:tc>
      </w:tr>
    </w:tbl>
    <w:p>
      <w:pPr>
        <w:spacing w:after="120" w:before="0"/>
      </w:pPr>
      <w:r>
        <w:rPr>
          <w:b w:val="0"/>
          <w:i/>
          <w:color w:val="6E7B77"/>
          <w:sz w:val="17"/>
        </w:rPr>
        <w:t>Blue-cell drivers on the model's Assumptions sheet; historical NIM/CIR/CoR are disclosed or estimated to totals, forward path is the house view.</w:t>
      </w:r>
    </w:p>
    <w:p>
      <w:pPr>
        <w:spacing w:after="120" w:before="60"/>
      </w:pPr>
      <w:r>
        <w:rPr>
          <w:b w:val="0"/>
          <w:i w:val="0"/>
          <w:color w:val="1C3A36"/>
          <w:sz w:val="19"/>
        </w:rPr>
        <w:t>The standard earnings-driver view — the same summary a regional bank desk publishes — makes the growth and profitability path explicit, two years back and two forward.</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94"/>
        <w:gridCol w:w="1694"/>
        <w:gridCol w:w="1694"/>
        <w:gridCol w:w="1694"/>
        <w:gridCol w:w="1694"/>
        <w:gridCol w:w="1694"/>
      </w:tblGrid>
      <w:tr>
        <w:tc>
          <w:tcPr>
            <w:tcW w:type="dxa" w:w="3312"/>
            <w:shd w:val="clear" w:color="auto" w:fill="1C3A36"/>
          </w:tcPr>
          <w:p>
            <w:r/>
            <w:r>
              <w:rPr>
                <w:b/>
                <w:color w:val="FFFFFF"/>
                <w:sz w:val="17"/>
              </w:rPr>
              <w:t>Key earnings driver</w:t>
            </w:r>
          </w:p>
        </w:tc>
        <w:tc>
          <w:tcPr>
            <w:tcW w:type="dxa" w:w="1411"/>
            <w:shd w:val="clear" w:color="auto" w:fill="1C3A36"/>
          </w:tcPr>
          <w:p>
            <w:r/>
            <w:r>
              <w:rPr>
                <w:b/>
                <w:color w:val="FFFFFF"/>
                <w:sz w:val="17"/>
              </w:rPr>
              <w:t>FY23 a</w:t>
            </w:r>
          </w:p>
        </w:tc>
        <w:tc>
          <w:tcPr>
            <w:tcW w:type="dxa" w:w="1411"/>
            <w:shd w:val="clear" w:color="auto" w:fill="1C3A36"/>
          </w:tcPr>
          <w:p>
            <w:r/>
            <w:r>
              <w:rPr>
                <w:b/>
                <w:color w:val="FFFFFF"/>
                <w:sz w:val="17"/>
              </w:rPr>
              <w:t>FY24 a</w:t>
            </w:r>
          </w:p>
        </w:tc>
        <w:tc>
          <w:tcPr>
            <w:tcW w:type="dxa" w:w="1411"/>
            <w:shd w:val="clear" w:color="auto" w:fill="1C3A36"/>
          </w:tcPr>
          <w:p>
            <w:r/>
            <w:r>
              <w:rPr>
                <w:b/>
                <w:color w:val="FFFFFF"/>
                <w:sz w:val="17"/>
              </w:rPr>
              <w:t>FY25 a</w:t>
            </w:r>
          </w:p>
        </w:tc>
        <w:tc>
          <w:tcPr>
            <w:tcW w:type="dxa" w:w="1411"/>
            <w:shd w:val="clear" w:color="auto" w:fill="1C3A36"/>
          </w:tcPr>
          <w:p>
            <w:r/>
            <w:r>
              <w:rPr>
                <w:b/>
                <w:color w:val="FFFFFF"/>
                <w:sz w:val="17"/>
              </w:rPr>
              <w:t>FY26 e</w:t>
            </w:r>
          </w:p>
        </w:tc>
        <w:tc>
          <w:tcPr>
            <w:tcW w:type="dxa" w:w="1411"/>
            <w:shd w:val="clear" w:color="auto" w:fill="1C3A36"/>
          </w:tcPr>
          <w:p>
            <w:r/>
            <w:r>
              <w:rPr>
                <w:b/>
                <w:color w:val="FFFFFF"/>
                <w:sz w:val="17"/>
              </w:rPr>
              <w:t>FY27 e</w:t>
            </w:r>
          </w:p>
        </w:tc>
      </w:tr>
      <w:tr>
        <w:tc>
          <w:tcPr>
            <w:tcW w:type="dxa" w:w="3312"/>
          </w:tcPr>
          <w:p>
            <w:r/>
            <w:r>
              <w:rPr>
                <w:color w:val="1C3A36"/>
                <w:sz w:val="17"/>
              </w:rPr>
              <w:t>Loan growth</w:t>
            </w:r>
          </w:p>
        </w:tc>
        <w:tc>
          <w:tcPr>
            <w:tcW w:type="dxa" w:w="1411"/>
          </w:tcPr>
          <w:p>
            <w:r/>
            <w:r>
              <w:rPr>
                <w:color w:val="1C3A36"/>
                <w:sz w:val="17"/>
              </w:rPr>
              <w:t>n/a</w:t>
            </w:r>
          </w:p>
        </w:tc>
        <w:tc>
          <w:tcPr>
            <w:tcW w:type="dxa" w:w="1411"/>
          </w:tcPr>
          <w:p>
            <w:r/>
            <w:r>
              <w:rPr>
                <w:color w:val="1C3A36"/>
                <w:sz w:val="17"/>
              </w:rPr>
              <w:t>13.5%</w:t>
            </w:r>
          </w:p>
        </w:tc>
        <w:tc>
          <w:tcPr>
            <w:tcW w:type="dxa" w:w="1411"/>
          </w:tcPr>
          <w:p>
            <w:r/>
            <w:r>
              <w:rPr>
                <w:color w:val="1C3A36"/>
                <w:sz w:val="17"/>
              </w:rPr>
              <w:t>16.6%</w:t>
            </w:r>
          </w:p>
        </w:tc>
        <w:tc>
          <w:tcPr>
            <w:tcW w:type="dxa" w:w="1411"/>
          </w:tcPr>
          <w:p>
            <w:r/>
            <w:r>
              <w:rPr>
                <w:color w:val="1C3A36"/>
                <w:sz w:val="17"/>
              </w:rPr>
              <w:t>9.0%</w:t>
            </w:r>
          </w:p>
        </w:tc>
        <w:tc>
          <w:tcPr>
            <w:tcW w:type="dxa" w:w="1411"/>
          </w:tcPr>
          <w:p>
            <w:r/>
            <w:r>
              <w:rPr>
                <w:color w:val="1C3A36"/>
                <w:sz w:val="17"/>
              </w:rPr>
              <w:t>8.5%</w:t>
            </w:r>
          </w:p>
        </w:tc>
      </w:tr>
      <w:tr>
        <w:tc>
          <w:tcPr>
            <w:tcW w:type="dxa" w:w="3312"/>
            <w:shd w:val="clear" w:color="auto" w:fill="EFF3F1"/>
          </w:tcPr>
          <w:p>
            <w:r/>
            <w:r>
              <w:rPr>
                <w:color w:val="1C3A36"/>
                <w:sz w:val="17"/>
              </w:rPr>
              <w:t>Deposit growth</w:t>
            </w:r>
          </w:p>
        </w:tc>
        <w:tc>
          <w:tcPr>
            <w:tcW w:type="dxa" w:w="1411"/>
            <w:shd w:val="clear" w:color="auto" w:fill="EFF3F1"/>
          </w:tcPr>
          <w:p>
            <w:r/>
            <w:r>
              <w:rPr>
                <w:color w:val="1C3A36"/>
                <w:sz w:val="17"/>
              </w:rPr>
              <w:t>n/a</w:t>
            </w:r>
          </w:p>
        </w:tc>
        <w:tc>
          <w:tcPr>
            <w:tcW w:type="dxa" w:w="1411"/>
            <w:shd w:val="clear" w:color="auto" w:fill="EFF3F1"/>
          </w:tcPr>
          <w:p>
            <w:r/>
            <w:r>
              <w:rPr>
                <w:color w:val="1C3A36"/>
                <w:sz w:val="17"/>
              </w:rPr>
              <w:t>11.4%</w:t>
            </w:r>
          </w:p>
        </w:tc>
        <w:tc>
          <w:tcPr>
            <w:tcW w:type="dxa" w:w="1411"/>
            <w:shd w:val="clear" w:color="auto" w:fill="EFF3F1"/>
          </w:tcPr>
          <w:p>
            <w:r/>
            <w:r>
              <w:rPr>
                <w:color w:val="1C3A36"/>
                <w:sz w:val="17"/>
              </w:rPr>
              <w:t>8.3%</w:t>
            </w:r>
          </w:p>
        </w:tc>
        <w:tc>
          <w:tcPr>
            <w:tcW w:type="dxa" w:w="1411"/>
            <w:shd w:val="clear" w:color="auto" w:fill="EFF3F1"/>
          </w:tcPr>
          <w:p>
            <w:r/>
            <w:r>
              <w:rPr>
                <w:color w:val="1C3A36"/>
                <w:sz w:val="17"/>
              </w:rPr>
              <w:t>8.0%</w:t>
            </w:r>
          </w:p>
        </w:tc>
        <w:tc>
          <w:tcPr>
            <w:tcW w:type="dxa" w:w="1411"/>
            <w:shd w:val="clear" w:color="auto" w:fill="EFF3F1"/>
          </w:tcPr>
          <w:p>
            <w:r/>
            <w:r>
              <w:rPr>
                <w:color w:val="1C3A36"/>
                <w:sz w:val="17"/>
              </w:rPr>
              <w:t>7.5%</w:t>
            </w:r>
          </w:p>
        </w:tc>
      </w:tr>
      <w:tr>
        <w:tc>
          <w:tcPr>
            <w:tcW w:type="dxa" w:w="3312"/>
          </w:tcPr>
          <w:p>
            <w:r/>
            <w:r>
              <w:rPr>
                <w:color w:val="1C3A36"/>
                <w:sz w:val="17"/>
              </w:rPr>
              <w:t>NIM</w:t>
            </w:r>
          </w:p>
        </w:tc>
        <w:tc>
          <w:tcPr>
            <w:tcW w:type="dxa" w:w="1411"/>
          </w:tcPr>
          <w:p>
            <w:r/>
            <w:r>
              <w:rPr>
                <w:color w:val="1C3A36"/>
                <w:sz w:val="17"/>
              </w:rPr>
              <w:t>2.9%</w:t>
            </w:r>
          </w:p>
        </w:tc>
        <w:tc>
          <w:tcPr>
            <w:tcW w:type="dxa" w:w="1411"/>
          </w:tcPr>
          <w:p>
            <w:r/>
            <w:r>
              <w:rPr>
                <w:color w:val="1C3A36"/>
                <w:sz w:val="17"/>
              </w:rPr>
              <w:t>2.9%</w:t>
            </w:r>
          </w:p>
        </w:tc>
        <w:tc>
          <w:tcPr>
            <w:tcW w:type="dxa" w:w="1411"/>
          </w:tcPr>
          <w:p>
            <w:r/>
            <w:r>
              <w:rPr>
                <w:color w:val="1C3A36"/>
                <w:sz w:val="17"/>
              </w:rPr>
              <w:t>2.9%</w:t>
            </w:r>
          </w:p>
        </w:tc>
        <w:tc>
          <w:tcPr>
            <w:tcW w:type="dxa" w:w="1411"/>
          </w:tcPr>
          <w:p>
            <w:r/>
            <w:r>
              <w:rPr>
                <w:color w:val="1C3A36"/>
                <w:sz w:val="17"/>
              </w:rPr>
              <w:t>2.8%</w:t>
            </w:r>
          </w:p>
        </w:tc>
        <w:tc>
          <w:tcPr>
            <w:tcW w:type="dxa" w:w="1411"/>
          </w:tcPr>
          <w:p>
            <w:r/>
            <w:r>
              <w:rPr>
                <w:color w:val="1C3A36"/>
                <w:sz w:val="17"/>
              </w:rPr>
              <w:t>2.8%</w:t>
            </w:r>
          </w:p>
        </w:tc>
      </w:tr>
      <w:tr>
        <w:tc>
          <w:tcPr>
            <w:tcW w:type="dxa" w:w="3312"/>
            <w:shd w:val="clear" w:color="auto" w:fill="EFF3F1"/>
          </w:tcPr>
          <w:p>
            <w:r/>
            <w:r>
              <w:rPr>
                <w:color w:val="1C3A36"/>
                <w:sz w:val="17"/>
              </w:rPr>
              <w:t>Net interest income growth</w:t>
            </w:r>
          </w:p>
        </w:tc>
        <w:tc>
          <w:tcPr>
            <w:tcW w:type="dxa" w:w="1411"/>
            <w:shd w:val="clear" w:color="auto" w:fill="EFF3F1"/>
          </w:tcPr>
          <w:p>
            <w:r/>
            <w:r>
              <w:rPr>
                <w:color w:val="1C3A36"/>
                <w:sz w:val="17"/>
              </w:rPr>
              <w:t>n/a</w:t>
            </w:r>
          </w:p>
        </w:tc>
        <w:tc>
          <w:tcPr>
            <w:tcW w:type="dxa" w:w="1411"/>
            <w:shd w:val="clear" w:color="auto" w:fill="EFF3F1"/>
          </w:tcPr>
          <w:p>
            <w:r/>
            <w:r>
              <w:rPr>
                <w:color w:val="1C3A36"/>
                <w:sz w:val="17"/>
              </w:rPr>
              <w:t>7.2%</w:t>
            </w:r>
          </w:p>
        </w:tc>
        <w:tc>
          <w:tcPr>
            <w:tcW w:type="dxa" w:w="1411"/>
            <w:shd w:val="clear" w:color="auto" w:fill="EFF3F1"/>
          </w:tcPr>
          <w:p>
            <w:r/>
            <w:r>
              <w:rPr>
                <w:color w:val="1C3A36"/>
                <w:sz w:val="17"/>
              </w:rPr>
              <w:t>9.0%</w:t>
            </w:r>
          </w:p>
        </w:tc>
        <w:tc>
          <w:tcPr>
            <w:tcW w:type="dxa" w:w="1411"/>
            <w:shd w:val="clear" w:color="auto" w:fill="EFF3F1"/>
          </w:tcPr>
          <w:p>
            <w:r/>
            <w:r>
              <w:rPr>
                <w:color w:val="1C3A36"/>
                <w:sz w:val="17"/>
              </w:rPr>
              <w:t>7.2%</w:t>
            </w:r>
          </w:p>
        </w:tc>
        <w:tc>
          <w:tcPr>
            <w:tcW w:type="dxa" w:w="1411"/>
            <w:shd w:val="clear" w:color="auto" w:fill="EFF3F1"/>
          </w:tcPr>
          <w:p>
            <w:r/>
            <w:r>
              <w:rPr>
                <w:color w:val="1C3A36"/>
                <w:sz w:val="17"/>
              </w:rPr>
              <w:t>5.8%</w:t>
            </w:r>
          </w:p>
        </w:tc>
      </w:tr>
      <w:tr>
        <w:tc>
          <w:tcPr>
            <w:tcW w:type="dxa" w:w="3312"/>
          </w:tcPr>
          <w:p>
            <w:r/>
            <w:r>
              <w:rPr>
                <w:color w:val="1C3A36"/>
                <w:sz w:val="17"/>
              </w:rPr>
              <w:t>Fee income growth</w:t>
            </w:r>
          </w:p>
        </w:tc>
        <w:tc>
          <w:tcPr>
            <w:tcW w:type="dxa" w:w="1411"/>
          </w:tcPr>
          <w:p>
            <w:r/>
            <w:r>
              <w:rPr>
                <w:color w:val="1C3A36"/>
                <w:sz w:val="17"/>
              </w:rPr>
              <w:t>n/a</w:t>
            </w:r>
          </w:p>
        </w:tc>
        <w:tc>
          <w:tcPr>
            <w:tcW w:type="dxa" w:w="1411"/>
          </w:tcPr>
          <w:p>
            <w:r/>
            <w:r>
              <w:rPr>
                <w:color w:val="1C3A36"/>
                <w:sz w:val="17"/>
              </w:rPr>
              <w:t>12.5%</w:t>
            </w:r>
          </w:p>
        </w:tc>
        <w:tc>
          <w:tcPr>
            <w:tcW w:type="dxa" w:w="1411"/>
          </w:tcPr>
          <w:p>
            <w:r/>
            <w:r>
              <w:rPr>
                <w:color w:val="1C3A36"/>
                <w:sz w:val="17"/>
              </w:rPr>
              <w:t>18.5%</w:t>
            </w:r>
          </w:p>
        </w:tc>
        <w:tc>
          <w:tcPr>
            <w:tcW w:type="dxa" w:w="1411"/>
          </w:tcPr>
          <w:p>
            <w:r/>
            <w:r>
              <w:rPr>
                <w:color w:val="1C3A36"/>
                <w:sz w:val="17"/>
              </w:rPr>
              <w:t>14.1%</w:t>
            </w:r>
          </w:p>
        </w:tc>
        <w:tc>
          <w:tcPr>
            <w:tcW w:type="dxa" w:w="1411"/>
          </w:tcPr>
          <w:p>
            <w:r/>
            <w:r>
              <w:rPr>
                <w:color w:val="1C3A36"/>
                <w:sz w:val="17"/>
              </w:rPr>
              <w:t>11.0%</w:t>
            </w:r>
          </w:p>
        </w:tc>
      </w:tr>
      <w:tr>
        <w:tc>
          <w:tcPr>
            <w:tcW w:type="dxa" w:w="3312"/>
            <w:shd w:val="clear" w:color="auto" w:fill="EFF3F1"/>
          </w:tcPr>
          <w:p>
            <w:r/>
            <w:r>
              <w:rPr>
                <w:color w:val="1C3A36"/>
                <w:sz w:val="17"/>
              </w:rPr>
              <w:t>Revenue growth</w:t>
            </w:r>
          </w:p>
        </w:tc>
        <w:tc>
          <w:tcPr>
            <w:tcW w:type="dxa" w:w="1411"/>
            <w:shd w:val="clear" w:color="auto" w:fill="EFF3F1"/>
          </w:tcPr>
          <w:p>
            <w:r/>
            <w:r>
              <w:rPr>
                <w:color w:val="1C3A36"/>
                <w:sz w:val="17"/>
              </w:rPr>
              <w:t>n/a</w:t>
            </w:r>
          </w:p>
        </w:tc>
        <w:tc>
          <w:tcPr>
            <w:tcW w:type="dxa" w:w="1411"/>
            <w:shd w:val="clear" w:color="auto" w:fill="EFF3F1"/>
          </w:tcPr>
          <w:p>
            <w:r/>
            <w:r>
              <w:rPr>
                <w:color w:val="1C3A36"/>
                <w:sz w:val="17"/>
              </w:rPr>
              <w:t>8.9%</w:t>
            </w:r>
          </w:p>
        </w:tc>
        <w:tc>
          <w:tcPr>
            <w:tcW w:type="dxa" w:w="1411"/>
            <w:shd w:val="clear" w:color="auto" w:fill="EFF3F1"/>
          </w:tcPr>
          <w:p>
            <w:r/>
            <w:r>
              <w:rPr>
                <w:color w:val="1C3A36"/>
                <w:sz w:val="17"/>
              </w:rPr>
              <w:t>6.9%</w:t>
            </w:r>
          </w:p>
        </w:tc>
        <w:tc>
          <w:tcPr>
            <w:tcW w:type="dxa" w:w="1411"/>
            <w:shd w:val="clear" w:color="auto" w:fill="EFF3F1"/>
          </w:tcPr>
          <w:p>
            <w:r/>
            <w:r>
              <w:rPr>
                <w:color w:val="1C3A36"/>
                <w:sz w:val="17"/>
              </w:rPr>
              <w:t>8.8%</w:t>
            </w:r>
          </w:p>
        </w:tc>
        <w:tc>
          <w:tcPr>
            <w:tcW w:type="dxa" w:w="1411"/>
            <w:shd w:val="clear" w:color="auto" w:fill="EFF3F1"/>
          </w:tcPr>
          <w:p>
            <w:r/>
            <w:r>
              <w:rPr>
                <w:color w:val="1C3A36"/>
                <w:sz w:val="17"/>
              </w:rPr>
              <w:t>6.5%</w:t>
            </w:r>
          </w:p>
        </w:tc>
      </w:tr>
      <w:tr>
        <w:tc>
          <w:tcPr>
            <w:tcW w:type="dxa" w:w="3312"/>
          </w:tcPr>
          <w:p>
            <w:r/>
            <w:r>
              <w:rPr>
                <w:color w:val="1C3A36"/>
                <w:sz w:val="17"/>
              </w:rPr>
              <w:t>Opex growth</w:t>
            </w:r>
          </w:p>
        </w:tc>
        <w:tc>
          <w:tcPr>
            <w:tcW w:type="dxa" w:w="1411"/>
          </w:tcPr>
          <w:p>
            <w:r/>
            <w:r>
              <w:rPr>
                <w:color w:val="1C3A36"/>
                <w:sz w:val="17"/>
              </w:rPr>
              <w:t>n/a</w:t>
            </w:r>
          </w:p>
        </w:tc>
        <w:tc>
          <w:tcPr>
            <w:tcW w:type="dxa" w:w="1411"/>
          </w:tcPr>
          <w:p>
            <w:r/>
            <w:r>
              <w:rPr>
                <w:color w:val="1C3A36"/>
                <w:sz w:val="17"/>
              </w:rPr>
              <w:t>2.3%</w:t>
            </w:r>
          </w:p>
        </w:tc>
        <w:tc>
          <w:tcPr>
            <w:tcW w:type="dxa" w:w="1411"/>
          </w:tcPr>
          <w:p>
            <w:r/>
            <w:r>
              <w:rPr>
                <w:color w:val="1C3A36"/>
                <w:sz w:val="17"/>
              </w:rPr>
              <w:t>2.0%</w:t>
            </w:r>
          </w:p>
        </w:tc>
        <w:tc>
          <w:tcPr>
            <w:tcW w:type="dxa" w:w="1411"/>
          </w:tcPr>
          <w:p>
            <w:r/>
            <w:r>
              <w:rPr>
                <w:color w:val="1C3A36"/>
                <w:sz w:val="17"/>
              </w:rPr>
              <w:t>10.3%</w:t>
            </w:r>
          </w:p>
        </w:tc>
        <w:tc>
          <w:tcPr>
            <w:tcW w:type="dxa" w:w="1411"/>
          </w:tcPr>
          <w:p>
            <w:r/>
            <w:r>
              <w:rPr>
                <w:color w:val="1C3A36"/>
                <w:sz w:val="17"/>
              </w:rPr>
              <w:t>6.5%</w:t>
            </w:r>
          </w:p>
        </w:tc>
      </w:tr>
      <w:tr>
        <w:tc>
          <w:tcPr>
            <w:tcW w:type="dxa" w:w="3312"/>
            <w:shd w:val="clear" w:color="auto" w:fill="EFF3F1"/>
          </w:tcPr>
          <w:p>
            <w:r/>
            <w:r>
              <w:rPr>
                <w:color w:val="1C3A36"/>
                <w:sz w:val="17"/>
              </w:rPr>
              <w:t>Cost-to-income</w:t>
            </w:r>
          </w:p>
        </w:tc>
        <w:tc>
          <w:tcPr>
            <w:tcW w:type="dxa" w:w="1411"/>
            <w:shd w:val="clear" w:color="auto" w:fill="EFF3F1"/>
          </w:tcPr>
          <w:p>
            <w:r/>
            <w:r>
              <w:rPr>
                <w:color w:val="1C3A36"/>
                <w:sz w:val="17"/>
              </w:rPr>
              <w:t>33.0%</w:t>
            </w:r>
          </w:p>
        </w:tc>
        <w:tc>
          <w:tcPr>
            <w:tcW w:type="dxa" w:w="1411"/>
            <w:shd w:val="clear" w:color="auto" w:fill="EFF3F1"/>
          </w:tcPr>
          <w:p>
            <w:r/>
            <w:r>
              <w:rPr>
                <w:color w:val="1C3A36"/>
                <w:sz w:val="17"/>
              </w:rPr>
              <w:t>31.0%</w:t>
            </w:r>
          </w:p>
        </w:tc>
        <w:tc>
          <w:tcPr>
            <w:tcW w:type="dxa" w:w="1411"/>
            <w:shd w:val="clear" w:color="auto" w:fill="EFF3F1"/>
          </w:tcPr>
          <w:p>
            <w:r/>
            <w:r>
              <w:rPr>
                <w:color w:val="1C3A36"/>
                <w:sz w:val="17"/>
              </w:rPr>
              <w:t>29.6%</w:t>
            </w:r>
          </w:p>
        </w:tc>
        <w:tc>
          <w:tcPr>
            <w:tcW w:type="dxa" w:w="1411"/>
            <w:shd w:val="clear" w:color="auto" w:fill="EFF3F1"/>
          </w:tcPr>
          <w:p>
            <w:r/>
            <w:r>
              <w:rPr>
                <w:color w:val="1C3A36"/>
                <w:sz w:val="17"/>
              </w:rPr>
              <w:t>30.0%</w:t>
            </w:r>
          </w:p>
        </w:tc>
        <w:tc>
          <w:tcPr>
            <w:tcW w:type="dxa" w:w="1411"/>
            <w:shd w:val="clear" w:color="auto" w:fill="EFF3F1"/>
          </w:tcPr>
          <w:p>
            <w:r/>
            <w:r>
              <w:rPr>
                <w:color w:val="1C3A36"/>
                <w:sz w:val="17"/>
              </w:rPr>
              <w:t>30.0%</w:t>
            </w:r>
          </w:p>
        </w:tc>
      </w:tr>
      <w:tr>
        <w:tc>
          <w:tcPr>
            <w:tcW w:type="dxa" w:w="3312"/>
          </w:tcPr>
          <w:p>
            <w:r/>
            <w:r>
              <w:rPr>
                <w:color w:val="1C3A36"/>
                <w:sz w:val="17"/>
              </w:rPr>
              <w:t>Cost of risk (bps)</w:t>
            </w:r>
          </w:p>
        </w:tc>
        <w:tc>
          <w:tcPr>
            <w:tcW w:type="dxa" w:w="1411"/>
          </w:tcPr>
          <w:p>
            <w:r/>
            <w:r>
              <w:rPr>
                <w:color w:val="1C3A36"/>
                <w:sz w:val="17"/>
              </w:rPr>
              <w:t>55</w:t>
            </w:r>
          </w:p>
        </w:tc>
        <w:tc>
          <w:tcPr>
            <w:tcW w:type="dxa" w:w="1411"/>
          </w:tcPr>
          <w:p>
            <w:r/>
            <w:r>
              <w:rPr>
                <w:color w:val="1C3A36"/>
                <w:sz w:val="17"/>
              </w:rPr>
              <w:t>51</w:t>
            </w:r>
          </w:p>
        </w:tc>
        <w:tc>
          <w:tcPr>
            <w:tcW w:type="dxa" w:w="1411"/>
          </w:tcPr>
          <w:p>
            <w:r/>
            <w:r>
              <w:rPr>
                <w:color w:val="1C3A36"/>
                <w:sz w:val="17"/>
              </w:rPr>
              <w:t>37</w:t>
            </w:r>
          </w:p>
        </w:tc>
        <w:tc>
          <w:tcPr>
            <w:tcW w:type="dxa" w:w="1411"/>
          </w:tcPr>
          <w:p>
            <w:r/>
            <w:r>
              <w:rPr>
                <w:color w:val="1C3A36"/>
                <w:sz w:val="17"/>
              </w:rPr>
              <w:t>42</w:t>
            </w:r>
          </w:p>
        </w:tc>
        <w:tc>
          <w:tcPr>
            <w:tcW w:type="dxa" w:w="1411"/>
          </w:tcPr>
          <w:p>
            <w:r/>
            <w:r>
              <w:rPr>
                <w:color w:val="1C3A36"/>
                <w:sz w:val="17"/>
              </w:rPr>
              <w:t>44</w:t>
            </w:r>
          </w:p>
        </w:tc>
      </w:tr>
      <w:tr>
        <w:tc>
          <w:tcPr>
            <w:tcW w:type="dxa" w:w="3312"/>
            <w:shd w:val="clear" w:color="auto" w:fill="EFF3F1"/>
          </w:tcPr>
          <w:p>
            <w:r/>
            <w:r>
              <w:rPr>
                <w:color w:val="1C3A36"/>
                <w:sz w:val="17"/>
              </w:rPr>
              <w:t>Earnings growth</w:t>
            </w:r>
          </w:p>
        </w:tc>
        <w:tc>
          <w:tcPr>
            <w:tcW w:type="dxa" w:w="1411"/>
            <w:shd w:val="clear" w:color="auto" w:fill="EFF3F1"/>
          </w:tcPr>
          <w:p>
            <w:r/>
            <w:r>
              <w:rPr>
                <w:color w:val="1C3A36"/>
                <w:sz w:val="17"/>
              </w:rPr>
              <w:t>n/a</w:t>
            </w:r>
          </w:p>
        </w:tc>
        <w:tc>
          <w:tcPr>
            <w:tcW w:type="dxa" w:w="1411"/>
            <w:shd w:val="clear" w:color="auto" w:fill="EFF3F1"/>
          </w:tcPr>
          <w:p>
            <w:r/>
            <w:r>
              <w:rPr>
                <w:color w:val="1C3A36"/>
                <w:sz w:val="17"/>
              </w:rPr>
              <w:t>16.0%</w:t>
            </w:r>
          </w:p>
        </w:tc>
        <w:tc>
          <w:tcPr>
            <w:tcW w:type="dxa" w:w="1411"/>
            <w:shd w:val="clear" w:color="auto" w:fill="EFF3F1"/>
          </w:tcPr>
          <w:p>
            <w:r/>
            <w:r>
              <w:rPr>
                <w:color w:val="1C3A36"/>
                <w:sz w:val="17"/>
              </w:rPr>
              <w:t>11.7%</w:t>
            </w:r>
          </w:p>
        </w:tc>
        <w:tc>
          <w:tcPr>
            <w:tcW w:type="dxa" w:w="1411"/>
            <w:shd w:val="clear" w:color="auto" w:fill="EFF3F1"/>
          </w:tcPr>
          <w:p>
            <w:r/>
            <w:r>
              <w:rPr>
                <w:color w:val="1C3A36"/>
                <w:sz w:val="17"/>
              </w:rPr>
              <w:t>8.5%</w:t>
            </w:r>
          </w:p>
        </w:tc>
        <w:tc>
          <w:tcPr>
            <w:tcW w:type="dxa" w:w="1411"/>
            <w:shd w:val="clear" w:color="auto" w:fill="EFF3F1"/>
          </w:tcPr>
          <w:p>
            <w:r/>
            <w:r>
              <w:rPr>
                <w:color w:val="1C3A36"/>
                <w:sz w:val="17"/>
              </w:rPr>
              <w:t>7.5%</w:t>
            </w:r>
          </w:p>
        </w:tc>
      </w:tr>
      <w:tr>
        <w:tc>
          <w:tcPr>
            <w:tcW w:type="dxa" w:w="3312"/>
          </w:tcPr>
          <w:p>
            <w:r/>
            <w:r>
              <w:rPr>
                <w:color w:val="1C3A36"/>
                <w:sz w:val="17"/>
              </w:rPr>
              <w:t>ROAE</w:t>
            </w:r>
          </w:p>
        </w:tc>
        <w:tc>
          <w:tcPr>
            <w:tcW w:type="dxa" w:w="1411"/>
          </w:tcPr>
          <w:p>
            <w:r/>
            <w:r>
              <w:rPr>
                <w:color w:val="1C3A36"/>
                <w:sz w:val="17"/>
              </w:rPr>
              <w:t>n/a</w:t>
            </w:r>
          </w:p>
        </w:tc>
        <w:tc>
          <w:tcPr>
            <w:tcW w:type="dxa" w:w="1411"/>
          </w:tcPr>
          <w:p>
            <w:r/>
            <w:r>
              <w:rPr>
                <w:color w:val="1C3A36"/>
                <w:sz w:val="17"/>
              </w:rPr>
              <w:t>16.0%</w:t>
            </w:r>
          </w:p>
        </w:tc>
        <w:tc>
          <w:tcPr>
            <w:tcW w:type="dxa" w:w="1411"/>
          </w:tcPr>
          <w:p>
            <w:r/>
            <w:r>
              <w:rPr>
                <w:color w:val="1C3A36"/>
                <w:sz w:val="17"/>
              </w:rPr>
              <w:t>16.0%</w:t>
            </w:r>
          </w:p>
        </w:tc>
        <w:tc>
          <w:tcPr>
            <w:tcW w:type="dxa" w:w="1411"/>
          </w:tcPr>
          <w:p>
            <w:r/>
            <w:r>
              <w:rPr>
                <w:color w:val="1C3A36"/>
                <w:sz w:val="17"/>
              </w:rPr>
              <w:t>15.8%</w:t>
            </w:r>
          </w:p>
        </w:tc>
        <w:tc>
          <w:tcPr>
            <w:tcW w:type="dxa" w:w="1411"/>
          </w:tcPr>
          <w:p>
            <w:r/>
            <w:r>
              <w:rPr>
                <w:color w:val="1C3A36"/>
                <w:sz w:val="17"/>
              </w:rPr>
              <w:t>15.6%</w:t>
            </w:r>
          </w:p>
        </w:tc>
      </w:tr>
      <w:tr>
        <w:tc>
          <w:tcPr>
            <w:tcW w:type="dxa" w:w="3312"/>
            <w:shd w:val="clear" w:color="auto" w:fill="EFF3F1"/>
          </w:tcPr>
          <w:p>
            <w:r/>
            <w:r>
              <w:rPr>
                <w:color w:val="1C3A36"/>
                <w:sz w:val="17"/>
              </w:rPr>
              <w:t>ROAA</w:t>
            </w:r>
          </w:p>
        </w:tc>
        <w:tc>
          <w:tcPr>
            <w:tcW w:type="dxa" w:w="1411"/>
            <w:shd w:val="clear" w:color="auto" w:fill="EFF3F1"/>
          </w:tcPr>
          <w:p>
            <w:r/>
            <w:r>
              <w:rPr>
                <w:color w:val="1C3A36"/>
                <w:sz w:val="17"/>
              </w:rPr>
              <w:t>n/a</w:t>
            </w:r>
          </w:p>
        </w:tc>
        <w:tc>
          <w:tcPr>
            <w:tcW w:type="dxa" w:w="1411"/>
            <w:shd w:val="clear" w:color="auto" w:fill="EFF3F1"/>
          </w:tcPr>
          <w:p>
            <w:r/>
            <w:r>
              <w:rPr>
                <w:color w:val="1C3A36"/>
                <w:sz w:val="17"/>
              </w:rPr>
              <w:t>2.2%</w:t>
            </w:r>
          </w:p>
        </w:tc>
        <w:tc>
          <w:tcPr>
            <w:tcW w:type="dxa" w:w="1411"/>
            <w:shd w:val="clear" w:color="auto" w:fill="EFF3F1"/>
          </w:tcPr>
          <w:p>
            <w:r/>
            <w:r>
              <w:rPr>
                <w:color w:val="1C3A36"/>
                <w:sz w:val="17"/>
              </w:rPr>
              <w:t>2.1%</w:t>
            </w:r>
          </w:p>
        </w:tc>
        <w:tc>
          <w:tcPr>
            <w:tcW w:type="dxa" w:w="1411"/>
            <w:shd w:val="clear" w:color="auto" w:fill="EFF3F1"/>
          </w:tcPr>
          <w:p>
            <w:r/>
            <w:r>
              <w:rPr>
                <w:color w:val="1C3A36"/>
                <w:sz w:val="17"/>
              </w:rPr>
              <w:t>2.1%</w:t>
            </w:r>
          </w:p>
        </w:tc>
        <w:tc>
          <w:tcPr>
            <w:tcW w:type="dxa" w:w="1411"/>
            <w:shd w:val="clear" w:color="auto" w:fill="EFF3F1"/>
          </w:tcPr>
          <w:p>
            <w:r/>
            <w:r>
              <w:rPr>
                <w:color w:val="1C3A36"/>
                <w:sz w:val="17"/>
              </w:rPr>
              <w:t>2.1%</w:t>
            </w:r>
          </w:p>
        </w:tc>
      </w:tr>
      <w:tr>
        <w:tc>
          <w:tcPr>
            <w:tcW w:type="dxa" w:w="3312"/>
          </w:tcPr>
          <w:p>
            <w:r/>
            <w:r>
              <w:rPr>
                <w:color w:val="1C3A36"/>
                <w:sz w:val="17"/>
              </w:rPr>
              <w:t>Net profit — reported (SAR mn)</w:t>
            </w:r>
          </w:p>
        </w:tc>
        <w:tc>
          <w:tcPr>
            <w:tcW w:type="dxa" w:w="1411"/>
          </w:tcPr>
          <w:p>
            <w:r/>
            <w:r>
              <w:rPr>
                <w:color w:val="1C3A36"/>
                <w:sz w:val="17"/>
              </w:rPr>
              <w:t>8,036</w:t>
            </w:r>
          </w:p>
        </w:tc>
        <w:tc>
          <w:tcPr>
            <w:tcW w:type="dxa" w:w="1411"/>
          </w:tcPr>
          <w:p>
            <w:r/>
            <w:r>
              <w:rPr>
                <w:color w:val="1C3A36"/>
                <w:sz w:val="17"/>
              </w:rPr>
              <w:t>9,322</w:t>
            </w:r>
          </w:p>
        </w:tc>
        <w:tc>
          <w:tcPr>
            <w:tcW w:type="dxa" w:w="1411"/>
          </w:tcPr>
          <w:p>
            <w:r/>
            <w:r>
              <w:rPr>
                <w:color w:val="1C3A36"/>
                <w:sz w:val="17"/>
              </w:rPr>
              <w:t>10,411</w:t>
            </w:r>
          </w:p>
        </w:tc>
        <w:tc>
          <w:tcPr>
            <w:tcW w:type="dxa" w:w="1411"/>
          </w:tcPr>
          <w:p>
            <w:r/>
            <w:r>
              <w:rPr>
                <w:color w:val="1C3A36"/>
                <w:sz w:val="17"/>
              </w:rPr>
              <w:t>11,296</w:t>
            </w:r>
          </w:p>
        </w:tc>
        <w:tc>
          <w:tcPr>
            <w:tcW w:type="dxa" w:w="1411"/>
          </w:tcPr>
          <w:p>
            <w:r/>
            <w:r>
              <w:rPr>
                <w:color w:val="1C3A36"/>
                <w:sz w:val="17"/>
              </w:rPr>
              <w:t>12,143</w:t>
            </w:r>
          </w:p>
        </w:tc>
      </w:tr>
      <w:tr>
        <w:tc>
          <w:tcPr>
            <w:tcW w:type="dxa" w:w="3312"/>
            <w:shd w:val="clear" w:color="auto" w:fill="EFF3F1"/>
          </w:tcPr>
          <w:p>
            <w:r/>
            <w:r>
              <w:rPr>
                <w:color w:val="1C3A36"/>
                <w:sz w:val="17"/>
              </w:rPr>
              <w:t>Net profit — attributable (SAR mn)</w:t>
            </w:r>
          </w:p>
        </w:tc>
        <w:tc>
          <w:tcPr>
            <w:tcW w:type="dxa" w:w="1411"/>
            <w:shd w:val="clear" w:color="auto" w:fill="EFF3F1"/>
          </w:tcPr>
          <w:p>
            <w:r/>
            <w:r>
              <w:rPr>
                <w:color w:val="1C3A36"/>
                <w:sz w:val="17"/>
              </w:rPr>
              <w:t>7,686</w:t>
            </w:r>
          </w:p>
        </w:tc>
        <w:tc>
          <w:tcPr>
            <w:tcW w:type="dxa" w:w="1411"/>
            <w:shd w:val="clear" w:color="auto" w:fill="EFF3F1"/>
          </w:tcPr>
          <w:p>
            <w:r/>
            <w:r>
              <w:rPr>
                <w:color w:val="1C3A36"/>
                <w:sz w:val="17"/>
              </w:rPr>
              <w:t>8,972</w:t>
            </w:r>
          </w:p>
        </w:tc>
        <w:tc>
          <w:tcPr>
            <w:tcW w:type="dxa" w:w="1411"/>
            <w:shd w:val="clear" w:color="auto" w:fill="EFF3F1"/>
          </w:tcPr>
          <w:p>
            <w:r/>
            <w:r>
              <w:rPr>
                <w:color w:val="1C3A36"/>
                <w:sz w:val="17"/>
              </w:rPr>
              <w:t>10,061</w:t>
            </w:r>
          </w:p>
        </w:tc>
        <w:tc>
          <w:tcPr>
            <w:tcW w:type="dxa" w:w="1411"/>
            <w:shd w:val="clear" w:color="auto" w:fill="EFF3F1"/>
          </w:tcPr>
          <w:p>
            <w:r/>
            <w:r>
              <w:rPr>
                <w:color w:val="1C3A36"/>
                <w:sz w:val="17"/>
              </w:rPr>
              <w:t>10,946</w:t>
            </w:r>
          </w:p>
        </w:tc>
        <w:tc>
          <w:tcPr>
            <w:tcW w:type="dxa" w:w="1411"/>
            <w:shd w:val="clear" w:color="auto" w:fill="EFF3F1"/>
          </w:tcPr>
          <w:p>
            <w:r/>
            <w:r>
              <w:rPr>
                <w:color w:val="1C3A36"/>
                <w:sz w:val="17"/>
              </w:rPr>
              <w:t>11,793</w:t>
            </w:r>
          </w:p>
        </w:tc>
      </w:tr>
    </w:tbl>
    <w:p>
      <w:pPr>
        <w:spacing w:after="120" w:before="0"/>
      </w:pPr>
      <w:r>
        <w:rPr>
          <w:b w:val="0"/>
          <w:i/>
          <w:color w:val="6E7B77"/>
          <w:sz w:val="17"/>
        </w:rPr>
        <w:t>FY23–25 net income disclosed; NIM/cost-to-income/cost-of-risk disclosed for FY25 and estimated for FY23–24; growth rates on operating sub-lines are estimated to disclosed totals. Contrast with a high-rate EM bank (an EGX name runs ~6–7% NIM, ~30–43% ROAE): RIBL is a mature, low-rate GCC bank — ~2.9% NIM, ~16% ROAE, ~2.1% ROAA, ~40bps cost of risk.</w:t>
      </w:r>
    </w:p>
    <w:p>
      <w:pPr>
        <w:spacing w:after="120" w:before="0"/>
      </w:pPr>
      <w:r>
        <w:rPr>
          <w:b/>
          <w:i w:val="0"/>
          <w:color w:val="1C3A36"/>
          <w:sz w:val="20"/>
        </w:rPr>
        <w:t xml:space="preserve">The NIM path is the heart of it. </w:t>
      </w:r>
      <w:r>
        <w:rPr>
          <w:b w:val="0"/>
          <w:i w:val="0"/>
          <w:color w:val="1C3A36"/>
          <w:sz w:val="20"/>
        </w:rPr>
        <w:t>FY25 NIM printed 2.88%; as SAMA follows the Fed lower, RIBL's asset yields reprice faster than its sticky, low-cost demand deposits, so the margin glides down toward ~2.65% by FY30. That glide, not credit, is what fades ROAE from ~16% toward ~14.6% even as the book grows. The direction is not in doubt — asset-sensitive Saudi banks give back margin in a cutting cycle — but the magnitude is the whole valuation. A bank whose funding base is heavily non-interest-bearing keeps more of its asset-yield decline than a deposit-competitive peer, because a large slice of its funding cost does not fall with rates (it is already near zero). That is the mechanical reason RIBL's margin has been resilient, and the reason the base-case glide is gentle rather than a cliff.</w:t>
      </w:r>
    </w:p>
    <w:p>
      <w:pPr>
        <w:spacing w:after="120" w:before="0"/>
      </w:pPr>
      <w:r>
        <w:rPr>
          <w:b w:val="0"/>
          <w:i w:val="0"/>
          <w:color w:val="1C3A36"/>
          <w:sz w:val="19"/>
        </w:rPr>
        <w:t>Three levers sit underneath the net-income line, and each is disclosed or estimated in the driver table. The fee line has grown double-digits as the bank monetises its transaction, FX and brokerage franchise, and we grow it ahead of assets — a genuine offset to margin compression. The cost-to-income ratio has fallen below management's &lt;30% target as the AI/digital investment converts to operating leverage; we hold it at ~30%, giving no further efficiency credit. The cost of risk is the swing the credit-cycle expert (Appendix C.2) presses hardest on: at 37bps in FY25 it sits near a cyclical trough, and we normalise it toward ~45bps in the base case and ~55bps in the bear. Net income growth of ~8.5% fading to ~5.5% is the arithmetic of a gently-falling margin, a growing fee line, held costs, and a normalising credit charge on a book compounding high-single-digits.</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33"/>
        <w:gridCol w:w="2033"/>
        <w:gridCol w:w="2033"/>
        <w:gridCol w:w="2033"/>
        <w:gridCol w:w="2033"/>
      </w:tblGrid>
      <w:tr>
        <w:tc>
          <w:tcPr>
            <w:tcW w:type="dxa" w:w="2304"/>
            <w:shd w:val="clear" w:color="auto" w:fill="1C3A36"/>
          </w:tcPr>
          <w:p>
            <w:r/>
            <w:r>
              <w:rPr>
                <w:b/>
                <w:color w:val="FFFFFF"/>
                <w:sz w:val="17"/>
              </w:rPr>
              <w:t>DuPont / driver</w:t>
            </w:r>
          </w:p>
        </w:tc>
        <w:tc>
          <w:tcPr>
            <w:tcW w:type="dxa" w:w="1152"/>
            <w:shd w:val="clear" w:color="auto" w:fill="1C3A36"/>
          </w:tcPr>
          <w:p>
            <w:r/>
            <w:r>
              <w:rPr>
                <w:b/>
                <w:color w:val="FFFFFF"/>
                <w:sz w:val="17"/>
              </w:rPr>
              <w:t>FY25</w:t>
            </w:r>
          </w:p>
        </w:tc>
        <w:tc>
          <w:tcPr>
            <w:tcW w:type="dxa" w:w="1152"/>
            <w:shd w:val="clear" w:color="auto" w:fill="1C3A36"/>
          </w:tcPr>
          <w:p>
            <w:r/>
            <w:r>
              <w:rPr>
                <w:b/>
                <w:color w:val="FFFFFF"/>
                <w:sz w:val="17"/>
              </w:rPr>
              <w:t>FY26E</w:t>
            </w:r>
          </w:p>
        </w:tc>
        <w:tc>
          <w:tcPr>
            <w:tcW w:type="dxa" w:w="1152"/>
            <w:shd w:val="clear" w:color="auto" w:fill="1C3A36"/>
          </w:tcPr>
          <w:p>
            <w:r/>
            <w:r>
              <w:rPr>
                <w:b/>
                <w:color w:val="FFFFFF"/>
                <w:sz w:val="17"/>
              </w:rPr>
              <w:t>FY30E</w:t>
            </w:r>
          </w:p>
        </w:tc>
        <w:tc>
          <w:tcPr>
            <w:tcW w:type="dxa" w:w="3168"/>
            <w:shd w:val="clear" w:color="auto" w:fill="1C3A36"/>
          </w:tcPr>
          <w:p>
            <w:r/>
            <w:r>
              <w:rPr>
                <w:b/>
                <w:color w:val="FFFFFF"/>
                <w:sz w:val="17"/>
              </w:rPr>
              <w:t>Comment</w:t>
            </w:r>
          </w:p>
        </w:tc>
      </w:tr>
      <w:tr>
        <w:tc>
          <w:tcPr>
            <w:tcW w:type="dxa" w:w="2304"/>
          </w:tcPr>
          <w:p>
            <w:r/>
            <w:r>
              <w:rPr>
                <w:color w:val="1C3A36"/>
                <w:sz w:val="17"/>
              </w:rPr>
              <w:t>NIM (%)</w:t>
            </w:r>
          </w:p>
        </w:tc>
        <w:tc>
          <w:tcPr>
            <w:tcW w:type="dxa" w:w="1152"/>
          </w:tcPr>
          <w:p>
            <w:r/>
            <w:r>
              <w:rPr>
                <w:color w:val="1C3A36"/>
                <w:sz w:val="17"/>
              </w:rPr>
              <w:t>2.88</w:t>
            </w:r>
          </w:p>
        </w:tc>
        <w:tc>
          <w:tcPr>
            <w:tcW w:type="dxa" w:w="1152"/>
          </w:tcPr>
          <w:p>
            <w:r/>
            <w:r>
              <w:rPr>
                <w:color w:val="1C3A36"/>
                <w:sz w:val="17"/>
              </w:rPr>
              <w:t>2.80</w:t>
            </w:r>
          </w:p>
        </w:tc>
        <w:tc>
          <w:tcPr>
            <w:tcW w:type="dxa" w:w="1152"/>
          </w:tcPr>
          <w:p>
            <w:r/>
            <w:r>
              <w:rPr>
                <w:color w:val="1C3A36"/>
                <w:sz w:val="17"/>
              </w:rPr>
              <w:t>2.65</w:t>
            </w:r>
          </w:p>
        </w:tc>
        <w:tc>
          <w:tcPr>
            <w:tcW w:type="dxa" w:w="3168"/>
          </w:tcPr>
          <w:p>
            <w:r/>
            <w:r>
              <w:rPr>
                <w:color w:val="1C3A36"/>
                <w:sz w:val="17"/>
              </w:rPr>
              <w:t>Glides with the rate cycle</w:t>
            </w:r>
          </w:p>
        </w:tc>
      </w:tr>
      <w:tr>
        <w:tc>
          <w:tcPr>
            <w:tcW w:type="dxa" w:w="2304"/>
            <w:shd w:val="clear" w:color="auto" w:fill="EFF3F1"/>
          </w:tcPr>
          <w:p>
            <w:r/>
            <w:r>
              <w:rPr>
                <w:color w:val="1C3A36"/>
                <w:sz w:val="17"/>
              </w:rPr>
              <w:t>Cost-to-income (%)</w:t>
            </w:r>
          </w:p>
        </w:tc>
        <w:tc>
          <w:tcPr>
            <w:tcW w:type="dxa" w:w="1152"/>
            <w:shd w:val="clear" w:color="auto" w:fill="EFF3F1"/>
          </w:tcPr>
          <w:p>
            <w:r/>
            <w:r>
              <w:rPr>
                <w:color w:val="1C3A36"/>
                <w:sz w:val="17"/>
              </w:rPr>
              <w:t>29.6</w:t>
            </w:r>
          </w:p>
        </w:tc>
        <w:tc>
          <w:tcPr>
            <w:tcW w:type="dxa" w:w="1152"/>
            <w:shd w:val="clear" w:color="auto" w:fill="EFF3F1"/>
          </w:tcPr>
          <w:p>
            <w:r/>
            <w:r>
              <w:rPr>
                <w:color w:val="1C3A36"/>
                <w:sz w:val="17"/>
              </w:rPr>
              <w:t>30.0</w:t>
            </w:r>
          </w:p>
        </w:tc>
        <w:tc>
          <w:tcPr>
            <w:tcW w:type="dxa" w:w="1152"/>
            <w:shd w:val="clear" w:color="auto" w:fill="EFF3F1"/>
          </w:tcPr>
          <w:p>
            <w:r/>
            <w:r>
              <w:rPr>
                <w:color w:val="1C3A36"/>
                <w:sz w:val="17"/>
              </w:rPr>
              <w:t>30.0</w:t>
            </w:r>
          </w:p>
        </w:tc>
        <w:tc>
          <w:tcPr>
            <w:tcW w:type="dxa" w:w="3168"/>
            <w:shd w:val="clear" w:color="auto" w:fill="EFF3F1"/>
          </w:tcPr>
          <w:p>
            <w:r/>
            <w:r>
              <w:rPr>
                <w:color w:val="1C3A36"/>
                <w:sz w:val="17"/>
              </w:rPr>
              <w:t>Held near management's &lt;30% target</w:t>
            </w:r>
          </w:p>
        </w:tc>
      </w:tr>
      <w:tr>
        <w:tc>
          <w:tcPr>
            <w:tcW w:type="dxa" w:w="2304"/>
          </w:tcPr>
          <w:p>
            <w:r/>
            <w:r>
              <w:rPr>
                <w:color w:val="1C3A36"/>
                <w:sz w:val="17"/>
              </w:rPr>
              <w:t>Cost of risk (bps)</w:t>
            </w:r>
          </w:p>
        </w:tc>
        <w:tc>
          <w:tcPr>
            <w:tcW w:type="dxa" w:w="1152"/>
          </w:tcPr>
          <w:p>
            <w:r/>
            <w:r>
              <w:rPr>
                <w:color w:val="1C3A36"/>
                <w:sz w:val="17"/>
              </w:rPr>
              <w:t>37</w:t>
            </w:r>
          </w:p>
        </w:tc>
        <w:tc>
          <w:tcPr>
            <w:tcW w:type="dxa" w:w="1152"/>
          </w:tcPr>
          <w:p>
            <w:r/>
            <w:r>
              <w:rPr>
                <w:color w:val="1C3A36"/>
                <w:sz w:val="17"/>
              </w:rPr>
              <w:t>42</w:t>
            </w:r>
          </w:p>
        </w:tc>
        <w:tc>
          <w:tcPr>
            <w:tcW w:type="dxa" w:w="1152"/>
          </w:tcPr>
          <w:p>
            <w:r/>
            <w:r>
              <w:rPr>
                <w:color w:val="1C3A36"/>
                <w:sz w:val="17"/>
              </w:rPr>
              <w:t>45</w:t>
            </w:r>
          </w:p>
        </w:tc>
        <w:tc>
          <w:tcPr>
            <w:tcW w:type="dxa" w:w="3168"/>
          </w:tcPr>
          <w:p>
            <w:r/>
            <w:r>
              <w:rPr>
                <w:color w:val="1C3A36"/>
                <w:sz w:val="17"/>
              </w:rPr>
              <w:t>Normalises toward through-cycle</w:t>
            </w:r>
          </w:p>
        </w:tc>
      </w:tr>
      <w:tr>
        <w:tc>
          <w:tcPr>
            <w:tcW w:type="dxa" w:w="2304"/>
            <w:shd w:val="clear" w:color="auto" w:fill="EFF3F1"/>
          </w:tcPr>
          <w:p>
            <w:r/>
            <w:r>
              <w:rPr>
                <w:color w:val="1C3A36"/>
                <w:sz w:val="17"/>
              </w:rPr>
              <w:t>ROAE (%)</w:t>
            </w:r>
          </w:p>
        </w:tc>
        <w:tc>
          <w:tcPr>
            <w:tcW w:type="dxa" w:w="1152"/>
            <w:shd w:val="clear" w:color="auto" w:fill="EFF3F1"/>
          </w:tcPr>
          <w:p>
            <w:r/>
            <w:r>
              <w:rPr>
                <w:color w:val="1C3A36"/>
                <w:sz w:val="17"/>
              </w:rPr>
              <w:t>16.0</w:t>
            </w:r>
          </w:p>
        </w:tc>
        <w:tc>
          <w:tcPr>
            <w:tcW w:type="dxa" w:w="1152"/>
            <w:shd w:val="clear" w:color="auto" w:fill="EFF3F1"/>
          </w:tcPr>
          <w:p>
            <w:r/>
            <w:r>
              <w:rPr>
                <w:color w:val="1C3A36"/>
                <w:sz w:val="17"/>
              </w:rPr>
              <w:t>15.8</w:t>
            </w:r>
          </w:p>
        </w:tc>
        <w:tc>
          <w:tcPr>
            <w:tcW w:type="dxa" w:w="1152"/>
            <w:shd w:val="clear" w:color="auto" w:fill="EFF3F1"/>
          </w:tcPr>
          <w:p>
            <w:r/>
            <w:r>
              <w:rPr>
                <w:color w:val="1C3A36"/>
                <w:sz w:val="17"/>
              </w:rPr>
              <w:t>14.6</w:t>
            </w:r>
          </w:p>
        </w:tc>
        <w:tc>
          <w:tcPr>
            <w:tcW w:type="dxa" w:w="3168"/>
            <w:shd w:val="clear" w:color="auto" w:fill="EFF3F1"/>
          </w:tcPr>
          <w:p>
            <w:r/>
            <w:r>
              <w:rPr>
                <w:color w:val="1C3A36"/>
                <w:sz w:val="17"/>
              </w:rPr>
              <w:t>Fades as equity compounds &amp; NIM falls</w:t>
            </w:r>
          </w:p>
        </w:tc>
      </w:tr>
      <w:tr>
        <w:tc>
          <w:tcPr>
            <w:tcW w:type="dxa" w:w="2304"/>
          </w:tcPr>
          <w:p>
            <w:r/>
            <w:r>
              <w:rPr>
                <w:color w:val="1C3A36"/>
                <w:sz w:val="17"/>
              </w:rPr>
              <w:t>Common equity/RWA (%)</w:t>
            </w:r>
          </w:p>
        </w:tc>
        <w:tc>
          <w:tcPr>
            <w:tcW w:type="dxa" w:w="1152"/>
          </w:tcPr>
          <w:p>
            <w:r/>
            <w:r>
              <w:rPr>
                <w:color w:val="1C3A36"/>
                <w:sz w:val="17"/>
              </w:rPr>
              <w:t>17.6</w:t>
            </w:r>
          </w:p>
        </w:tc>
        <w:tc>
          <w:tcPr>
            <w:tcW w:type="dxa" w:w="1152"/>
          </w:tcPr>
          <w:p>
            <w:r/>
            <w:r>
              <w:rPr>
                <w:color w:val="1C3A36"/>
                <w:sz w:val="17"/>
              </w:rPr>
              <w:t>17.8</w:t>
            </w:r>
          </w:p>
        </w:tc>
        <w:tc>
          <w:tcPr>
            <w:tcW w:type="dxa" w:w="1152"/>
          </w:tcPr>
          <w:p>
            <w:r/>
            <w:r>
              <w:rPr>
                <w:color w:val="1C3A36"/>
                <w:sz w:val="17"/>
              </w:rPr>
              <w:t>18.6</w:t>
            </w:r>
          </w:p>
        </w:tc>
        <w:tc>
          <w:tcPr>
            <w:tcW w:type="dxa" w:w="3168"/>
          </w:tcPr>
          <w:p>
            <w:r/>
            <w:r>
              <w:rPr>
                <w:color w:val="1C3A36"/>
                <w:sz w:val="17"/>
              </w:rPr>
              <w:t>Builds even as payout rises</w:t>
            </w:r>
          </w:p>
        </w:tc>
      </w:tr>
    </w:tbl>
    <w:p>
      <w:pPr>
        <w:jc w:val="center"/>
      </w:pPr>
      <w:r>
        <w:drawing>
          <wp:inline xmlns:a="http://schemas.openxmlformats.org/drawingml/2006/main" xmlns:pic="http://schemas.openxmlformats.org/drawingml/2006/picture">
            <wp:extent cx="5943600" cy="2276272"/>
            <wp:docPr id="2" name="Picture 2"/>
            <wp:cNvGraphicFramePr>
              <a:graphicFrameLocks noChangeAspect="1"/>
            </wp:cNvGraphicFramePr>
            <a:graphic>
              <a:graphicData uri="http://schemas.openxmlformats.org/drawingml/2006/picture">
                <pic:pic>
                  <pic:nvPicPr>
                    <pic:cNvPr id="0" name="fig3_nim.png"/>
                    <pic:cNvPicPr/>
                  </pic:nvPicPr>
                  <pic:blipFill>
                    <a:blip r:embed="rId10"/>
                    <a:stretch>
                      <a:fillRect/>
                    </a:stretch>
                  </pic:blipFill>
                  <pic:spPr>
                    <a:xfrm>
                      <a:off x="0" y="0"/>
                      <a:ext cx="5943600" cy="2276272"/>
                    </a:xfrm>
                    <a:prstGeom prst="rect"/>
                  </pic:spPr>
                </pic:pic>
              </a:graphicData>
            </a:graphic>
          </wp:inline>
        </w:drawing>
      </w:r>
    </w:p>
    <w:p>
      <w:pPr>
        <w:spacing w:after="180" w:before="0"/>
      </w:pPr>
      <w:r>
        <w:rPr>
          <w:b w:val="0"/>
          <w:i/>
          <w:color w:val="6E7B77"/>
          <w:sz w:val="17"/>
        </w:rPr>
        <w:t>Figure 3 — NIM glides down through the SAMA/Fed easing cycle; ROAE fades from ~16% as equity compounds and rates fall.</w:t>
      </w:r>
    </w:p>
    <w:p>
      <w:pPr>
        <w:spacing w:after="120" w:before="0"/>
      </w:pPr>
      <w:r>
        <w:rPr>
          <w:b w:val="0"/>
          <w:i w:val="0"/>
          <w:color w:val="1C3A36"/>
          <w:sz w:val="19"/>
        </w:rPr>
        <w:t>The capital schedule is the other half of the thesis, and it is what the residual-income and FCFE lenses monetise. Even as the payout rises from ~42% toward ~47%, RIBL keeps building common equity relative to RWA — the surplus the excess-return lenses value.</w:t>
      </w:r>
    </w:p>
    <w:p>
      <w:pPr>
        <w:jc w:val="center"/>
      </w:pPr>
      <w:r>
        <w:drawing>
          <wp:inline xmlns:a="http://schemas.openxmlformats.org/drawingml/2006/main" xmlns:pic="http://schemas.openxmlformats.org/drawingml/2006/picture">
            <wp:extent cx="5943600" cy="2276272"/>
            <wp:docPr id="3" name="Picture 3"/>
            <wp:cNvGraphicFramePr>
              <a:graphicFrameLocks noChangeAspect="1"/>
            </wp:cNvGraphicFramePr>
            <a:graphic>
              <a:graphicData uri="http://schemas.openxmlformats.org/drawingml/2006/picture">
                <pic:pic>
                  <pic:nvPicPr>
                    <pic:cNvPr id="0" name="fig4_capital.png"/>
                    <pic:cNvPicPr/>
                  </pic:nvPicPr>
                  <pic:blipFill>
                    <a:blip r:embed="rId11"/>
                    <a:stretch>
                      <a:fillRect/>
                    </a:stretch>
                  </pic:blipFill>
                  <pic:spPr>
                    <a:xfrm>
                      <a:off x="0" y="0"/>
                      <a:ext cx="5943600" cy="2276272"/>
                    </a:xfrm>
                    <a:prstGeom prst="rect"/>
                  </pic:spPr>
                </pic:pic>
              </a:graphicData>
            </a:graphic>
          </wp:inline>
        </w:drawing>
      </w:r>
    </w:p>
    <w:p>
      <w:pPr>
        <w:spacing w:after="180" w:before="0"/>
      </w:pPr>
      <w:r>
        <w:rPr>
          <w:b w:val="0"/>
          <w:i/>
          <w:color w:val="6E7B77"/>
          <w:sz w:val="17"/>
        </w:rPr>
        <w:t>Figure 4 — Capital keeps building even as the payout rises: the surplus the excess-return lenses value.</w:t>
      </w:r>
    </w:p>
    <w:p>
      <w:pPr>
        <w:spacing w:after="60" w:before="180"/>
      </w:pPr>
      <w:r>
        <w:rPr>
          <w:b/>
          <w:i w:val="0"/>
          <w:color w:val="1C3A36"/>
          <w:sz w:val="23"/>
        </w:rPr>
        <w:t>1.8  The crux — the NIM path and the dividend-versus-retention gap</w:t>
      </w:r>
    </w:p>
    <w:p>
      <w:pPr>
        <w:spacing w:after="120" w:before="0"/>
      </w:pPr>
      <w:r>
        <w:rPr>
          <w:b w:val="0"/>
          <w:i w:val="0"/>
          <w:color w:val="1C3A36"/>
          <w:sz w:val="19"/>
        </w:rPr>
        <w:t>Two things swing this valuation, and we sensitise both in their own observable units.</w:t>
      </w:r>
    </w:p>
    <w:p>
      <w:pPr>
        <w:pStyle w:val="ListBullet"/>
      </w:pPr>
      <w:r>
        <w:rPr>
          <w:color w:val="1C3A36"/>
          <w:sz w:val="20"/>
        </w:rPr>
        <w:t>The NIM path through the easing cycle (basis points against the SAMA/Fed rate path). RIBL's asset yields reprice faster than its low-cost deposits, so the direction and speed of policy rates set the margin. A margin that holds ~10bp above the base case lifts through-cycle net income and fair value; a faster cutting cycle compresses both.</w:t>
      </w:r>
    </w:p>
    <w:p>
      <w:pPr>
        <w:pStyle w:val="ListBullet"/>
      </w:pPr>
      <w:r>
        <w:rPr>
          <w:color w:val="1C3A36"/>
          <w:sz w:val="20"/>
        </w:rPr>
        <w:t>The dividend-versus-retention gap (the SAR 24 to SAR 32 spread). The DDM values distributions; the residual-income and FCFE lenses value retained capital reinvested at ~16%. Which is right depends on whether RIBL keeps earning that return on the capital it retains, or whether — as the market's 1.22× book implies — that return fades toward Ke.</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41"/>
        <w:gridCol w:w="2541"/>
        <w:gridCol w:w="2541"/>
        <w:gridCol w:w="2541"/>
      </w:tblGrid>
      <w:tr>
        <w:tc>
          <w:tcPr>
            <w:tcW w:type="dxa" w:w="2736"/>
            <w:shd w:val="clear" w:color="auto" w:fill="1C3A36"/>
          </w:tcPr>
          <w:p>
            <w:r/>
            <w:r>
              <w:rPr>
                <w:b/>
                <w:color w:val="FFFFFF"/>
                <w:sz w:val="17"/>
              </w:rPr>
              <w:t>Swing (observable units)</w:t>
            </w:r>
          </w:p>
        </w:tc>
        <w:tc>
          <w:tcPr>
            <w:tcW w:type="dxa" w:w="1728"/>
            <w:shd w:val="clear" w:color="auto" w:fill="1C3A36"/>
          </w:tcPr>
          <w:p>
            <w:r/>
            <w:r>
              <w:rPr>
                <w:b/>
                <w:color w:val="FFFFFF"/>
                <w:sz w:val="17"/>
              </w:rPr>
              <w:t>Shift</w:t>
            </w:r>
          </w:p>
        </w:tc>
        <w:tc>
          <w:tcPr>
            <w:tcW w:type="dxa" w:w="1872"/>
            <w:shd w:val="clear" w:color="auto" w:fill="1C3A36"/>
          </w:tcPr>
          <w:p>
            <w:r/>
            <w:r>
              <w:rPr>
                <w:b/>
                <w:color w:val="FFFFFF"/>
                <w:sz w:val="17"/>
              </w:rPr>
              <w:t>Central FV</w:t>
            </w:r>
          </w:p>
        </w:tc>
        <w:tc>
          <w:tcPr>
            <w:tcW w:type="dxa" w:w="1584"/>
            <w:shd w:val="clear" w:color="auto" w:fill="1C3A36"/>
          </w:tcPr>
          <w:p>
            <w:r/>
            <w:r>
              <w:rPr>
                <w:b/>
                <w:color w:val="FFFFFF"/>
                <w:sz w:val="17"/>
              </w:rPr>
              <w:t>vs spot</w:t>
            </w:r>
          </w:p>
        </w:tc>
      </w:tr>
      <w:tr>
        <w:tc>
          <w:tcPr>
            <w:tcW w:type="dxa" w:w="2736"/>
          </w:tcPr>
          <w:p>
            <w:r/>
            <w:r>
              <w:rPr>
                <w:color w:val="1C3A36"/>
                <w:sz w:val="17"/>
              </w:rPr>
              <w:t>NIM through-cycle</w:t>
            </w:r>
          </w:p>
        </w:tc>
        <w:tc>
          <w:tcPr>
            <w:tcW w:type="dxa" w:w="1728"/>
          </w:tcPr>
          <w:p>
            <w:r/>
            <w:r>
              <w:rPr>
                <w:color w:val="1C3A36"/>
                <w:sz w:val="17"/>
              </w:rPr>
              <w:t>+10bp / −10bp</w:t>
            </w:r>
          </w:p>
        </w:tc>
        <w:tc>
          <w:tcPr>
            <w:tcW w:type="dxa" w:w="1872"/>
          </w:tcPr>
          <w:p>
            <w:r/>
            <w:r>
              <w:rPr>
                <w:color w:val="1C3A36"/>
                <w:sz w:val="17"/>
              </w:rPr>
              <w:t>~SAR 27 / ~SAR 24</w:t>
            </w:r>
          </w:p>
        </w:tc>
        <w:tc>
          <w:tcPr>
            <w:tcW w:type="dxa" w:w="1584"/>
          </w:tcPr>
          <w:p>
            <w:r/>
            <w:r>
              <w:rPr>
                <w:color w:val="1C3A36"/>
                <w:sz w:val="17"/>
              </w:rPr>
              <w:t>+33% / +19%</w:t>
            </w:r>
          </w:p>
        </w:tc>
      </w:tr>
      <w:tr>
        <w:tc>
          <w:tcPr>
            <w:tcW w:type="dxa" w:w="2736"/>
            <w:shd w:val="clear" w:color="auto" w:fill="EFF3F1"/>
          </w:tcPr>
          <w:p>
            <w:r/>
            <w:r>
              <w:rPr>
                <w:color w:val="1C3A36"/>
                <w:sz w:val="17"/>
              </w:rPr>
              <w:t>Through-cycle ROE credited</w:t>
            </w:r>
          </w:p>
        </w:tc>
        <w:tc>
          <w:tcPr>
            <w:tcW w:type="dxa" w:w="1728"/>
            <w:shd w:val="clear" w:color="auto" w:fill="EFF3F1"/>
          </w:tcPr>
          <w:p>
            <w:r/>
            <w:r>
              <w:rPr>
                <w:color w:val="1C3A36"/>
                <w:sz w:val="17"/>
              </w:rPr>
              <w:t>16% / 13%</w:t>
            </w:r>
          </w:p>
        </w:tc>
        <w:tc>
          <w:tcPr>
            <w:tcW w:type="dxa" w:w="1872"/>
            <w:shd w:val="clear" w:color="auto" w:fill="EFF3F1"/>
          </w:tcPr>
          <w:p>
            <w:r/>
            <w:r>
              <w:rPr>
                <w:color w:val="1C3A36"/>
                <w:sz w:val="17"/>
              </w:rPr>
              <w:t>~SAR 29 / ~SAR 21</w:t>
            </w:r>
          </w:p>
        </w:tc>
        <w:tc>
          <w:tcPr>
            <w:tcW w:type="dxa" w:w="1584"/>
            <w:shd w:val="clear" w:color="auto" w:fill="EFF3F1"/>
          </w:tcPr>
          <w:p>
            <w:r/>
            <w:r>
              <w:rPr>
                <w:color w:val="1C3A36"/>
                <w:sz w:val="17"/>
              </w:rPr>
              <w:t>+43% / +4%</w:t>
            </w:r>
          </w:p>
        </w:tc>
      </w:tr>
      <w:tr>
        <w:tc>
          <w:tcPr>
            <w:tcW w:type="dxa" w:w="2736"/>
          </w:tcPr>
          <w:p>
            <w:r/>
            <w:r>
              <w:rPr>
                <w:color w:val="1C3A36"/>
                <w:sz w:val="17"/>
              </w:rPr>
              <w:t>Cost of equity Ke</w:t>
            </w:r>
          </w:p>
        </w:tc>
        <w:tc>
          <w:tcPr>
            <w:tcW w:type="dxa" w:w="1728"/>
          </w:tcPr>
          <w:p>
            <w:r/>
            <w:r>
              <w:rPr>
                <w:color w:val="1C3A36"/>
                <w:sz w:val="17"/>
              </w:rPr>
              <w:t>9.5% / 11.0%</w:t>
            </w:r>
          </w:p>
        </w:tc>
        <w:tc>
          <w:tcPr>
            <w:tcW w:type="dxa" w:w="1872"/>
          </w:tcPr>
          <w:p>
            <w:r/>
            <w:r>
              <w:rPr>
                <w:color w:val="1C3A36"/>
                <w:sz w:val="17"/>
              </w:rPr>
              <w:t>~SAR 29 / ~SAR 22</w:t>
            </w:r>
          </w:p>
        </w:tc>
        <w:tc>
          <w:tcPr>
            <w:tcW w:type="dxa" w:w="1584"/>
          </w:tcPr>
          <w:p>
            <w:r/>
            <w:r>
              <w:rPr>
                <w:color w:val="1C3A36"/>
                <w:sz w:val="17"/>
              </w:rPr>
              <w:t>+43% / +9%</w:t>
            </w:r>
          </w:p>
        </w:tc>
      </w:tr>
      <w:tr>
        <w:tc>
          <w:tcPr>
            <w:tcW w:type="dxa" w:w="2736"/>
            <w:shd w:val="clear" w:color="auto" w:fill="EFF3F1"/>
          </w:tcPr>
          <w:p>
            <w:r/>
            <w:r>
              <w:rPr>
                <w:color w:val="1C3A36"/>
                <w:sz w:val="17"/>
              </w:rPr>
              <w:t>Payout ramp</w:t>
            </w:r>
          </w:p>
        </w:tc>
        <w:tc>
          <w:tcPr>
            <w:tcW w:type="dxa" w:w="1728"/>
            <w:shd w:val="clear" w:color="auto" w:fill="EFF3F1"/>
          </w:tcPr>
          <w:p>
            <w:r/>
            <w:r>
              <w:rPr>
                <w:color w:val="1C3A36"/>
                <w:sz w:val="17"/>
              </w:rPr>
              <w:t>to 50% / flat 42%</w:t>
            </w:r>
          </w:p>
        </w:tc>
        <w:tc>
          <w:tcPr>
            <w:tcW w:type="dxa" w:w="1872"/>
            <w:shd w:val="clear" w:color="auto" w:fill="EFF3F1"/>
          </w:tcPr>
          <w:p>
            <w:r/>
            <w:r>
              <w:rPr>
                <w:color w:val="1C3A36"/>
                <w:sz w:val="17"/>
              </w:rPr>
              <w:t>~SAR 26 / ~SAR 25</w:t>
            </w:r>
          </w:p>
        </w:tc>
        <w:tc>
          <w:tcPr>
            <w:tcW w:type="dxa" w:w="1584"/>
            <w:shd w:val="clear" w:color="auto" w:fill="EFF3F1"/>
          </w:tcPr>
          <w:p>
            <w:r/>
            <w:r>
              <w:rPr>
                <w:color w:val="1C3A36"/>
                <w:sz w:val="17"/>
              </w:rPr>
              <w:t>both modestly above spot</w:t>
            </w:r>
          </w:p>
        </w:tc>
      </w:tr>
    </w:tbl>
    <w:p>
      <w:pPr>
        <w:spacing w:after="60" w:before="180"/>
      </w:pPr>
      <w:r>
        <w:rPr>
          <w:b/>
          <w:i w:val="0"/>
          <w:color w:val="1C3A36"/>
          <w:sz w:val="23"/>
        </w:rPr>
        <w:t>1.9  Macro and country — SAMA, oil, and Vision 2030</w:t>
      </w:r>
    </w:p>
    <w:p>
      <w:pPr>
        <w:spacing w:after="120" w:before="0"/>
      </w:pPr>
      <w:r>
        <w:rPr>
          <w:b w:val="0"/>
          <w:i w:val="0"/>
          <w:color w:val="1C3A36"/>
          <w:sz w:val="19"/>
        </w:rPr>
        <w:t>Riyad Bank is a leveraged play on the Saudi macro, in three channels. Rates: SAMA shadows the Fed to defend the riyal's USD peg, so the domestic rate path — and thus the NIM — is set in Washington as much as Riyadh; the peg also removes the currency channel that dominates an EGP- or lira-funded bank. Credit: the loan book is tied to Vision 2030 project finance, mortgages and SME lending, so non-oil GDP growth drives volume and asset quality. Oil: indirectly, through government spending, deposit liquidity and the sovereign's own A+ credit standing, which anchors the risk-free rate this study discounts at.</w:t>
      </w:r>
    </w:p>
    <w:p>
      <w:pPr>
        <w:spacing w:after="60" w:before="180"/>
      </w:pPr>
      <w:r>
        <w:rPr>
          <w:b/>
          <w:i w:val="0"/>
          <w:color w:val="1C3A36"/>
          <w:sz w:val="23"/>
        </w:rPr>
        <w:t>1.10  DDM sensitivity — Ke × terminal growth</w:t>
      </w:r>
    </w:p>
    <w:p>
      <w:pPr>
        <w:spacing w:after="120" w:before="0"/>
      </w:pPr>
      <w:r>
        <w:rPr>
          <w:b w:val="0"/>
          <w:i w:val="0"/>
          <w:color w:val="1C3A36"/>
          <w:sz w:val="19"/>
        </w:rPr>
        <w:t>Because the primary lens is terminal-heavy (TV 78% of value), the honest disclosure is a grid of the DDM fair value across the cost of equity and terminal growth.</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33"/>
        <w:gridCol w:w="2033"/>
        <w:gridCol w:w="2033"/>
        <w:gridCol w:w="2033"/>
        <w:gridCol w:w="2033"/>
      </w:tblGrid>
      <w:tr>
        <w:tc>
          <w:tcPr>
            <w:tcW w:type="dxa" w:w="2160"/>
            <w:shd w:val="clear" w:color="auto" w:fill="1C3A36"/>
          </w:tcPr>
          <w:p>
            <w:r/>
            <w:r>
              <w:rPr>
                <w:b/>
                <w:color w:val="FFFFFF"/>
                <w:sz w:val="17"/>
              </w:rPr>
              <w:t>Ke \ terminal g</w:t>
            </w:r>
          </w:p>
        </w:tc>
        <w:tc>
          <w:tcPr>
            <w:tcW w:type="dxa" w:w="1728"/>
            <w:shd w:val="clear" w:color="auto" w:fill="1C3A36"/>
          </w:tcPr>
          <w:p>
            <w:r/>
            <w:r>
              <w:rPr>
                <w:b/>
                <w:color w:val="FFFFFF"/>
                <w:sz w:val="17"/>
              </w:rPr>
              <w:t>4.0%</w:t>
            </w:r>
          </w:p>
        </w:tc>
        <w:tc>
          <w:tcPr>
            <w:tcW w:type="dxa" w:w="1728"/>
            <w:shd w:val="clear" w:color="auto" w:fill="1C3A36"/>
          </w:tcPr>
          <w:p>
            <w:r/>
            <w:r>
              <w:rPr>
                <w:b/>
                <w:color w:val="FFFFFF"/>
                <w:sz w:val="17"/>
              </w:rPr>
              <w:t>4.5%</w:t>
            </w:r>
          </w:p>
        </w:tc>
        <w:tc>
          <w:tcPr>
            <w:tcW w:type="dxa" w:w="1728"/>
            <w:shd w:val="clear" w:color="auto" w:fill="1C3A36"/>
          </w:tcPr>
          <w:p>
            <w:r/>
            <w:r>
              <w:rPr>
                <w:b/>
                <w:color w:val="FFFFFF"/>
                <w:sz w:val="17"/>
              </w:rPr>
              <w:t>5.0%</w:t>
            </w:r>
          </w:p>
        </w:tc>
        <w:tc>
          <w:tcPr>
            <w:tcW w:type="dxa" w:w="1728"/>
            <w:shd w:val="clear" w:color="auto" w:fill="1C3A36"/>
          </w:tcPr>
          <w:p>
            <w:r/>
            <w:r>
              <w:rPr>
                <w:b/>
                <w:color w:val="FFFFFF"/>
                <w:sz w:val="17"/>
              </w:rPr>
              <w:t>5.5%</w:t>
            </w:r>
          </w:p>
        </w:tc>
      </w:tr>
      <w:tr>
        <w:tc>
          <w:tcPr>
            <w:tcW w:type="dxa" w:w="2160"/>
          </w:tcPr>
          <w:p>
            <w:r/>
            <w:r>
              <w:rPr>
                <w:color w:val="1C3A36"/>
                <w:sz w:val="17"/>
              </w:rPr>
              <w:t>9.5%</w:t>
            </w:r>
          </w:p>
        </w:tc>
        <w:tc>
          <w:tcPr>
            <w:tcW w:type="dxa" w:w="1728"/>
          </w:tcPr>
          <w:p>
            <w:r/>
            <w:r>
              <w:rPr>
                <w:color w:val="1C3A36"/>
                <w:sz w:val="17"/>
              </w:rPr>
              <w:t>25.3</w:t>
            </w:r>
          </w:p>
        </w:tc>
        <w:tc>
          <w:tcPr>
            <w:tcW w:type="dxa" w:w="1728"/>
          </w:tcPr>
          <w:p>
            <w:r/>
            <w:r>
              <w:rPr>
                <w:color w:val="1C3A36"/>
                <w:sz w:val="17"/>
              </w:rPr>
              <w:t>27.5</w:t>
            </w:r>
          </w:p>
        </w:tc>
        <w:tc>
          <w:tcPr>
            <w:tcW w:type="dxa" w:w="1728"/>
          </w:tcPr>
          <w:p>
            <w:r/>
            <w:r>
              <w:rPr>
                <w:color w:val="1C3A36"/>
                <w:sz w:val="17"/>
              </w:rPr>
              <w:t>30.0</w:t>
            </w:r>
          </w:p>
        </w:tc>
        <w:tc>
          <w:tcPr>
            <w:tcW w:type="dxa" w:w="1728"/>
          </w:tcPr>
          <w:p>
            <w:r/>
            <w:r>
              <w:rPr>
                <w:color w:val="1C3A36"/>
                <w:sz w:val="17"/>
              </w:rPr>
              <w:t>33.2</w:t>
            </w:r>
          </w:p>
        </w:tc>
      </w:tr>
      <w:tr>
        <w:tc>
          <w:tcPr>
            <w:tcW w:type="dxa" w:w="2160"/>
            <w:shd w:val="clear" w:color="auto" w:fill="EFF3F1"/>
          </w:tcPr>
          <w:p>
            <w:r/>
            <w:r>
              <w:rPr>
                <w:color w:val="1C3A36"/>
                <w:sz w:val="17"/>
              </w:rPr>
              <w:t>10.3%</w:t>
            </w:r>
          </w:p>
        </w:tc>
        <w:tc>
          <w:tcPr>
            <w:tcW w:type="dxa" w:w="1728"/>
            <w:shd w:val="clear" w:color="auto" w:fill="EFF3F1"/>
          </w:tcPr>
          <w:p>
            <w:r/>
            <w:r>
              <w:rPr>
                <w:color w:val="1C3A36"/>
                <w:sz w:val="17"/>
              </w:rPr>
              <w:t>22.1</w:t>
            </w:r>
          </w:p>
        </w:tc>
        <w:tc>
          <w:tcPr>
            <w:tcW w:type="dxa" w:w="1728"/>
            <w:shd w:val="clear" w:color="auto" w:fill="EFF3F1"/>
          </w:tcPr>
          <w:p>
            <w:r/>
            <w:r>
              <w:rPr>
                <w:color w:val="1C3A36"/>
                <w:sz w:val="17"/>
              </w:rPr>
              <w:t>23.6</w:t>
            </w:r>
          </w:p>
        </w:tc>
        <w:tc>
          <w:tcPr>
            <w:tcW w:type="dxa" w:w="1728"/>
            <w:shd w:val="clear" w:color="auto" w:fill="EFF3F1"/>
          </w:tcPr>
          <w:p>
            <w:r/>
            <w:r>
              <w:rPr>
                <w:color w:val="1C3A36"/>
                <w:sz w:val="17"/>
              </w:rPr>
              <w:t>25.4</w:t>
            </w:r>
          </w:p>
        </w:tc>
        <w:tc>
          <w:tcPr>
            <w:tcW w:type="dxa" w:w="1728"/>
            <w:shd w:val="clear" w:color="auto" w:fill="EFF3F1"/>
          </w:tcPr>
          <w:p>
            <w:r/>
            <w:r>
              <w:rPr>
                <w:color w:val="1C3A36"/>
                <w:sz w:val="17"/>
              </w:rPr>
              <w:t>27.6</w:t>
            </w:r>
          </w:p>
        </w:tc>
      </w:tr>
      <w:tr>
        <w:tc>
          <w:tcPr>
            <w:tcW w:type="dxa" w:w="2160"/>
          </w:tcPr>
          <w:p>
            <w:r/>
            <w:r>
              <w:rPr>
                <w:color w:val="1C3A36"/>
                <w:sz w:val="17"/>
              </w:rPr>
              <w:t>11.0%</w:t>
            </w:r>
          </w:p>
        </w:tc>
        <w:tc>
          <w:tcPr>
            <w:tcW w:type="dxa" w:w="1728"/>
          </w:tcPr>
          <w:p>
            <w:r/>
            <w:r>
              <w:rPr>
                <w:color w:val="1C3A36"/>
                <w:sz w:val="17"/>
              </w:rPr>
              <w:t>19.8</w:t>
            </w:r>
          </w:p>
        </w:tc>
        <w:tc>
          <w:tcPr>
            <w:tcW w:type="dxa" w:w="1728"/>
          </w:tcPr>
          <w:p>
            <w:r/>
            <w:r>
              <w:rPr>
                <w:color w:val="1C3A36"/>
                <w:sz w:val="17"/>
              </w:rPr>
              <w:t>21.0</w:t>
            </w:r>
          </w:p>
        </w:tc>
        <w:tc>
          <w:tcPr>
            <w:tcW w:type="dxa" w:w="1728"/>
          </w:tcPr>
          <w:p>
            <w:r/>
            <w:r>
              <w:rPr>
                <w:color w:val="1C3A36"/>
                <w:sz w:val="17"/>
              </w:rPr>
              <w:t>22.4</w:t>
            </w:r>
          </w:p>
        </w:tc>
        <w:tc>
          <w:tcPr>
            <w:tcW w:type="dxa" w:w="1728"/>
          </w:tcPr>
          <w:p>
            <w:r/>
            <w:r>
              <w:rPr>
                <w:color w:val="1C3A36"/>
                <w:sz w:val="17"/>
              </w:rPr>
              <w:t>24.1</w:t>
            </w:r>
          </w:p>
        </w:tc>
      </w:tr>
    </w:tbl>
    <w:p>
      <w:pPr>
        <w:spacing w:after="120" w:before="0"/>
      </w:pPr>
      <w:r>
        <w:rPr>
          <w:b w:val="0"/>
          <w:i/>
          <w:color w:val="6E7B77"/>
          <w:sz w:val="19"/>
        </w:rPr>
        <w:t>The centre (Ke 10.3%, g 4.5%) is the DDM base of ~SAR 24; the full valuation blends this with the four other lenses to SAR 26.6.</w:t>
      </w:r>
    </w:p>
    <w:p>
      <w:pPr>
        <w:spacing w:after="100" w:before="260"/>
      </w:pPr>
      <w:r>
        <w:rPr>
          <w:b/>
          <w:i w:val="0"/>
          <w:color w:val="1C3A36"/>
          <w:sz w:val="30"/>
        </w:rPr>
        <w:t>2  Technical and price structure</w:t>
      </w:r>
    </w:p>
    <w:p>
      <w:pPr>
        <w:spacing w:after="120" w:before="0"/>
      </w:pPr>
      <w:r>
        <w:rPr>
          <w:b w:val="0"/>
          <w:i w:val="0"/>
          <w:color w:val="1C3A36"/>
          <w:sz w:val="19"/>
        </w:rPr>
        <w:t>The tape mirrors the fundamentals' conditional optimism from the other side: soft and oversold, not trending. RIBL trades below all four major moving averages, RSI sits at ~27 (oversold, sub-30), and MACD is mildly negative — a corrective, range-bound tape between roughly SAR 19 and SAR 22 over the last year. An oversold reading in a fundamentally-cheap name is the kind of setup that can precede a mean-reversion bounce, but it is not, on its own, a trend signal.</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2736"/>
            <w:shd w:val="clear" w:color="auto" w:fill="1C3A36"/>
          </w:tcPr>
          <w:p>
            <w:r/>
            <w:r>
              <w:rPr>
                <w:b/>
                <w:color w:val="FFFFFF"/>
                <w:sz w:val="17"/>
              </w:rPr>
              <w:t>Indicator</w:t>
            </w:r>
          </w:p>
        </w:tc>
        <w:tc>
          <w:tcPr>
            <w:tcW w:type="dxa" w:w="3744"/>
            <w:shd w:val="clear" w:color="auto" w:fill="1C3A36"/>
          </w:tcPr>
          <w:p>
            <w:r/>
            <w:r>
              <w:rPr>
                <w:b/>
                <w:color w:val="FFFFFF"/>
                <w:sz w:val="17"/>
              </w:rPr>
              <w:t>Reading</w:t>
            </w:r>
          </w:p>
        </w:tc>
        <w:tc>
          <w:tcPr>
            <w:tcW w:type="dxa" w:w="2880"/>
            <w:shd w:val="clear" w:color="auto" w:fill="1C3A36"/>
          </w:tcPr>
          <w:p>
            <w:r/>
            <w:r>
              <w:rPr>
                <w:b/>
                <w:color w:val="FFFFFF"/>
                <w:sz w:val="17"/>
              </w:rPr>
              <w:t>Signal</w:t>
            </w:r>
          </w:p>
        </w:tc>
      </w:tr>
      <w:tr>
        <w:tc>
          <w:tcPr>
            <w:tcW w:type="dxa" w:w="2736"/>
          </w:tcPr>
          <w:p>
            <w:r/>
            <w:r>
              <w:rPr>
                <w:color w:val="1C3A36"/>
                <w:sz w:val="17"/>
              </w:rPr>
              <w:t>Price vs MA20 / MA50</w:t>
            </w:r>
          </w:p>
        </w:tc>
        <w:tc>
          <w:tcPr>
            <w:tcW w:type="dxa" w:w="3744"/>
          </w:tcPr>
          <w:p>
            <w:r/>
            <w:r>
              <w:rPr>
                <w:color w:val="1C3A36"/>
                <w:sz w:val="17"/>
              </w:rPr>
              <w:t>SAR 20.23 vs 20.49 / 20.59</w:t>
            </w:r>
          </w:p>
        </w:tc>
        <w:tc>
          <w:tcPr>
            <w:tcW w:type="dxa" w:w="2880"/>
          </w:tcPr>
          <w:p>
            <w:r/>
            <w:r>
              <w:rPr>
                <w:color w:val="1C3A36"/>
                <w:sz w:val="17"/>
              </w:rPr>
              <w:t>Below both — soft</w:t>
            </w:r>
          </w:p>
        </w:tc>
      </w:tr>
      <w:tr>
        <w:tc>
          <w:tcPr>
            <w:tcW w:type="dxa" w:w="2736"/>
            <w:shd w:val="clear" w:color="auto" w:fill="EFF3F1"/>
          </w:tcPr>
          <w:p>
            <w:r/>
            <w:r>
              <w:rPr>
                <w:color w:val="1C3A36"/>
                <w:sz w:val="17"/>
              </w:rPr>
              <w:t>Price vs MA100 / MA200</w:t>
            </w:r>
          </w:p>
        </w:tc>
        <w:tc>
          <w:tcPr>
            <w:tcW w:type="dxa" w:w="3744"/>
            <w:shd w:val="clear" w:color="auto" w:fill="EFF3F1"/>
          </w:tcPr>
          <w:p>
            <w:r/>
            <w:r>
              <w:rPr>
                <w:color w:val="1C3A36"/>
                <w:sz w:val="17"/>
              </w:rPr>
              <w:t>vs 20.99 / 20.54</w:t>
            </w:r>
          </w:p>
        </w:tc>
        <w:tc>
          <w:tcPr>
            <w:tcW w:type="dxa" w:w="2880"/>
            <w:shd w:val="clear" w:color="auto" w:fill="EFF3F1"/>
          </w:tcPr>
          <w:p>
            <w:r/>
            <w:r>
              <w:rPr>
                <w:color w:val="1C3A36"/>
                <w:sz w:val="17"/>
              </w:rPr>
              <w:t>Below both — corrective</w:t>
            </w:r>
          </w:p>
        </w:tc>
      </w:tr>
      <w:tr>
        <w:tc>
          <w:tcPr>
            <w:tcW w:type="dxa" w:w="2736"/>
          </w:tcPr>
          <w:p>
            <w:r/>
            <w:r>
              <w:rPr>
                <w:color w:val="1C3A36"/>
                <w:sz w:val="17"/>
              </w:rPr>
              <w:t>RSI (14)</w:t>
            </w:r>
          </w:p>
        </w:tc>
        <w:tc>
          <w:tcPr>
            <w:tcW w:type="dxa" w:w="3744"/>
          </w:tcPr>
          <w:p>
            <w:r/>
            <w:r>
              <w:rPr>
                <w:color w:val="1C3A36"/>
                <w:sz w:val="17"/>
              </w:rPr>
              <w:t>27</w:t>
            </w:r>
          </w:p>
        </w:tc>
        <w:tc>
          <w:tcPr>
            <w:tcW w:type="dxa" w:w="2880"/>
          </w:tcPr>
          <w:p>
            <w:r/>
            <w:r>
              <w:rPr>
                <w:color w:val="1C3A36"/>
                <w:sz w:val="17"/>
              </w:rPr>
              <w:t>Oversold (sub-30)</w:t>
            </w:r>
          </w:p>
        </w:tc>
      </w:tr>
      <w:tr>
        <w:tc>
          <w:tcPr>
            <w:tcW w:type="dxa" w:w="2736"/>
            <w:shd w:val="clear" w:color="auto" w:fill="EFF3F1"/>
          </w:tcPr>
          <w:p>
            <w:r/>
            <w:r>
              <w:rPr>
                <w:color w:val="1C3A36"/>
                <w:sz w:val="17"/>
              </w:rPr>
              <w:t>MACD (12/26/9)</w:t>
            </w:r>
          </w:p>
        </w:tc>
        <w:tc>
          <w:tcPr>
            <w:tcW w:type="dxa" w:w="3744"/>
            <w:shd w:val="clear" w:color="auto" w:fill="EFF3F1"/>
          </w:tcPr>
          <w:p>
            <w:r/>
            <w:r>
              <w:rPr>
                <w:color w:val="1C3A36"/>
                <w:sz w:val="17"/>
              </w:rPr>
              <w:t>line -0.15, signal -0.11, hist -0.04</w:t>
            </w:r>
          </w:p>
        </w:tc>
        <w:tc>
          <w:tcPr>
            <w:tcW w:type="dxa" w:w="2880"/>
            <w:shd w:val="clear" w:color="auto" w:fill="EFF3F1"/>
          </w:tcPr>
          <w:p>
            <w:r/>
            <w:r>
              <w:rPr>
                <w:color w:val="1C3A36"/>
                <w:sz w:val="17"/>
              </w:rPr>
              <w:t>Mildly bearish (below signal)</w:t>
            </w:r>
          </w:p>
        </w:tc>
      </w:tr>
      <w:tr>
        <w:tc>
          <w:tcPr>
            <w:tcW w:type="dxa" w:w="2736"/>
          </w:tcPr>
          <w:p>
            <w:r/>
            <w:r>
              <w:rPr>
                <w:color w:val="1C3A36"/>
                <w:sz w:val="17"/>
              </w:rPr>
              <w:t>52-week range</w:t>
            </w:r>
          </w:p>
        </w:tc>
        <w:tc>
          <w:tcPr>
            <w:tcW w:type="dxa" w:w="3744"/>
          </w:tcPr>
          <w:p>
            <w:r/>
            <w:r>
              <w:rPr>
                <w:color w:val="1C3A36"/>
                <w:sz w:val="17"/>
              </w:rPr>
              <w:t>SAR 19.14 – 22.35</w:t>
            </w:r>
          </w:p>
        </w:tc>
        <w:tc>
          <w:tcPr>
            <w:tcW w:type="dxa" w:w="2880"/>
          </w:tcPr>
          <w:p>
            <w:r/>
            <w:r>
              <w:rPr>
                <w:color w:val="1C3A36"/>
                <w:sz w:val="17"/>
              </w:rPr>
              <w:t>Spot in lower third</w:t>
            </w:r>
          </w:p>
        </w:tc>
      </w:tr>
      <w:tr>
        <w:tc>
          <w:tcPr>
            <w:tcW w:type="dxa" w:w="2736"/>
            <w:shd w:val="clear" w:color="auto" w:fill="EFF3F1"/>
          </w:tcPr>
          <w:p>
            <w:r/>
            <w:r>
              <w:rPr>
                <w:color w:val="1C3A36"/>
                <w:sz w:val="17"/>
              </w:rPr>
              <w:t>Realised vol (60d, ann.)</w:t>
            </w:r>
          </w:p>
        </w:tc>
        <w:tc>
          <w:tcPr>
            <w:tcW w:type="dxa" w:w="3744"/>
            <w:shd w:val="clear" w:color="auto" w:fill="EFF3F1"/>
          </w:tcPr>
          <w:p>
            <w:r/>
            <w:r>
              <w:rPr>
                <w:color w:val="1C3A36"/>
                <w:sz w:val="17"/>
              </w:rPr>
              <w:t>~16% (close-to-close)</w:t>
            </w:r>
          </w:p>
        </w:tc>
        <w:tc>
          <w:tcPr>
            <w:tcW w:type="dxa" w:w="2880"/>
            <w:shd w:val="clear" w:color="auto" w:fill="EFF3F1"/>
          </w:tcPr>
          <w:p>
            <w:r/>
            <w:r>
              <w:rPr>
                <w:color w:val="1C3A36"/>
                <w:sz w:val="17"/>
              </w:rPr>
              <w:t>Moderate; YZ-HAR anchor ~23%</w:t>
            </w:r>
          </w:p>
        </w:tc>
      </w:tr>
      <w:tr>
        <w:tc>
          <w:tcPr>
            <w:tcW w:type="dxa" w:w="2736"/>
          </w:tcPr>
          <w:p>
            <w:r/>
            <w:r>
              <w:rPr>
                <w:color w:val="1C3A36"/>
                <w:sz w:val="17"/>
              </w:rPr>
              <w:t>Structure</w:t>
            </w:r>
          </w:p>
        </w:tc>
        <w:tc>
          <w:tcPr>
            <w:tcW w:type="dxa" w:w="3744"/>
          </w:tcPr>
          <w:p>
            <w:r/>
            <w:r>
              <w:rPr>
                <w:color w:val="1C3A36"/>
                <w:sz w:val="17"/>
              </w:rPr>
              <w:t>Range-bound 19–22</w:t>
            </w:r>
          </w:p>
        </w:tc>
        <w:tc>
          <w:tcPr>
            <w:tcW w:type="dxa" w:w="2880"/>
          </w:tcPr>
          <w:p>
            <w:r/>
            <w:r>
              <w:rPr>
                <w:color w:val="1C3A36"/>
                <w:sz w:val="17"/>
              </w:rPr>
              <w:t>No clear trend either way</w:t>
            </w:r>
          </w:p>
        </w:tc>
      </w:tr>
      <w:tr>
        <w:tc>
          <w:tcPr>
            <w:tcW w:type="dxa" w:w="2736"/>
            <w:shd w:val="clear" w:color="auto" w:fill="EFF3F1"/>
          </w:tcPr>
          <w:p>
            <w:r/>
            <w:r>
              <w:rPr>
                <w:color w:val="1C3A36"/>
                <w:sz w:val="17"/>
              </w:rPr>
              <w:t>Read</w:t>
            </w:r>
          </w:p>
        </w:tc>
        <w:tc>
          <w:tcPr>
            <w:tcW w:type="dxa" w:w="3744"/>
            <w:shd w:val="clear" w:color="auto" w:fill="EFF3F1"/>
          </w:tcPr>
          <w:p>
            <w:r/>
            <w:r>
              <w:rPr>
                <w:color w:val="1C3A36"/>
                <w:sz w:val="17"/>
              </w:rPr>
              <w:t>Oversold within a range</w:t>
            </w:r>
          </w:p>
        </w:tc>
        <w:tc>
          <w:tcPr>
            <w:tcW w:type="dxa" w:w="2880"/>
            <w:shd w:val="clear" w:color="auto" w:fill="EFF3F1"/>
          </w:tcPr>
          <w:p>
            <w:r/>
            <w:r>
              <w:rPr>
                <w:color w:val="1C3A36"/>
                <w:sz w:val="17"/>
              </w:rPr>
              <w:t>Weak tape, mean-reversion candidate</w:t>
            </w:r>
          </w:p>
        </w:tc>
      </w:tr>
    </w:tbl>
    <w:p>
      <w:pPr>
        <w:jc w:val="center"/>
      </w:pPr>
      <w:r>
        <w:drawing>
          <wp:inline xmlns:a="http://schemas.openxmlformats.org/drawingml/2006/main" xmlns:pic="http://schemas.openxmlformats.org/drawingml/2006/picture">
            <wp:extent cx="5943600" cy="2276272"/>
            <wp:docPr id="4" name="Picture 4"/>
            <wp:cNvGraphicFramePr>
              <a:graphicFrameLocks noChangeAspect="1"/>
            </wp:cNvGraphicFramePr>
            <a:graphic>
              <a:graphicData uri="http://schemas.openxmlformats.org/drawingml/2006/picture">
                <pic:pic>
                  <pic:nvPicPr>
                    <pic:cNvPr id="0" name="fig1_ma.png"/>
                    <pic:cNvPicPr/>
                  </pic:nvPicPr>
                  <pic:blipFill>
                    <a:blip r:embed="rId12"/>
                    <a:stretch>
                      <a:fillRect/>
                    </a:stretch>
                  </pic:blipFill>
                  <pic:spPr>
                    <a:xfrm>
                      <a:off x="0" y="0"/>
                      <a:ext cx="5943600" cy="2276272"/>
                    </a:xfrm>
                    <a:prstGeom prst="rect"/>
                  </pic:spPr>
                </pic:pic>
              </a:graphicData>
            </a:graphic>
          </wp:inline>
        </w:drawing>
      </w:r>
    </w:p>
    <w:p>
      <w:pPr>
        <w:spacing w:after="180" w:before="0"/>
      </w:pPr>
      <w:r>
        <w:rPr>
          <w:b w:val="0"/>
          <w:i/>
          <w:color w:val="6E7B77"/>
          <w:sz w:val="17"/>
        </w:rPr>
        <w:t>Figure 1 — Price below the 20/50/200-day averages: a soft, corrective, range-bound tape over the last year.</w:t>
      </w:r>
    </w:p>
    <w:p>
      <w:pPr>
        <w:spacing w:after="100" w:before="260"/>
      </w:pPr>
      <w:r>
        <w:rPr>
          <w:b/>
          <w:i w:val="0"/>
          <w:color w:val="1C3A36"/>
          <w:sz w:val="30"/>
        </w:rPr>
        <w:t>3  Monte Carlo — a probabilistic price map</w:t>
      </w:r>
    </w:p>
    <w:p>
      <w:pPr>
        <w:spacing w:after="120" w:before="0"/>
      </w:pPr>
      <w:r>
        <w:rPr>
          <w:b w:val="0"/>
          <w:i w:val="0"/>
          <w:color w:val="1C3A36"/>
          <w:sz w:val="19"/>
        </w:rPr>
        <w:t>We simulate 50,000 three-month price paths from spot. The width is set by the YZ-HAR engine — a log-HAR variance cascade on a gap-aware Yang-Zhang proxy that reads the current volatility regime — with a unit-variance Student-t(5) shape for honest tails. Drift is zero: secular drift is switched on only for EGX developers, and RIBL is neither. These paths price where the stock could travel, and deliberately do not embed the §1 fair value — the value gap is kept out of the drift.</w:t>
      </w:r>
    </w:p>
    <w:p>
      <w:pPr>
        <w:spacing w:after="120" w:before="0"/>
      </w:pPr>
      <w:r>
        <w:rPr>
          <w:b w:val="0"/>
          <w:i w:val="0"/>
          <w:color w:val="1C3A36"/>
          <w:sz w:val="19"/>
        </w:rPr>
        <w:t>The factor set is Saudi-bank-specific. Note the absence of any FX factor — the riyal's USD peg removes the currency channel that dominates an EGP- or lira-funded bank — and a rate channel that reflects SAMA/Fed transmission. All factor numbers are editable judgments (the table is the model); they are flagged uncalibrated pending red-pen sign-off, and net to a near-zero combined drift consistent with the zero-drift base case.</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33"/>
        <w:gridCol w:w="2033"/>
        <w:gridCol w:w="2033"/>
        <w:gridCol w:w="2033"/>
        <w:gridCol w:w="2033"/>
      </w:tblGrid>
      <w:tr>
        <w:tc>
          <w:tcPr>
            <w:tcW w:type="dxa" w:w="3024"/>
            <w:shd w:val="clear" w:color="auto" w:fill="1C3A36"/>
          </w:tcPr>
          <w:p>
            <w:r/>
            <w:r>
              <w:rPr>
                <w:b/>
                <w:color w:val="FFFFFF"/>
                <w:sz w:val="17"/>
              </w:rPr>
              <w:t>Continuous factor (7)</w:t>
            </w:r>
          </w:p>
        </w:tc>
        <w:tc>
          <w:tcPr>
            <w:tcW w:type="dxa" w:w="864"/>
            <w:shd w:val="clear" w:color="auto" w:fill="1C3A36"/>
          </w:tcPr>
          <w:p>
            <w:r/>
            <w:r>
              <w:rPr>
                <w:b/>
                <w:color w:val="FFFFFF"/>
                <w:sz w:val="17"/>
              </w:rPr>
              <w:t>Tier</w:t>
            </w:r>
          </w:p>
        </w:tc>
        <w:tc>
          <w:tcPr>
            <w:tcW w:type="dxa" w:w="1008"/>
            <w:shd w:val="clear" w:color="auto" w:fill="1C3A36"/>
          </w:tcPr>
          <w:p>
            <w:r/>
            <w:r>
              <w:rPr>
                <w:b/>
                <w:color w:val="FFFFFF"/>
                <w:sz w:val="17"/>
              </w:rPr>
              <w:t>Sign</w:t>
            </w:r>
          </w:p>
        </w:tc>
        <w:tc>
          <w:tcPr>
            <w:tcW w:type="dxa" w:w="1296"/>
            <w:shd w:val="clear" w:color="auto" w:fill="1C3A36"/>
          </w:tcPr>
          <w:p>
            <w:r/>
            <w:r>
              <w:rPr>
                <w:b/>
                <w:color w:val="FFFFFF"/>
                <w:sz w:val="17"/>
              </w:rPr>
              <w:t>3m drift</w:t>
            </w:r>
          </w:p>
        </w:tc>
        <w:tc>
          <w:tcPr>
            <w:tcW w:type="dxa" w:w="3024"/>
            <w:shd w:val="clear" w:color="auto" w:fill="1C3A36"/>
          </w:tcPr>
          <w:p>
            <w:r/>
            <w:r>
              <w:rPr>
                <w:b/>
                <w:color w:val="FFFFFF"/>
                <w:sz w:val="17"/>
              </w:rPr>
              <w:t>Channel</w:t>
            </w:r>
          </w:p>
        </w:tc>
      </w:tr>
      <w:tr>
        <w:tc>
          <w:tcPr>
            <w:tcW w:type="dxa" w:w="3024"/>
          </w:tcPr>
          <w:p>
            <w:r/>
            <w:r>
              <w:rPr>
                <w:color w:val="1C3A36"/>
                <w:sz w:val="17"/>
              </w:rPr>
              <w:t>SAMA/Fed rate path</w:t>
            </w:r>
          </w:p>
        </w:tc>
        <w:tc>
          <w:tcPr>
            <w:tcW w:type="dxa" w:w="864"/>
          </w:tcPr>
          <w:p>
            <w:r/>
            <w:r>
              <w:rPr>
                <w:color w:val="1C3A36"/>
                <w:sz w:val="17"/>
              </w:rPr>
              <w:t>1</w:t>
            </w:r>
          </w:p>
        </w:tc>
        <w:tc>
          <w:tcPr>
            <w:tcW w:type="dxa" w:w="1008"/>
          </w:tcPr>
          <w:p>
            <w:r/>
            <w:r>
              <w:rPr>
                <w:color w:val="1C3A36"/>
                <w:sz w:val="17"/>
              </w:rPr>
              <w:t>+/−</w:t>
            </w:r>
          </w:p>
        </w:tc>
        <w:tc>
          <w:tcPr>
            <w:tcW w:type="dxa" w:w="1296"/>
          </w:tcPr>
          <w:p>
            <w:r/>
            <w:r>
              <w:rPr>
                <w:color w:val="1C3A36"/>
                <w:sz w:val="17"/>
              </w:rPr>
              <w:t>±0.4%</w:t>
            </w:r>
          </w:p>
        </w:tc>
        <w:tc>
          <w:tcPr>
            <w:tcW w:type="dxa" w:w="3024"/>
          </w:tcPr>
          <w:p>
            <w:r/>
            <w:r>
              <w:rPr>
                <w:color w:val="1C3A36"/>
                <w:sz w:val="17"/>
              </w:rPr>
              <w:t>NIM sensitivity to policy</w:t>
            </w:r>
          </w:p>
        </w:tc>
      </w:tr>
      <w:tr>
        <w:tc>
          <w:tcPr>
            <w:tcW w:type="dxa" w:w="3024"/>
            <w:shd w:val="clear" w:color="auto" w:fill="EFF3F1"/>
          </w:tcPr>
          <w:p>
            <w:r/>
            <w:r>
              <w:rPr>
                <w:color w:val="1C3A36"/>
                <w:sz w:val="17"/>
              </w:rPr>
              <w:t>Non-oil GDP / Vision 2030</w:t>
            </w:r>
          </w:p>
        </w:tc>
        <w:tc>
          <w:tcPr>
            <w:tcW w:type="dxa" w:w="864"/>
            <w:shd w:val="clear" w:color="auto" w:fill="EFF3F1"/>
          </w:tcPr>
          <w:p>
            <w:r/>
            <w:r>
              <w:rPr>
                <w:color w:val="1C3A36"/>
                <w:sz w:val="17"/>
              </w:rPr>
              <w:t>1</w:t>
            </w:r>
          </w:p>
        </w:tc>
        <w:tc>
          <w:tcPr>
            <w:tcW w:type="dxa" w:w="1008"/>
            <w:shd w:val="clear" w:color="auto" w:fill="EFF3F1"/>
          </w:tcPr>
          <w:p>
            <w:r/>
            <w:r>
              <w:rPr>
                <w:color w:val="1C3A36"/>
                <w:sz w:val="17"/>
              </w:rPr>
              <w:t>+</w:t>
            </w:r>
          </w:p>
        </w:tc>
        <w:tc>
          <w:tcPr>
            <w:tcW w:type="dxa" w:w="1296"/>
            <w:shd w:val="clear" w:color="auto" w:fill="EFF3F1"/>
          </w:tcPr>
          <w:p>
            <w:r/>
            <w:r>
              <w:rPr>
                <w:color w:val="1C3A36"/>
                <w:sz w:val="17"/>
              </w:rPr>
              <w:t>+0.3%</w:t>
            </w:r>
          </w:p>
        </w:tc>
        <w:tc>
          <w:tcPr>
            <w:tcW w:type="dxa" w:w="3024"/>
            <w:shd w:val="clear" w:color="auto" w:fill="EFF3F1"/>
          </w:tcPr>
          <w:p>
            <w:r/>
            <w:r>
              <w:rPr>
                <w:color w:val="1C3A36"/>
                <w:sz w:val="17"/>
              </w:rPr>
              <w:t>Loan volume &amp; asset quality</w:t>
            </w:r>
          </w:p>
        </w:tc>
      </w:tr>
      <w:tr>
        <w:tc>
          <w:tcPr>
            <w:tcW w:type="dxa" w:w="3024"/>
          </w:tcPr>
          <w:p>
            <w:r/>
            <w:r>
              <w:rPr>
                <w:color w:val="1C3A36"/>
                <w:sz w:val="17"/>
              </w:rPr>
              <w:t>Oil price / fiscal impulse</w:t>
            </w:r>
          </w:p>
        </w:tc>
        <w:tc>
          <w:tcPr>
            <w:tcW w:type="dxa" w:w="864"/>
          </w:tcPr>
          <w:p>
            <w:r/>
            <w:r>
              <w:rPr>
                <w:color w:val="1C3A36"/>
                <w:sz w:val="17"/>
              </w:rPr>
              <w:t>2</w:t>
            </w:r>
          </w:p>
        </w:tc>
        <w:tc>
          <w:tcPr>
            <w:tcW w:type="dxa" w:w="1008"/>
          </w:tcPr>
          <w:p>
            <w:r/>
            <w:r>
              <w:rPr>
                <w:color w:val="1C3A36"/>
                <w:sz w:val="17"/>
              </w:rPr>
              <w:t>+</w:t>
            </w:r>
          </w:p>
        </w:tc>
        <w:tc>
          <w:tcPr>
            <w:tcW w:type="dxa" w:w="1296"/>
          </w:tcPr>
          <w:p>
            <w:r/>
            <w:r>
              <w:rPr>
                <w:color w:val="1C3A36"/>
                <w:sz w:val="17"/>
              </w:rPr>
              <w:t>+0.1%</w:t>
            </w:r>
          </w:p>
        </w:tc>
        <w:tc>
          <w:tcPr>
            <w:tcW w:type="dxa" w:w="3024"/>
          </w:tcPr>
          <w:p>
            <w:r/>
            <w:r>
              <w:rPr>
                <w:color w:val="1C3A36"/>
                <w:sz w:val="17"/>
              </w:rPr>
              <w:t>Deposit liquidity, sovereign standing</w:t>
            </w:r>
          </w:p>
        </w:tc>
      </w:tr>
      <w:tr>
        <w:tc>
          <w:tcPr>
            <w:tcW w:type="dxa" w:w="3024"/>
            <w:shd w:val="clear" w:color="auto" w:fill="EFF3F1"/>
          </w:tcPr>
          <w:p>
            <w:r/>
            <w:r>
              <w:rPr>
                <w:color w:val="1C3A36"/>
                <w:sz w:val="17"/>
              </w:rPr>
              <w:t>Sector credit growth</w:t>
            </w:r>
          </w:p>
        </w:tc>
        <w:tc>
          <w:tcPr>
            <w:tcW w:type="dxa" w:w="864"/>
            <w:shd w:val="clear" w:color="auto" w:fill="EFF3F1"/>
          </w:tcPr>
          <w:p>
            <w:r/>
            <w:r>
              <w:rPr>
                <w:color w:val="1C3A36"/>
                <w:sz w:val="17"/>
              </w:rPr>
              <w:t>2</w:t>
            </w:r>
          </w:p>
        </w:tc>
        <w:tc>
          <w:tcPr>
            <w:tcW w:type="dxa" w:w="1008"/>
            <w:shd w:val="clear" w:color="auto" w:fill="EFF3F1"/>
          </w:tcPr>
          <w:p>
            <w:r/>
            <w:r>
              <w:rPr>
                <w:color w:val="1C3A36"/>
                <w:sz w:val="17"/>
              </w:rPr>
              <w:t>+</w:t>
            </w:r>
          </w:p>
        </w:tc>
        <w:tc>
          <w:tcPr>
            <w:tcW w:type="dxa" w:w="1296"/>
            <w:shd w:val="clear" w:color="auto" w:fill="EFF3F1"/>
          </w:tcPr>
          <w:p>
            <w:r/>
            <w:r>
              <w:rPr>
                <w:color w:val="1C3A36"/>
                <w:sz w:val="17"/>
              </w:rPr>
              <w:t>+0.2%</w:t>
            </w:r>
          </w:p>
        </w:tc>
        <w:tc>
          <w:tcPr>
            <w:tcW w:type="dxa" w:w="3024"/>
            <w:shd w:val="clear" w:color="auto" w:fill="EFF3F1"/>
          </w:tcPr>
          <w:p>
            <w:r/>
            <w:r>
              <w:rPr>
                <w:color w:val="1C3A36"/>
                <w:sz w:val="17"/>
              </w:rPr>
              <w:t>System loan demand</w:t>
            </w:r>
          </w:p>
        </w:tc>
      </w:tr>
      <w:tr>
        <w:tc>
          <w:tcPr>
            <w:tcW w:type="dxa" w:w="3024"/>
          </w:tcPr>
          <w:p>
            <w:r/>
            <w:r>
              <w:rPr>
                <w:color w:val="1C3A36"/>
                <w:sz w:val="17"/>
              </w:rPr>
              <w:t>Dividend/payout signal</w:t>
            </w:r>
          </w:p>
        </w:tc>
        <w:tc>
          <w:tcPr>
            <w:tcW w:type="dxa" w:w="864"/>
          </w:tcPr>
          <w:p>
            <w:r/>
            <w:r>
              <w:rPr>
                <w:color w:val="1C3A36"/>
                <w:sz w:val="17"/>
              </w:rPr>
              <w:t>2</w:t>
            </w:r>
          </w:p>
        </w:tc>
        <w:tc>
          <w:tcPr>
            <w:tcW w:type="dxa" w:w="1008"/>
          </w:tcPr>
          <w:p>
            <w:r/>
            <w:r>
              <w:rPr>
                <w:color w:val="1C3A36"/>
                <w:sz w:val="17"/>
              </w:rPr>
              <w:t>+</w:t>
            </w:r>
          </w:p>
        </w:tc>
        <w:tc>
          <w:tcPr>
            <w:tcW w:type="dxa" w:w="1296"/>
          </w:tcPr>
          <w:p>
            <w:r/>
            <w:r>
              <w:rPr>
                <w:color w:val="1C3A36"/>
                <w:sz w:val="17"/>
              </w:rPr>
              <w:t>+0.1%</w:t>
            </w:r>
          </w:p>
        </w:tc>
        <w:tc>
          <w:tcPr>
            <w:tcW w:type="dxa" w:w="3024"/>
          </w:tcPr>
          <w:p>
            <w:r/>
            <w:r>
              <w:rPr>
                <w:color w:val="1C3A36"/>
                <w:sz w:val="17"/>
              </w:rPr>
              <w:t>Post-bonus capital return</w:t>
            </w:r>
          </w:p>
        </w:tc>
      </w:tr>
      <w:tr>
        <w:tc>
          <w:tcPr>
            <w:tcW w:type="dxa" w:w="3024"/>
            <w:shd w:val="clear" w:color="auto" w:fill="EFF3F1"/>
          </w:tcPr>
          <w:p>
            <w:r/>
            <w:r>
              <w:rPr>
                <w:color w:val="1C3A36"/>
                <w:sz w:val="17"/>
              </w:rPr>
              <w:t>Foreign flows (TASI inclusion)</w:t>
            </w:r>
          </w:p>
        </w:tc>
        <w:tc>
          <w:tcPr>
            <w:tcW w:type="dxa" w:w="864"/>
            <w:shd w:val="clear" w:color="auto" w:fill="EFF3F1"/>
          </w:tcPr>
          <w:p>
            <w:r/>
            <w:r>
              <w:rPr>
                <w:color w:val="1C3A36"/>
                <w:sz w:val="17"/>
              </w:rPr>
              <w:t>3</w:t>
            </w:r>
          </w:p>
        </w:tc>
        <w:tc>
          <w:tcPr>
            <w:tcW w:type="dxa" w:w="1008"/>
            <w:shd w:val="clear" w:color="auto" w:fill="EFF3F1"/>
          </w:tcPr>
          <w:p>
            <w:r/>
            <w:r>
              <w:rPr>
                <w:color w:val="1C3A36"/>
                <w:sz w:val="17"/>
              </w:rPr>
              <w:t>+</w:t>
            </w:r>
          </w:p>
        </w:tc>
        <w:tc>
          <w:tcPr>
            <w:tcW w:type="dxa" w:w="1296"/>
            <w:shd w:val="clear" w:color="auto" w:fill="EFF3F1"/>
          </w:tcPr>
          <w:p>
            <w:r/>
            <w:r>
              <w:rPr>
                <w:color w:val="1C3A36"/>
                <w:sz w:val="17"/>
              </w:rPr>
              <w:t>+0.1%</w:t>
            </w:r>
          </w:p>
        </w:tc>
        <w:tc>
          <w:tcPr>
            <w:tcW w:type="dxa" w:w="3024"/>
            <w:shd w:val="clear" w:color="auto" w:fill="EFF3F1"/>
          </w:tcPr>
          <w:p>
            <w:r/>
            <w:r>
              <w:rPr>
                <w:color w:val="1C3A36"/>
                <w:sz w:val="17"/>
              </w:rPr>
              <w:t>Passive/QFI demand</w:t>
            </w:r>
          </w:p>
        </w:tc>
      </w:tr>
      <w:tr>
        <w:tc>
          <w:tcPr>
            <w:tcW w:type="dxa" w:w="3024"/>
          </w:tcPr>
          <w:p>
            <w:r/>
            <w:r>
              <w:rPr>
                <w:color w:val="1C3A36"/>
                <w:sz w:val="17"/>
              </w:rPr>
              <w:t>Momentum / mean-reversion</w:t>
            </w:r>
          </w:p>
        </w:tc>
        <w:tc>
          <w:tcPr>
            <w:tcW w:type="dxa" w:w="864"/>
          </w:tcPr>
          <w:p>
            <w:r/>
            <w:r>
              <w:rPr>
                <w:color w:val="1C3A36"/>
                <w:sz w:val="17"/>
              </w:rPr>
              <w:t>3</w:t>
            </w:r>
          </w:p>
        </w:tc>
        <w:tc>
          <w:tcPr>
            <w:tcW w:type="dxa" w:w="1008"/>
          </w:tcPr>
          <w:p>
            <w:r/>
            <w:r>
              <w:rPr>
                <w:color w:val="1C3A36"/>
                <w:sz w:val="17"/>
              </w:rPr>
              <w:t>+</w:t>
            </w:r>
          </w:p>
        </w:tc>
        <w:tc>
          <w:tcPr>
            <w:tcW w:type="dxa" w:w="1296"/>
          </w:tcPr>
          <w:p>
            <w:r/>
            <w:r>
              <w:rPr>
                <w:color w:val="1C3A36"/>
                <w:sz w:val="17"/>
              </w:rPr>
              <w:t>+0.2%</w:t>
            </w:r>
          </w:p>
        </w:tc>
        <w:tc>
          <w:tcPr>
            <w:tcW w:type="dxa" w:w="3024"/>
          </w:tcPr>
          <w:p>
            <w:r/>
            <w:r>
              <w:rPr>
                <w:color w:val="1C3A36"/>
                <w:sz w:val="17"/>
              </w:rPr>
              <w:t>Oversold RSI bounce tilt</w:t>
            </w:r>
          </w:p>
        </w:tc>
      </w:tr>
    </w:tbl>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33"/>
        <w:gridCol w:w="2033"/>
        <w:gridCol w:w="2033"/>
        <w:gridCol w:w="2033"/>
        <w:gridCol w:w="2033"/>
      </w:tblGrid>
      <w:tr>
        <w:tc>
          <w:tcPr>
            <w:tcW w:type="dxa" w:w="3024"/>
            <w:shd w:val="clear" w:color="auto" w:fill="1C3A36"/>
          </w:tcPr>
          <w:p>
            <w:r/>
            <w:r>
              <w:rPr>
                <w:b/>
                <w:color w:val="FFFFFF"/>
                <w:sz w:val="17"/>
              </w:rPr>
              <w:t>Discrete factor (9)</w:t>
            </w:r>
          </w:p>
        </w:tc>
        <w:tc>
          <w:tcPr>
            <w:tcW w:type="dxa" w:w="864"/>
            <w:shd w:val="clear" w:color="auto" w:fill="1C3A36"/>
          </w:tcPr>
          <w:p>
            <w:r/>
            <w:r>
              <w:rPr>
                <w:b/>
                <w:color w:val="FFFFFF"/>
                <w:sz w:val="17"/>
              </w:rPr>
              <w:t>Tier</w:t>
            </w:r>
          </w:p>
        </w:tc>
        <w:tc>
          <w:tcPr>
            <w:tcW w:type="dxa" w:w="864"/>
            <w:shd w:val="clear" w:color="auto" w:fill="1C3A36"/>
          </w:tcPr>
          <w:p>
            <w:r/>
            <w:r>
              <w:rPr>
                <w:b/>
                <w:color w:val="FFFFFF"/>
                <w:sz w:val="17"/>
              </w:rPr>
              <w:t>Prob</w:t>
            </w:r>
          </w:p>
        </w:tc>
        <w:tc>
          <w:tcPr>
            <w:tcW w:type="dxa" w:w="1584"/>
            <w:shd w:val="clear" w:color="auto" w:fill="1C3A36"/>
          </w:tcPr>
          <w:p>
            <w:r/>
            <w:r>
              <w:rPr>
                <w:b/>
                <w:color w:val="FFFFFF"/>
                <w:sz w:val="17"/>
              </w:rPr>
              <w:t>Impact (mean)</w:t>
            </w:r>
          </w:p>
        </w:tc>
        <w:tc>
          <w:tcPr>
            <w:tcW w:type="dxa" w:w="1440"/>
            <w:shd w:val="clear" w:color="auto" w:fill="1C3A36"/>
          </w:tcPr>
          <w:p>
            <w:r/>
            <w:r>
              <w:rPr>
                <w:b/>
                <w:color w:val="FFFFFF"/>
                <w:sz w:val="17"/>
              </w:rPr>
              <w:t>Spread</w:t>
            </w:r>
          </w:p>
        </w:tc>
      </w:tr>
      <w:tr>
        <w:tc>
          <w:tcPr>
            <w:tcW w:type="dxa" w:w="3024"/>
          </w:tcPr>
          <w:p>
            <w:r/>
            <w:r>
              <w:rPr>
                <w:color w:val="1C3A36"/>
                <w:sz w:val="17"/>
              </w:rPr>
              <w:t>Quarterly earnings surprise</w:t>
            </w:r>
          </w:p>
        </w:tc>
        <w:tc>
          <w:tcPr>
            <w:tcW w:type="dxa" w:w="864"/>
          </w:tcPr>
          <w:p>
            <w:r/>
            <w:r>
              <w:rPr>
                <w:color w:val="1C3A36"/>
                <w:sz w:val="17"/>
              </w:rPr>
              <w:t>1</w:t>
            </w:r>
          </w:p>
        </w:tc>
        <w:tc>
          <w:tcPr>
            <w:tcW w:type="dxa" w:w="864"/>
          </w:tcPr>
          <w:p>
            <w:r/>
            <w:r>
              <w:rPr>
                <w:color w:val="1C3A36"/>
                <w:sz w:val="17"/>
              </w:rPr>
              <w:t>40%</w:t>
            </w:r>
          </w:p>
        </w:tc>
        <w:tc>
          <w:tcPr>
            <w:tcW w:type="dxa" w:w="1584"/>
          </w:tcPr>
          <w:p>
            <w:r/>
            <w:r>
              <w:rPr>
                <w:color w:val="1C3A36"/>
                <w:sz w:val="17"/>
              </w:rPr>
              <w:t>±1.5%</w:t>
            </w:r>
          </w:p>
        </w:tc>
        <w:tc>
          <w:tcPr>
            <w:tcW w:type="dxa" w:w="1440"/>
          </w:tcPr>
          <w:p>
            <w:r/>
            <w:r>
              <w:rPr>
                <w:color w:val="1C3A36"/>
                <w:sz w:val="17"/>
              </w:rPr>
              <w:t>wide</w:t>
            </w:r>
          </w:p>
        </w:tc>
      </w:tr>
      <w:tr>
        <w:tc>
          <w:tcPr>
            <w:tcW w:type="dxa" w:w="3024"/>
            <w:shd w:val="clear" w:color="auto" w:fill="EFF3F1"/>
          </w:tcPr>
          <w:p>
            <w:r/>
            <w:r>
              <w:rPr>
                <w:color w:val="1C3A36"/>
                <w:sz w:val="17"/>
              </w:rPr>
              <w:t>SAMA policy surprise</w:t>
            </w:r>
          </w:p>
        </w:tc>
        <w:tc>
          <w:tcPr>
            <w:tcW w:type="dxa" w:w="864"/>
            <w:shd w:val="clear" w:color="auto" w:fill="EFF3F1"/>
          </w:tcPr>
          <w:p>
            <w:r/>
            <w:r>
              <w:rPr>
                <w:color w:val="1C3A36"/>
                <w:sz w:val="17"/>
              </w:rPr>
              <w:t>1</w:t>
            </w:r>
          </w:p>
        </w:tc>
        <w:tc>
          <w:tcPr>
            <w:tcW w:type="dxa" w:w="864"/>
            <w:shd w:val="clear" w:color="auto" w:fill="EFF3F1"/>
          </w:tcPr>
          <w:p>
            <w:r/>
            <w:r>
              <w:rPr>
                <w:color w:val="1C3A36"/>
                <w:sz w:val="17"/>
              </w:rPr>
              <w:t>25%</w:t>
            </w:r>
          </w:p>
        </w:tc>
        <w:tc>
          <w:tcPr>
            <w:tcW w:type="dxa" w:w="1584"/>
            <w:shd w:val="clear" w:color="auto" w:fill="EFF3F1"/>
          </w:tcPr>
          <w:p>
            <w:r/>
            <w:r>
              <w:rPr>
                <w:color w:val="1C3A36"/>
                <w:sz w:val="17"/>
              </w:rPr>
              <w:t>±1.2%</w:t>
            </w:r>
          </w:p>
        </w:tc>
        <w:tc>
          <w:tcPr>
            <w:tcW w:type="dxa" w:w="1440"/>
            <w:shd w:val="clear" w:color="auto" w:fill="EFF3F1"/>
          </w:tcPr>
          <w:p>
            <w:r/>
            <w:r>
              <w:rPr>
                <w:color w:val="1C3A36"/>
                <w:sz w:val="17"/>
              </w:rPr>
              <w:t>wide</w:t>
            </w:r>
          </w:p>
        </w:tc>
      </w:tr>
      <w:tr>
        <w:tc>
          <w:tcPr>
            <w:tcW w:type="dxa" w:w="3024"/>
          </w:tcPr>
          <w:p>
            <w:r/>
            <w:r>
              <w:rPr>
                <w:color w:val="1C3A36"/>
                <w:sz w:val="17"/>
              </w:rPr>
              <w:t>Dividend declaration surprise</w:t>
            </w:r>
          </w:p>
        </w:tc>
        <w:tc>
          <w:tcPr>
            <w:tcW w:type="dxa" w:w="864"/>
          </w:tcPr>
          <w:p>
            <w:r/>
            <w:r>
              <w:rPr>
                <w:color w:val="1C3A36"/>
                <w:sz w:val="17"/>
              </w:rPr>
              <w:t>2</w:t>
            </w:r>
          </w:p>
        </w:tc>
        <w:tc>
          <w:tcPr>
            <w:tcW w:type="dxa" w:w="864"/>
          </w:tcPr>
          <w:p>
            <w:r/>
            <w:r>
              <w:rPr>
                <w:color w:val="1C3A36"/>
                <w:sz w:val="17"/>
              </w:rPr>
              <w:t>30%</w:t>
            </w:r>
          </w:p>
        </w:tc>
        <w:tc>
          <w:tcPr>
            <w:tcW w:type="dxa" w:w="1584"/>
          </w:tcPr>
          <w:p>
            <w:r/>
            <w:r>
              <w:rPr>
                <w:color w:val="1C3A36"/>
                <w:sz w:val="17"/>
              </w:rPr>
              <w:t>+0.8%</w:t>
            </w:r>
          </w:p>
        </w:tc>
        <w:tc>
          <w:tcPr>
            <w:tcW w:type="dxa" w:w="1440"/>
          </w:tcPr>
          <w:p>
            <w:r/>
            <w:r>
              <w:rPr>
                <w:color w:val="1C3A36"/>
                <w:sz w:val="17"/>
              </w:rPr>
              <w:t>moderate</w:t>
            </w:r>
          </w:p>
        </w:tc>
      </w:tr>
      <w:tr>
        <w:tc>
          <w:tcPr>
            <w:tcW w:type="dxa" w:w="3024"/>
            <w:shd w:val="clear" w:color="auto" w:fill="EFF3F1"/>
          </w:tcPr>
          <w:p>
            <w:r/>
            <w:r>
              <w:rPr>
                <w:color w:val="1C3A36"/>
                <w:sz w:val="17"/>
              </w:rPr>
              <w:t>Sovereign rating action</w:t>
            </w:r>
          </w:p>
        </w:tc>
        <w:tc>
          <w:tcPr>
            <w:tcW w:type="dxa" w:w="864"/>
            <w:shd w:val="clear" w:color="auto" w:fill="EFF3F1"/>
          </w:tcPr>
          <w:p>
            <w:r/>
            <w:r>
              <w:rPr>
                <w:color w:val="1C3A36"/>
                <w:sz w:val="17"/>
              </w:rPr>
              <w:t>3</w:t>
            </w:r>
          </w:p>
        </w:tc>
        <w:tc>
          <w:tcPr>
            <w:tcW w:type="dxa" w:w="864"/>
            <w:shd w:val="clear" w:color="auto" w:fill="EFF3F1"/>
          </w:tcPr>
          <w:p>
            <w:r/>
            <w:r>
              <w:rPr>
                <w:color w:val="1C3A36"/>
                <w:sz w:val="17"/>
              </w:rPr>
              <w:t>10%</w:t>
            </w:r>
          </w:p>
        </w:tc>
        <w:tc>
          <w:tcPr>
            <w:tcW w:type="dxa" w:w="1584"/>
            <w:shd w:val="clear" w:color="auto" w:fill="EFF3F1"/>
          </w:tcPr>
          <w:p>
            <w:r/>
            <w:r>
              <w:rPr>
                <w:color w:val="1C3A36"/>
                <w:sz w:val="17"/>
              </w:rPr>
              <w:t>+0.6%</w:t>
            </w:r>
          </w:p>
        </w:tc>
        <w:tc>
          <w:tcPr>
            <w:tcW w:type="dxa" w:w="1440"/>
            <w:shd w:val="clear" w:color="auto" w:fill="EFF3F1"/>
          </w:tcPr>
          <w:p>
            <w:r/>
            <w:r>
              <w:rPr>
                <w:color w:val="1C3A36"/>
                <w:sz w:val="17"/>
              </w:rPr>
              <w:t>moderate</w:t>
            </w:r>
          </w:p>
        </w:tc>
      </w:tr>
      <w:tr>
        <w:tc>
          <w:tcPr>
            <w:tcW w:type="dxa" w:w="3024"/>
          </w:tcPr>
          <w:p>
            <w:r/>
            <w:r>
              <w:rPr>
                <w:color w:val="1C3A36"/>
                <w:sz w:val="17"/>
              </w:rPr>
              <w:t>Regulatory fee/levy change</w:t>
            </w:r>
          </w:p>
        </w:tc>
        <w:tc>
          <w:tcPr>
            <w:tcW w:type="dxa" w:w="864"/>
          </w:tcPr>
          <w:p>
            <w:r/>
            <w:r>
              <w:rPr>
                <w:color w:val="1C3A36"/>
                <w:sz w:val="17"/>
              </w:rPr>
              <w:t>2</w:t>
            </w:r>
          </w:p>
        </w:tc>
        <w:tc>
          <w:tcPr>
            <w:tcW w:type="dxa" w:w="864"/>
          </w:tcPr>
          <w:p>
            <w:r/>
            <w:r>
              <w:rPr>
                <w:color w:val="1C3A36"/>
                <w:sz w:val="17"/>
              </w:rPr>
              <w:t>20%</w:t>
            </w:r>
          </w:p>
        </w:tc>
        <w:tc>
          <w:tcPr>
            <w:tcW w:type="dxa" w:w="1584"/>
          </w:tcPr>
          <w:p>
            <w:r/>
            <w:r>
              <w:rPr>
                <w:color w:val="1C3A36"/>
                <w:sz w:val="17"/>
              </w:rPr>
              <w:t>−0.7%</w:t>
            </w:r>
          </w:p>
        </w:tc>
        <w:tc>
          <w:tcPr>
            <w:tcW w:type="dxa" w:w="1440"/>
          </w:tcPr>
          <w:p>
            <w:r/>
            <w:r>
              <w:rPr>
                <w:color w:val="1C3A36"/>
                <w:sz w:val="17"/>
              </w:rPr>
              <w:t>moderate</w:t>
            </w:r>
          </w:p>
        </w:tc>
      </w:tr>
      <w:tr>
        <w:tc>
          <w:tcPr>
            <w:tcW w:type="dxa" w:w="3024"/>
            <w:shd w:val="clear" w:color="auto" w:fill="EFF3F1"/>
          </w:tcPr>
          <w:p>
            <w:r/>
            <w:r>
              <w:rPr>
                <w:color w:val="1C3A36"/>
                <w:sz w:val="17"/>
              </w:rPr>
              <w:t>Large corporate credit event</w:t>
            </w:r>
          </w:p>
        </w:tc>
        <w:tc>
          <w:tcPr>
            <w:tcW w:type="dxa" w:w="864"/>
            <w:shd w:val="clear" w:color="auto" w:fill="EFF3F1"/>
          </w:tcPr>
          <w:p>
            <w:r/>
            <w:r>
              <w:rPr>
                <w:color w:val="1C3A36"/>
                <w:sz w:val="17"/>
              </w:rPr>
              <w:t>3</w:t>
            </w:r>
          </w:p>
        </w:tc>
        <w:tc>
          <w:tcPr>
            <w:tcW w:type="dxa" w:w="864"/>
            <w:shd w:val="clear" w:color="auto" w:fill="EFF3F1"/>
          </w:tcPr>
          <w:p>
            <w:r/>
            <w:r>
              <w:rPr>
                <w:color w:val="1C3A36"/>
                <w:sz w:val="17"/>
              </w:rPr>
              <w:t>8%</w:t>
            </w:r>
          </w:p>
        </w:tc>
        <w:tc>
          <w:tcPr>
            <w:tcW w:type="dxa" w:w="1584"/>
            <w:shd w:val="clear" w:color="auto" w:fill="EFF3F1"/>
          </w:tcPr>
          <w:p>
            <w:r/>
            <w:r>
              <w:rPr>
                <w:color w:val="1C3A36"/>
                <w:sz w:val="17"/>
              </w:rPr>
              <w:t>−1.0%</w:t>
            </w:r>
          </w:p>
        </w:tc>
        <w:tc>
          <w:tcPr>
            <w:tcW w:type="dxa" w:w="1440"/>
            <w:shd w:val="clear" w:color="auto" w:fill="EFF3F1"/>
          </w:tcPr>
          <w:p>
            <w:r/>
            <w:r>
              <w:rPr>
                <w:color w:val="1C3A36"/>
                <w:sz w:val="17"/>
              </w:rPr>
              <w:t>wide</w:t>
            </w:r>
          </w:p>
        </w:tc>
      </w:tr>
      <w:tr>
        <w:tc>
          <w:tcPr>
            <w:tcW w:type="dxa" w:w="3024"/>
          </w:tcPr>
          <w:p>
            <w:r/>
            <w:r>
              <w:rPr>
                <w:color w:val="1C3A36"/>
                <w:sz w:val="17"/>
              </w:rPr>
              <w:t>Index rebalance</w:t>
            </w:r>
          </w:p>
        </w:tc>
        <w:tc>
          <w:tcPr>
            <w:tcW w:type="dxa" w:w="864"/>
          </w:tcPr>
          <w:p>
            <w:r/>
            <w:r>
              <w:rPr>
                <w:color w:val="1C3A36"/>
                <w:sz w:val="17"/>
              </w:rPr>
              <w:t>3</w:t>
            </w:r>
          </w:p>
        </w:tc>
        <w:tc>
          <w:tcPr>
            <w:tcW w:type="dxa" w:w="864"/>
          </w:tcPr>
          <w:p>
            <w:r/>
            <w:r>
              <w:rPr>
                <w:color w:val="1C3A36"/>
                <w:sz w:val="17"/>
              </w:rPr>
              <w:t>15%</w:t>
            </w:r>
          </w:p>
        </w:tc>
        <w:tc>
          <w:tcPr>
            <w:tcW w:type="dxa" w:w="1584"/>
          </w:tcPr>
          <w:p>
            <w:r/>
            <w:r>
              <w:rPr>
                <w:color w:val="1C3A36"/>
                <w:sz w:val="17"/>
              </w:rPr>
              <w:t>±0.5%</w:t>
            </w:r>
          </w:p>
        </w:tc>
        <w:tc>
          <w:tcPr>
            <w:tcW w:type="dxa" w:w="1440"/>
          </w:tcPr>
          <w:p>
            <w:r/>
            <w:r>
              <w:rPr>
                <w:color w:val="1C3A36"/>
                <w:sz w:val="17"/>
              </w:rPr>
              <w:t>narrow</w:t>
            </w:r>
          </w:p>
        </w:tc>
      </w:tr>
      <w:tr>
        <w:tc>
          <w:tcPr>
            <w:tcW w:type="dxa" w:w="3024"/>
            <w:shd w:val="clear" w:color="auto" w:fill="EFF3F1"/>
          </w:tcPr>
          <w:p>
            <w:r/>
            <w:r>
              <w:rPr>
                <w:color w:val="1C3A36"/>
                <w:sz w:val="17"/>
              </w:rPr>
              <w:t>Oil shock</w:t>
            </w:r>
          </w:p>
        </w:tc>
        <w:tc>
          <w:tcPr>
            <w:tcW w:type="dxa" w:w="864"/>
            <w:shd w:val="clear" w:color="auto" w:fill="EFF3F1"/>
          </w:tcPr>
          <w:p>
            <w:r/>
            <w:r>
              <w:rPr>
                <w:color w:val="1C3A36"/>
                <w:sz w:val="17"/>
              </w:rPr>
              <w:t>2</w:t>
            </w:r>
          </w:p>
        </w:tc>
        <w:tc>
          <w:tcPr>
            <w:tcW w:type="dxa" w:w="864"/>
            <w:shd w:val="clear" w:color="auto" w:fill="EFF3F1"/>
          </w:tcPr>
          <w:p>
            <w:r/>
            <w:r>
              <w:rPr>
                <w:color w:val="1C3A36"/>
                <w:sz w:val="17"/>
              </w:rPr>
              <w:t>15%</w:t>
            </w:r>
          </w:p>
        </w:tc>
        <w:tc>
          <w:tcPr>
            <w:tcW w:type="dxa" w:w="1584"/>
            <w:shd w:val="clear" w:color="auto" w:fill="EFF3F1"/>
          </w:tcPr>
          <w:p>
            <w:r/>
            <w:r>
              <w:rPr>
                <w:color w:val="1C3A36"/>
                <w:sz w:val="17"/>
              </w:rPr>
              <w:t>±0.9%</w:t>
            </w:r>
          </w:p>
        </w:tc>
        <w:tc>
          <w:tcPr>
            <w:tcW w:type="dxa" w:w="1440"/>
            <w:shd w:val="clear" w:color="auto" w:fill="EFF3F1"/>
          </w:tcPr>
          <w:p>
            <w:r/>
            <w:r>
              <w:rPr>
                <w:color w:val="1C3A36"/>
                <w:sz w:val="17"/>
              </w:rPr>
              <w:t>wide</w:t>
            </w:r>
          </w:p>
        </w:tc>
      </w:tr>
      <w:tr>
        <w:tc>
          <w:tcPr>
            <w:tcW w:type="dxa" w:w="3024"/>
          </w:tcPr>
          <w:p>
            <w:r/>
            <w:r>
              <w:rPr>
                <w:color w:val="1C3A36"/>
                <w:sz w:val="17"/>
              </w:rPr>
              <w:t>Geopolitical / regional</w:t>
            </w:r>
          </w:p>
        </w:tc>
        <w:tc>
          <w:tcPr>
            <w:tcW w:type="dxa" w:w="864"/>
          </w:tcPr>
          <w:p>
            <w:r/>
            <w:r>
              <w:rPr>
                <w:color w:val="1C3A36"/>
                <w:sz w:val="17"/>
              </w:rPr>
              <w:t>3</w:t>
            </w:r>
          </w:p>
        </w:tc>
        <w:tc>
          <w:tcPr>
            <w:tcW w:type="dxa" w:w="864"/>
          </w:tcPr>
          <w:p>
            <w:r/>
            <w:r>
              <w:rPr>
                <w:color w:val="1C3A36"/>
                <w:sz w:val="17"/>
              </w:rPr>
              <w:t>12%</w:t>
            </w:r>
          </w:p>
        </w:tc>
        <w:tc>
          <w:tcPr>
            <w:tcW w:type="dxa" w:w="1584"/>
          </w:tcPr>
          <w:p>
            <w:r/>
            <w:r>
              <w:rPr>
                <w:color w:val="1C3A36"/>
                <w:sz w:val="17"/>
              </w:rPr>
              <w:t>−0.8%</w:t>
            </w:r>
          </w:p>
        </w:tc>
        <w:tc>
          <w:tcPr>
            <w:tcW w:type="dxa" w:w="1440"/>
          </w:tcPr>
          <w:p>
            <w:r/>
            <w:r>
              <w:rPr>
                <w:color w:val="1C3A36"/>
                <w:sz w:val="17"/>
              </w:rPr>
              <w:t>wide</w:t>
            </w:r>
          </w:p>
        </w:tc>
      </w:tr>
    </w:tbl>
    <w:p>
      <w:pPr>
        <w:spacing w:after="120" w:before="0"/>
      </w:pPr>
      <w:r>
        <w:rPr>
          <w:b w:val="0"/>
          <w:i/>
          <w:color w:val="6E7B77"/>
          <w:sz w:val="17"/>
        </w:rPr>
        <w:t>Net continuous drift ~+1.4%, expected event drift ~−1.2%, combined ~+0.2% — near-zero, consistent with the zero-drift base case the fan chart shows.</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94"/>
        <w:gridCol w:w="1694"/>
        <w:gridCol w:w="1694"/>
        <w:gridCol w:w="1694"/>
        <w:gridCol w:w="1694"/>
        <w:gridCol w:w="1694"/>
      </w:tblGrid>
      <w:tr>
        <w:tc>
          <w:tcPr>
            <w:tcW w:type="dxa" w:w="1728"/>
            <w:shd w:val="clear" w:color="auto" w:fill="1C3A36"/>
          </w:tcPr>
          <w:p>
            <w:r/>
            <w:r>
              <w:rPr>
                <w:b/>
                <w:color w:val="FFFFFF"/>
                <w:sz w:val="17"/>
              </w:rPr>
              <w:t>Horizon</w:t>
            </w:r>
          </w:p>
        </w:tc>
        <w:tc>
          <w:tcPr>
            <w:tcW w:type="dxa" w:w="1584"/>
            <w:shd w:val="clear" w:color="auto" w:fill="1C3A36"/>
          </w:tcPr>
          <w:p>
            <w:r/>
            <w:r>
              <w:rPr>
                <w:b/>
                <w:color w:val="FFFFFF"/>
                <w:sz w:val="17"/>
              </w:rPr>
              <w:t>p5</w:t>
            </w:r>
          </w:p>
        </w:tc>
        <w:tc>
          <w:tcPr>
            <w:tcW w:type="dxa" w:w="1584"/>
            <w:shd w:val="clear" w:color="auto" w:fill="1C3A36"/>
          </w:tcPr>
          <w:p>
            <w:r/>
            <w:r>
              <w:rPr>
                <w:b/>
                <w:color w:val="FFFFFF"/>
                <w:sz w:val="17"/>
              </w:rPr>
              <w:t>p25</w:t>
            </w:r>
          </w:p>
        </w:tc>
        <w:tc>
          <w:tcPr>
            <w:tcW w:type="dxa" w:w="1584"/>
            <w:shd w:val="clear" w:color="auto" w:fill="1C3A36"/>
          </w:tcPr>
          <w:p>
            <w:r/>
            <w:r>
              <w:rPr>
                <w:b/>
                <w:color w:val="FFFFFF"/>
                <w:sz w:val="17"/>
              </w:rPr>
              <w:t>p50</w:t>
            </w:r>
          </w:p>
        </w:tc>
        <w:tc>
          <w:tcPr>
            <w:tcW w:type="dxa" w:w="1584"/>
            <w:shd w:val="clear" w:color="auto" w:fill="1C3A36"/>
          </w:tcPr>
          <w:p>
            <w:r/>
            <w:r>
              <w:rPr>
                <w:b/>
                <w:color w:val="FFFFFF"/>
                <w:sz w:val="17"/>
              </w:rPr>
              <w:t>p75</w:t>
            </w:r>
          </w:p>
        </w:tc>
        <w:tc>
          <w:tcPr>
            <w:tcW w:type="dxa" w:w="1584"/>
            <w:shd w:val="clear" w:color="auto" w:fill="1C3A36"/>
          </w:tcPr>
          <w:p>
            <w:r/>
            <w:r>
              <w:rPr>
                <w:b/>
                <w:color w:val="FFFFFF"/>
                <w:sz w:val="17"/>
              </w:rPr>
              <w:t>p95</w:t>
            </w:r>
          </w:p>
        </w:tc>
      </w:tr>
      <w:tr>
        <w:tc>
          <w:tcPr>
            <w:tcW w:type="dxa" w:w="1728"/>
          </w:tcPr>
          <w:p>
            <w:r/>
            <w:r>
              <w:rPr>
                <w:color w:val="1C3A36"/>
                <w:sz w:val="17"/>
              </w:rPr>
              <w:t>T+20</w:t>
            </w:r>
          </w:p>
        </w:tc>
        <w:tc>
          <w:tcPr>
            <w:tcW w:type="dxa" w:w="1584"/>
          </w:tcPr>
          <w:p>
            <w:r/>
            <w:r>
              <w:rPr>
                <w:color w:val="1C3A36"/>
                <w:sz w:val="17"/>
              </w:rPr>
              <w:t>18.3</w:t>
            </w:r>
          </w:p>
        </w:tc>
        <w:tc>
          <w:tcPr>
            <w:tcW w:type="dxa" w:w="1584"/>
          </w:tcPr>
          <w:p>
            <w:r/>
            <w:r>
              <w:rPr>
                <w:color w:val="1C3A36"/>
                <w:sz w:val="17"/>
              </w:rPr>
              <w:t>19.5</w:t>
            </w:r>
          </w:p>
        </w:tc>
        <w:tc>
          <w:tcPr>
            <w:tcW w:type="dxa" w:w="1584"/>
          </w:tcPr>
          <w:p>
            <w:r/>
            <w:r>
              <w:rPr>
                <w:color w:val="1C3A36"/>
                <w:sz w:val="17"/>
              </w:rPr>
              <w:t>20.2</w:t>
            </w:r>
          </w:p>
        </w:tc>
        <w:tc>
          <w:tcPr>
            <w:tcW w:type="dxa" w:w="1584"/>
          </w:tcPr>
          <w:p>
            <w:r/>
            <w:r>
              <w:rPr>
                <w:color w:val="1C3A36"/>
                <w:sz w:val="17"/>
              </w:rPr>
              <w:t>21.0</w:t>
            </w:r>
          </w:p>
        </w:tc>
        <w:tc>
          <w:tcPr>
            <w:tcW w:type="dxa" w:w="1584"/>
          </w:tcPr>
          <w:p>
            <w:r/>
            <w:r>
              <w:rPr>
                <w:color w:val="1C3A36"/>
                <w:sz w:val="17"/>
              </w:rPr>
              <w:t>22.4</w:t>
            </w:r>
          </w:p>
        </w:tc>
      </w:tr>
      <w:tr>
        <w:tc>
          <w:tcPr>
            <w:tcW w:type="dxa" w:w="1728"/>
            <w:shd w:val="clear" w:color="auto" w:fill="EFF3F1"/>
          </w:tcPr>
          <w:p>
            <w:r/>
            <w:r>
              <w:rPr>
                <w:color w:val="1C3A36"/>
                <w:sz w:val="17"/>
              </w:rPr>
              <w:t>T+60</w:t>
            </w:r>
          </w:p>
        </w:tc>
        <w:tc>
          <w:tcPr>
            <w:tcW w:type="dxa" w:w="1584"/>
            <w:shd w:val="clear" w:color="auto" w:fill="EFF3F1"/>
          </w:tcPr>
          <w:p>
            <w:r/>
            <w:r>
              <w:rPr>
                <w:color w:val="1C3A36"/>
                <w:sz w:val="17"/>
              </w:rPr>
              <w:t>16.9</w:t>
            </w:r>
          </w:p>
        </w:tc>
        <w:tc>
          <w:tcPr>
            <w:tcW w:type="dxa" w:w="1584"/>
            <w:shd w:val="clear" w:color="auto" w:fill="EFF3F1"/>
          </w:tcPr>
          <w:p>
            <w:r/>
            <w:r>
              <w:rPr>
                <w:color w:val="1C3A36"/>
                <w:sz w:val="17"/>
              </w:rPr>
              <w:t>19.0</w:t>
            </w:r>
          </w:p>
        </w:tc>
        <w:tc>
          <w:tcPr>
            <w:tcW w:type="dxa" w:w="1584"/>
            <w:shd w:val="clear" w:color="auto" w:fill="EFF3F1"/>
          </w:tcPr>
          <w:p>
            <w:r/>
            <w:r>
              <w:rPr>
                <w:color w:val="1C3A36"/>
                <w:sz w:val="17"/>
              </w:rPr>
              <w:t>20.2</w:t>
            </w:r>
          </w:p>
        </w:tc>
        <w:tc>
          <w:tcPr>
            <w:tcW w:type="dxa" w:w="1584"/>
            <w:shd w:val="clear" w:color="auto" w:fill="EFF3F1"/>
          </w:tcPr>
          <w:p>
            <w:r/>
            <w:r>
              <w:rPr>
                <w:color w:val="1C3A36"/>
                <w:sz w:val="17"/>
              </w:rPr>
              <w:t>21.6</w:t>
            </w:r>
          </w:p>
        </w:tc>
        <w:tc>
          <w:tcPr>
            <w:tcW w:type="dxa" w:w="1584"/>
            <w:shd w:val="clear" w:color="auto" w:fill="EFF3F1"/>
          </w:tcPr>
          <w:p>
            <w:r/>
            <w:r>
              <w:rPr>
                <w:color w:val="1C3A36"/>
                <w:sz w:val="17"/>
              </w:rPr>
              <w:t>24.2</w:t>
            </w:r>
          </w:p>
        </w:tc>
      </w:tr>
    </w:tbl>
    <w:p>
      <w:pPr>
        <w:spacing w:after="120" w:before="0"/>
      </w:pPr>
      <w:r>
        <w:rPr>
          <w:b w:val="0"/>
          <w:i w:val="0"/>
          <w:color w:val="1C3A36"/>
          <w:sz w:val="19"/>
        </w:rPr>
        <w:t>We lead with the 50% interquartile band, not the 90% tail. At T+20 the middle half of paths lies between SAR 19.5 and SAR 21.0 (~±4%); at T+60, between SAR 19.0 and SAR 21.6 (~±7%). The median sits at spot — the MC prices travel, not direction. The band is relatively tight because the engine is reading a low-volatility regime: RIBL's close-to-close realised vol over the last quarter is ~16%, and even the gap-aware YZ-HAR anchor (~23%, which loads intraday range and overnight jumps) is modest for an emerging-market bank. A pegged currency, a large-cap float and a range-bound tape all compress the width. The practical reading: over a single quarter, the fundamental re-rate toward fair value that §1 argues for is a low-probability event in the tails, not the central path — the MC and the fundamental read operate on different clocks, and the three-month distribution should not be mistaken for a verdict on value.</w:t>
      </w:r>
    </w:p>
    <w:p>
      <w:pPr>
        <w:jc w:val="center"/>
      </w:pPr>
      <w:r>
        <w:drawing>
          <wp:inline xmlns:a="http://schemas.openxmlformats.org/drawingml/2006/main" xmlns:pic="http://schemas.openxmlformats.org/drawingml/2006/picture">
            <wp:extent cx="5943600" cy="2402732"/>
            <wp:docPr id="5" name="Picture 5"/>
            <wp:cNvGraphicFramePr>
              <a:graphicFrameLocks noChangeAspect="1"/>
            </wp:cNvGraphicFramePr>
            <a:graphic>
              <a:graphicData uri="http://schemas.openxmlformats.org/drawingml/2006/picture">
                <pic:pic>
                  <pic:nvPicPr>
                    <pic:cNvPr id="0" name="fig5_fan.png"/>
                    <pic:cNvPicPr/>
                  </pic:nvPicPr>
                  <pic:blipFill>
                    <a:blip r:embed="rId13"/>
                    <a:stretch>
                      <a:fillRect/>
                    </a:stretch>
                  </pic:blipFill>
                  <pic:spPr>
                    <a:xfrm>
                      <a:off x="0" y="0"/>
                      <a:ext cx="5943600" cy="2402732"/>
                    </a:xfrm>
                    <a:prstGeom prst="rect"/>
                  </pic:spPr>
                </pic:pic>
              </a:graphicData>
            </a:graphic>
          </wp:inline>
        </w:drawing>
      </w:r>
    </w:p>
    <w:p>
      <w:pPr>
        <w:spacing w:after="180" w:before="0"/>
      </w:pPr>
      <w:r>
        <w:rPr>
          <w:b w:val="0"/>
          <w:i/>
          <w:color w:val="6E7B77"/>
          <w:sz w:val="17"/>
        </w:rPr>
        <w:t>Figure 5 — Monte Carlo fan, 50,000 paths: median at spot, 50% band in brass, 5–95% in gold.</w:t>
      </w:r>
    </w:p>
    <w:p>
      <w:pPr>
        <w:jc w:val="center"/>
      </w:pPr>
      <w:r>
        <w:drawing>
          <wp:inline xmlns:a="http://schemas.openxmlformats.org/drawingml/2006/main" xmlns:pic="http://schemas.openxmlformats.org/drawingml/2006/picture">
            <wp:extent cx="3931920" cy="2088832"/>
            <wp:docPr id="6" name="Picture 6"/>
            <wp:cNvGraphicFramePr>
              <a:graphicFrameLocks noChangeAspect="1"/>
            </wp:cNvGraphicFramePr>
            <a:graphic>
              <a:graphicData uri="http://schemas.openxmlformats.org/drawingml/2006/picture">
                <pic:pic>
                  <pic:nvPicPr>
                    <pic:cNvPr id="0" name="fig6_d20.png"/>
                    <pic:cNvPicPr/>
                  </pic:nvPicPr>
                  <pic:blipFill>
                    <a:blip r:embed="rId14"/>
                    <a:stretch>
                      <a:fillRect/>
                    </a:stretch>
                  </pic:blipFill>
                  <pic:spPr>
                    <a:xfrm>
                      <a:off x="0" y="0"/>
                      <a:ext cx="3931920" cy="2088832"/>
                    </a:xfrm>
                    <a:prstGeom prst="rect"/>
                  </pic:spPr>
                </pic:pic>
              </a:graphicData>
            </a:graphic>
          </wp:inline>
        </w:drawing>
      </w:r>
    </w:p>
    <w:p>
      <w:pPr>
        <w:jc w:val="center"/>
      </w:pPr>
      <w:r>
        <w:drawing>
          <wp:inline xmlns:a="http://schemas.openxmlformats.org/drawingml/2006/main" xmlns:pic="http://schemas.openxmlformats.org/drawingml/2006/picture">
            <wp:extent cx="3931920" cy="2088832"/>
            <wp:docPr id="7" name="Picture 7"/>
            <wp:cNvGraphicFramePr>
              <a:graphicFrameLocks noChangeAspect="1"/>
            </wp:cNvGraphicFramePr>
            <a:graphic>
              <a:graphicData uri="http://schemas.openxmlformats.org/drawingml/2006/picture">
                <pic:pic>
                  <pic:nvPicPr>
                    <pic:cNvPr id="0" name="fig7_d60.png"/>
                    <pic:cNvPicPr/>
                  </pic:nvPicPr>
                  <pic:blipFill>
                    <a:blip r:embed="rId15"/>
                    <a:stretch>
                      <a:fillRect/>
                    </a:stretch>
                  </pic:blipFill>
                  <pic:spPr>
                    <a:xfrm>
                      <a:off x="0" y="0"/>
                      <a:ext cx="3931920" cy="2088832"/>
                    </a:xfrm>
                    <a:prstGeom prst="rect"/>
                  </pic:spPr>
                </pic:pic>
              </a:graphicData>
            </a:graphic>
          </wp:inline>
        </w:drawing>
      </w:r>
    </w:p>
    <w:p>
      <w:pPr>
        <w:spacing w:after="180" w:before="0"/>
      </w:pPr>
      <w:r>
        <w:rPr>
          <w:b w:val="0"/>
          <w:i/>
          <w:color w:val="6E7B77"/>
          <w:sz w:val="17"/>
        </w:rPr>
        <w:t>Figures 6–7 — Price distribution at T+20 (tight, near-symmetric core) and T+60 (wider, mild right skew, fat left tail).</w:t>
      </w:r>
    </w:p>
    <w:p>
      <w:pPr>
        <w:spacing w:after="120" w:before="0"/>
      </w:pPr>
      <w:r>
        <w:rPr>
          <w:b w:val="0"/>
          <w:i w:val="0"/>
          <w:color w:val="1C3A36"/>
          <w:sz w:val="19"/>
        </w:rPr>
        <w:t>The touch-probability ladder reads the paths a different way — the chance price touches a level at any point in the window (not where it ends). Over three months there is roughly an even chance of tagging SAR 19.2 on the downside or SAR 21.2 on the upside, with the tails fatter than the terminal percentiles suggest.</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2592"/>
            <w:shd w:val="clear" w:color="auto" w:fill="1C3A36"/>
          </w:tcPr>
          <w:p>
            <w:r/>
            <w:r>
              <w:rPr>
                <w:b/>
                <w:color w:val="FFFFFF"/>
                <w:sz w:val="17"/>
              </w:rPr>
              <w:t>Level</w:t>
            </w:r>
          </w:p>
        </w:tc>
        <w:tc>
          <w:tcPr>
            <w:tcW w:type="dxa" w:w="2592"/>
            <w:shd w:val="clear" w:color="auto" w:fill="1C3A36"/>
          </w:tcPr>
          <w:p>
            <w:r/>
            <w:r>
              <w:rPr>
                <w:b/>
                <w:color w:val="FFFFFF"/>
                <w:sz w:val="17"/>
              </w:rPr>
              <w:t>Touch by T+20</w:t>
            </w:r>
          </w:p>
        </w:tc>
        <w:tc>
          <w:tcPr>
            <w:tcW w:type="dxa" w:w="2592"/>
            <w:shd w:val="clear" w:color="auto" w:fill="1C3A36"/>
          </w:tcPr>
          <w:p>
            <w:r/>
            <w:r>
              <w:rPr>
                <w:b/>
                <w:color w:val="FFFFFF"/>
                <w:sz w:val="17"/>
              </w:rPr>
              <w:t>Touch by T+60</w:t>
            </w:r>
          </w:p>
        </w:tc>
      </w:tr>
      <w:tr>
        <w:tc>
          <w:tcPr>
            <w:tcW w:type="dxa" w:w="2592"/>
          </w:tcPr>
          <w:p>
            <w:r/>
            <w:r>
              <w:rPr>
                <w:color w:val="1C3A36"/>
                <w:sz w:val="17"/>
              </w:rPr>
              <w:t>SAR 17.20</w:t>
            </w:r>
          </w:p>
        </w:tc>
        <w:tc>
          <w:tcPr>
            <w:tcW w:type="dxa" w:w="2592"/>
          </w:tcPr>
          <w:p>
            <w:r/>
            <w:r>
              <w:rPr>
                <w:color w:val="1C3A36"/>
                <w:sz w:val="17"/>
              </w:rPr>
              <w:t>2%</w:t>
            </w:r>
          </w:p>
        </w:tc>
        <w:tc>
          <w:tcPr>
            <w:tcW w:type="dxa" w:w="2592"/>
          </w:tcPr>
          <w:p>
            <w:r/>
            <w:r>
              <w:rPr>
                <w:color w:val="1C3A36"/>
                <w:sz w:val="17"/>
              </w:rPr>
              <w:t>11%</w:t>
            </w:r>
          </w:p>
        </w:tc>
      </w:tr>
      <w:tr>
        <w:tc>
          <w:tcPr>
            <w:tcW w:type="dxa" w:w="2592"/>
            <w:shd w:val="clear" w:color="auto" w:fill="EFF3F1"/>
          </w:tcPr>
          <w:p>
            <w:r/>
            <w:r>
              <w:rPr>
                <w:color w:val="1C3A36"/>
                <w:sz w:val="17"/>
              </w:rPr>
              <w:t>SAR 18.21</w:t>
            </w:r>
          </w:p>
        </w:tc>
        <w:tc>
          <w:tcPr>
            <w:tcW w:type="dxa" w:w="2592"/>
            <w:shd w:val="clear" w:color="auto" w:fill="EFF3F1"/>
          </w:tcPr>
          <w:p>
            <w:r/>
            <w:r>
              <w:rPr>
                <w:color w:val="1C3A36"/>
                <w:sz w:val="17"/>
              </w:rPr>
              <w:t>8%</w:t>
            </w:r>
          </w:p>
        </w:tc>
        <w:tc>
          <w:tcPr>
            <w:tcW w:type="dxa" w:w="2592"/>
            <w:shd w:val="clear" w:color="auto" w:fill="EFF3F1"/>
          </w:tcPr>
          <w:p>
            <w:r/>
            <w:r>
              <w:rPr>
                <w:color w:val="1C3A36"/>
                <w:sz w:val="17"/>
              </w:rPr>
              <w:t>25%</w:t>
            </w:r>
          </w:p>
        </w:tc>
      </w:tr>
      <w:tr>
        <w:tc>
          <w:tcPr>
            <w:tcW w:type="dxa" w:w="2592"/>
          </w:tcPr>
          <w:p>
            <w:r/>
            <w:r>
              <w:rPr>
                <w:color w:val="1C3A36"/>
                <w:sz w:val="17"/>
              </w:rPr>
              <w:t>SAR 19.22</w:t>
            </w:r>
          </w:p>
        </w:tc>
        <w:tc>
          <w:tcPr>
            <w:tcW w:type="dxa" w:w="2592"/>
          </w:tcPr>
          <w:p>
            <w:r/>
            <w:r>
              <w:rPr>
                <w:color w:val="1C3A36"/>
                <w:sz w:val="17"/>
              </w:rPr>
              <w:t>30%</w:t>
            </w:r>
          </w:p>
        </w:tc>
        <w:tc>
          <w:tcPr>
            <w:tcW w:type="dxa" w:w="2592"/>
          </w:tcPr>
          <w:p>
            <w:r/>
            <w:r>
              <w:rPr>
                <w:color w:val="1C3A36"/>
                <w:sz w:val="17"/>
              </w:rPr>
              <w:t>54%</w:t>
            </w:r>
          </w:p>
        </w:tc>
      </w:tr>
      <w:tr>
        <w:tc>
          <w:tcPr>
            <w:tcW w:type="dxa" w:w="2592"/>
            <w:shd w:val="clear" w:color="auto" w:fill="EFF3F1"/>
          </w:tcPr>
          <w:p>
            <w:r/>
            <w:r>
              <w:rPr>
                <w:color w:val="1C3A36"/>
                <w:sz w:val="17"/>
              </w:rPr>
              <w:t>SAR 20.23</w:t>
            </w:r>
          </w:p>
        </w:tc>
        <w:tc>
          <w:tcPr>
            <w:tcW w:type="dxa" w:w="2592"/>
            <w:shd w:val="clear" w:color="auto" w:fill="EFF3F1"/>
          </w:tcPr>
          <w:p>
            <w:r/>
            <w:r>
              <w:rPr>
                <w:color w:val="1C3A36"/>
                <w:sz w:val="17"/>
              </w:rPr>
              <w:t>100%</w:t>
            </w:r>
          </w:p>
        </w:tc>
        <w:tc>
          <w:tcPr>
            <w:tcW w:type="dxa" w:w="2592"/>
            <w:shd w:val="clear" w:color="auto" w:fill="EFF3F1"/>
          </w:tcPr>
          <w:p>
            <w:r/>
            <w:r>
              <w:rPr>
                <w:color w:val="1C3A36"/>
                <w:sz w:val="17"/>
              </w:rPr>
              <w:t>100%</w:t>
            </w:r>
          </w:p>
        </w:tc>
      </w:tr>
      <w:tr>
        <w:tc>
          <w:tcPr>
            <w:tcW w:type="dxa" w:w="2592"/>
          </w:tcPr>
          <w:p>
            <w:r/>
            <w:r>
              <w:rPr>
                <w:color w:val="1C3A36"/>
                <w:sz w:val="17"/>
              </w:rPr>
              <w:t>SAR 21.24</w:t>
            </w:r>
          </w:p>
        </w:tc>
        <w:tc>
          <w:tcPr>
            <w:tcW w:type="dxa" w:w="2592"/>
          </w:tcPr>
          <w:p>
            <w:r/>
            <w:r>
              <w:rPr>
                <w:color w:val="1C3A36"/>
                <w:sz w:val="17"/>
              </w:rPr>
              <w:t>32%</w:t>
            </w:r>
          </w:p>
        </w:tc>
        <w:tc>
          <w:tcPr>
            <w:tcW w:type="dxa" w:w="2592"/>
          </w:tcPr>
          <w:p>
            <w:r/>
            <w:r>
              <w:rPr>
                <w:color w:val="1C3A36"/>
                <w:sz w:val="17"/>
              </w:rPr>
              <w:t>55%</w:t>
            </w:r>
          </w:p>
        </w:tc>
      </w:tr>
      <w:tr>
        <w:tc>
          <w:tcPr>
            <w:tcW w:type="dxa" w:w="2592"/>
            <w:shd w:val="clear" w:color="auto" w:fill="EFF3F1"/>
          </w:tcPr>
          <w:p>
            <w:r/>
            <w:r>
              <w:rPr>
                <w:color w:val="1C3A36"/>
                <w:sz w:val="17"/>
              </w:rPr>
              <w:t>SAR 22.25</w:t>
            </w:r>
          </w:p>
        </w:tc>
        <w:tc>
          <w:tcPr>
            <w:tcW w:type="dxa" w:w="2592"/>
            <w:shd w:val="clear" w:color="auto" w:fill="EFF3F1"/>
          </w:tcPr>
          <w:p>
            <w:r/>
            <w:r>
              <w:rPr>
                <w:color w:val="1C3A36"/>
                <w:sz w:val="17"/>
              </w:rPr>
              <w:t>10%</w:t>
            </w:r>
          </w:p>
        </w:tc>
        <w:tc>
          <w:tcPr>
            <w:tcW w:type="dxa" w:w="2592"/>
            <w:shd w:val="clear" w:color="auto" w:fill="EFF3F1"/>
          </w:tcPr>
          <w:p>
            <w:r/>
            <w:r>
              <w:rPr>
                <w:color w:val="1C3A36"/>
                <w:sz w:val="17"/>
              </w:rPr>
              <w:t>29%</w:t>
            </w:r>
          </w:p>
        </w:tc>
      </w:tr>
      <w:tr>
        <w:tc>
          <w:tcPr>
            <w:tcW w:type="dxa" w:w="2592"/>
          </w:tcPr>
          <w:p>
            <w:r/>
            <w:r>
              <w:rPr>
                <w:color w:val="1C3A36"/>
                <w:sz w:val="17"/>
              </w:rPr>
              <w:t>SAR 23.26</w:t>
            </w:r>
          </w:p>
        </w:tc>
        <w:tc>
          <w:tcPr>
            <w:tcW w:type="dxa" w:w="2592"/>
          </w:tcPr>
          <w:p>
            <w:r/>
            <w:r>
              <w:rPr>
                <w:color w:val="1C3A36"/>
                <w:sz w:val="17"/>
              </w:rPr>
              <w:t>3%</w:t>
            </w:r>
          </w:p>
        </w:tc>
        <w:tc>
          <w:tcPr>
            <w:tcW w:type="dxa" w:w="2592"/>
          </w:tcPr>
          <w:p>
            <w:r/>
            <w:r>
              <w:rPr>
                <w:color w:val="1C3A36"/>
                <w:sz w:val="17"/>
              </w:rPr>
              <w:t>15%</w:t>
            </w:r>
          </w:p>
        </w:tc>
      </w:tr>
    </w:tbl>
    <w:p>
      <w:pPr>
        <w:jc w:val="center"/>
      </w:pPr>
      <w:r>
        <w:drawing>
          <wp:inline xmlns:a="http://schemas.openxmlformats.org/drawingml/2006/main" xmlns:pic="http://schemas.openxmlformats.org/drawingml/2006/picture">
            <wp:extent cx="5943600" cy="2086583"/>
            <wp:docPr id="8" name="Picture 8"/>
            <wp:cNvGraphicFramePr>
              <a:graphicFrameLocks noChangeAspect="1"/>
            </wp:cNvGraphicFramePr>
            <a:graphic>
              <a:graphicData uri="http://schemas.openxmlformats.org/drawingml/2006/picture">
                <pic:pic>
                  <pic:nvPicPr>
                    <pic:cNvPr id="0" name="fig8_touch.png"/>
                    <pic:cNvPicPr/>
                  </pic:nvPicPr>
                  <pic:blipFill>
                    <a:blip r:embed="rId16"/>
                    <a:stretch>
                      <a:fillRect/>
                    </a:stretch>
                  </pic:blipFill>
                  <pic:spPr>
                    <a:xfrm>
                      <a:off x="0" y="0"/>
                      <a:ext cx="5943600" cy="2086583"/>
                    </a:xfrm>
                    <a:prstGeom prst="rect"/>
                  </pic:spPr>
                </pic:pic>
              </a:graphicData>
            </a:graphic>
          </wp:inline>
        </w:drawing>
      </w:r>
    </w:p>
    <w:p>
      <w:pPr>
        <w:spacing w:after="180" w:before="0"/>
      </w:pPr>
      <w:r>
        <w:rPr>
          <w:b w:val="0"/>
          <w:i/>
          <w:color w:val="6E7B77"/>
          <w:sz w:val="17"/>
        </w:rPr>
        <w:t>Figure 8 — Level-touch probability ladder: near-symmetric around spot, fat in the tails.</w:t>
      </w:r>
    </w:p>
    <w:p>
      <w:pPr>
        <w:spacing w:after="100" w:before="260"/>
      </w:pPr>
      <w:r>
        <w:rPr>
          <w:b/>
          <w:i w:val="0"/>
          <w:color w:val="1C3A36"/>
          <w:sz w:val="30"/>
        </w:rPr>
        <w:t>4  Comparison of the lenses, and a verdict</w:t>
      </w:r>
    </w:p>
    <w:p>
      <w:pPr>
        <w:spacing w:after="120" w:before="0"/>
      </w:pPr>
      <w:r>
        <w:rPr>
          <w:b w:val="0"/>
          <w:i w:val="0"/>
          <w:color w:val="1C3A36"/>
          <w:sz w:val="19"/>
        </w:rPr>
        <w:t>Three lenses, three time horizons, one question. The fundamental read says undervalued-if-ROE-holds: SAR 26.6 central, ~+32% above spot, with the answer hinging on whether Riyad Bank's ~16% return on retained capital persists as rates fall — or whether the market's 1.22× book is right that it fades. The technical read says soft and oversold — a weak tape that is nonetheless stretched to the downside. The Monte Carlo says the next three months are a coin-flip around spot. Put together: a fundamentally cheap, oversold large-cap where the upside is real but conditional, and the near-term path is symmetric. Spot at SAR 20.23 sits below every fundamental lens and in the lower third of the technical range — the balance of evidence tilts modestly favourable, with the ROE-persistence question as the swing.</w:t>
      </w:r>
    </w:p>
    <w:p>
      <w:pPr>
        <w:spacing w:after="100" w:before="260"/>
      </w:pPr>
      <w:r>
        <w:rPr>
          <w:b/>
          <w:i w:val="0"/>
          <w:color w:val="1C3A36"/>
          <w:sz w:val="30"/>
        </w:rPr>
        <w:t>5  Catalysts to watch</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3312"/>
            <w:shd w:val="clear" w:color="auto" w:fill="1C3A36"/>
          </w:tcPr>
          <w:p>
            <w:r/>
            <w:r>
              <w:rPr>
                <w:b/>
                <w:color w:val="FFFFFF"/>
                <w:sz w:val="17"/>
              </w:rPr>
              <w:t>Catalyst</w:t>
            </w:r>
          </w:p>
        </w:tc>
        <w:tc>
          <w:tcPr>
            <w:tcW w:type="dxa" w:w="1296"/>
            <w:shd w:val="clear" w:color="auto" w:fill="1C3A36"/>
          </w:tcPr>
          <w:p>
            <w:r/>
            <w:r>
              <w:rPr>
                <w:b/>
                <w:color w:val="FFFFFF"/>
                <w:sz w:val="17"/>
              </w:rPr>
              <w:t>Weight</w:t>
            </w:r>
          </w:p>
        </w:tc>
        <w:tc>
          <w:tcPr>
            <w:tcW w:type="dxa" w:w="4752"/>
            <w:shd w:val="clear" w:color="auto" w:fill="1C3A36"/>
          </w:tcPr>
          <w:p>
            <w:r/>
            <w:r>
              <w:rPr>
                <w:b/>
                <w:color w:val="FFFFFF"/>
                <w:sz w:val="17"/>
              </w:rPr>
              <w:t>Why it matters</w:t>
            </w:r>
          </w:p>
        </w:tc>
      </w:tr>
      <w:tr>
        <w:tc>
          <w:tcPr>
            <w:tcW w:type="dxa" w:w="3312"/>
          </w:tcPr>
          <w:p>
            <w:r/>
            <w:r>
              <w:rPr>
                <w:color w:val="1C3A36"/>
                <w:sz w:val="17"/>
              </w:rPr>
              <w:t>SAMA/Fed rate decisions</w:t>
            </w:r>
          </w:p>
        </w:tc>
        <w:tc>
          <w:tcPr>
            <w:tcW w:type="dxa" w:w="1296"/>
          </w:tcPr>
          <w:p>
            <w:r/>
            <w:r>
              <w:rPr>
                <w:color w:val="1C3A36"/>
                <w:sz w:val="17"/>
              </w:rPr>
              <w:t>High</w:t>
            </w:r>
          </w:p>
        </w:tc>
        <w:tc>
          <w:tcPr>
            <w:tcW w:type="dxa" w:w="4752"/>
          </w:tcPr>
          <w:p>
            <w:r/>
            <w:r>
              <w:rPr>
                <w:color w:val="1C3A36"/>
                <w:sz w:val="17"/>
              </w:rPr>
              <w:t>Sets the NIM glide — the single biggest earnings driver</w:t>
            </w:r>
          </w:p>
        </w:tc>
      </w:tr>
      <w:tr>
        <w:tc>
          <w:tcPr>
            <w:tcW w:type="dxa" w:w="3312"/>
            <w:shd w:val="clear" w:color="auto" w:fill="EFF3F1"/>
          </w:tcPr>
          <w:p>
            <w:r/>
            <w:r>
              <w:rPr>
                <w:color w:val="1C3A36"/>
                <w:sz w:val="17"/>
              </w:rPr>
              <w:t>Quarterly earnings (next: 27 Jul 2026)</w:t>
            </w:r>
          </w:p>
        </w:tc>
        <w:tc>
          <w:tcPr>
            <w:tcW w:type="dxa" w:w="1296"/>
            <w:shd w:val="clear" w:color="auto" w:fill="EFF3F1"/>
          </w:tcPr>
          <w:p>
            <w:r/>
            <w:r>
              <w:rPr>
                <w:color w:val="1C3A36"/>
                <w:sz w:val="17"/>
              </w:rPr>
              <w:t>High</w:t>
            </w:r>
          </w:p>
        </w:tc>
        <w:tc>
          <w:tcPr>
            <w:tcW w:type="dxa" w:w="4752"/>
            <w:shd w:val="clear" w:color="auto" w:fill="EFF3F1"/>
          </w:tcPr>
          <w:p>
            <w:r/>
            <w:r>
              <w:rPr>
                <w:color w:val="1C3A36"/>
                <w:sz w:val="17"/>
              </w:rPr>
              <w:t>Beat/miss on NIM, cost-to-income, cost of risk</w:t>
            </w:r>
          </w:p>
        </w:tc>
      </w:tr>
      <w:tr>
        <w:tc>
          <w:tcPr>
            <w:tcW w:type="dxa" w:w="3312"/>
          </w:tcPr>
          <w:p>
            <w:r/>
            <w:r>
              <w:rPr>
                <w:color w:val="1C3A36"/>
                <w:sz w:val="17"/>
              </w:rPr>
              <w:t>Strategy 2030 execution</w:t>
            </w:r>
          </w:p>
        </w:tc>
        <w:tc>
          <w:tcPr>
            <w:tcW w:type="dxa" w:w="1296"/>
          </w:tcPr>
          <w:p>
            <w:r/>
            <w:r>
              <w:rPr>
                <w:color w:val="1C3A36"/>
                <w:sz w:val="17"/>
              </w:rPr>
              <w:t>Medium</w:t>
            </w:r>
          </w:p>
        </w:tc>
        <w:tc>
          <w:tcPr>
            <w:tcW w:type="dxa" w:w="4752"/>
          </w:tcPr>
          <w:p>
            <w:r/>
            <w:r>
              <w:rPr>
                <w:color w:val="1C3A36"/>
                <w:sz w:val="17"/>
              </w:rPr>
              <w:t>Retail expansion, AI cost efficiency, ROE &gt;16% defence</w:t>
            </w:r>
          </w:p>
        </w:tc>
      </w:tr>
      <w:tr>
        <w:tc>
          <w:tcPr>
            <w:tcW w:type="dxa" w:w="3312"/>
            <w:shd w:val="clear" w:color="auto" w:fill="EFF3F1"/>
          </w:tcPr>
          <w:p>
            <w:r/>
            <w:r>
              <w:rPr>
                <w:color w:val="1C3A36"/>
                <w:sz w:val="17"/>
              </w:rPr>
              <w:t>Dividend / payout progression</w:t>
            </w:r>
          </w:p>
        </w:tc>
        <w:tc>
          <w:tcPr>
            <w:tcW w:type="dxa" w:w="1296"/>
            <w:shd w:val="clear" w:color="auto" w:fill="EFF3F1"/>
          </w:tcPr>
          <w:p>
            <w:r/>
            <w:r>
              <w:rPr>
                <w:color w:val="1C3A36"/>
                <w:sz w:val="17"/>
              </w:rPr>
              <w:t>Medium</w:t>
            </w:r>
          </w:p>
        </w:tc>
        <w:tc>
          <w:tcPr>
            <w:tcW w:type="dxa" w:w="4752"/>
            <w:shd w:val="clear" w:color="auto" w:fill="EFF3F1"/>
          </w:tcPr>
          <w:p>
            <w:r/>
            <w:r>
              <w:rPr>
                <w:color w:val="1C3A36"/>
                <w:sz w:val="17"/>
              </w:rPr>
              <w:t>Post-bonus capital return; DDM &amp; FCFE both key off this</w:t>
            </w:r>
          </w:p>
        </w:tc>
      </w:tr>
      <w:tr>
        <w:tc>
          <w:tcPr>
            <w:tcW w:type="dxa" w:w="3312"/>
          </w:tcPr>
          <w:p>
            <w:r/>
            <w:r>
              <w:rPr>
                <w:color w:val="1C3A36"/>
                <w:sz w:val="17"/>
              </w:rPr>
              <w:t>Loan growth vs guidance</w:t>
            </w:r>
          </w:p>
        </w:tc>
        <w:tc>
          <w:tcPr>
            <w:tcW w:type="dxa" w:w="1296"/>
          </w:tcPr>
          <w:p>
            <w:r/>
            <w:r>
              <w:rPr>
                <w:color w:val="1C3A36"/>
                <w:sz w:val="17"/>
              </w:rPr>
              <w:t>Medium</w:t>
            </w:r>
          </w:p>
        </w:tc>
        <w:tc>
          <w:tcPr>
            <w:tcW w:type="dxa" w:w="4752"/>
          </w:tcPr>
          <w:p>
            <w:r/>
            <w:r>
              <w:rPr>
                <w:color w:val="1C3A36"/>
                <w:sz w:val="17"/>
              </w:rPr>
              <w:t>High single-digit 2026 guidance, stronger H2 expected</w:t>
            </w:r>
          </w:p>
        </w:tc>
      </w:tr>
      <w:tr>
        <w:tc>
          <w:tcPr>
            <w:tcW w:type="dxa" w:w="3312"/>
            <w:shd w:val="clear" w:color="auto" w:fill="EFF3F1"/>
          </w:tcPr>
          <w:p>
            <w:r/>
            <w:r>
              <w:rPr>
                <w:color w:val="1C3A36"/>
                <w:sz w:val="17"/>
              </w:rPr>
              <w:t>Sovereign rating / oil</w:t>
            </w:r>
          </w:p>
        </w:tc>
        <w:tc>
          <w:tcPr>
            <w:tcW w:type="dxa" w:w="1296"/>
            <w:shd w:val="clear" w:color="auto" w:fill="EFF3F1"/>
          </w:tcPr>
          <w:p>
            <w:r/>
            <w:r>
              <w:rPr>
                <w:color w:val="1C3A36"/>
                <w:sz w:val="17"/>
              </w:rPr>
              <w:t>Low-Med</w:t>
            </w:r>
          </w:p>
        </w:tc>
        <w:tc>
          <w:tcPr>
            <w:tcW w:type="dxa" w:w="4752"/>
            <w:shd w:val="clear" w:color="auto" w:fill="EFF3F1"/>
          </w:tcPr>
          <w:p>
            <w:r/>
            <w:r>
              <w:rPr>
                <w:color w:val="1C3A36"/>
                <w:sz w:val="17"/>
              </w:rPr>
              <w:t>Anchors the risk-free rate and deposit liquidity</w:t>
            </w:r>
          </w:p>
        </w:tc>
      </w:tr>
      <w:tr>
        <w:tc>
          <w:tcPr>
            <w:tcW w:type="dxa" w:w="3312"/>
          </w:tcPr>
          <w:p>
            <w:r/>
            <w:r>
              <w:rPr>
                <w:color w:val="1C3A36"/>
                <w:sz w:val="17"/>
              </w:rPr>
              <w:t>TASI foreign-flow / index moves</w:t>
            </w:r>
          </w:p>
        </w:tc>
        <w:tc>
          <w:tcPr>
            <w:tcW w:type="dxa" w:w="1296"/>
          </w:tcPr>
          <w:p>
            <w:r/>
            <w:r>
              <w:rPr>
                <w:color w:val="1C3A36"/>
                <w:sz w:val="17"/>
              </w:rPr>
              <w:t>Low</w:t>
            </w:r>
          </w:p>
        </w:tc>
        <w:tc>
          <w:tcPr>
            <w:tcW w:type="dxa" w:w="4752"/>
          </w:tcPr>
          <w:p>
            <w:r/>
            <w:r>
              <w:rPr>
                <w:color w:val="1C3A36"/>
                <w:sz w:val="17"/>
              </w:rPr>
              <w:t>Passive/QFI demand on a large-cap</w:t>
            </w:r>
          </w:p>
        </w:tc>
      </w:tr>
      <w:tr>
        <w:tc>
          <w:tcPr>
            <w:tcW w:type="dxa" w:w="3312"/>
            <w:shd w:val="clear" w:color="auto" w:fill="EFF3F1"/>
          </w:tcPr>
          <w:p>
            <w:r/>
            <w:r>
              <w:rPr>
                <w:color w:val="1C3A36"/>
                <w:sz w:val="17"/>
              </w:rPr>
              <w:t>Regulatory fee/levy changes</w:t>
            </w:r>
          </w:p>
        </w:tc>
        <w:tc>
          <w:tcPr>
            <w:tcW w:type="dxa" w:w="1296"/>
            <w:shd w:val="clear" w:color="auto" w:fill="EFF3F1"/>
          </w:tcPr>
          <w:p>
            <w:r/>
            <w:r>
              <w:rPr>
                <w:color w:val="1C3A36"/>
                <w:sz w:val="17"/>
              </w:rPr>
              <w:t>Low-Med</w:t>
            </w:r>
          </w:p>
        </w:tc>
        <w:tc>
          <w:tcPr>
            <w:tcW w:type="dxa" w:w="4752"/>
            <w:shd w:val="clear" w:color="auto" w:fill="EFF3F1"/>
          </w:tcPr>
          <w:p>
            <w:r/>
            <w:r>
              <w:rPr>
                <w:color w:val="1C3A36"/>
                <w:sz w:val="17"/>
              </w:rPr>
              <w:t>Flagged by management as a 2026 watch item</w:t>
            </w:r>
          </w:p>
        </w:tc>
      </w:tr>
    </w:tbl>
    <w:p>
      <w:pPr>
        <w:spacing w:after="100" w:before="260"/>
      </w:pPr>
      <w:r>
        <w:rPr>
          <w:b/>
          <w:i w:val="0"/>
          <w:color w:val="1C3A36"/>
          <w:sz w:val="30"/>
        </w:rPr>
        <w:t>6  Reading the probability zones</w:t>
      </w:r>
    </w:p>
    <w:p>
      <w:pPr>
        <w:spacing w:after="120" w:before="0"/>
      </w:pPr>
      <w:r>
        <w:rPr>
          <w:b w:val="0"/>
          <w:i w:val="0"/>
          <w:color w:val="1C3A36"/>
          <w:sz w:val="19"/>
        </w:rPr>
        <w:t>Translating the T+60 distribution into plain zones. These are price probabilities over three months, independent of the fundamental fair value.</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2880"/>
            <w:shd w:val="clear" w:color="auto" w:fill="1C3A36"/>
          </w:tcPr>
          <w:p>
            <w:r/>
            <w:r>
              <w:rPr>
                <w:b/>
                <w:color w:val="FFFFFF"/>
                <w:sz w:val="17"/>
              </w:rPr>
              <w:t>Zone</w:t>
            </w:r>
          </w:p>
        </w:tc>
        <w:tc>
          <w:tcPr>
            <w:tcW w:type="dxa" w:w="2304"/>
            <w:shd w:val="clear" w:color="auto" w:fill="1C3A36"/>
          </w:tcPr>
          <w:p>
            <w:r/>
            <w:r>
              <w:rPr>
                <w:b/>
                <w:color w:val="FFFFFF"/>
                <w:sz w:val="17"/>
              </w:rPr>
              <w:t>~Probability (T+60)</w:t>
            </w:r>
          </w:p>
        </w:tc>
        <w:tc>
          <w:tcPr>
            <w:tcW w:type="dxa" w:w="3744"/>
            <w:shd w:val="clear" w:color="auto" w:fill="1C3A36"/>
          </w:tcPr>
          <w:p>
            <w:r/>
            <w:r>
              <w:rPr>
                <w:b/>
                <w:color w:val="FFFFFF"/>
                <w:sz w:val="17"/>
              </w:rPr>
              <w:t>Interpretation</w:t>
            </w:r>
          </w:p>
        </w:tc>
      </w:tr>
      <w:tr>
        <w:tc>
          <w:tcPr>
            <w:tcW w:type="dxa" w:w="2880"/>
          </w:tcPr>
          <w:p>
            <w:r/>
            <w:r>
              <w:rPr>
                <w:color w:val="1C3A36"/>
                <w:sz w:val="17"/>
              </w:rPr>
              <w:t>&lt; SAR 16.9</w:t>
            </w:r>
          </w:p>
        </w:tc>
        <w:tc>
          <w:tcPr>
            <w:tcW w:type="dxa" w:w="2304"/>
          </w:tcPr>
          <w:p>
            <w:r/>
            <w:r>
              <w:rPr>
                <w:color w:val="1C3A36"/>
                <w:sz w:val="17"/>
              </w:rPr>
              <w:t>~5%</w:t>
            </w:r>
          </w:p>
        </w:tc>
        <w:tc>
          <w:tcPr>
            <w:tcW w:type="dxa" w:w="3744"/>
          </w:tcPr>
          <w:p>
            <w:r/>
            <w:r>
              <w:rPr>
                <w:color w:val="1C3A36"/>
                <w:sz w:val="17"/>
              </w:rPr>
              <w:t>Downside tail — a sharp de-rate</w:t>
            </w:r>
          </w:p>
        </w:tc>
      </w:tr>
      <w:tr>
        <w:tc>
          <w:tcPr>
            <w:tcW w:type="dxa" w:w="2880"/>
            <w:shd w:val="clear" w:color="auto" w:fill="EFF3F1"/>
          </w:tcPr>
          <w:p>
            <w:r/>
            <w:r>
              <w:rPr>
                <w:color w:val="1C3A36"/>
                <w:sz w:val="17"/>
              </w:rPr>
              <w:t>SAR 16.9 – 19.0</w:t>
            </w:r>
          </w:p>
        </w:tc>
        <w:tc>
          <w:tcPr>
            <w:tcW w:type="dxa" w:w="2304"/>
            <w:shd w:val="clear" w:color="auto" w:fill="EFF3F1"/>
          </w:tcPr>
          <w:p>
            <w:r/>
            <w:r>
              <w:rPr>
                <w:color w:val="1C3A36"/>
                <w:sz w:val="17"/>
              </w:rPr>
              <w:t>~20%</w:t>
            </w:r>
          </w:p>
        </w:tc>
        <w:tc>
          <w:tcPr>
            <w:tcW w:type="dxa" w:w="3744"/>
            <w:shd w:val="clear" w:color="auto" w:fill="EFF3F1"/>
          </w:tcPr>
          <w:p>
            <w:r/>
            <w:r>
              <w:rPr>
                <w:color w:val="1C3A36"/>
                <w:sz w:val="17"/>
              </w:rPr>
              <w:t>Below-median drift</w:t>
            </w:r>
          </w:p>
        </w:tc>
      </w:tr>
      <w:tr>
        <w:tc>
          <w:tcPr>
            <w:tcW w:type="dxa" w:w="2880"/>
          </w:tcPr>
          <w:p>
            <w:r/>
            <w:r>
              <w:rPr>
                <w:color w:val="1C3A36"/>
                <w:sz w:val="17"/>
              </w:rPr>
              <w:t>SAR 19.0 – 21.6</w:t>
            </w:r>
          </w:p>
        </w:tc>
        <w:tc>
          <w:tcPr>
            <w:tcW w:type="dxa" w:w="2304"/>
          </w:tcPr>
          <w:p>
            <w:r/>
            <w:r>
              <w:rPr>
                <w:color w:val="1C3A36"/>
                <w:sz w:val="17"/>
              </w:rPr>
              <w:t>~50%</w:t>
            </w:r>
          </w:p>
        </w:tc>
        <w:tc>
          <w:tcPr>
            <w:tcW w:type="dxa" w:w="3744"/>
          </w:tcPr>
          <w:p>
            <w:r/>
            <w:r>
              <w:rPr>
                <w:color w:val="1C3A36"/>
                <w:sz w:val="17"/>
              </w:rPr>
              <w:t>Core band around spot</w:t>
            </w:r>
          </w:p>
        </w:tc>
      </w:tr>
      <w:tr>
        <w:tc>
          <w:tcPr>
            <w:tcW w:type="dxa" w:w="2880"/>
            <w:shd w:val="clear" w:color="auto" w:fill="EFF3F1"/>
          </w:tcPr>
          <w:p>
            <w:r/>
            <w:r>
              <w:rPr>
                <w:color w:val="1C3A36"/>
                <w:sz w:val="17"/>
              </w:rPr>
              <w:t>SAR 21.6 – 24.2</w:t>
            </w:r>
          </w:p>
        </w:tc>
        <w:tc>
          <w:tcPr>
            <w:tcW w:type="dxa" w:w="2304"/>
            <w:shd w:val="clear" w:color="auto" w:fill="EFF3F1"/>
          </w:tcPr>
          <w:p>
            <w:r/>
            <w:r>
              <w:rPr>
                <w:color w:val="1C3A36"/>
                <w:sz w:val="17"/>
              </w:rPr>
              <w:t>~20%</w:t>
            </w:r>
          </w:p>
        </w:tc>
        <w:tc>
          <w:tcPr>
            <w:tcW w:type="dxa" w:w="3744"/>
            <w:shd w:val="clear" w:color="auto" w:fill="EFF3F1"/>
          </w:tcPr>
          <w:p>
            <w:r/>
            <w:r>
              <w:rPr>
                <w:color w:val="1C3A36"/>
                <w:sz w:val="17"/>
              </w:rPr>
              <w:t>Above-median drift</w:t>
            </w:r>
          </w:p>
        </w:tc>
      </w:tr>
      <w:tr>
        <w:tc>
          <w:tcPr>
            <w:tcW w:type="dxa" w:w="2880"/>
          </w:tcPr>
          <w:p>
            <w:r/>
            <w:r>
              <w:rPr>
                <w:color w:val="1C3A36"/>
                <w:sz w:val="17"/>
              </w:rPr>
              <w:t>&gt; SAR 24.2</w:t>
            </w:r>
          </w:p>
        </w:tc>
        <w:tc>
          <w:tcPr>
            <w:tcW w:type="dxa" w:w="2304"/>
          </w:tcPr>
          <w:p>
            <w:r/>
            <w:r>
              <w:rPr>
                <w:color w:val="1C3A36"/>
                <w:sz w:val="17"/>
              </w:rPr>
              <w:t>~5%</w:t>
            </w:r>
          </w:p>
        </w:tc>
        <w:tc>
          <w:tcPr>
            <w:tcW w:type="dxa" w:w="3744"/>
          </w:tcPr>
          <w:p>
            <w:r/>
            <w:r>
              <w:rPr>
                <w:color w:val="1C3A36"/>
                <w:sz w:val="17"/>
              </w:rPr>
              <w:t>Upside tail — a re-rate toward fair value</w:t>
            </w:r>
          </w:p>
        </w:tc>
      </w:tr>
    </w:tbl>
    <w:p>
      <w:pPr>
        <w:spacing w:after="120" w:before="0"/>
      </w:pPr>
      <w:r>
        <w:rPr>
          <w:b w:val="0"/>
          <w:i/>
          <w:color w:val="6E7B77"/>
          <w:sz w:val="17"/>
        </w:rPr>
        <w:t>Probabilities are approximate, read from the 50,000-path distribution; they sum to ~100% subject to rounding.</w:t>
      </w:r>
    </w:p>
    <w:p>
      <w:pPr>
        <w:spacing w:after="100" w:before="260"/>
      </w:pPr>
      <w:r>
        <w:rPr>
          <w:b/>
          <w:i w:val="0"/>
          <w:color w:val="1C3A36"/>
          <w:sz w:val="30"/>
        </w:rPr>
        <w:t>7  Caveats and what would change our mind</w:t>
      </w:r>
    </w:p>
    <w:p>
      <w:pPr>
        <w:pStyle w:val="ListBullet"/>
      </w:pPr>
      <w:r>
        <w:rPr>
          <w:color w:val="1C3A36"/>
          <w:sz w:val="20"/>
        </w:rPr>
        <w:t xml:space="preserve">What would move us more bearish: </w:t>
      </w:r>
    </w:p>
    <w:p>
      <w:pPr>
        <w:spacing w:after="120" w:before="0"/>
      </w:pPr>
      <w:r>
        <w:rPr>
          <w:b w:val="0"/>
          <w:i w:val="0"/>
          <w:color w:val="1C3A36"/>
          <w:sz w:val="19"/>
        </w:rPr>
        <w:t>a faster, deeper SAMA cutting cycle that compresses NIM below ~2.6% and breaks the earnings glide; evidence that the ~16% ROE is fading toward Ke (the market's current read); a cost-to-income ratio drifting back above 30%; or a credit-quality turn as the benign cost-of-risk cycle ends.</w:t>
      </w:r>
    </w:p>
    <w:p>
      <w:pPr>
        <w:pStyle w:val="ListBullet"/>
      </w:pPr>
      <w:r>
        <w:rPr>
          <w:color w:val="1C3A36"/>
          <w:sz w:val="20"/>
        </w:rPr>
        <w:t xml:space="preserve">What would move us more bullish: </w:t>
      </w:r>
    </w:p>
    <w:p>
      <w:pPr>
        <w:spacing w:after="120" w:before="0"/>
      </w:pPr>
      <w:r>
        <w:rPr>
          <w:b w:val="0"/>
          <w:i w:val="0"/>
          <w:color w:val="1C3A36"/>
          <w:sz w:val="19"/>
        </w:rPr>
        <w:t>durable NIM resilience (a higher-for-longer rate path or faster low-cost deposit growth) holding the margin near 2.9%; confirmation of a rising payout without eroding the capital build; and sustained mid-teens ROE that validates crediting the retention lenses.</w:t>
      </w:r>
    </w:p>
    <w:p>
      <w:pPr>
        <w:pStyle w:val="ListBullet"/>
      </w:pPr>
      <w:r>
        <w:rPr>
          <w:color w:val="1C3A36"/>
          <w:sz w:val="20"/>
        </w:rPr>
        <w:t xml:space="preserve">Model caveats: </w:t>
      </w:r>
    </w:p>
    <w:p>
      <w:pPr>
        <w:spacing w:after="120" w:before="0"/>
      </w:pPr>
      <w:r>
        <w:rPr>
          <w:b w:val="0"/>
          <w:i w:val="0"/>
          <w:color w:val="1C3A36"/>
          <w:sz w:val="19"/>
        </w:rPr>
        <w:t>this is an educational model, not a forecast. The DDM and FCFE are terminal-heavy (TV ~78% of value), so they are sensitive to the Ke–g spread we have made explicit and sensitised. The risk-free rate (5.3%) is anchored to a same-week Saudi study and cross-checks, not a live NDMC 10Y auction print; beta is an assumed 1.00, not a genuine TASI regression; and several balance-sheet sub-lines are estimated to disclosed totals. Refreshing the rf, running a real beta regression, and pulling the FY2023–24 statements in full are the highest-value follow-ups.</w:t>
      </w:r>
    </w:p>
    <w:p>
      <w:r>
        <w:br w:type="page"/>
      </w:r>
    </w:p>
    <w:p>
      <w:pPr>
        <w:spacing w:after="100" w:before="260"/>
      </w:pPr>
      <w:r>
        <w:rPr>
          <w:b/>
          <w:i w:val="0"/>
          <w:color w:val="1C3A36"/>
          <w:sz w:val="30"/>
        </w:rPr>
        <w:t>Appendix A  Financial statements</w:t>
      </w:r>
    </w:p>
    <w:p>
      <w:pPr>
        <w:spacing w:after="60" w:before="180"/>
      </w:pPr>
      <w:r>
        <w:rPr>
          <w:b/>
          <w:i w:val="0"/>
          <w:color w:val="1C3A36"/>
          <w:sz w:val="23"/>
        </w:rPr>
        <w:t>A.1  Income statement — 3-year historical + 5-year forecast (consolidated, SAR mn)</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30"/>
        <w:gridCol w:w="1130"/>
        <w:gridCol w:w="1130"/>
        <w:gridCol w:w="1130"/>
        <w:gridCol w:w="1130"/>
        <w:gridCol w:w="1130"/>
        <w:gridCol w:w="1130"/>
        <w:gridCol w:w="1130"/>
        <w:gridCol w:w="1130"/>
      </w:tblGrid>
      <w:tr>
        <w:tc>
          <w:tcPr>
            <w:tcW w:type="dxa" w:w="2448"/>
            <w:shd w:val="clear" w:color="auto" w:fill="1C3A36"/>
          </w:tcPr>
          <w:p>
            <w:r/>
            <w:r>
              <w:rPr>
                <w:b/>
                <w:color w:val="FFFFFF"/>
                <w:sz w:val="17"/>
              </w:rPr>
              <w:t>Line</w:t>
            </w:r>
          </w:p>
        </w:tc>
        <w:tc>
          <w:tcPr>
            <w:tcW w:type="dxa" w:w="1224"/>
            <w:shd w:val="clear" w:color="auto" w:fill="1C3A36"/>
          </w:tcPr>
          <w:p>
            <w:r/>
            <w:r>
              <w:rPr>
                <w:b/>
                <w:color w:val="FFFFFF"/>
                <w:sz w:val="17"/>
              </w:rPr>
              <w:t>FY23</w:t>
            </w:r>
          </w:p>
        </w:tc>
        <w:tc>
          <w:tcPr>
            <w:tcW w:type="dxa" w:w="1224"/>
            <w:shd w:val="clear" w:color="auto" w:fill="1C3A36"/>
          </w:tcPr>
          <w:p>
            <w:r/>
            <w:r>
              <w:rPr>
                <w:b/>
                <w:color w:val="FFFFFF"/>
                <w:sz w:val="17"/>
              </w:rPr>
              <w:t>FY24</w:t>
            </w:r>
          </w:p>
        </w:tc>
        <w:tc>
          <w:tcPr>
            <w:tcW w:type="dxa" w:w="1224"/>
            <w:shd w:val="clear" w:color="auto" w:fill="1C3A36"/>
          </w:tcPr>
          <w:p>
            <w:r/>
            <w:r>
              <w:rPr>
                <w:b/>
                <w:color w:val="FFFFFF"/>
                <w:sz w:val="17"/>
              </w:rPr>
              <w:t>FY25</w:t>
            </w:r>
          </w:p>
        </w:tc>
        <w:tc>
          <w:tcPr>
            <w:tcW w:type="dxa" w:w="1224"/>
            <w:shd w:val="clear" w:color="auto" w:fill="1C3A36"/>
          </w:tcPr>
          <w:p>
            <w:r/>
            <w:r>
              <w:rPr>
                <w:b/>
                <w:color w:val="FFFFFF"/>
                <w:sz w:val="17"/>
              </w:rPr>
              <w:t>FY26E</w:t>
            </w:r>
          </w:p>
        </w:tc>
        <w:tc>
          <w:tcPr>
            <w:tcW w:type="dxa" w:w="1224"/>
            <w:shd w:val="clear" w:color="auto" w:fill="1C3A36"/>
          </w:tcPr>
          <w:p>
            <w:r/>
            <w:r>
              <w:rPr>
                <w:b/>
                <w:color w:val="FFFFFF"/>
                <w:sz w:val="17"/>
              </w:rPr>
              <w:t>FY27E</w:t>
            </w:r>
          </w:p>
        </w:tc>
        <w:tc>
          <w:tcPr>
            <w:tcW w:type="dxa" w:w="1224"/>
            <w:shd w:val="clear" w:color="auto" w:fill="1C3A36"/>
          </w:tcPr>
          <w:p>
            <w:r/>
            <w:r>
              <w:rPr>
                <w:b/>
                <w:color w:val="FFFFFF"/>
                <w:sz w:val="17"/>
              </w:rPr>
              <w:t>FY28E</w:t>
            </w:r>
          </w:p>
        </w:tc>
        <w:tc>
          <w:tcPr>
            <w:tcW w:type="dxa" w:w="1224"/>
            <w:shd w:val="clear" w:color="auto" w:fill="1C3A36"/>
          </w:tcPr>
          <w:p>
            <w:r/>
            <w:r>
              <w:rPr>
                <w:b/>
                <w:color w:val="FFFFFF"/>
                <w:sz w:val="17"/>
              </w:rPr>
              <w:t>FY29E</w:t>
            </w:r>
          </w:p>
        </w:tc>
        <w:tc>
          <w:tcPr>
            <w:tcW w:type="dxa" w:w="1130"/>
            <w:shd w:val="clear" w:color="auto" w:fill="1C3A36"/>
          </w:tcPr>
          <w:p>
            <w:r/>
            <w:r>
              <w:rPr>
                <w:b/>
                <w:color w:val="FFFFFF"/>
                <w:sz w:val="17"/>
              </w:rPr>
              <w:t>FY30E</w:t>
            </w:r>
          </w:p>
        </w:tc>
      </w:tr>
      <w:tr>
        <w:tc>
          <w:tcPr>
            <w:tcW w:type="dxa" w:w="2448"/>
          </w:tcPr>
          <w:p>
            <w:r/>
            <w:r>
              <w:rPr>
                <w:color w:val="1C3A36"/>
                <w:sz w:val="17"/>
              </w:rPr>
              <w:t>Net special commission income</w:t>
            </w:r>
          </w:p>
        </w:tc>
        <w:tc>
          <w:tcPr>
            <w:tcW w:type="dxa" w:w="1224"/>
          </w:tcPr>
          <w:p>
            <w:r/>
            <w:r>
              <w:rPr>
                <w:color w:val="1C3A36"/>
                <w:sz w:val="17"/>
              </w:rPr>
              <w:t>~8,300</w:t>
            </w:r>
          </w:p>
        </w:tc>
        <w:tc>
          <w:tcPr>
            <w:tcW w:type="dxa" w:w="1224"/>
          </w:tcPr>
          <w:p>
            <w:r/>
            <w:r>
              <w:rPr>
                <w:color w:val="1C3A36"/>
                <w:sz w:val="17"/>
              </w:rPr>
              <w:t>~8,900</w:t>
            </w:r>
          </w:p>
        </w:tc>
        <w:tc>
          <w:tcPr>
            <w:tcW w:type="dxa" w:w="1224"/>
          </w:tcPr>
          <w:p>
            <w:r/>
            <w:r>
              <w:rPr>
                <w:color w:val="1C3A36"/>
                <w:sz w:val="17"/>
              </w:rPr>
              <w:t>~9,700</w:t>
            </w:r>
          </w:p>
        </w:tc>
        <w:tc>
          <w:tcPr>
            <w:tcW w:type="dxa" w:w="1224"/>
          </w:tcPr>
          <w:p>
            <w:r/>
            <w:r>
              <w:rPr>
                <w:color w:val="1C3A36"/>
                <w:sz w:val="17"/>
              </w:rPr>
              <w:t>~10,400</w:t>
            </w:r>
          </w:p>
        </w:tc>
        <w:tc>
          <w:tcPr>
            <w:tcW w:type="dxa" w:w="1224"/>
          </w:tcPr>
          <w:p>
            <w:r/>
            <w:r>
              <w:rPr>
                <w:color w:val="1C3A36"/>
                <w:sz w:val="17"/>
              </w:rPr>
              <w:t>~11,000</w:t>
            </w:r>
          </w:p>
        </w:tc>
        <w:tc>
          <w:tcPr>
            <w:tcW w:type="dxa" w:w="1224"/>
          </w:tcPr>
          <w:p>
            <w:r/>
            <w:r>
              <w:rPr>
                <w:color w:val="1C3A36"/>
                <w:sz w:val="17"/>
              </w:rPr>
              <w:t>~11,600</w:t>
            </w:r>
          </w:p>
        </w:tc>
        <w:tc>
          <w:tcPr>
            <w:tcW w:type="dxa" w:w="1224"/>
          </w:tcPr>
          <w:p>
            <w:r/>
            <w:r>
              <w:rPr>
                <w:color w:val="1C3A36"/>
                <w:sz w:val="17"/>
              </w:rPr>
              <w:t>~12,200</w:t>
            </w:r>
          </w:p>
        </w:tc>
        <w:tc>
          <w:tcPr>
            <w:tcW w:type="dxa" w:w="1130"/>
          </w:tcPr>
          <w:p>
            <w:r/>
            <w:r>
              <w:rPr>
                <w:color w:val="1C3A36"/>
                <w:sz w:val="17"/>
              </w:rPr>
              <w:t>~12,800</w:t>
            </w:r>
          </w:p>
        </w:tc>
      </w:tr>
      <w:tr>
        <w:tc>
          <w:tcPr>
            <w:tcW w:type="dxa" w:w="2448"/>
            <w:shd w:val="clear" w:color="auto" w:fill="EFF3F1"/>
          </w:tcPr>
          <w:p>
            <w:r/>
            <w:r>
              <w:rPr>
                <w:color w:val="1C3A36"/>
                <w:sz w:val="17"/>
              </w:rPr>
              <w:t>Fee &amp; commission income, net</w:t>
            </w:r>
          </w:p>
        </w:tc>
        <w:tc>
          <w:tcPr>
            <w:tcW w:type="dxa" w:w="1224"/>
            <w:shd w:val="clear" w:color="auto" w:fill="EFF3F1"/>
          </w:tcPr>
          <w:p>
            <w:r/>
            <w:r>
              <w:rPr>
                <w:color w:val="1C3A36"/>
                <w:sz w:val="17"/>
              </w:rPr>
              <w:t>~2,400</w:t>
            </w:r>
          </w:p>
        </w:tc>
        <w:tc>
          <w:tcPr>
            <w:tcW w:type="dxa" w:w="1224"/>
            <w:shd w:val="clear" w:color="auto" w:fill="EFF3F1"/>
          </w:tcPr>
          <w:p>
            <w:r/>
            <w:r>
              <w:rPr>
                <w:color w:val="1C3A36"/>
                <w:sz w:val="17"/>
              </w:rPr>
              <w:t>~2,700</w:t>
            </w:r>
          </w:p>
        </w:tc>
        <w:tc>
          <w:tcPr>
            <w:tcW w:type="dxa" w:w="1224"/>
            <w:shd w:val="clear" w:color="auto" w:fill="EFF3F1"/>
          </w:tcPr>
          <w:p>
            <w:r/>
            <w:r>
              <w:rPr>
                <w:color w:val="1C3A36"/>
                <w:sz w:val="17"/>
              </w:rPr>
              <w:t>~3,200</w:t>
            </w:r>
          </w:p>
        </w:tc>
        <w:tc>
          <w:tcPr>
            <w:tcW w:type="dxa" w:w="1224"/>
            <w:shd w:val="clear" w:color="auto" w:fill="EFF3F1"/>
          </w:tcPr>
          <w:p>
            <w:r/>
            <w:r>
              <w:rPr>
                <w:color w:val="1C3A36"/>
                <w:sz w:val="17"/>
              </w:rPr>
              <w:t>~3,650</w:t>
            </w:r>
          </w:p>
        </w:tc>
        <w:tc>
          <w:tcPr>
            <w:tcW w:type="dxa" w:w="1224"/>
            <w:shd w:val="clear" w:color="auto" w:fill="EFF3F1"/>
          </w:tcPr>
          <w:p>
            <w:r/>
            <w:r>
              <w:rPr>
                <w:color w:val="1C3A36"/>
                <w:sz w:val="17"/>
              </w:rPr>
              <w:t>~4,050</w:t>
            </w:r>
          </w:p>
        </w:tc>
        <w:tc>
          <w:tcPr>
            <w:tcW w:type="dxa" w:w="1224"/>
            <w:shd w:val="clear" w:color="auto" w:fill="EFF3F1"/>
          </w:tcPr>
          <w:p>
            <w:r/>
            <w:r>
              <w:rPr>
                <w:color w:val="1C3A36"/>
                <w:sz w:val="17"/>
              </w:rPr>
              <w:t>~4,400</w:t>
            </w:r>
          </w:p>
        </w:tc>
        <w:tc>
          <w:tcPr>
            <w:tcW w:type="dxa" w:w="1224"/>
            <w:shd w:val="clear" w:color="auto" w:fill="EFF3F1"/>
          </w:tcPr>
          <w:p>
            <w:r/>
            <w:r>
              <w:rPr>
                <w:color w:val="1C3A36"/>
                <w:sz w:val="17"/>
              </w:rPr>
              <w:t>~4,750</w:t>
            </w:r>
          </w:p>
        </w:tc>
        <w:tc>
          <w:tcPr>
            <w:tcW w:type="dxa" w:w="1130"/>
            <w:shd w:val="clear" w:color="auto" w:fill="EFF3F1"/>
          </w:tcPr>
          <w:p>
            <w:r/>
            <w:r>
              <w:rPr>
                <w:color w:val="1C3A36"/>
                <w:sz w:val="17"/>
              </w:rPr>
              <w:t>~5,050</w:t>
            </w:r>
          </w:p>
        </w:tc>
      </w:tr>
      <w:tr>
        <w:tc>
          <w:tcPr>
            <w:tcW w:type="dxa" w:w="2448"/>
          </w:tcPr>
          <w:p>
            <w:r/>
            <w:r>
              <w:rPr>
                <w:color w:val="1C3A36"/>
                <w:sz w:val="17"/>
              </w:rPr>
              <w:t>Trading &amp; other income</w:t>
            </w:r>
          </w:p>
        </w:tc>
        <w:tc>
          <w:tcPr>
            <w:tcW w:type="dxa" w:w="1224"/>
          </w:tcPr>
          <w:p>
            <w:r/>
            <w:r>
              <w:rPr>
                <w:color w:val="1C3A36"/>
                <w:sz w:val="17"/>
              </w:rPr>
              <w:t>~1,500</w:t>
            </w:r>
          </w:p>
        </w:tc>
        <w:tc>
          <w:tcPr>
            <w:tcW w:type="dxa" w:w="1224"/>
          </w:tcPr>
          <w:p>
            <w:r/>
            <w:r>
              <w:rPr>
                <w:color w:val="1C3A36"/>
                <w:sz w:val="17"/>
              </w:rPr>
              <w:t>~1,700</w:t>
            </w:r>
          </w:p>
        </w:tc>
        <w:tc>
          <w:tcPr>
            <w:tcW w:type="dxa" w:w="1224"/>
          </w:tcPr>
          <w:p>
            <w:r/>
            <w:r>
              <w:rPr>
                <w:color w:val="1C3A36"/>
                <w:sz w:val="17"/>
              </w:rPr>
              <w:t>~2,000</w:t>
            </w:r>
          </w:p>
        </w:tc>
        <w:tc>
          <w:tcPr>
            <w:tcW w:type="dxa" w:w="1224"/>
          </w:tcPr>
          <w:p>
            <w:r/>
            <w:r>
              <w:rPr>
                <w:color w:val="1C3A36"/>
                <w:sz w:val="17"/>
              </w:rPr>
              <w:t>~2,100</w:t>
            </w:r>
          </w:p>
        </w:tc>
        <w:tc>
          <w:tcPr>
            <w:tcW w:type="dxa" w:w="1224"/>
          </w:tcPr>
          <w:p>
            <w:r/>
            <w:r>
              <w:rPr>
                <w:color w:val="1C3A36"/>
                <w:sz w:val="17"/>
              </w:rPr>
              <w:t>~2,200</w:t>
            </w:r>
          </w:p>
        </w:tc>
        <w:tc>
          <w:tcPr>
            <w:tcW w:type="dxa" w:w="1224"/>
          </w:tcPr>
          <w:p>
            <w:r/>
            <w:r>
              <w:rPr>
                <w:color w:val="1C3A36"/>
                <w:sz w:val="17"/>
              </w:rPr>
              <w:t>~2,300</w:t>
            </w:r>
          </w:p>
        </w:tc>
        <w:tc>
          <w:tcPr>
            <w:tcW w:type="dxa" w:w="1224"/>
          </w:tcPr>
          <w:p>
            <w:r/>
            <w:r>
              <w:rPr>
                <w:color w:val="1C3A36"/>
                <w:sz w:val="17"/>
              </w:rPr>
              <w:t>~2,400</w:t>
            </w:r>
          </w:p>
        </w:tc>
        <w:tc>
          <w:tcPr>
            <w:tcW w:type="dxa" w:w="1130"/>
          </w:tcPr>
          <w:p>
            <w:r/>
            <w:r>
              <w:rPr>
                <w:color w:val="1C3A36"/>
                <w:sz w:val="17"/>
              </w:rPr>
              <w:t>~2,500</w:t>
            </w:r>
          </w:p>
        </w:tc>
      </w:tr>
      <w:tr>
        <w:tc>
          <w:tcPr>
            <w:tcW w:type="dxa" w:w="2448"/>
            <w:shd w:val="clear" w:color="auto" w:fill="EFF3F1"/>
          </w:tcPr>
          <w:p>
            <w:r/>
            <w:r>
              <w:rPr>
                <w:color w:val="1C3A36"/>
                <w:sz w:val="17"/>
              </w:rPr>
              <w:t>Total operating income</w:t>
            </w:r>
          </w:p>
        </w:tc>
        <w:tc>
          <w:tcPr>
            <w:tcW w:type="dxa" w:w="1224"/>
            <w:shd w:val="clear" w:color="auto" w:fill="EFF3F1"/>
          </w:tcPr>
          <w:p>
            <w:r/>
            <w:r>
              <w:rPr>
                <w:color w:val="1C3A36"/>
                <w:sz w:val="17"/>
              </w:rPr>
              <w:t>~14,600</w:t>
            </w:r>
          </w:p>
        </w:tc>
        <w:tc>
          <w:tcPr>
            <w:tcW w:type="dxa" w:w="1224"/>
            <w:shd w:val="clear" w:color="auto" w:fill="EFF3F1"/>
          </w:tcPr>
          <w:p>
            <w:r/>
            <w:r>
              <w:rPr>
                <w:color w:val="1C3A36"/>
                <w:sz w:val="17"/>
              </w:rPr>
              <w:t>~15,900</w:t>
            </w:r>
          </w:p>
        </w:tc>
        <w:tc>
          <w:tcPr>
            <w:tcW w:type="dxa" w:w="1224"/>
            <w:shd w:val="clear" w:color="auto" w:fill="EFF3F1"/>
          </w:tcPr>
          <w:p>
            <w:r/>
            <w:r>
              <w:rPr>
                <w:color w:val="1C3A36"/>
                <w:sz w:val="17"/>
              </w:rPr>
              <w:t>~17,000</w:t>
            </w:r>
          </w:p>
        </w:tc>
        <w:tc>
          <w:tcPr>
            <w:tcW w:type="dxa" w:w="1224"/>
            <w:shd w:val="clear" w:color="auto" w:fill="EFF3F1"/>
          </w:tcPr>
          <w:p>
            <w:r/>
            <w:r>
              <w:rPr>
                <w:color w:val="1C3A36"/>
                <w:sz w:val="17"/>
              </w:rPr>
              <w:t>~18,500</w:t>
            </w:r>
          </w:p>
        </w:tc>
        <w:tc>
          <w:tcPr>
            <w:tcW w:type="dxa" w:w="1224"/>
            <w:shd w:val="clear" w:color="auto" w:fill="EFF3F1"/>
          </w:tcPr>
          <w:p>
            <w:r/>
            <w:r>
              <w:rPr>
                <w:color w:val="1C3A36"/>
                <w:sz w:val="17"/>
              </w:rPr>
              <w:t>~19,700</w:t>
            </w:r>
          </w:p>
        </w:tc>
        <w:tc>
          <w:tcPr>
            <w:tcW w:type="dxa" w:w="1224"/>
            <w:shd w:val="clear" w:color="auto" w:fill="EFF3F1"/>
          </w:tcPr>
          <w:p>
            <w:r/>
            <w:r>
              <w:rPr>
                <w:color w:val="1C3A36"/>
                <w:sz w:val="17"/>
              </w:rPr>
              <w:t>~20,900</w:t>
            </w:r>
          </w:p>
        </w:tc>
        <w:tc>
          <w:tcPr>
            <w:tcW w:type="dxa" w:w="1224"/>
            <w:shd w:val="clear" w:color="auto" w:fill="EFF3F1"/>
          </w:tcPr>
          <w:p>
            <w:r/>
            <w:r>
              <w:rPr>
                <w:color w:val="1C3A36"/>
                <w:sz w:val="17"/>
              </w:rPr>
              <w:t>~22,100</w:t>
            </w:r>
          </w:p>
        </w:tc>
        <w:tc>
          <w:tcPr>
            <w:tcW w:type="dxa" w:w="1130"/>
            <w:shd w:val="clear" w:color="auto" w:fill="EFF3F1"/>
          </w:tcPr>
          <w:p>
            <w:r/>
            <w:r>
              <w:rPr>
                <w:color w:val="1C3A36"/>
                <w:sz w:val="17"/>
              </w:rPr>
              <w:t>~23,300</w:t>
            </w:r>
          </w:p>
        </w:tc>
      </w:tr>
      <w:tr>
        <w:tc>
          <w:tcPr>
            <w:tcW w:type="dxa" w:w="2448"/>
          </w:tcPr>
          <w:p>
            <w:r/>
            <w:r>
              <w:rPr>
                <w:color w:val="1C3A36"/>
                <w:sz w:val="17"/>
              </w:rPr>
              <w:t>Operating expenses</w:t>
            </w:r>
          </w:p>
        </w:tc>
        <w:tc>
          <w:tcPr>
            <w:tcW w:type="dxa" w:w="1224"/>
          </w:tcPr>
          <w:p>
            <w:r/>
            <w:r>
              <w:rPr>
                <w:color w:val="1C3A36"/>
                <w:sz w:val="17"/>
              </w:rPr>
              <w:t>(4,820)</w:t>
            </w:r>
          </w:p>
        </w:tc>
        <w:tc>
          <w:tcPr>
            <w:tcW w:type="dxa" w:w="1224"/>
          </w:tcPr>
          <w:p>
            <w:r/>
            <w:r>
              <w:rPr>
                <w:color w:val="1C3A36"/>
                <w:sz w:val="17"/>
              </w:rPr>
              <w:t>(4,930)</w:t>
            </w:r>
          </w:p>
        </w:tc>
        <w:tc>
          <w:tcPr>
            <w:tcW w:type="dxa" w:w="1224"/>
          </w:tcPr>
          <w:p>
            <w:r/>
            <w:r>
              <w:rPr>
                <w:color w:val="1C3A36"/>
                <w:sz w:val="17"/>
              </w:rPr>
              <w:t>(5,030)</w:t>
            </w:r>
          </w:p>
        </w:tc>
        <w:tc>
          <w:tcPr>
            <w:tcW w:type="dxa" w:w="1224"/>
          </w:tcPr>
          <w:p>
            <w:r/>
            <w:r>
              <w:rPr>
                <w:color w:val="1C3A36"/>
                <w:sz w:val="17"/>
              </w:rPr>
              <w:t>(5,550)</w:t>
            </w:r>
          </w:p>
        </w:tc>
        <w:tc>
          <w:tcPr>
            <w:tcW w:type="dxa" w:w="1224"/>
          </w:tcPr>
          <w:p>
            <w:r/>
            <w:r>
              <w:rPr>
                <w:color w:val="1C3A36"/>
                <w:sz w:val="17"/>
              </w:rPr>
              <w:t>(5,910)</w:t>
            </w:r>
          </w:p>
        </w:tc>
        <w:tc>
          <w:tcPr>
            <w:tcW w:type="dxa" w:w="1224"/>
          </w:tcPr>
          <w:p>
            <w:r/>
            <w:r>
              <w:rPr>
                <w:color w:val="1C3A36"/>
                <w:sz w:val="17"/>
              </w:rPr>
              <w:t>(6,270)</w:t>
            </w:r>
          </w:p>
        </w:tc>
        <w:tc>
          <w:tcPr>
            <w:tcW w:type="dxa" w:w="1224"/>
          </w:tcPr>
          <w:p>
            <w:r/>
            <w:r>
              <w:rPr>
                <w:color w:val="1C3A36"/>
                <w:sz w:val="17"/>
              </w:rPr>
              <w:t>(6,630)</w:t>
            </w:r>
          </w:p>
        </w:tc>
        <w:tc>
          <w:tcPr>
            <w:tcW w:type="dxa" w:w="1130"/>
          </w:tcPr>
          <w:p>
            <w:r/>
            <w:r>
              <w:rPr>
                <w:color w:val="1C3A36"/>
                <w:sz w:val="17"/>
              </w:rPr>
              <w:t>(6,990)</w:t>
            </w:r>
          </w:p>
        </w:tc>
      </w:tr>
      <w:tr>
        <w:tc>
          <w:tcPr>
            <w:tcW w:type="dxa" w:w="2448"/>
            <w:shd w:val="clear" w:color="auto" w:fill="EFF3F1"/>
          </w:tcPr>
          <w:p>
            <w:r/>
            <w:r>
              <w:rPr>
                <w:color w:val="1C3A36"/>
                <w:sz w:val="17"/>
              </w:rPr>
              <w:t>Pre-provision profit</w:t>
            </w:r>
          </w:p>
        </w:tc>
        <w:tc>
          <w:tcPr>
            <w:tcW w:type="dxa" w:w="1224"/>
            <w:shd w:val="clear" w:color="auto" w:fill="EFF3F1"/>
          </w:tcPr>
          <w:p>
            <w:r/>
            <w:r>
              <w:rPr>
                <w:color w:val="1C3A36"/>
                <w:sz w:val="17"/>
              </w:rPr>
              <w:t>~9,780</w:t>
            </w:r>
          </w:p>
        </w:tc>
        <w:tc>
          <w:tcPr>
            <w:tcW w:type="dxa" w:w="1224"/>
            <w:shd w:val="clear" w:color="auto" w:fill="EFF3F1"/>
          </w:tcPr>
          <w:p>
            <w:r/>
            <w:r>
              <w:rPr>
                <w:color w:val="1C3A36"/>
                <w:sz w:val="17"/>
              </w:rPr>
              <w:t>~11,000</w:t>
            </w:r>
          </w:p>
        </w:tc>
        <w:tc>
          <w:tcPr>
            <w:tcW w:type="dxa" w:w="1224"/>
            <w:shd w:val="clear" w:color="auto" w:fill="EFF3F1"/>
          </w:tcPr>
          <w:p>
            <w:r/>
            <w:r>
              <w:rPr>
                <w:color w:val="1C3A36"/>
                <w:sz w:val="17"/>
              </w:rPr>
              <w:t>~12,000</w:t>
            </w:r>
          </w:p>
        </w:tc>
        <w:tc>
          <w:tcPr>
            <w:tcW w:type="dxa" w:w="1224"/>
            <w:shd w:val="clear" w:color="auto" w:fill="EFF3F1"/>
          </w:tcPr>
          <w:p>
            <w:r/>
            <w:r>
              <w:rPr>
                <w:color w:val="1C3A36"/>
                <w:sz w:val="17"/>
              </w:rPr>
              <w:t>~13,000</w:t>
            </w:r>
          </w:p>
        </w:tc>
        <w:tc>
          <w:tcPr>
            <w:tcW w:type="dxa" w:w="1224"/>
            <w:shd w:val="clear" w:color="auto" w:fill="EFF3F1"/>
          </w:tcPr>
          <w:p>
            <w:r/>
            <w:r>
              <w:rPr>
                <w:color w:val="1C3A36"/>
                <w:sz w:val="17"/>
              </w:rPr>
              <w:t>~13,800</w:t>
            </w:r>
          </w:p>
        </w:tc>
        <w:tc>
          <w:tcPr>
            <w:tcW w:type="dxa" w:w="1224"/>
            <w:shd w:val="clear" w:color="auto" w:fill="EFF3F1"/>
          </w:tcPr>
          <w:p>
            <w:r/>
            <w:r>
              <w:rPr>
                <w:color w:val="1C3A36"/>
                <w:sz w:val="17"/>
              </w:rPr>
              <w:t>~14,600</w:t>
            </w:r>
          </w:p>
        </w:tc>
        <w:tc>
          <w:tcPr>
            <w:tcW w:type="dxa" w:w="1224"/>
            <w:shd w:val="clear" w:color="auto" w:fill="EFF3F1"/>
          </w:tcPr>
          <w:p>
            <w:r/>
            <w:r>
              <w:rPr>
                <w:color w:val="1C3A36"/>
                <w:sz w:val="17"/>
              </w:rPr>
              <w:t>~15,500</w:t>
            </w:r>
          </w:p>
        </w:tc>
        <w:tc>
          <w:tcPr>
            <w:tcW w:type="dxa" w:w="1130"/>
            <w:shd w:val="clear" w:color="auto" w:fill="EFF3F1"/>
          </w:tcPr>
          <w:p>
            <w:r/>
            <w:r>
              <w:rPr>
                <w:color w:val="1C3A36"/>
                <w:sz w:val="17"/>
              </w:rPr>
              <w:t>~16,300</w:t>
            </w:r>
          </w:p>
        </w:tc>
      </w:tr>
      <w:tr>
        <w:tc>
          <w:tcPr>
            <w:tcW w:type="dxa" w:w="2448"/>
          </w:tcPr>
          <w:p>
            <w:r/>
            <w:r>
              <w:rPr>
                <w:color w:val="1C3A36"/>
                <w:sz w:val="17"/>
              </w:rPr>
              <w:t>Provision for credit losses</w:t>
            </w:r>
          </w:p>
        </w:tc>
        <w:tc>
          <w:tcPr>
            <w:tcW w:type="dxa" w:w="1224"/>
          </w:tcPr>
          <w:p>
            <w:r/>
            <w:r>
              <w:rPr>
                <w:color w:val="1C3A36"/>
                <w:sz w:val="17"/>
              </w:rPr>
              <w:t>(1,550)</w:t>
            </w:r>
          </w:p>
        </w:tc>
        <w:tc>
          <w:tcPr>
            <w:tcW w:type="dxa" w:w="1224"/>
          </w:tcPr>
          <w:p>
            <w:r/>
            <w:r>
              <w:rPr>
                <w:color w:val="1C3A36"/>
                <w:sz w:val="17"/>
              </w:rPr>
              <w:t>(1,632)</w:t>
            </w:r>
          </w:p>
        </w:tc>
        <w:tc>
          <w:tcPr>
            <w:tcW w:type="dxa" w:w="1224"/>
          </w:tcPr>
          <w:p>
            <w:r/>
            <w:r>
              <w:rPr>
                <w:color w:val="1C3A36"/>
                <w:sz w:val="17"/>
              </w:rPr>
              <w:t>(1,374)</w:t>
            </w:r>
          </w:p>
        </w:tc>
        <w:tc>
          <w:tcPr>
            <w:tcW w:type="dxa" w:w="1224"/>
          </w:tcPr>
          <w:p>
            <w:r/>
            <w:r>
              <w:rPr>
                <w:color w:val="1C3A36"/>
                <w:sz w:val="17"/>
              </w:rPr>
              <w:t>(1,700)</w:t>
            </w:r>
          </w:p>
        </w:tc>
        <w:tc>
          <w:tcPr>
            <w:tcW w:type="dxa" w:w="1224"/>
          </w:tcPr>
          <w:p>
            <w:r/>
            <w:r>
              <w:rPr>
                <w:color w:val="1C3A36"/>
                <w:sz w:val="17"/>
              </w:rPr>
              <w:t>(1,950)</w:t>
            </w:r>
          </w:p>
        </w:tc>
        <w:tc>
          <w:tcPr>
            <w:tcW w:type="dxa" w:w="1224"/>
          </w:tcPr>
          <w:p>
            <w:r/>
            <w:r>
              <w:rPr>
                <w:color w:val="1C3A36"/>
                <w:sz w:val="17"/>
              </w:rPr>
              <w:t>(2,150)</w:t>
            </w:r>
          </w:p>
        </w:tc>
        <w:tc>
          <w:tcPr>
            <w:tcW w:type="dxa" w:w="1224"/>
          </w:tcPr>
          <w:p>
            <w:r/>
            <w:r>
              <w:rPr>
                <w:color w:val="1C3A36"/>
                <w:sz w:val="17"/>
              </w:rPr>
              <w:t>(2,350)</w:t>
            </w:r>
          </w:p>
        </w:tc>
        <w:tc>
          <w:tcPr>
            <w:tcW w:type="dxa" w:w="1130"/>
          </w:tcPr>
          <w:p>
            <w:r/>
            <w:r>
              <w:rPr>
                <w:color w:val="1C3A36"/>
                <w:sz w:val="17"/>
              </w:rPr>
              <w:t>(2,550)</w:t>
            </w:r>
          </w:p>
        </w:tc>
      </w:tr>
      <w:tr>
        <w:tc>
          <w:tcPr>
            <w:tcW w:type="dxa" w:w="2448"/>
            <w:shd w:val="clear" w:color="auto" w:fill="EFF3F1"/>
          </w:tcPr>
          <w:p>
            <w:r/>
            <w:r>
              <w:rPr>
                <w:color w:val="1C3A36"/>
                <w:sz w:val="17"/>
              </w:rPr>
              <w:t>Net income</w:t>
            </w:r>
          </w:p>
        </w:tc>
        <w:tc>
          <w:tcPr>
            <w:tcW w:type="dxa" w:w="1224"/>
            <w:shd w:val="clear" w:color="auto" w:fill="EFF3F1"/>
          </w:tcPr>
          <w:p>
            <w:r/>
            <w:r>
              <w:rPr>
                <w:color w:val="1C3A36"/>
                <w:sz w:val="17"/>
              </w:rPr>
              <w:t>8,036</w:t>
            </w:r>
          </w:p>
        </w:tc>
        <w:tc>
          <w:tcPr>
            <w:tcW w:type="dxa" w:w="1224"/>
            <w:shd w:val="clear" w:color="auto" w:fill="EFF3F1"/>
          </w:tcPr>
          <w:p>
            <w:r/>
            <w:r>
              <w:rPr>
                <w:color w:val="1C3A36"/>
                <w:sz w:val="17"/>
              </w:rPr>
              <w:t>9,322</w:t>
            </w:r>
          </w:p>
        </w:tc>
        <w:tc>
          <w:tcPr>
            <w:tcW w:type="dxa" w:w="1224"/>
            <w:shd w:val="clear" w:color="auto" w:fill="EFF3F1"/>
          </w:tcPr>
          <w:p>
            <w:r/>
            <w:r>
              <w:rPr>
                <w:color w:val="1C3A36"/>
                <w:sz w:val="17"/>
              </w:rPr>
              <w:t>10,411</w:t>
            </w:r>
          </w:p>
        </w:tc>
        <w:tc>
          <w:tcPr>
            <w:tcW w:type="dxa" w:w="1224"/>
            <w:shd w:val="clear" w:color="auto" w:fill="EFF3F1"/>
          </w:tcPr>
          <w:p>
            <w:r/>
            <w:r>
              <w:rPr>
                <w:color w:val="1C3A36"/>
                <w:sz w:val="17"/>
              </w:rPr>
              <w:t>11,296</w:t>
            </w:r>
          </w:p>
        </w:tc>
        <w:tc>
          <w:tcPr>
            <w:tcW w:type="dxa" w:w="1224"/>
            <w:shd w:val="clear" w:color="auto" w:fill="EFF3F1"/>
          </w:tcPr>
          <w:p>
            <w:r/>
            <w:r>
              <w:rPr>
                <w:color w:val="1C3A36"/>
                <w:sz w:val="17"/>
              </w:rPr>
              <w:t>12,143</w:t>
            </w:r>
          </w:p>
        </w:tc>
        <w:tc>
          <w:tcPr>
            <w:tcW w:type="dxa" w:w="1224"/>
            <w:shd w:val="clear" w:color="auto" w:fill="EFF3F1"/>
          </w:tcPr>
          <w:p>
            <w:r/>
            <w:r>
              <w:rPr>
                <w:color w:val="1C3A36"/>
                <w:sz w:val="17"/>
              </w:rPr>
              <w:t>12,932</w:t>
            </w:r>
          </w:p>
        </w:tc>
        <w:tc>
          <w:tcPr>
            <w:tcW w:type="dxa" w:w="1224"/>
            <w:shd w:val="clear" w:color="auto" w:fill="EFF3F1"/>
          </w:tcPr>
          <w:p>
            <w:r/>
            <w:r>
              <w:rPr>
                <w:color w:val="1C3A36"/>
                <w:sz w:val="17"/>
              </w:rPr>
              <w:t>13,708</w:t>
            </w:r>
          </w:p>
        </w:tc>
        <w:tc>
          <w:tcPr>
            <w:tcW w:type="dxa" w:w="1130"/>
            <w:shd w:val="clear" w:color="auto" w:fill="EFF3F1"/>
          </w:tcPr>
          <w:p>
            <w:r/>
            <w:r>
              <w:rPr>
                <w:color w:val="1C3A36"/>
                <w:sz w:val="17"/>
              </w:rPr>
              <w:t>14,462</w:t>
            </w:r>
          </w:p>
        </w:tc>
      </w:tr>
      <w:tr>
        <w:tc>
          <w:tcPr>
            <w:tcW w:type="dxa" w:w="2448"/>
          </w:tcPr>
          <w:p>
            <w:r/>
            <w:r>
              <w:rPr>
                <w:color w:val="1C3A36"/>
                <w:sz w:val="17"/>
              </w:rPr>
              <w:t>EPS (post-bonus, SAR)</w:t>
            </w:r>
          </w:p>
        </w:tc>
        <w:tc>
          <w:tcPr>
            <w:tcW w:type="dxa" w:w="1224"/>
          </w:tcPr>
          <w:p>
            <w:r/>
            <w:r>
              <w:rPr>
                <w:color w:val="1C3A36"/>
                <w:sz w:val="17"/>
              </w:rPr>
              <w:t>1.93</w:t>
            </w:r>
          </w:p>
        </w:tc>
        <w:tc>
          <w:tcPr>
            <w:tcW w:type="dxa" w:w="1224"/>
          </w:tcPr>
          <w:p>
            <w:r/>
            <w:r>
              <w:rPr>
                <w:color w:val="1C3A36"/>
                <w:sz w:val="17"/>
              </w:rPr>
              <w:t>2.25</w:t>
            </w:r>
          </w:p>
        </w:tc>
        <w:tc>
          <w:tcPr>
            <w:tcW w:type="dxa" w:w="1224"/>
          </w:tcPr>
          <w:p>
            <w:r/>
            <w:r>
              <w:rPr>
                <w:color w:val="1C3A36"/>
                <w:sz w:val="17"/>
              </w:rPr>
              <w:t>2.52</w:t>
            </w:r>
          </w:p>
        </w:tc>
        <w:tc>
          <w:tcPr>
            <w:tcW w:type="dxa" w:w="1224"/>
          </w:tcPr>
          <w:p>
            <w:r/>
            <w:r>
              <w:rPr>
                <w:color w:val="1C3A36"/>
                <w:sz w:val="17"/>
              </w:rPr>
              <w:t>2.75</w:t>
            </w:r>
          </w:p>
        </w:tc>
        <w:tc>
          <w:tcPr>
            <w:tcW w:type="dxa" w:w="1224"/>
          </w:tcPr>
          <w:p>
            <w:r/>
            <w:r>
              <w:rPr>
                <w:color w:val="1C3A36"/>
                <w:sz w:val="17"/>
              </w:rPr>
              <w:t>2.96</w:t>
            </w:r>
          </w:p>
        </w:tc>
        <w:tc>
          <w:tcPr>
            <w:tcW w:type="dxa" w:w="1224"/>
          </w:tcPr>
          <w:p>
            <w:r/>
            <w:r>
              <w:rPr>
                <w:color w:val="1C3A36"/>
                <w:sz w:val="17"/>
              </w:rPr>
              <w:t>3.15</w:t>
            </w:r>
          </w:p>
        </w:tc>
        <w:tc>
          <w:tcPr>
            <w:tcW w:type="dxa" w:w="1224"/>
          </w:tcPr>
          <w:p>
            <w:r/>
            <w:r>
              <w:rPr>
                <w:color w:val="1C3A36"/>
                <w:sz w:val="17"/>
              </w:rPr>
              <w:t>3.35</w:t>
            </w:r>
          </w:p>
        </w:tc>
        <w:tc>
          <w:tcPr>
            <w:tcW w:type="dxa" w:w="1130"/>
          </w:tcPr>
          <w:p>
            <w:r/>
            <w:r>
              <w:rPr>
                <w:color w:val="1C3A36"/>
                <w:sz w:val="17"/>
              </w:rPr>
              <w:t>3.54</w:t>
            </w:r>
          </w:p>
        </w:tc>
      </w:tr>
    </w:tbl>
    <w:p>
      <w:pPr>
        <w:spacing w:after="180" w:before="0"/>
      </w:pPr>
      <w:r>
        <w:rPr>
          <w:b w:val="0"/>
          <w:i/>
          <w:color w:val="6E7B77"/>
          <w:sz w:val="17"/>
        </w:rPr>
        <w:t>FY23–FY25 net income disclosed (SAR 8,036 / 9,322 / 10,411mn); FY25 provisions SAR 1,374mn and cost-to-income 29.6% disclosed. Sub-lines marked ~ are estimated to disclosed totals and growth rates. FY26E–FY30E from the driver model. Source: Riyad Bank results, IR, argaam.</w:t>
      </w:r>
    </w:p>
    <w:p>
      <w:pPr>
        <w:spacing w:after="60" w:before="180"/>
      </w:pPr>
      <w:r>
        <w:rPr>
          <w:b/>
          <w:i w:val="0"/>
          <w:color w:val="1C3A36"/>
          <w:sz w:val="23"/>
        </w:rPr>
        <w:t>A.2  Balance sheet — 3-year historical + 5-year forecast (consolidated, SAR mn)</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30"/>
        <w:gridCol w:w="1130"/>
        <w:gridCol w:w="1130"/>
        <w:gridCol w:w="1130"/>
        <w:gridCol w:w="1130"/>
        <w:gridCol w:w="1130"/>
        <w:gridCol w:w="1130"/>
        <w:gridCol w:w="1130"/>
        <w:gridCol w:w="1130"/>
      </w:tblGrid>
      <w:tr>
        <w:tc>
          <w:tcPr>
            <w:tcW w:type="dxa" w:w="2448"/>
            <w:shd w:val="clear" w:color="auto" w:fill="1C3A36"/>
          </w:tcPr>
          <w:p>
            <w:r/>
            <w:r>
              <w:rPr>
                <w:b/>
                <w:color w:val="FFFFFF"/>
                <w:sz w:val="17"/>
              </w:rPr>
              <w:t>Line</w:t>
            </w:r>
          </w:p>
        </w:tc>
        <w:tc>
          <w:tcPr>
            <w:tcW w:type="dxa" w:w="1224"/>
            <w:shd w:val="clear" w:color="auto" w:fill="1C3A36"/>
          </w:tcPr>
          <w:p>
            <w:r/>
            <w:r>
              <w:rPr>
                <w:b/>
                <w:color w:val="FFFFFF"/>
                <w:sz w:val="17"/>
              </w:rPr>
              <w:t>FY23</w:t>
            </w:r>
          </w:p>
        </w:tc>
        <w:tc>
          <w:tcPr>
            <w:tcW w:type="dxa" w:w="1224"/>
            <w:shd w:val="clear" w:color="auto" w:fill="1C3A36"/>
          </w:tcPr>
          <w:p>
            <w:r/>
            <w:r>
              <w:rPr>
                <w:b/>
                <w:color w:val="FFFFFF"/>
                <w:sz w:val="17"/>
              </w:rPr>
              <w:t>FY24</w:t>
            </w:r>
          </w:p>
        </w:tc>
        <w:tc>
          <w:tcPr>
            <w:tcW w:type="dxa" w:w="1224"/>
            <w:shd w:val="clear" w:color="auto" w:fill="1C3A36"/>
          </w:tcPr>
          <w:p>
            <w:r/>
            <w:r>
              <w:rPr>
                <w:b/>
                <w:color w:val="FFFFFF"/>
                <w:sz w:val="17"/>
              </w:rPr>
              <w:t>FY25</w:t>
            </w:r>
          </w:p>
        </w:tc>
        <w:tc>
          <w:tcPr>
            <w:tcW w:type="dxa" w:w="1224"/>
            <w:shd w:val="clear" w:color="auto" w:fill="1C3A36"/>
          </w:tcPr>
          <w:p>
            <w:r/>
            <w:r>
              <w:rPr>
                <w:b/>
                <w:color w:val="FFFFFF"/>
                <w:sz w:val="17"/>
              </w:rPr>
              <w:t>FY26E</w:t>
            </w:r>
          </w:p>
        </w:tc>
        <w:tc>
          <w:tcPr>
            <w:tcW w:type="dxa" w:w="1224"/>
            <w:shd w:val="clear" w:color="auto" w:fill="1C3A36"/>
          </w:tcPr>
          <w:p>
            <w:r/>
            <w:r>
              <w:rPr>
                <w:b/>
                <w:color w:val="FFFFFF"/>
                <w:sz w:val="17"/>
              </w:rPr>
              <w:t>FY27E</w:t>
            </w:r>
          </w:p>
        </w:tc>
        <w:tc>
          <w:tcPr>
            <w:tcW w:type="dxa" w:w="1224"/>
            <w:shd w:val="clear" w:color="auto" w:fill="1C3A36"/>
          </w:tcPr>
          <w:p>
            <w:r/>
            <w:r>
              <w:rPr>
                <w:b/>
                <w:color w:val="FFFFFF"/>
                <w:sz w:val="17"/>
              </w:rPr>
              <w:t>FY28E</w:t>
            </w:r>
          </w:p>
        </w:tc>
        <w:tc>
          <w:tcPr>
            <w:tcW w:type="dxa" w:w="1224"/>
            <w:shd w:val="clear" w:color="auto" w:fill="1C3A36"/>
          </w:tcPr>
          <w:p>
            <w:r/>
            <w:r>
              <w:rPr>
                <w:b/>
                <w:color w:val="FFFFFF"/>
                <w:sz w:val="17"/>
              </w:rPr>
              <w:t>FY29E</w:t>
            </w:r>
          </w:p>
        </w:tc>
        <w:tc>
          <w:tcPr>
            <w:tcW w:type="dxa" w:w="1130"/>
            <w:shd w:val="clear" w:color="auto" w:fill="1C3A36"/>
          </w:tcPr>
          <w:p>
            <w:r/>
            <w:r>
              <w:rPr>
                <w:b/>
                <w:color w:val="FFFFFF"/>
                <w:sz w:val="17"/>
              </w:rPr>
              <w:t>FY30E</w:t>
            </w:r>
          </w:p>
        </w:tc>
      </w:tr>
      <w:tr>
        <w:tc>
          <w:tcPr>
            <w:tcW w:type="dxa" w:w="2448"/>
          </w:tcPr>
          <w:p>
            <w:r/>
            <w:r>
              <w:rPr>
                <w:color w:val="1C3A36"/>
                <w:sz w:val="17"/>
              </w:rPr>
              <w:t>Loans &amp; advances, net</w:t>
            </w:r>
          </w:p>
        </w:tc>
        <w:tc>
          <w:tcPr>
            <w:tcW w:type="dxa" w:w="1224"/>
          </w:tcPr>
          <w:p>
            <w:r/>
            <w:r>
              <w:rPr>
                <w:color w:val="1C3A36"/>
                <w:sz w:val="17"/>
              </w:rPr>
              <w:t>282,000</w:t>
            </w:r>
          </w:p>
        </w:tc>
        <w:tc>
          <w:tcPr>
            <w:tcW w:type="dxa" w:w="1224"/>
          </w:tcPr>
          <w:p>
            <w:r/>
            <w:r>
              <w:rPr>
                <w:color w:val="1C3A36"/>
                <w:sz w:val="17"/>
              </w:rPr>
              <w:t>320,090</w:t>
            </w:r>
          </w:p>
        </w:tc>
        <w:tc>
          <w:tcPr>
            <w:tcW w:type="dxa" w:w="1224"/>
          </w:tcPr>
          <w:p>
            <w:r/>
            <w:r>
              <w:rPr>
                <w:color w:val="1C3A36"/>
                <w:sz w:val="17"/>
              </w:rPr>
              <w:t>373,305</w:t>
            </w:r>
          </w:p>
        </w:tc>
        <w:tc>
          <w:tcPr>
            <w:tcW w:type="dxa" w:w="1224"/>
          </w:tcPr>
          <w:p>
            <w:r/>
            <w:r>
              <w:rPr>
                <w:color w:val="1C3A36"/>
                <w:sz w:val="17"/>
              </w:rPr>
              <w:t>406,902</w:t>
            </w:r>
          </w:p>
        </w:tc>
        <w:tc>
          <w:tcPr>
            <w:tcW w:type="dxa" w:w="1224"/>
          </w:tcPr>
          <w:p>
            <w:r/>
            <w:r>
              <w:rPr>
                <w:color w:val="1C3A36"/>
                <w:sz w:val="17"/>
              </w:rPr>
              <w:t>441,489</w:t>
            </w:r>
          </w:p>
        </w:tc>
        <w:tc>
          <w:tcPr>
            <w:tcW w:type="dxa" w:w="1224"/>
          </w:tcPr>
          <w:p>
            <w:r/>
            <w:r>
              <w:rPr>
                <w:color w:val="1C3A36"/>
                <w:sz w:val="17"/>
              </w:rPr>
              <w:t>476,808</w:t>
            </w:r>
          </w:p>
        </w:tc>
        <w:tc>
          <w:tcPr>
            <w:tcW w:type="dxa" w:w="1224"/>
          </w:tcPr>
          <w:p>
            <w:r/>
            <w:r>
              <w:rPr>
                <w:color w:val="1C3A36"/>
                <w:sz w:val="17"/>
              </w:rPr>
              <w:t>512,569</w:t>
            </w:r>
          </w:p>
        </w:tc>
        <w:tc>
          <w:tcPr>
            <w:tcW w:type="dxa" w:w="1130"/>
          </w:tcPr>
          <w:p>
            <w:r/>
            <w:r>
              <w:rPr>
                <w:color w:val="1C3A36"/>
                <w:sz w:val="17"/>
              </w:rPr>
              <w:t>548,449</w:t>
            </w:r>
          </w:p>
        </w:tc>
      </w:tr>
      <w:tr>
        <w:tc>
          <w:tcPr>
            <w:tcW w:type="dxa" w:w="2448"/>
            <w:shd w:val="clear" w:color="auto" w:fill="EFF3F1"/>
          </w:tcPr>
          <w:p>
            <w:r/>
            <w:r>
              <w:rPr>
                <w:color w:val="1C3A36"/>
                <w:sz w:val="17"/>
              </w:rPr>
              <w:t>Total assets</w:t>
            </w:r>
          </w:p>
        </w:tc>
        <w:tc>
          <w:tcPr>
            <w:tcW w:type="dxa" w:w="1224"/>
            <w:shd w:val="clear" w:color="auto" w:fill="EFF3F1"/>
          </w:tcPr>
          <w:p>
            <w:r/>
            <w:r>
              <w:rPr>
                <w:color w:val="1C3A36"/>
                <w:sz w:val="17"/>
              </w:rPr>
              <w:t>386,849</w:t>
            </w:r>
          </w:p>
        </w:tc>
        <w:tc>
          <w:tcPr>
            <w:tcW w:type="dxa" w:w="1224"/>
            <w:shd w:val="clear" w:color="auto" w:fill="EFF3F1"/>
          </w:tcPr>
          <w:p>
            <w:r/>
            <w:r>
              <w:rPr>
                <w:color w:val="1C3A36"/>
                <w:sz w:val="17"/>
              </w:rPr>
              <w:t>450,379</w:t>
            </w:r>
          </w:p>
        </w:tc>
        <w:tc>
          <w:tcPr>
            <w:tcW w:type="dxa" w:w="1224"/>
            <w:shd w:val="clear" w:color="auto" w:fill="EFF3F1"/>
          </w:tcPr>
          <w:p>
            <w:r/>
            <w:r>
              <w:rPr>
                <w:color w:val="1C3A36"/>
                <w:sz w:val="17"/>
              </w:rPr>
              <w:t>519,481</w:t>
            </w:r>
          </w:p>
        </w:tc>
        <w:tc>
          <w:tcPr>
            <w:tcW w:type="dxa" w:w="1224"/>
            <w:shd w:val="clear" w:color="auto" w:fill="EFF3F1"/>
          </w:tcPr>
          <w:p>
            <w:r/>
            <w:r>
              <w:rPr>
                <w:color w:val="1C3A36"/>
                <w:sz w:val="17"/>
              </w:rPr>
              <w:t>563,897</w:t>
            </w:r>
          </w:p>
        </w:tc>
        <w:tc>
          <w:tcPr>
            <w:tcW w:type="dxa" w:w="1224"/>
            <w:shd w:val="clear" w:color="auto" w:fill="EFF3F1"/>
          </w:tcPr>
          <w:p>
            <w:r/>
            <w:r>
              <w:rPr>
                <w:color w:val="1C3A36"/>
                <w:sz w:val="17"/>
              </w:rPr>
              <w:t>609,431</w:t>
            </w:r>
          </w:p>
        </w:tc>
        <w:tc>
          <w:tcPr>
            <w:tcW w:type="dxa" w:w="1224"/>
            <w:shd w:val="clear" w:color="auto" w:fill="EFF3F1"/>
          </w:tcPr>
          <w:p>
            <w:r/>
            <w:r>
              <w:rPr>
                <w:color w:val="1C3A36"/>
                <w:sz w:val="17"/>
              </w:rPr>
              <w:t>655,748</w:t>
            </w:r>
          </w:p>
        </w:tc>
        <w:tc>
          <w:tcPr>
            <w:tcW w:type="dxa" w:w="1224"/>
            <w:shd w:val="clear" w:color="auto" w:fill="EFF3F1"/>
          </w:tcPr>
          <w:p>
            <w:r/>
            <w:r>
              <w:rPr>
                <w:color w:val="1C3A36"/>
                <w:sz w:val="17"/>
              </w:rPr>
              <w:t>702,470</w:t>
            </w:r>
          </w:p>
        </w:tc>
        <w:tc>
          <w:tcPr>
            <w:tcW w:type="dxa" w:w="1130"/>
            <w:shd w:val="clear" w:color="auto" w:fill="EFF3F1"/>
          </w:tcPr>
          <w:p>
            <w:r/>
            <w:r>
              <w:rPr>
                <w:color w:val="1C3A36"/>
                <w:sz w:val="17"/>
              </w:rPr>
              <w:t>749,184</w:t>
            </w:r>
          </w:p>
        </w:tc>
      </w:tr>
      <w:tr>
        <w:tc>
          <w:tcPr>
            <w:tcW w:type="dxa" w:w="2448"/>
          </w:tcPr>
          <w:p>
            <w:r/>
            <w:r>
              <w:rPr>
                <w:color w:val="1C3A36"/>
                <w:sz w:val="17"/>
              </w:rPr>
              <w:t>Client deposits</w:t>
            </w:r>
          </w:p>
        </w:tc>
        <w:tc>
          <w:tcPr>
            <w:tcW w:type="dxa" w:w="1224"/>
          </w:tcPr>
          <w:p>
            <w:r/>
            <w:r>
              <w:rPr>
                <w:color w:val="1C3A36"/>
                <w:sz w:val="17"/>
              </w:rPr>
              <w:t>275,000</w:t>
            </w:r>
          </w:p>
        </w:tc>
        <w:tc>
          <w:tcPr>
            <w:tcW w:type="dxa" w:w="1224"/>
          </w:tcPr>
          <w:p>
            <w:r/>
            <w:r>
              <w:rPr>
                <w:color w:val="1C3A36"/>
                <w:sz w:val="17"/>
              </w:rPr>
              <w:t>306,412</w:t>
            </w:r>
          </w:p>
        </w:tc>
        <w:tc>
          <w:tcPr>
            <w:tcW w:type="dxa" w:w="1224"/>
          </w:tcPr>
          <w:p>
            <w:r/>
            <w:r>
              <w:rPr>
                <w:color w:val="1C3A36"/>
                <w:sz w:val="17"/>
              </w:rPr>
              <w:t>331,721</w:t>
            </w:r>
          </w:p>
        </w:tc>
        <w:tc>
          <w:tcPr>
            <w:tcW w:type="dxa" w:w="1224"/>
          </w:tcPr>
          <w:p>
            <w:r/>
            <w:r>
              <w:rPr>
                <w:color w:val="1C3A36"/>
                <w:sz w:val="17"/>
              </w:rPr>
              <w:t>358,259</w:t>
            </w:r>
          </w:p>
        </w:tc>
        <w:tc>
          <w:tcPr>
            <w:tcW w:type="dxa" w:w="1224"/>
          </w:tcPr>
          <w:p>
            <w:r/>
            <w:r>
              <w:rPr>
                <w:color w:val="1C3A36"/>
                <w:sz w:val="17"/>
              </w:rPr>
              <w:t>385,128</w:t>
            </w:r>
          </w:p>
        </w:tc>
        <w:tc>
          <w:tcPr>
            <w:tcW w:type="dxa" w:w="1224"/>
          </w:tcPr>
          <w:p>
            <w:r/>
            <w:r>
              <w:rPr>
                <w:color w:val="1C3A36"/>
                <w:sz w:val="17"/>
              </w:rPr>
              <w:t>412,087</w:t>
            </w:r>
          </w:p>
        </w:tc>
        <w:tc>
          <w:tcPr>
            <w:tcW w:type="dxa" w:w="1224"/>
          </w:tcPr>
          <w:p>
            <w:r/>
            <w:r>
              <w:rPr>
                <w:color w:val="1C3A36"/>
                <w:sz w:val="17"/>
              </w:rPr>
              <w:t>440,933</w:t>
            </w:r>
          </w:p>
        </w:tc>
        <w:tc>
          <w:tcPr>
            <w:tcW w:type="dxa" w:w="1130"/>
          </w:tcPr>
          <w:p>
            <w:r/>
            <w:r>
              <w:rPr>
                <w:color w:val="1C3A36"/>
                <w:sz w:val="17"/>
              </w:rPr>
              <w:t>469,594</w:t>
            </w:r>
          </w:p>
        </w:tc>
      </w:tr>
      <w:tr>
        <w:tc>
          <w:tcPr>
            <w:tcW w:type="dxa" w:w="2448"/>
            <w:shd w:val="clear" w:color="auto" w:fill="EFF3F1"/>
          </w:tcPr>
          <w:p>
            <w:r/>
            <w:r>
              <w:rPr>
                <w:color w:val="1C3A36"/>
                <w:sz w:val="17"/>
              </w:rPr>
              <w:t>Total equity (incl. Tier-1 sukuk)</w:t>
            </w:r>
          </w:p>
        </w:tc>
        <w:tc>
          <w:tcPr>
            <w:tcW w:type="dxa" w:w="1224"/>
            <w:shd w:val="clear" w:color="auto" w:fill="EFF3F1"/>
          </w:tcPr>
          <w:p>
            <w:r/>
            <w:r>
              <w:rPr>
                <w:color w:val="1C3A36"/>
                <w:sz w:val="17"/>
              </w:rPr>
              <w:t>60,258</w:t>
            </w:r>
          </w:p>
        </w:tc>
        <w:tc>
          <w:tcPr>
            <w:tcW w:type="dxa" w:w="1224"/>
            <w:shd w:val="clear" w:color="auto" w:fill="EFF3F1"/>
          </w:tcPr>
          <w:p>
            <w:r/>
            <w:r>
              <w:rPr>
                <w:color w:val="1C3A36"/>
                <w:sz w:val="17"/>
              </w:rPr>
              <w:t>67,942</w:t>
            </w:r>
          </w:p>
        </w:tc>
        <w:tc>
          <w:tcPr>
            <w:tcW w:type="dxa" w:w="1224"/>
            <w:shd w:val="clear" w:color="auto" w:fill="EFF3F1"/>
          </w:tcPr>
          <w:p>
            <w:r/>
            <w:r>
              <w:rPr>
                <w:color w:val="1C3A36"/>
                <w:sz w:val="17"/>
              </w:rPr>
              <w:t>74,000</w:t>
            </w:r>
          </w:p>
        </w:tc>
        <w:tc>
          <w:tcPr>
            <w:tcW w:type="dxa" w:w="1224"/>
            <w:shd w:val="clear" w:color="auto" w:fill="EFF3F1"/>
          </w:tcPr>
          <w:p>
            <w:r/>
            <w:r>
              <w:rPr>
                <w:color w:val="1C3A36"/>
                <w:sz w:val="17"/>
              </w:rPr>
              <w:t>80,240</w:t>
            </w:r>
          </w:p>
        </w:tc>
        <w:tc>
          <w:tcPr>
            <w:tcW w:type="dxa" w:w="1224"/>
            <w:shd w:val="clear" w:color="auto" w:fill="EFF3F1"/>
          </w:tcPr>
          <w:p>
            <w:r/>
            <w:r>
              <w:rPr>
                <w:color w:val="1C3A36"/>
                <w:sz w:val="17"/>
              </w:rPr>
              <w:t>86,845</w:t>
            </w:r>
          </w:p>
        </w:tc>
        <w:tc>
          <w:tcPr>
            <w:tcW w:type="dxa" w:w="1224"/>
            <w:shd w:val="clear" w:color="auto" w:fill="EFF3F1"/>
          </w:tcPr>
          <w:p>
            <w:r/>
            <w:r>
              <w:rPr>
                <w:color w:val="1C3A36"/>
                <w:sz w:val="17"/>
              </w:rPr>
              <w:t>93,764</w:t>
            </w:r>
          </w:p>
        </w:tc>
        <w:tc>
          <w:tcPr>
            <w:tcW w:type="dxa" w:w="1224"/>
            <w:shd w:val="clear" w:color="auto" w:fill="EFF3F1"/>
          </w:tcPr>
          <w:p>
            <w:r/>
            <w:r>
              <w:rPr>
                <w:color w:val="1C3A36"/>
                <w:sz w:val="17"/>
              </w:rPr>
              <w:t>100,976</w:t>
            </w:r>
          </w:p>
        </w:tc>
        <w:tc>
          <w:tcPr>
            <w:tcW w:type="dxa" w:w="1130"/>
            <w:shd w:val="clear" w:color="auto" w:fill="EFF3F1"/>
          </w:tcPr>
          <w:p>
            <w:r/>
            <w:r>
              <w:rPr>
                <w:color w:val="1C3A36"/>
                <w:sz w:val="17"/>
              </w:rPr>
              <w:t>108,456</w:t>
            </w:r>
          </w:p>
        </w:tc>
      </w:tr>
      <w:tr>
        <w:tc>
          <w:tcPr>
            <w:tcW w:type="dxa" w:w="2448"/>
          </w:tcPr>
          <w:p>
            <w:r/>
            <w:r>
              <w:rPr>
                <w:color w:val="1C3A36"/>
                <w:sz w:val="17"/>
              </w:rPr>
              <w:t>Common equity</w:t>
            </w:r>
          </w:p>
        </w:tc>
        <w:tc>
          <w:tcPr>
            <w:tcW w:type="dxa" w:w="1224"/>
          </w:tcPr>
          <w:p>
            <w:r/>
            <w:r>
              <w:rPr>
                <w:color w:val="1C3A36"/>
                <w:sz w:val="17"/>
              </w:rPr>
              <w:t>52,258</w:t>
            </w:r>
          </w:p>
        </w:tc>
        <w:tc>
          <w:tcPr>
            <w:tcW w:type="dxa" w:w="1224"/>
          </w:tcPr>
          <w:p>
            <w:r/>
            <w:r>
              <w:rPr>
                <w:color w:val="1C3A36"/>
                <w:sz w:val="17"/>
              </w:rPr>
              <w:t>59,942</w:t>
            </w:r>
          </w:p>
        </w:tc>
        <w:tc>
          <w:tcPr>
            <w:tcW w:type="dxa" w:w="1224"/>
          </w:tcPr>
          <w:p>
            <w:r/>
            <w:r>
              <w:rPr>
                <w:color w:val="1C3A36"/>
                <w:sz w:val="17"/>
              </w:rPr>
              <w:t>66,000</w:t>
            </w:r>
          </w:p>
        </w:tc>
        <w:tc>
          <w:tcPr>
            <w:tcW w:type="dxa" w:w="1224"/>
          </w:tcPr>
          <w:p>
            <w:r/>
            <w:r>
              <w:rPr>
                <w:color w:val="1C3A36"/>
                <w:sz w:val="17"/>
              </w:rPr>
              <w:t>72,240</w:t>
            </w:r>
          </w:p>
        </w:tc>
        <w:tc>
          <w:tcPr>
            <w:tcW w:type="dxa" w:w="1224"/>
          </w:tcPr>
          <w:p>
            <w:r/>
            <w:r>
              <w:rPr>
                <w:color w:val="1C3A36"/>
                <w:sz w:val="17"/>
              </w:rPr>
              <w:t>78,845</w:t>
            </w:r>
          </w:p>
        </w:tc>
        <w:tc>
          <w:tcPr>
            <w:tcW w:type="dxa" w:w="1224"/>
          </w:tcPr>
          <w:p>
            <w:r/>
            <w:r>
              <w:rPr>
                <w:color w:val="1C3A36"/>
                <w:sz w:val="17"/>
              </w:rPr>
              <w:t>85,764</w:t>
            </w:r>
          </w:p>
        </w:tc>
        <w:tc>
          <w:tcPr>
            <w:tcW w:type="dxa" w:w="1224"/>
          </w:tcPr>
          <w:p>
            <w:r/>
            <w:r>
              <w:rPr>
                <w:color w:val="1C3A36"/>
                <w:sz w:val="17"/>
              </w:rPr>
              <w:t>92,976</w:t>
            </w:r>
          </w:p>
        </w:tc>
        <w:tc>
          <w:tcPr>
            <w:tcW w:type="dxa" w:w="1130"/>
          </w:tcPr>
          <w:p>
            <w:r/>
            <w:r>
              <w:rPr>
                <w:color w:val="1C3A36"/>
                <w:sz w:val="17"/>
              </w:rPr>
              <w:t>100,456</w:t>
            </w:r>
          </w:p>
        </w:tc>
      </w:tr>
      <w:tr>
        <w:tc>
          <w:tcPr>
            <w:tcW w:type="dxa" w:w="2448"/>
            <w:shd w:val="clear" w:color="auto" w:fill="EFF3F1"/>
          </w:tcPr>
          <w:p>
            <w:r/>
            <w:r>
              <w:rPr>
                <w:color w:val="1C3A36"/>
                <w:sz w:val="17"/>
              </w:rPr>
              <w:t>RWA (proxy, 72% of assets)</w:t>
            </w:r>
          </w:p>
        </w:tc>
        <w:tc>
          <w:tcPr>
            <w:tcW w:type="dxa" w:w="1224"/>
            <w:shd w:val="clear" w:color="auto" w:fill="EFF3F1"/>
          </w:tcPr>
          <w:p>
            <w:r/>
            <w:r>
              <w:rPr>
                <w:color w:val="1C3A36"/>
                <w:sz w:val="17"/>
              </w:rPr>
              <w:t>278,531</w:t>
            </w:r>
          </w:p>
        </w:tc>
        <w:tc>
          <w:tcPr>
            <w:tcW w:type="dxa" w:w="1224"/>
            <w:shd w:val="clear" w:color="auto" w:fill="EFF3F1"/>
          </w:tcPr>
          <w:p>
            <w:r/>
            <w:r>
              <w:rPr>
                <w:color w:val="1C3A36"/>
                <w:sz w:val="17"/>
              </w:rPr>
              <w:t>324,273</w:t>
            </w:r>
          </w:p>
        </w:tc>
        <w:tc>
          <w:tcPr>
            <w:tcW w:type="dxa" w:w="1224"/>
            <w:shd w:val="clear" w:color="auto" w:fill="EFF3F1"/>
          </w:tcPr>
          <w:p>
            <w:r/>
            <w:r>
              <w:rPr>
                <w:color w:val="1C3A36"/>
                <w:sz w:val="17"/>
              </w:rPr>
              <w:t>374,026</w:t>
            </w:r>
          </w:p>
        </w:tc>
        <w:tc>
          <w:tcPr>
            <w:tcW w:type="dxa" w:w="1224"/>
            <w:shd w:val="clear" w:color="auto" w:fill="EFF3F1"/>
          </w:tcPr>
          <w:p>
            <w:r/>
            <w:r>
              <w:rPr>
                <w:color w:val="1C3A36"/>
                <w:sz w:val="17"/>
              </w:rPr>
              <w:t>406,006</w:t>
            </w:r>
          </w:p>
        </w:tc>
        <w:tc>
          <w:tcPr>
            <w:tcW w:type="dxa" w:w="1224"/>
            <w:shd w:val="clear" w:color="auto" w:fill="EFF3F1"/>
          </w:tcPr>
          <w:p>
            <w:r/>
            <w:r>
              <w:rPr>
                <w:color w:val="1C3A36"/>
                <w:sz w:val="17"/>
              </w:rPr>
              <w:t>438,790</w:t>
            </w:r>
          </w:p>
        </w:tc>
        <w:tc>
          <w:tcPr>
            <w:tcW w:type="dxa" w:w="1224"/>
            <w:shd w:val="clear" w:color="auto" w:fill="EFF3F1"/>
          </w:tcPr>
          <w:p>
            <w:r/>
            <w:r>
              <w:rPr>
                <w:color w:val="1C3A36"/>
                <w:sz w:val="17"/>
              </w:rPr>
              <w:t>472,139</w:t>
            </w:r>
          </w:p>
        </w:tc>
        <w:tc>
          <w:tcPr>
            <w:tcW w:type="dxa" w:w="1224"/>
            <w:shd w:val="clear" w:color="auto" w:fill="EFF3F1"/>
          </w:tcPr>
          <w:p>
            <w:r/>
            <w:r>
              <w:rPr>
                <w:color w:val="1C3A36"/>
                <w:sz w:val="17"/>
              </w:rPr>
              <w:t>505,778</w:t>
            </w:r>
          </w:p>
        </w:tc>
        <w:tc>
          <w:tcPr>
            <w:tcW w:type="dxa" w:w="1130"/>
            <w:shd w:val="clear" w:color="auto" w:fill="EFF3F1"/>
          </w:tcPr>
          <w:p>
            <w:r/>
            <w:r>
              <w:rPr>
                <w:color w:val="1C3A36"/>
                <w:sz w:val="17"/>
              </w:rPr>
              <w:t>539,412</w:t>
            </w:r>
          </w:p>
        </w:tc>
      </w:tr>
      <w:tr>
        <w:tc>
          <w:tcPr>
            <w:tcW w:type="dxa" w:w="2448"/>
          </w:tcPr>
          <w:p>
            <w:r/>
            <w:r>
              <w:rPr>
                <w:color w:val="1C3A36"/>
                <w:sz w:val="17"/>
              </w:rPr>
              <w:t>Common equity / RWA (%)</w:t>
            </w:r>
          </w:p>
        </w:tc>
        <w:tc>
          <w:tcPr>
            <w:tcW w:type="dxa" w:w="1224"/>
          </w:tcPr>
          <w:p>
            <w:r/>
            <w:r>
              <w:rPr>
                <w:color w:val="1C3A36"/>
                <w:sz w:val="17"/>
              </w:rPr>
              <w:t>18.8</w:t>
            </w:r>
          </w:p>
        </w:tc>
        <w:tc>
          <w:tcPr>
            <w:tcW w:type="dxa" w:w="1224"/>
          </w:tcPr>
          <w:p>
            <w:r/>
            <w:r>
              <w:rPr>
                <w:color w:val="1C3A36"/>
                <w:sz w:val="17"/>
              </w:rPr>
              <w:t>18.5</w:t>
            </w:r>
          </w:p>
        </w:tc>
        <w:tc>
          <w:tcPr>
            <w:tcW w:type="dxa" w:w="1224"/>
          </w:tcPr>
          <w:p>
            <w:r/>
            <w:r>
              <w:rPr>
                <w:color w:val="1C3A36"/>
                <w:sz w:val="17"/>
              </w:rPr>
              <w:t>17.6</w:t>
            </w:r>
          </w:p>
        </w:tc>
        <w:tc>
          <w:tcPr>
            <w:tcW w:type="dxa" w:w="1224"/>
          </w:tcPr>
          <w:p>
            <w:r/>
            <w:r>
              <w:rPr>
                <w:color w:val="1C3A36"/>
                <w:sz w:val="17"/>
              </w:rPr>
              <w:t>17.8</w:t>
            </w:r>
          </w:p>
        </w:tc>
        <w:tc>
          <w:tcPr>
            <w:tcW w:type="dxa" w:w="1224"/>
          </w:tcPr>
          <w:p>
            <w:r/>
            <w:r>
              <w:rPr>
                <w:color w:val="1C3A36"/>
                <w:sz w:val="17"/>
              </w:rPr>
              <w:t>18.0</w:t>
            </w:r>
          </w:p>
        </w:tc>
        <w:tc>
          <w:tcPr>
            <w:tcW w:type="dxa" w:w="1224"/>
          </w:tcPr>
          <w:p>
            <w:r/>
            <w:r>
              <w:rPr>
                <w:color w:val="1C3A36"/>
                <w:sz w:val="17"/>
              </w:rPr>
              <w:t>18.2</w:t>
            </w:r>
          </w:p>
        </w:tc>
        <w:tc>
          <w:tcPr>
            <w:tcW w:type="dxa" w:w="1224"/>
          </w:tcPr>
          <w:p>
            <w:r/>
            <w:r>
              <w:rPr>
                <w:color w:val="1C3A36"/>
                <w:sz w:val="17"/>
              </w:rPr>
              <w:t>18.4</w:t>
            </w:r>
          </w:p>
        </w:tc>
        <w:tc>
          <w:tcPr>
            <w:tcW w:type="dxa" w:w="1130"/>
          </w:tcPr>
          <w:p>
            <w:r/>
            <w:r>
              <w:rPr>
                <w:color w:val="1C3A36"/>
                <w:sz w:val="17"/>
              </w:rPr>
              <w:t>18.6</w:t>
            </w:r>
          </w:p>
        </w:tc>
      </w:tr>
      <w:tr>
        <w:tc>
          <w:tcPr>
            <w:tcW w:type="dxa" w:w="2448"/>
            <w:shd w:val="clear" w:color="auto" w:fill="EFF3F1"/>
          </w:tcPr>
          <w:p>
            <w:r/>
            <w:r>
              <w:rPr>
                <w:color w:val="1C3A36"/>
                <w:sz w:val="17"/>
              </w:rPr>
              <w:t>BVPS (post-bonus, SAR)</w:t>
            </w:r>
          </w:p>
        </w:tc>
        <w:tc>
          <w:tcPr>
            <w:tcW w:type="dxa" w:w="1224"/>
            <w:shd w:val="clear" w:color="auto" w:fill="EFF3F1"/>
          </w:tcPr>
          <w:p>
            <w:r/>
            <w:r>
              <w:rPr>
                <w:color w:val="1C3A36"/>
                <w:sz w:val="17"/>
              </w:rPr>
              <w:t>13.10</w:t>
            </w:r>
          </w:p>
        </w:tc>
        <w:tc>
          <w:tcPr>
            <w:tcW w:type="dxa" w:w="1224"/>
            <w:shd w:val="clear" w:color="auto" w:fill="EFF3F1"/>
          </w:tcPr>
          <w:p>
            <w:r/>
            <w:r>
              <w:rPr>
                <w:color w:val="1C3A36"/>
                <w:sz w:val="17"/>
              </w:rPr>
              <w:t>15.03</w:t>
            </w:r>
          </w:p>
        </w:tc>
        <w:tc>
          <w:tcPr>
            <w:tcW w:type="dxa" w:w="1224"/>
            <w:shd w:val="clear" w:color="auto" w:fill="EFF3F1"/>
          </w:tcPr>
          <w:p>
            <w:r/>
            <w:r>
              <w:rPr>
                <w:color w:val="1C3A36"/>
                <w:sz w:val="17"/>
              </w:rPr>
              <w:t>16.55</w:t>
            </w:r>
          </w:p>
        </w:tc>
        <w:tc>
          <w:tcPr>
            <w:tcW w:type="dxa" w:w="1224"/>
            <w:shd w:val="clear" w:color="auto" w:fill="EFF3F1"/>
          </w:tcPr>
          <w:p>
            <w:r/>
            <w:r>
              <w:rPr>
                <w:color w:val="1C3A36"/>
                <w:sz w:val="17"/>
              </w:rPr>
              <w:t>18.11</w:t>
            </w:r>
          </w:p>
        </w:tc>
        <w:tc>
          <w:tcPr>
            <w:tcW w:type="dxa" w:w="1224"/>
            <w:shd w:val="clear" w:color="auto" w:fill="EFF3F1"/>
          </w:tcPr>
          <w:p>
            <w:r/>
            <w:r>
              <w:rPr>
                <w:color w:val="1C3A36"/>
                <w:sz w:val="17"/>
              </w:rPr>
              <w:t>19.77</w:t>
            </w:r>
          </w:p>
        </w:tc>
        <w:tc>
          <w:tcPr>
            <w:tcW w:type="dxa" w:w="1224"/>
            <w:shd w:val="clear" w:color="auto" w:fill="EFF3F1"/>
          </w:tcPr>
          <w:p>
            <w:r/>
            <w:r>
              <w:rPr>
                <w:color w:val="1C3A36"/>
                <w:sz w:val="17"/>
              </w:rPr>
              <w:t>21.51</w:t>
            </w:r>
          </w:p>
        </w:tc>
        <w:tc>
          <w:tcPr>
            <w:tcW w:type="dxa" w:w="1224"/>
            <w:shd w:val="clear" w:color="auto" w:fill="EFF3F1"/>
          </w:tcPr>
          <w:p>
            <w:r/>
            <w:r>
              <w:rPr>
                <w:color w:val="1C3A36"/>
                <w:sz w:val="17"/>
              </w:rPr>
              <w:t>23.31</w:t>
            </w:r>
          </w:p>
        </w:tc>
        <w:tc>
          <w:tcPr>
            <w:tcW w:type="dxa" w:w="1130"/>
            <w:shd w:val="clear" w:color="auto" w:fill="EFF3F1"/>
          </w:tcPr>
          <w:p>
            <w:r/>
            <w:r>
              <w:rPr>
                <w:color w:val="1C3A36"/>
                <w:sz w:val="17"/>
              </w:rPr>
              <w:t>25.19</w:t>
            </w:r>
          </w:p>
        </w:tc>
      </w:tr>
    </w:tbl>
    <w:p>
      <w:pPr>
        <w:spacing w:after="180" w:before="0"/>
      </w:pPr>
      <w:r>
        <w:rPr>
          <w:b w:val="0"/>
          <w:i/>
          <w:color w:val="6E7B77"/>
          <w:sz w:val="17"/>
        </w:rPr>
        <w:t>Total assets / equity FY23–24 from disclosed statements (Yahoo Finance normalization); FY25 total assets SAR 519,481mn, loans 373,305mn, deposits 331,721mn disclosed. Tier-1 sukuk (SAR ~8bn) and the common-equity split are estimated to disclosed totals; RWA is a 72%-of-assets proxy. Common equity/RWA is a CET1-proxy, not the reported regulatory ratio.</w:t>
      </w:r>
    </w:p>
    <w:p>
      <w:pPr>
        <w:spacing w:after="60" w:before="180"/>
      </w:pPr>
      <w:r>
        <w:rPr>
          <w:b/>
          <w:i w:val="0"/>
          <w:color w:val="1C3A36"/>
          <w:sz w:val="23"/>
        </w:rPr>
        <w:t>A.3  Cash flow — sources &amp; uses of equity capital (SAR mn)</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94"/>
        <w:gridCol w:w="1694"/>
        <w:gridCol w:w="1694"/>
        <w:gridCol w:w="1694"/>
        <w:gridCol w:w="1694"/>
        <w:gridCol w:w="1694"/>
      </w:tblGrid>
      <w:tr>
        <w:tc>
          <w:tcPr>
            <w:tcW w:type="dxa" w:w="2880"/>
            <w:shd w:val="clear" w:color="auto" w:fill="1C3A36"/>
          </w:tcPr>
          <w:p>
            <w:r/>
            <w:r>
              <w:rPr>
                <w:b/>
                <w:color w:val="FFFFFF"/>
                <w:sz w:val="17"/>
              </w:rPr>
              <w:t>Line</w:t>
            </w:r>
          </w:p>
        </w:tc>
        <w:tc>
          <w:tcPr>
            <w:tcW w:type="dxa" w:w="1296"/>
            <w:shd w:val="clear" w:color="auto" w:fill="1C3A36"/>
          </w:tcPr>
          <w:p>
            <w:r/>
            <w:r>
              <w:rPr>
                <w:b/>
                <w:color w:val="FFFFFF"/>
                <w:sz w:val="17"/>
              </w:rPr>
              <w:t>FY26E</w:t>
            </w:r>
          </w:p>
        </w:tc>
        <w:tc>
          <w:tcPr>
            <w:tcW w:type="dxa" w:w="1296"/>
            <w:shd w:val="clear" w:color="auto" w:fill="1C3A36"/>
          </w:tcPr>
          <w:p>
            <w:r/>
            <w:r>
              <w:rPr>
                <w:b/>
                <w:color w:val="FFFFFF"/>
                <w:sz w:val="17"/>
              </w:rPr>
              <w:t>FY27E</w:t>
            </w:r>
          </w:p>
        </w:tc>
        <w:tc>
          <w:tcPr>
            <w:tcW w:type="dxa" w:w="1296"/>
            <w:shd w:val="clear" w:color="auto" w:fill="1C3A36"/>
          </w:tcPr>
          <w:p>
            <w:r/>
            <w:r>
              <w:rPr>
                <w:b/>
                <w:color w:val="FFFFFF"/>
                <w:sz w:val="17"/>
              </w:rPr>
              <w:t>FY28E</w:t>
            </w:r>
          </w:p>
        </w:tc>
        <w:tc>
          <w:tcPr>
            <w:tcW w:type="dxa" w:w="1296"/>
            <w:shd w:val="clear" w:color="auto" w:fill="1C3A36"/>
          </w:tcPr>
          <w:p>
            <w:r/>
            <w:r>
              <w:rPr>
                <w:b/>
                <w:color w:val="FFFFFF"/>
                <w:sz w:val="17"/>
              </w:rPr>
              <w:t>FY29E</w:t>
            </w:r>
          </w:p>
        </w:tc>
        <w:tc>
          <w:tcPr>
            <w:tcW w:type="dxa" w:w="1296"/>
            <w:shd w:val="clear" w:color="auto" w:fill="1C3A36"/>
          </w:tcPr>
          <w:p>
            <w:r/>
            <w:r>
              <w:rPr>
                <w:b/>
                <w:color w:val="FFFFFF"/>
                <w:sz w:val="17"/>
              </w:rPr>
              <w:t>FY30E</w:t>
            </w:r>
          </w:p>
        </w:tc>
      </w:tr>
      <w:tr>
        <w:tc>
          <w:tcPr>
            <w:tcW w:type="dxa" w:w="2880"/>
          </w:tcPr>
          <w:p>
            <w:r/>
            <w:r>
              <w:rPr>
                <w:color w:val="1C3A36"/>
                <w:sz w:val="17"/>
              </w:rPr>
              <w:t>Net income</w:t>
            </w:r>
          </w:p>
        </w:tc>
        <w:tc>
          <w:tcPr>
            <w:tcW w:type="dxa" w:w="1296"/>
          </w:tcPr>
          <w:p>
            <w:r/>
            <w:r>
              <w:rPr>
                <w:color w:val="1C3A36"/>
                <w:sz w:val="17"/>
              </w:rPr>
              <w:t>11,296</w:t>
            </w:r>
          </w:p>
        </w:tc>
        <w:tc>
          <w:tcPr>
            <w:tcW w:type="dxa" w:w="1296"/>
          </w:tcPr>
          <w:p>
            <w:r/>
            <w:r>
              <w:rPr>
                <w:color w:val="1C3A36"/>
                <w:sz w:val="17"/>
              </w:rPr>
              <w:t>12,143</w:t>
            </w:r>
          </w:p>
        </w:tc>
        <w:tc>
          <w:tcPr>
            <w:tcW w:type="dxa" w:w="1296"/>
          </w:tcPr>
          <w:p>
            <w:r/>
            <w:r>
              <w:rPr>
                <w:color w:val="1C3A36"/>
                <w:sz w:val="17"/>
              </w:rPr>
              <w:t>12,932</w:t>
            </w:r>
          </w:p>
        </w:tc>
        <w:tc>
          <w:tcPr>
            <w:tcW w:type="dxa" w:w="1296"/>
          </w:tcPr>
          <w:p>
            <w:r/>
            <w:r>
              <w:rPr>
                <w:color w:val="1C3A36"/>
                <w:sz w:val="17"/>
              </w:rPr>
              <w:t>13,708</w:t>
            </w:r>
          </w:p>
        </w:tc>
        <w:tc>
          <w:tcPr>
            <w:tcW w:type="dxa" w:w="1296"/>
          </w:tcPr>
          <w:p>
            <w:r/>
            <w:r>
              <w:rPr>
                <w:color w:val="1C3A36"/>
                <w:sz w:val="17"/>
              </w:rPr>
              <w:t>14,462</w:t>
            </w:r>
          </w:p>
        </w:tc>
      </w:tr>
      <w:tr>
        <w:tc>
          <w:tcPr>
            <w:tcW w:type="dxa" w:w="2880"/>
            <w:shd w:val="clear" w:color="auto" w:fill="EFF3F1"/>
          </w:tcPr>
          <w:p>
            <w:r/>
            <w:r>
              <w:rPr>
                <w:color w:val="1C3A36"/>
                <w:sz w:val="17"/>
              </w:rPr>
              <w:t>− dividends paid</w:t>
            </w:r>
          </w:p>
        </w:tc>
        <w:tc>
          <w:tcPr>
            <w:tcW w:type="dxa" w:w="1296"/>
            <w:shd w:val="clear" w:color="auto" w:fill="EFF3F1"/>
          </w:tcPr>
          <w:p>
            <w:r/>
            <w:r>
              <w:rPr>
                <w:color w:val="1C3A36"/>
                <w:sz w:val="17"/>
              </w:rPr>
              <w:t>(4,706)</w:t>
            </w:r>
          </w:p>
        </w:tc>
        <w:tc>
          <w:tcPr>
            <w:tcW w:type="dxa" w:w="1296"/>
            <w:shd w:val="clear" w:color="auto" w:fill="EFF3F1"/>
          </w:tcPr>
          <w:p>
            <w:r/>
            <w:r>
              <w:rPr>
                <w:color w:val="1C3A36"/>
                <w:sz w:val="17"/>
              </w:rPr>
              <w:t>(5,188)</w:t>
            </w:r>
          </w:p>
        </w:tc>
        <w:tc>
          <w:tcPr>
            <w:tcW w:type="dxa" w:w="1296"/>
            <w:shd w:val="clear" w:color="auto" w:fill="EFF3F1"/>
          </w:tcPr>
          <w:p>
            <w:r/>
            <w:r>
              <w:rPr>
                <w:color w:val="1C3A36"/>
                <w:sz w:val="17"/>
              </w:rPr>
              <w:t>(5,663)</w:t>
            </w:r>
          </w:p>
        </w:tc>
        <w:tc>
          <w:tcPr>
            <w:tcW w:type="dxa" w:w="1296"/>
            <w:shd w:val="clear" w:color="auto" w:fill="EFF3F1"/>
          </w:tcPr>
          <w:p>
            <w:r/>
            <w:r>
              <w:rPr>
                <w:color w:val="1C3A36"/>
                <w:sz w:val="17"/>
              </w:rPr>
              <w:t>(6,146)</w:t>
            </w:r>
          </w:p>
        </w:tc>
        <w:tc>
          <w:tcPr>
            <w:tcW w:type="dxa" w:w="1296"/>
            <w:shd w:val="clear" w:color="auto" w:fill="EFF3F1"/>
          </w:tcPr>
          <w:p>
            <w:r/>
            <w:r>
              <w:rPr>
                <w:color w:val="1C3A36"/>
                <w:sz w:val="17"/>
              </w:rPr>
              <w:t>(6,632)</w:t>
            </w:r>
          </w:p>
        </w:tc>
      </w:tr>
      <w:tr>
        <w:tc>
          <w:tcPr>
            <w:tcW w:type="dxa" w:w="2880"/>
          </w:tcPr>
          <w:p>
            <w:r/>
            <w:r>
              <w:rPr>
                <w:color w:val="1C3A36"/>
                <w:sz w:val="17"/>
              </w:rPr>
              <w:t>− capital retained for RWA growth</w:t>
            </w:r>
          </w:p>
        </w:tc>
        <w:tc>
          <w:tcPr>
            <w:tcW w:type="dxa" w:w="1296"/>
          </w:tcPr>
          <w:p>
            <w:r/>
            <w:r>
              <w:rPr>
                <w:color w:val="1C3A36"/>
                <w:sz w:val="17"/>
              </w:rPr>
              <w:t>(5,117)</w:t>
            </w:r>
          </w:p>
        </w:tc>
        <w:tc>
          <w:tcPr>
            <w:tcW w:type="dxa" w:w="1296"/>
          </w:tcPr>
          <w:p>
            <w:r/>
            <w:r>
              <w:rPr>
                <w:color w:val="1C3A36"/>
                <w:sz w:val="17"/>
              </w:rPr>
              <w:t>(5,245)</w:t>
            </w:r>
          </w:p>
        </w:tc>
        <w:tc>
          <w:tcPr>
            <w:tcW w:type="dxa" w:w="1296"/>
          </w:tcPr>
          <w:p>
            <w:r/>
            <w:r>
              <w:rPr>
                <w:color w:val="1C3A36"/>
                <w:sz w:val="17"/>
              </w:rPr>
              <w:t>(5,336)</w:t>
            </w:r>
          </w:p>
        </w:tc>
        <w:tc>
          <w:tcPr>
            <w:tcW w:type="dxa" w:w="1296"/>
          </w:tcPr>
          <w:p>
            <w:r/>
            <w:r>
              <w:rPr>
                <w:color w:val="1C3A36"/>
                <w:sz w:val="17"/>
              </w:rPr>
              <w:t>(5,382)</w:t>
            </w:r>
          </w:p>
        </w:tc>
        <w:tc>
          <w:tcPr>
            <w:tcW w:type="dxa" w:w="1296"/>
          </w:tcPr>
          <w:p>
            <w:r/>
            <w:r>
              <w:rPr>
                <w:color w:val="1C3A36"/>
                <w:sz w:val="17"/>
              </w:rPr>
              <w:t>(5,381)</w:t>
            </w:r>
          </w:p>
        </w:tc>
      </w:tr>
      <w:tr>
        <w:tc>
          <w:tcPr>
            <w:tcW w:type="dxa" w:w="2880"/>
            <w:shd w:val="clear" w:color="auto" w:fill="EFF3F1"/>
          </w:tcPr>
          <w:p>
            <w:r/>
            <w:r>
              <w:rPr>
                <w:color w:val="1C3A36"/>
                <w:sz w:val="17"/>
              </w:rPr>
              <w:t>= retained surplus (buffer)</w:t>
            </w:r>
          </w:p>
        </w:tc>
        <w:tc>
          <w:tcPr>
            <w:tcW w:type="dxa" w:w="1296"/>
            <w:shd w:val="clear" w:color="auto" w:fill="EFF3F1"/>
          </w:tcPr>
          <w:p>
            <w:r/>
            <w:r>
              <w:rPr>
                <w:color w:val="1C3A36"/>
                <w:sz w:val="17"/>
              </w:rPr>
              <w:t>1,473</w:t>
            </w:r>
          </w:p>
        </w:tc>
        <w:tc>
          <w:tcPr>
            <w:tcW w:type="dxa" w:w="1296"/>
            <w:shd w:val="clear" w:color="auto" w:fill="EFF3F1"/>
          </w:tcPr>
          <w:p>
            <w:r/>
            <w:r>
              <w:rPr>
                <w:color w:val="1C3A36"/>
                <w:sz w:val="17"/>
              </w:rPr>
              <w:t>1,710</w:t>
            </w:r>
          </w:p>
        </w:tc>
        <w:tc>
          <w:tcPr>
            <w:tcW w:type="dxa" w:w="1296"/>
            <w:shd w:val="clear" w:color="auto" w:fill="EFF3F1"/>
          </w:tcPr>
          <w:p>
            <w:r/>
            <w:r>
              <w:rPr>
                <w:color w:val="1C3A36"/>
                <w:sz w:val="17"/>
              </w:rPr>
              <w:t>1,933</w:t>
            </w:r>
          </w:p>
        </w:tc>
        <w:tc>
          <w:tcPr>
            <w:tcW w:type="dxa" w:w="1296"/>
            <w:shd w:val="clear" w:color="auto" w:fill="EFF3F1"/>
          </w:tcPr>
          <w:p>
            <w:r/>
            <w:r>
              <w:rPr>
                <w:color w:val="1C3A36"/>
                <w:sz w:val="17"/>
              </w:rPr>
              <w:t>2,180</w:t>
            </w:r>
          </w:p>
        </w:tc>
        <w:tc>
          <w:tcPr>
            <w:tcW w:type="dxa" w:w="1296"/>
            <w:shd w:val="clear" w:color="auto" w:fill="EFF3F1"/>
          </w:tcPr>
          <w:p>
            <w:r/>
            <w:r>
              <w:rPr>
                <w:color w:val="1C3A36"/>
                <w:sz w:val="17"/>
              </w:rPr>
              <w:t>2,449</w:t>
            </w:r>
          </w:p>
        </w:tc>
      </w:tr>
      <w:tr>
        <w:tc>
          <w:tcPr>
            <w:tcW w:type="dxa" w:w="2880"/>
          </w:tcPr>
          <w:p>
            <w:r/>
            <w:r>
              <w:rPr>
                <w:color w:val="1C3A36"/>
                <w:sz w:val="17"/>
              </w:rPr>
              <w:t>Memo: FCFE</w:t>
            </w:r>
          </w:p>
        </w:tc>
        <w:tc>
          <w:tcPr>
            <w:tcW w:type="dxa" w:w="1296"/>
          </w:tcPr>
          <w:p>
            <w:r/>
            <w:r>
              <w:rPr>
                <w:color w:val="1C3A36"/>
                <w:sz w:val="17"/>
              </w:rPr>
              <w:t>6,179</w:t>
            </w:r>
          </w:p>
        </w:tc>
        <w:tc>
          <w:tcPr>
            <w:tcW w:type="dxa" w:w="1296"/>
          </w:tcPr>
          <w:p>
            <w:r/>
            <w:r>
              <w:rPr>
                <w:color w:val="1C3A36"/>
                <w:sz w:val="17"/>
              </w:rPr>
              <w:t>6,898</w:t>
            </w:r>
          </w:p>
        </w:tc>
        <w:tc>
          <w:tcPr>
            <w:tcW w:type="dxa" w:w="1296"/>
          </w:tcPr>
          <w:p>
            <w:r/>
            <w:r>
              <w:rPr>
                <w:color w:val="1C3A36"/>
                <w:sz w:val="17"/>
              </w:rPr>
              <w:t>7,596</w:t>
            </w:r>
          </w:p>
        </w:tc>
        <w:tc>
          <w:tcPr>
            <w:tcW w:type="dxa" w:w="1296"/>
          </w:tcPr>
          <w:p>
            <w:r/>
            <w:r>
              <w:rPr>
                <w:color w:val="1C3A36"/>
                <w:sz w:val="17"/>
              </w:rPr>
              <w:t>8,326</w:t>
            </w:r>
          </w:p>
        </w:tc>
        <w:tc>
          <w:tcPr>
            <w:tcW w:type="dxa" w:w="1296"/>
          </w:tcPr>
          <w:p>
            <w:r/>
            <w:r>
              <w:rPr>
                <w:color w:val="1C3A36"/>
                <w:sz w:val="17"/>
              </w:rPr>
              <w:t>9,081</w:t>
            </w:r>
          </w:p>
        </w:tc>
      </w:tr>
    </w:tbl>
    <w:p>
      <w:pPr>
        <w:spacing w:after="120" w:before="0"/>
      </w:pPr>
      <w:r>
        <w:rPr>
          <w:b w:val="0"/>
          <w:i/>
          <w:color w:val="6E7B77"/>
          <w:sz w:val="17"/>
        </w:rPr>
        <w:t>For a bank the relevant flow is distributable capital: net income less the capital retained to fund RWA growth. The retained surplus above the dividend is the buffer the excess-return lenses value.</w:t>
      </w:r>
    </w:p>
    <w:p>
      <w:pPr>
        <w:spacing w:after="100" w:before="260"/>
      </w:pPr>
      <w:r>
        <w:rPr>
          <w:b/>
          <w:i w:val="0"/>
          <w:color w:val="1C3A36"/>
          <w:sz w:val="30"/>
        </w:rPr>
        <w:t>Appendix B  Peer set, sector structure, and risks</w:t>
      </w:r>
    </w:p>
    <w:p>
      <w:pPr>
        <w:spacing w:after="120" w:before="0"/>
      </w:pPr>
      <w:r>
        <w:rPr>
          <w:b w:val="0"/>
          <w:i w:val="0"/>
          <w:color w:val="1C3A36"/>
          <w:sz w:val="19"/>
        </w:rPr>
        <w:t>Riyad Bank is a mid-to-large name in a concentrated, well-capitalised Saudi banking sector, and screens cheaply against both Saudi and wider GCC peers — the discount its 16% ROE does not obviously earn, which is the core of the undervaluation thesis.</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33"/>
        <w:gridCol w:w="2033"/>
        <w:gridCol w:w="2033"/>
        <w:gridCol w:w="2033"/>
        <w:gridCol w:w="2033"/>
      </w:tblGrid>
      <w:tr>
        <w:tc>
          <w:tcPr>
            <w:tcW w:type="dxa" w:w="2736"/>
            <w:shd w:val="clear" w:color="auto" w:fill="1C3A36"/>
          </w:tcPr>
          <w:p>
            <w:r/>
            <w:r>
              <w:rPr>
                <w:b/>
                <w:color w:val="FFFFFF"/>
                <w:sz w:val="17"/>
              </w:rPr>
              <w:t>Bank</w:t>
            </w:r>
          </w:p>
        </w:tc>
        <w:tc>
          <w:tcPr>
            <w:tcW w:type="dxa" w:w="1152"/>
            <w:shd w:val="clear" w:color="auto" w:fill="1C3A36"/>
          </w:tcPr>
          <w:p>
            <w:r/>
            <w:r>
              <w:rPr>
                <w:b/>
                <w:color w:val="FFFFFF"/>
                <w:sz w:val="17"/>
              </w:rPr>
              <w:t>P/B</w:t>
            </w:r>
          </w:p>
        </w:tc>
        <w:tc>
          <w:tcPr>
            <w:tcW w:type="dxa" w:w="1152"/>
            <w:shd w:val="clear" w:color="auto" w:fill="1C3A36"/>
          </w:tcPr>
          <w:p>
            <w:r/>
            <w:r>
              <w:rPr>
                <w:b/>
                <w:color w:val="FFFFFF"/>
                <w:sz w:val="17"/>
              </w:rPr>
              <w:t>P/E</w:t>
            </w:r>
          </w:p>
        </w:tc>
        <w:tc>
          <w:tcPr>
            <w:tcW w:type="dxa" w:w="1152"/>
            <w:shd w:val="clear" w:color="auto" w:fill="1C3A36"/>
          </w:tcPr>
          <w:p>
            <w:r/>
            <w:r>
              <w:rPr>
                <w:b/>
                <w:color w:val="FFFFFF"/>
                <w:sz w:val="17"/>
              </w:rPr>
              <w:t>ROE</w:t>
            </w:r>
          </w:p>
        </w:tc>
        <w:tc>
          <w:tcPr>
            <w:tcW w:type="dxa" w:w="3168"/>
            <w:shd w:val="clear" w:color="auto" w:fill="1C3A36"/>
          </w:tcPr>
          <w:p>
            <w:r/>
            <w:r>
              <w:rPr>
                <w:b/>
                <w:color w:val="FFFFFF"/>
                <w:sz w:val="17"/>
              </w:rPr>
              <w:t>Note</w:t>
            </w:r>
          </w:p>
        </w:tc>
      </w:tr>
      <w:tr>
        <w:tc>
          <w:tcPr>
            <w:tcW w:type="dxa" w:w="2736"/>
          </w:tcPr>
          <w:p>
            <w:r/>
            <w:r>
              <w:rPr>
                <w:color w:val="1C3A36"/>
                <w:sz w:val="17"/>
              </w:rPr>
              <w:t>Al Rajhi</w:t>
            </w:r>
          </w:p>
        </w:tc>
        <w:tc>
          <w:tcPr>
            <w:tcW w:type="dxa" w:w="1152"/>
          </w:tcPr>
          <w:p>
            <w:r/>
            <w:r>
              <w:rPr>
                <w:color w:val="1C3A36"/>
                <w:sz w:val="17"/>
              </w:rPr>
              <w:t>~3.5×</w:t>
            </w:r>
          </w:p>
        </w:tc>
        <w:tc>
          <w:tcPr>
            <w:tcW w:type="dxa" w:w="1152"/>
          </w:tcPr>
          <w:p>
            <w:r/>
            <w:r>
              <w:rPr>
                <w:color w:val="1C3A36"/>
                <w:sz w:val="17"/>
              </w:rPr>
              <w:t>~16×</w:t>
            </w:r>
          </w:p>
        </w:tc>
        <w:tc>
          <w:tcPr>
            <w:tcW w:type="dxa" w:w="1152"/>
          </w:tcPr>
          <w:p>
            <w:r/>
            <w:r>
              <w:rPr>
                <w:color w:val="1C3A36"/>
                <w:sz w:val="17"/>
              </w:rPr>
              <w:t>~23%</w:t>
            </w:r>
          </w:p>
        </w:tc>
        <w:tc>
          <w:tcPr>
            <w:tcW w:type="dxa" w:w="3168"/>
          </w:tcPr>
          <w:p>
            <w:r/>
            <w:r>
              <w:rPr>
                <w:color w:val="1C3A36"/>
                <w:sz w:val="17"/>
              </w:rPr>
              <w:t>Premium Islamic compounder</w:t>
            </w:r>
          </w:p>
        </w:tc>
      </w:tr>
      <w:tr>
        <w:tc>
          <w:tcPr>
            <w:tcW w:type="dxa" w:w="2736"/>
            <w:shd w:val="clear" w:color="auto" w:fill="EFF3F1"/>
          </w:tcPr>
          <w:p>
            <w:r/>
            <w:r>
              <w:rPr>
                <w:color w:val="1C3A36"/>
                <w:sz w:val="17"/>
              </w:rPr>
              <w:t>SNB (Saudi National)</w:t>
            </w:r>
          </w:p>
        </w:tc>
        <w:tc>
          <w:tcPr>
            <w:tcW w:type="dxa" w:w="1152"/>
            <w:shd w:val="clear" w:color="auto" w:fill="EFF3F1"/>
          </w:tcPr>
          <w:p>
            <w:r/>
            <w:r>
              <w:rPr>
                <w:color w:val="1C3A36"/>
                <w:sz w:val="17"/>
              </w:rPr>
              <w:t>~1.4×</w:t>
            </w:r>
          </w:p>
        </w:tc>
        <w:tc>
          <w:tcPr>
            <w:tcW w:type="dxa" w:w="1152"/>
            <w:shd w:val="clear" w:color="auto" w:fill="EFF3F1"/>
          </w:tcPr>
          <w:p>
            <w:r/>
            <w:r>
              <w:rPr>
                <w:color w:val="1C3A36"/>
                <w:sz w:val="17"/>
              </w:rPr>
              <w:t>~10×</w:t>
            </w:r>
          </w:p>
        </w:tc>
        <w:tc>
          <w:tcPr>
            <w:tcW w:type="dxa" w:w="1152"/>
            <w:shd w:val="clear" w:color="auto" w:fill="EFF3F1"/>
          </w:tcPr>
          <w:p>
            <w:r/>
            <w:r>
              <w:rPr>
                <w:color w:val="1C3A36"/>
                <w:sz w:val="17"/>
              </w:rPr>
              <w:t>~13%</w:t>
            </w:r>
          </w:p>
        </w:tc>
        <w:tc>
          <w:tcPr>
            <w:tcW w:type="dxa" w:w="3168"/>
            <w:shd w:val="clear" w:color="auto" w:fill="EFF3F1"/>
          </w:tcPr>
          <w:p>
            <w:r/>
            <w:r>
              <w:rPr>
                <w:color w:val="1C3A36"/>
                <w:sz w:val="17"/>
              </w:rPr>
              <w:t>Largest by assets, PIF-majority</w:t>
            </w:r>
          </w:p>
        </w:tc>
      </w:tr>
      <w:tr>
        <w:tc>
          <w:tcPr>
            <w:tcW w:type="dxa" w:w="2736"/>
          </w:tcPr>
          <w:p>
            <w:r/>
            <w:r>
              <w:rPr>
                <w:color w:val="1C3A36"/>
                <w:sz w:val="17"/>
              </w:rPr>
              <w:t>Riyad Bank</w:t>
            </w:r>
          </w:p>
        </w:tc>
        <w:tc>
          <w:tcPr>
            <w:tcW w:type="dxa" w:w="1152"/>
          </w:tcPr>
          <w:p>
            <w:r/>
            <w:r>
              <w:rPr>
                <w:color w:val="1C3A36"/>
                <w:sz w:val="17"/>
              </w:rPr>
              <w:t>~1.2×</w:t>
            </w:r>
          </w:p>
        </w:tc>
        <w:tc>
          <w:tcPr>
            <w:tcW w:type="dxa" w:w="1152"/>
          </w:tcPr>
          <w:p>
            <w:r/>
            <w:r>
              <w:rPr>
                <w:color w:val="1C3A36"/>
                <w:sz w:val="17"/>
              </w:rPr>
              <w:t>~8×</w:t>
            </w:r>
          </w:p>
        </w:tc>
        <w:tc>
          <w:tcPr>
            <w:tcW w:type="dxa" w:w="1152"/>
          </w:tcPr>
          <w:p>
            <w:r/>
            <w:r>
              <w:rPr>
                <w:color w:val="1C3A36"/>
                <w:sz w:val="17"/>
              </w:rPr>
              <w:t>~16%</w:t>
            </w:r>
          </w:p>
        </w:tc>
        <w:tc>
          <w:tcPr>
            <w:tcW w:type="dxa" w:w="3168"/>
          </w:tcPr>
          <w:p>
            <w:r/>
            <w:r>
              <w:rPr>
                <w:color w:val="1C3A36"/>
                <w:sz w:val="17"/>
              </w:rPr>
              <w:t>This study — cheap for the ROE</w:t>
            </w:r>
          </w:p>
        </w:tc>
      </w:tr>
      <w:tr>
        <w:tc>
          <w:tcPr>
            <w:tcW w:type="dxa" w:w="2736"/>
            <w:shd w:val="clear" w:color="auto" w:fill="EFF3F1"/>
          </w:tcPr>
          <w:p>
            <w:r/>
            <w:r>
              <w:rPr>
                <w:color w:val="1C3A36"/>
                <w:sz w:val="17"/>
              </w:rPr>
              <w:t>Alinma</w:t>
            </w:r>
          </w:p>
        </w:tc>
        <w:tc>
          <w:tcPr>
            <w:tcW w:type="dxa" w:w="1152"/>
            <w:shd w:val="clear" w:color="auto" w:fill="EFF3F1"/>
          </w:tcPr>
          <w:p>
            <w:r/>
            <w:r>
              <w:rPr>
                <w:color w:val="1C3A36"/>
                <w:sz w:val="17"/>
              </w:rPr>
              <w:t>~1.6×</w:t>
            </w:r>
          </w:p>
        </w:tc>
        <w:tc>
          <w:tcPr>
            <w:tcW w:type="dxa" w:w="1152"/>
            <w:shd w:val="clear" w:color="auto" w:fill="EFF3F1"/>
          </w:tcPr>
          <w:p>
            <w:r/>
            <w:r>
              <w:rPr>
                <w:color w:val="1C3A36"/>
                <w:sz w:val="17"/>
              </w:rPr>
              <w:t>~11×</w:t>
            </w:r>
          </w:p>
        </w:tc>
        <w:tc>
          <w:tcPr>
            <w:tcW w:type="dxa" w:w="1152"/>
            <w:shd w:val="clear" w:color="auto" w:fill="EFF3F1"/>
          </w:tcPr>
          <w:p>
            <w:r/>
            <w:r>
              <w:rPr>
                <w:color w:val="1C3A36"/>
                <w:sz w:val="17"/>
              </w:rPr>
              <w:t>~15%</w:t>
            </w:r>
          </w:p>
        </w:tc>
        <w:tc>
          <w:tcPr>
            <w:tcW w:type="dxa" w:w="3168"/>
            <w:shd w:val="clear" w:color="auto" w:fill="EFF3F1"/>
          </w:tcPr>
          <w:p>
            <w:r/>
            <w:r>
              <w:rPr>
                <w:color w:val="1C3A36"/>
                <w:sz w:val="17"/>
              </w:rPr>
              <w:t>Faster-growing mid-tier</w:t>
            </w:r>
          </w:p>
        </w:tc>
      </w:tr>
      <w:tr>
        <w:tc>
          <w:tcPr>
            <w:tcW w:type="dxa" w:w="2736"/>
          </w:tcPr>
          <w:p>
            <w:r/>
            <w:r>
              <w:rPr>
                <w:color w:val="1C3A36"/>
                <w:sz w:val="17"/>
              </w:rPr>
              <w:t>Banque Saudi Fransi</w:t>
            </w:r>
          </w:p>
        </w:tc>
        <w:tc>
          <w:tcPr>
            <w:tcW w:type="dxa" w:w="1152"/>
          </w:tcPr>
          <w:p>
            <w:r/>
            <w:r>
              <w:rPr>
                <w:color w:val="1C3A36"/>
                <w:sz w:val="17"/>
              </w:rPr>
              <w:t>~1.1×</w:t>
            </w:r>
          </w:p>
        </w:tc>
        <w:tc>
          <w:tcPr>
            <w:tcW w:type="dxa" w:w="1152"/>
          </w:tcPr>
          <w:p>
            <w:r/>
            <w:r>
              <w:rPr>
                <w:color w:val="1C3A36"/>
                <w:sz w:val="17"/>
              </w:rPr>
              <w:t>~9×</w:t>
            </w:r>
          </w:p>
        </w:tc>
        <w:tc>
          <w:tcPr>
            <w:tcW w:type="dxa" w:w="1152"/>
          </w:tcPr>
          <w:p>
            <w:r/>
            <w:r>
              <w:rPr>
                <w:color w:val="1C3A36"/>
                <w:sz w:val="17"/>
              </w:rPr>
              <w:t>~12%</w:t>
            </w:r>
          </w:p>
        </w:tc>
        <w:tc>
          <w:tcPr>
            <w:tcW w:type="dxa" w:w="3168"/>
          </w:tcPr>
          <w:p>
            <w:r/>
            <w:r>
              <w:rPr>
                <w:color w:val="1C3A36"/>
                <w:sz w:val="17"/>
              </w:rPr>
              <w:t>Corporate-tilted</w:t>
            </w:r>
          </w:p>
        </w:tc>
      </w:tr>
      <w:tr>
        <w:tc>
          <w:tcPr>
            <w:tcW w:type="dxa" w:w="2736"/>
            <w:shd w:val="clear" w:color="auto" w:fill="EFF3F1"/>
          </w:tcPr>
          <w:p>
            <w:r/>
            <w:r>
              <w:rPr>
                <w:color w:val="1C3A36"/>
                <w:sz w:val="17"/>
              </w:rPr>
              <w:t>Arab National Bank</w:t>
            </w:r>
          </w:p>
        </w:tc>
        <w:tc>
          <w:tcPr>
            <w:tcW w:type="dxa" w:w="1152"/>
            <w:shd w:val="clear" w:color="auto" w:fill="EFF3F1"/>
          </w:tcPr>
          <w:p>
            <w:r/>
            <w:r>
              <w:rPr>
                <w:color w:val="1C3A36"/>
                <w:sz w:val="17"/>
              </w:rPr>
              <w:t>~1.0×</w:t>
            </w:r>
          </w:p>
        </w:tc>
        <w:tc>
          <w:tcPr>
            <w:tcW w:type="dxa" w:w="1152"/>
            <w:shd w:val="clear" w:color="auto" w:fill="EFF3F1"/>
          </w:tcPr>
          <w:p>
            <w:r/>
            <w:r>
              <w:rPr>
                <w:color w:val="1C3A36"/>
                <w:sz w:val="17"/>
              </w:rPr>
              <w:t>~8×</w:t>
            </w:r>
          </w:p>
        </w:tc>
        <w:tc>
          <w:tcPr>
            <w:tcW w:type="dxa" w:w="1152"/>
            <w:shd w:val="clear" w:color="auto" w:fill="EFF3F1"/>
          </w:tcPr>
          <w:p>
            <w:r/>
            <w:r>
              <w:rPr>
                <w:color w:val="1C3A36"/>
                <w:sz w:val="17"/>
              </w:rPr>
              <w:t>~12%</w:t>
            </w:r>
          </w:p>
        </w:tc>
        <w:tc>
          <w:tcPr>
            <w:tcW w:type="dxa" w:w="3168"/>
            <w:shd w:val="clear" w:color="auto" w:fill="EFF3F1"/>
          </w:tcPr>
          <w:p>
            <w:r/>
            <w:r>
              <w:rPr>
                <w:color w:val="1C3A36"/>
                <w:sz w:val="17"/>
              </w:rPr>
              <w:t>Value end of the sector</w:t>
            </w:r>
          </w:p>
        </w:tc>
      </w:tr>
      <w:tr>
        <w:tc>
          <w:tcPr>
            <w:tcW w:type="dxa" w:w="2736"/>
          </w:tcPr>
          <w:p>
            <w:r/>
            <w:r>
              <w:rPr>
                <w:color w:val="1C3A36"/>
                <w:sz w:val="17"/>
              </w:rPr>
              <w:t>Al Bilad</w:t>
            </w:r>
          </w:p>
        </w:tc>
        <w:tc>
          <w:tcPr>
            <w:tcW w:type="dxa" w:w="1152"/>
          </w:tcPr>
          <w:p>
            <w:r/>
            <w:r>
              <w:rPr>
                <w:color w:val="1C3A36"/>
                <w:sz w:val="17"/>
              </w:rPr>
              <w:t>~2.0×</w:t>
            </w:r>
          </w:p>
        </w:tc>
        <w:tc>
          <w:tcPr>
            <w:tcW w:type="dxa" w:w="1152"/>
          </w:tcPr>
          <w:p>
            <w:r/>
            <w:r>
              <w:rPr>
                <w:color w:val="1C3A36"/>
                <w:sz w:val="17"/>
              </w:rPr>
              <w:t>~14×</w:t>
            </w:r>
          </w:p>
        </w:tc>
        <w:tc>
          <w:tcPr>
            <w:tcW w:type="dxa" w:w="1152"/>
          </w:tcPr>
          <w:p>
            <w:r/>
            <w:r>
              <w:rPr>
                <w:color w:val="1C3A36"/>
                <w:sz w:val="17"/>
              </w:rPr>
              <w:t>~16%</w:t>
            </w:r>
          </w:p>
        </w:tc>
        <w:tc>
          <w:tcPr>
            <w:tcW w:type="dxa" w:w="3168"/>
          </w:tcPr>
          <w:p>
            <w:r/>
            <w:r>
              <w:rPr>
                <w:color w:val="1C3A36"/>
                <w:sz w:val="17"/>
              </w:rPr>
              <w:t>Retail/Islamic growth</w:t>
            </w:r>
          </w:p>
        </w:tc>
      </w:tr>
      <w:tr>
        <w:tc>
          <w:tcPr>
            <w:tcW w:type="dxa" w:w="2736"/>
            <w:shd w:val="clear" w:color="auto" w:fill="EFF3F1"/>
          </w:tcPr>
          <w:p>
            <w:r/>
            <w:r>
              <w:rPr>
                <w:color w:val="1C3A36"/>
                <w:sz w:val="17"/>
              </w:rPr>
              <w:t>Saudi Investment Bank</w:t>
            </w:r>
          </w:p>
        </w:tc>
        <w:tc>
          <w:tcPr>
            <w:tcW w:type="dxa" w:w="1152"/>
            <w:shd w:val="clear" w:color="auto" w:fill="EFF3F1"/>
          </w:tcPr>
          <w:p>
            <w:r/>
            <w:r>
              <w:rPr>
                <w:color w:val="1C3A36"/>
                <w:sz w:val="17"/>
              </w:rPr>
              <w:t>~0.9×</w:t>
            </w:r>
          </w:p>
        </w:tc>
        <w:tc>
          <w:tcPr>
            <w:tcW w:type="dxa" w:w="1152"/>
            <w:shd w:val="clear" w:color="auto" w:fill="EFF3F1"/>
          </w:tcPr>
          <w:p>
            <w:r/>
            <w:r>
              <w:rPr>
                <w:color w:val="1C3A36"/>
                <w:sz w:val="17"/>
              </w:rPr>
              <w:t>~8×</w:t>
            </w:r>
          </w:p>
        </w:tc>
        <w:tc>
          <w:tcPr>
            <w:tcW w:type="dxa" w:w="1152"/>
            <w:shd w:val="clear" w:color="auto" w:fill="EFF3F1"/>
          </w:tcPr>
          <w:p>
            <w:r/>
            <w:r>
              <w:rPr>
                <w:color w:val="1C3A36"/>
                <w:sz w:val="17"/>
              </w:rPr>
              <w:t>~11%</w:t>
            </w:r>
          </w:p>
        </w:tc>
        <w:tc>
          <w:tcPr>
            <w:tcW w:type="dxa" w:w="3168"/>
            <w:shd w:val="clear" w:color="auto" w:fill="EFF3F1"/>
          </w:tcPr>
          <w:p>
            <w:r/>
            <w:r>
              <w:rPr>
                <w:color w:val="1C3A36"/>
                <w:sz w:val="17"/>
              </w:rPr>
              <w:t>Smallest, deepest discount</w:t>
            </w:r>
          </w:p>
        </w:tc>
      </w:tr>
      <w:tr>
        <w:tc>
          <w:tcPr>
            <w:tcW w:type="dxa" w:w="2736"/>
          </w:tcPr>
          <w:p>
            <w:r/>
            <w:r>
              <w:rPr>
                <w:color w:val="1C3A36"/>
                <w:sz w:val="17"/>
              </w:rPr>
              <w:t>GCC context — Emirates NBD</w:t>
            </w:r>
          </w:p>
        </w:tc>
        <w:tc>
          <w:tcPr>
            <w:tcW w:type="dxa" w:w="1152"/>
          </w:tcPr>
          <w:p>
            <w:r/>
            <w:r>
              <w:rPr>
                <w:color w:val="1C3A36"/>
                <w:sz w:val="17"/>
              </w:rPr>
              <w:t>~1.0×</w:t>
            </w:r>
          </w:p>
        </w:tc>
        <w:tc>
          <w:tcPr>
            <w:tcW w:type="dxa" w:w="1152"/>
          </w:tcPr>
          <w:p>
            <w:r/>
            <w:r>
              <w:rPr>
                <w:color w:val="1C3A36"/>
                <w:sz w:val="17"/>
              </w:rPr>
              <w:t>~6×</w:t>
            </w:r>
          </w:p>
        </w:tc>
        <w:tc>
          <w:tcPr>
            <w:tcW w:type="dxa" w:w="1152"/>
          </w:tcPr>
          <w:p>
            <w:r/>
            <w:r>
              <w:rPr>
                <w:color w:val="1C3A36"/>
                <w:sz w:val="17"/>
              </w:rPr>
              <w:t>~18%</w:t>
            </w:r>
          </w:p>
        </w:tc>
        <w:tc>
          <w:tcPr>
            <w:tcW w:type="dxa" w:w="3168"/>
          </w:tcPr>
          <w:p>
            <w:r/>
            <w:r>
              <w:rPr>
                <w:color w:val="1C3A36"/>
                <w:sz w:val="17"/>
              </w:rPr>
              <w:t>UAE large-cap for reference</w:t>
            </w:r>
          </w:p>
        </w:tc>
      </w:tr>
      <w:tr>
        <w:tc>
          <w:tcPr>
            <w:tcW w:type="dxa" w:w="2736"/>
            <w:shd w:val="clear" w:color="auto" w:fill="EFF3F1"/>
          </w:tcPr>
          <w:p>
            <w:r/>
            <w:r>
              <w:rPr>
                <w:color w:val="1C3A36"/>
                <w:sz w:val="17"/>
              </w:rPr>
              <w:t>GCC context — QNB</w:t>
            </w:r>
          </w:p>
        </w:tc>
        <w:tc>
          <w:tcPr>
            <w:tcW w:type="dxa" w:w="1152"/>
            <w:shd w:val="clear" w:color="auto" w:fill="EFF3F1"/>
          </w:tcPr>
          <w:p>
            <w:r/>
            <w:r>
              <w:rPr>
                <w:color w:val="1C3A36"/>
                <w:sz w:val="17"/>
              </w:rPr>
              <w:t>~1.4×</w:t>
            </w:r>
          </w:p>
        </w:tc>
        <w:tc>
          <w:tcPr>
            <w:tcW w:type="dxa" w:w="1152"/>
            <w:shd w:val="clear" w:color="auto" w:fill="EFF3F1"/>
          </w:tcPr>
          <w:p>
            <w:r/>
            <w:r>
              <w:rPr>
                <w:color w:val="1C3A36"/>
                <w:sz w:val="17"/>
              </w:rPr>
              <w:t>~9×</w:t>
            </w:r>
          </w:p>
        </w:tc>
        <w:tc>
          <w:tcPr>
            <w:tcW w:type="dxa" w:w="1152"/>
            <w:shd w:val="clear" w:color="auto" w:fill="EFF3F1"/>
          </w:tcPr>
          <w:p>
            <w:r/>
            <w:r>
              <w:rPr>
                <w:color w:val="1C3A36"/>
                <w:sz w:val="17"/>
              </w:rPr>
              <w:t>~18%</w:t>
            </w:r>
          </w:p>
        </w:tc>
        <w:tc>
          <w:tcPr>
            <w:tcW w:type="dxa" w:w="3168"/>
            <w:shd w:val="clear" w:color="auto" w:fill="EFF3F1"/>
          </w:tcPr>
          <w:p>
            <w:r/>
            <w:r>
              <w:rPr>
                <w:color w:val="1C3A36"/>
                <w:sz w:val="17"/>
              </w:rPr>
              <w:t>Qatar large-cap for reference</w:t>
            </w:r>
          </w:p>
        </w:tc>
      </w:tr>
    </w:tbl>
    <w:p>
      <w:pPr>
        <w:spacing w:after="120" w:before="0"/>
      </w:pPr>
      <w:r>
        <w:rPr>
          <w:b w:val="0"/>
          <w:i/>
          <w:color w:val="6E7B77"/>
          <w:sz w:val="17"/>
        </w:rPr>
        <w:t>Multiples approximate, for context; not independently verified. The ROE–multiple relationship is the point: RIBL's ~1.2× book is low for a 16% ROE, sitting closer to the 12%-ROE value names than to same-ROE peers — the gap the intrinsic lenses flag.</w:t>
      </w:r>
    </w:p>
    <w:p>
      <w:pPr>
        <w:spacing w:after="120" w:before="0"/>
      </w:pPr>
      <w:r>
        <w:rPr>
          <w:b w:val="0"/>
          <w:i w:val="0"/>
          <w:color w:val="1C3A36"/>
          <w:sz w:val="19"/>
        </w:rPr>
        <w:t>Sector structure. Saudi banking is an oligopoly of ~10 banks under a conservative SAMA regime (high capital ratios, the riyal peg, Basel III-plus). Structural tailwinds — Vision 2030 credit demand, mortgage penetration, SME lending — are partly offset by the rate cycle now turning. RIBL sits mid-pack on size and ROE but at the cheap end on valuation.</w:t>
      </w:r>
    </w:p>
    <w:p>
      <w:pPr>
        <w:spacing w:after="40" w:before="140"/>
      </w:pPr>
      <w:r>
        <w:rPr>
          <w:b/>
          <w:i w:val="0"/>
          <w:color w:val="896F36"/>
          <w:sz w:val="21"/>
        </w:rPr>
        <w:t>Key risks</w:t>
      </w:r>
    </w:p>
    <w:p>
      <w:pPr>
        <w:pStyle w:val="ListBullet"/>
      </w:pPr>
      <w:r>
        <w:rPr>
          <w:color w:val="1C3A36"/>
          <w:sz w:val="20"/>
        </w:rPr>
        <w:t>Rate-cycle reversal compressing NIM below the base-case glide.</w:t>
      </w:r>
    </w:p>
    <w:p>
      <w:pPr>
        <w:pStyle w:val="ListBullet"/>
      </w:pPr>
      <w:r>
        <w:rPr>
          <w:color w:val="1C3A36"/>
          <w:sz w:val="20"/>
        </w:rPr>
        <w:t>ROE fade toward Ke — validating the market's current discount rather than the intrinsic lenses.</w:t>
      </w:r>
    </w:p>
    <w:p>
      <w:pPr>
        <w:pStyle w:val="ListBullet"/>
      </w:pPr>
      <w:r>
        <w:rPr>
          <w:color w:val="1C3A36"/>
          <w:sz w:val="20"/>
        </w:rPr>
        <w:t>Credit-quality deterioration if non-oil growth slows below Vision 2030 targets.</w:t>
      </w:r>
    </w:p>
    <w:p>
      <w:pPr>
        <w:pStyle w:val="ListBullet"/>
      </w:pPr>
      <w:r>
        <w:rPr>
          <w:color w:val="1C3A36"/>
          <w:sz w:val="20"/>
        </w:rPr>
        <w:t>Regulatory fee/levy changes (flagged by management as a 2026 watch item).</w:t>
      </w:r>
    </w:p>
    <w:p>
      <w:pPr>
        <w:pStyle w:val="ListBullet"/>
      </w:pPr>
      <w:r>
        <w:rPr>
          <w:color w:val="1C3A36"/>
          <w:sz w:val="20"/>
        </w:rPr>
        <w:t>Execution risk on Strategy 2030's AI/digital transformation.</w:t>
      </w:r>
    </w:p>
    <w:p>
      <w:r>
        <w:br w:type="page"/>
      </w:r>
    </w:p>
    <w:p>
      <w:pPr>
        <w:spacing w:after="100" w:before="260"/>
      </w:pPr>
      <w:r>
        <w:rPr>
          <w:b/>
          <w:i w:val="0"/>
          <w:color w:val="1C3A36"/>
          <w:sz w:val="30"/>
        </w:rPr>
        <w:t>Appendix C  The expert valuation panel</w:t>
      </w:r>
    </w:p>
    <w:p>
      <w:pPr>
        <w:spacing w:after="120" w:before="0"/>
      </w:pPr>
      <w:r>
        <w:rPr>
          <w:b w:val="0"/>
          <w:i w:val="0"/>
          <w:color w:val="1C3A36"/>
          <w:sz w:val="19"/>
        </w:rPr>
        <w:t>Three independent experts value Riyad Bank by genuinely different methods, cast from the Testahil persona library's bank coverage map — a capital-and-returns specialist, a credit-cycle specialist, and a macro/policy strategist. Labeled Expert 1/2/3 only.</w:t>
      </w:r>
    </w:p>
    <w:p>
      <w:pPr>
        <w:spacing w:after="60" w:before="180"/>
      </w:pPr>
      <w:r>
        <w:rPr>
          <w:b/>
          <w:i w:val="0"/>
          <w:color w:val="1C3A36"/>
          <w:sz w:val="23"/>
        </w:rPr>
        <w:t>C.1  Expert 1 — capital, returns and the price of book value</w:t>
      </w:r>
    </w:p>
    <w:p>
      <w:pPr>
        <w:spacing w:after="120" w:before="0"/>
      </w:pPr>
      <w:r>
        <w:rPr>
          <w:b w:val="0"/>
          <w:i w:val="0"/>
          <w:color w:val="1C3A36"/>
          <w:sz w:val="19"/>
        </w:rPr>
        <w:t>Worldview and tradition. Expert 1 comes from the bank-analyst tradition that says a bank is a machine for turning equity capital into a return, and is worth whatever that return justifies relative to its cost — a justified price-to-book of (ROE − g)/(Ke − g), not a generic DCF.</w:t>
      </w:r>
    </w:p>
    <w:p>
      <w:pPr>
        <w:spacing w:after="120" w:before="0"/>
      </w:pPr>
      <w:r>
        <w:rPr>
          <w:b w:val="0"/>
          <w:i w:val="0"/>
          <w:color w:val="1C3A36"/>
          <w:sz w:val="19"/>
        </w:rPr>
        <w:t>Standard workings. (1) Estimate a sustainable through-cycle ROE. (2) Publish the cost of equity as rf + β×ERP. (3) Pick a terminal growth consistent with nominal GDP and the retention/ROE identity. (4) Solve the justified P/B and multiply by book value per share.</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2304"/>
            <w:shd w:val="clear" w:color="auto" w:fill="1C3A36"/>
          </w:tcPr>
          <w:p>
            <w:r/>
            <w:r>
              <w:rPr>
                <w:b/>
                <w:color w:val="FFFFFF"/>
                <w:sz w:val="17"/>
              </w:rPr>
              <w:t>Input</w:t>
            </w:r>
          </w:p>
        </w:tc>
        <w:tc>
          <w:tcPr>
            <w:tcW w:type="dxa" w:w="1584"/>
            <w:shd w:val="clear" w:color="auto" w:fill="1C3A36"/>
          </w:tcPr>
          <w:p>
            <w:r/>
            <w:r>
              <w:rPr>
                <w:b/>
                <w:color w:val="FFFFFF"/>
                <w:sz w:val="17"/>
              </w:rPr>
              <w:t>Value</w:t>
            </w:r>
          </w:p>
        </w:tc>
        <w:tc>
          <w:tcPr>
            <w:tcW w:type="dxa" w:w="4320"/>
            <w:shd w:val="clear" w:color="auto" w:fill="1C3A36"/>
          </w:tcPr>
          <w:p>
            <w:r/>
            <w:r>
              <w:rPr>
                <w:b/>
                <w:color w:val="FFFFFF"/>
                <w:sz w:val="17"/>
              </w:rPr>
              <w:t>Basis</w:t>
            </w:r>
          </w:p>
        </w:tc>
      </w:tr>
      <w:tr>
        <w:tc>
          <w:tcPr>
            <w:tcW w:type="dxa" w:w="2304"/>
          </w:tcPr>
          <w:p>
            <w:r/>
            <w:r>
              <w:rPr>
                <w:color w:val="1C3A36"/>
                <w:sz w:val="17"/>
              </w:rPr>
              <w:t>Through-cycle ROE</w:t>
            </w:r>
          </w:p>
        </w:tc>
        <w:tc>
          <w:tcPr>
            <w:tcW w:type="dxa" w:w="1584"/>
          </w:tcPr>
          <w:p>
            <w:r/>
            <w:r>
              <w:rPr>
                <w:color w:val="1C3A36"/>
                <w:sz w:val="17"/>
              </w:rPr>
              <w:t>14.5%</w:t>
            </w:r>
          </w:p>
        </w:tc>
        <w:tc>
          <w:tcPr>
            <w:tcW w:type="dxa" w:w="4320"/>
          </w:tcPr>
          <w:p>
            <w:r/>
            <w:r>
              <w:rPr>
                <w:color w:val="1C3A36"/>
                <w:sz w:val="17"/>
              </w:rPr>
              <w:t>Below FY25 16% — NIM &amp; cost-of-risk normalise</w:t>
            </w:r>
          </w:p>
        </w:tc>
      </w:tr>
      <w:tr>
        <w:tc>
          <w:tcPr>
            <w:tcW w:type="dxa" w:w="2304"/>
            <w:shd w:val="clear" w:color="auto" w:fill="EFF3F1"/>
          </w:tcPr>
          <w:p>
            <w:r/>
            <w:r>
              <w:rPr>
                <w:color w:val="1C3A36"/>
                <w:sz w:val="17"/>
              </w:rPr>
              <w:t>Cost of equity Ke</w:t>
            </w:r>
          </w:p>
        </w:tc>
        <w:tc>
          <w:tcPr>
            <w:tcW w:type="dxa" w:w="1584"/>
            <w:shd w:val="clear" w:color="auto" w:fill="EFF3F1"/>
          </w:tcPr>
          <w:p>
            <w:r/>
            <w:r>
              <w:rPr>
                <w:color w:val="1C3A36"/>
                <w:sz w:val="17"/>
              </w:rPr>
              <w:t>10.3%</w:t>
            </w:r>
          </w:p>
        </w:tc>
        <w:tc>
          <w:tcPr>
            <w:tcW w:type="dxa" w:w="4320"/>
            <w:shd w:val="clear" w:color="auto" w:fill="EFF3F1"/>
          </w:tcPr>
          <w:p>
            <w:r/>
            <w:r>
              <w:rPr>
                <w:color w:val="1C3A36"/>
                <w:sz w:val="17"/>
              </w:rPr>
              <w:t>rf 5.3% + 1.00 × ERP 5.0%</w:t>
            </w:r>
          </w:p>
        </w:tc>
      </w:tr>
      <w:tr>
        <w:tc>
          <w:tcPr>
            <w:tcW w:type="dxa" w:w="2304"/>
          </w:tcPr>
          <w:p>
            <w:r/>
            <w:r>
              <w:rPr>
                <w:color w:val="1C3A36"/>
                <w:sz w:val="17"/>
              </w:rPr>
              <w:t>Terminal growth g</w:t>
            </w:r>
          </w:p>
        </w:tc>
        <w:tc>
          <w:tcPr>
            <w:tcW w:type="dxa" w:w="1584"/>
          </w:tcPr>
          <w:p>
            <w:r/>
            <w:r>
              <w:rPr>
                <w:color w:val="1C3A36"/>
                <w:sz w:val="17"/>
              </w:rPr>
              <w:t>4.5%</w:t>
            </w:r>
          </w:p>
        </w:tc>
        <w:tc>
          <w:tcPr>
            <w:tcW w:type="dxa" w:w="4320"/>
          </w:tcPr>
          <w:p>
            <w:r/>
            <w:r>
              <w:rPr>
                <w:color w:val="1C3A36"/>
                <w:sz w:val="17"/>
              </w:rPr>
              <w:t>Saudi nominal GDP proxy</w:t>
            </w:r>
          </w:p>
        </w:tc>
      </w:tr>
      <w:tr>
        <w:tc>
          <w:tcPr>
            <w:tcW w:type="dxa" w:w="2304"/>
            <w:shd w:val="clear" w:color="auto" w:fill="EFF3F1"/>
          </w:tcPr>
          <w:p>
            <w:r/>
            <w:r>
              <w:rPr>
                <w:color w:val="1C3A36"/>
                <w:sz w:val="17"/>
              </w:rPr>
              <w:t>Justified P/B</w:t>
            </w:r>
          </w:p>
        </w:tc>
        <w:tc>
          <w:tcPr>
            <w:tcW w:type="dxa" w:w="1584"/>
            <w:shd w:val="clear" w:color="auto" w:fill="EFF3F1"/>
          </w:tcPr>
          <w:p>
            <w:r/>
            <w:r>
              <w:rPr>
                <w:color w:val="1C3A36"/>
                <w:sz w:val="17"/>
              </w:rPr>
              <w:t>1.72×</w:t>
            </w:r>
          </w:p>
        </w:tc>
        <w:tc>
          <w:tcPr>
            <w:tcW w:type="dxa" w:w="4320"/>
            <w:shd w:val="clear" w:color="auto" w:fill="EFF3F1"/>
          </w:tcPr>
          <w:p>
            <w:r/>
            <w:r>
              <w:rPr>
                <w:color w:val="1C3A36"/>
                <w:sz w:val="17"/>
              </w:rPr>
              <w:t>(ROE − g)/(Ke − g)</w:t>
            </w:r>
          </w:p>
        </w:tc>
      </w:tr>
      <w:tr>
        <w:tc>
          <w:tcPr>
            <w:tcW w:type="dxa" w:w="2304"/>
          </w:tcPr>
          <w:p>
            <w:r/>
            <w:r>
              <w:rPr>
                <w:color w:val="1C3A36"/>
                <w:sz w:val="17"/>
              </w:rPr>
              <w:t>Book value per share</w:t>
            </w:r>
          </w:p>
        </w:tc>
        <w:tc>
          <w:tcPr>
            <w:tcW w:type="dxa" w:w="1584"/>
          </w:tcPr>
          <w:p>
            <w:r/>
            <w:r>
              <w:rPr>
                <w:color w:val="1C3A36"/>
                <w:sz w:val="17"/>
              </w:rPr>
              <w:t>SAR 16.55</w:t>
            </w:r>
          </w:p>
        </w:tc>
        <w:tc>
          <w:tcPr>
            <w:tcW w:type="dxa" w:w="4320"/>
          </w:tcPr>
          <w:p>
            <w:r/>
            <w:r>
              <w:rPr>
                <w:color w:val="1C3A36"/>
                <w:sz w:val="17"/>
              </w:rPr>
              <w:t>Common equity ÷ shares</w:t>
            </w:r>
          </w:p>
        </w:tc>
      </w:tr>
      <w:tr>
        <w:tc>
          <w:tcPr>
            <w:tcW w:type="dxa" w:w="2304"/>
            <w:shd w:val="clear" w:color="auto" w:fill="EFF3F1"/>
          </w:tcPr>
          <w:p>
            <w:r/>
            <w:r>
              <w:rPr>
                <w:color w:val="1C3A36"/>
                <w:sz w:val="17"/>
              </w:rPr>
              <w:t>Fair value</w:t>
            </w:r>
          </w:p>
        </w:tc>
        <w:tc>
          <w:tcPr>
            <w:tcW w:type="dxa" w:w="1584"/>
            <w:shd w:val="clear" w:color="auto" w:fill="EFF3F1"/>
          </w:tcPr>
          <w:p>
            <w:r/>
            <w:r>
              <w:rPr>
                <w:color w:val="1C3A36"/>
                <w:sz w:val="17"/>
              </w:rPr>
              <w:t>SAR 28</w:t>
            </w:r>
          </w:p>
        </w:tc>
        <w:tc>
          <w:tcPr>
            <w:tcW w:type="dxa" w:w="4320"/>
            <w:shd w:val="clear" w:color="auto" w:fill="EFF3F1"/>
          </w:tcPr>
          <w:p>
            <w:r/>
            <w:r>
              <w:rPr>
                <w:color w:val="1C3A36"/>
                <w:sz w:val="17"/>
              </w:rPr>
              <w:t>Justified P/B × BVPS</w:t>
            </w:r>
          </w:p>
        </w:tc>
      </w:tr>
      <w:tr>
        <w:tc>
          <w:tcPr>
            <w:tcW w:type="dxa" w:w="2304"/>
          </w:tcPr>
          <w:p>
            <w:r/>
            <w:r>
              <w:rPr>
                <w:color w:val="1C3A36"/>
                <w:sz w:val="17"/>
              </w:rPr>
              <w:t>vs spot</w:t>
            </w:r>
          </w:p>
        </w:tc>
        <w:tc>
          <w:tcPr>
            <w:tcW w:type="dxa" w:w="1584"/>
          </w:tcPr>
          <w:p>
            <w:r/>
            <w:r>
              <w:rPr>
                <w:color w:val="1C3A36"/>
                <w:sz w:val="17"/>
              </w:rPr>
              <w:t>+41%</w:t>
            </w:r>
          </w:p>
        </w:tc>
        <w:tc>
          <w:tcPr>
            <w:tcW w:type="dxa" w:w="4320"/>
          </w:tcPr>
          <w:p>
            <w:r/>
            <w:r>
              <w:rPr>
                <w:color w:val="1C3A36"/>
                <w:sz w:val="17"/>
              </w:rPr>
              <w:t>spot SAR 20.23, 1.22× book</w:t>
            </w:r>
          </w:p>
        </w:tc>
      </w:tr>
    </w:tbl>
    <w:p>
      <w:pPr>
        <w:spacing w:after="120" w:before="0"/>
      </w:pPr>
      <w:r>
        <w:rPr>
          <w:b w:val="0"/>
          <w:i w:val="0"/>
          <w:color w:val="1C3A36"/>
          <w:sz w:val="19"/>
        </w:rPr>
        <w:t>Worked example and sensitivity. At a 14.5% ROE the machine is worth ~1.7× book; the stock trades at ~1.22×, so on Expert 1's numbers RIBL is materially undervalued with the return doing the work. Every point of through-cycle ROE is worth ~SAR 3–4 of fair value; if the ROE settles at 13% (near Ke), the justified multiple collapses toward ~1.4× and the fair value falls to ~SAR 23.</w:t>
      </w:r>
    </w:p>
    <w:p>
      <w:pPr>
        <w:spacing w:after="120" w:before="0"/>
      </w:pPr>
      <w:r>
        <w:rPr>
          <w:b w:val="0"/>
          <w:i w:val="0"/>
          <w:color w:val="1C3A36"/>
          <w:sz w:val="19"/>
        </w:rPr>
        <w:t>When the method works, and when it fails. Expert 1 leans on history: RIBL has earned mid-teens on equity through the recent rate cycle. The method fails if the through-cycle ROE assumption is wrong — capitalising a 16% ROE into perpetuity when it is fading toward the cost of equity is exactly the error the market may be pricing out.</w:t>
      </w:r>
    </w:p>
    <w:p>
      <w:pPr>
        <w:spacing w:after="120" w:before="0"/>
      </w:pPr>
      <w:r>
        <w:rPr>
          <w:b w:val="0"/>
          <w:i w:val="0"/>
          <w:color w:val="1C3A36"/>
          <w:sz w:val="19"/>
        </w:rPr>
        <w:t>Cross-examination. Expert 1 tells Expert 3 (macro/DDM) that a dividend model throws away the most valuable thing RIBL does — reinvest retained capital at 16% — and so structurally understates a bank that over-retains. Expert 1 concedes to Expert 2 that the ROE and the credit cycle are not independent: the same benign cost of risk that lifts today's ROE will reverse.</w:t>
      </w:r>
    </w:p>
    <w:p>
      <w:pPr>
        <w:spacing w:after="60" w:before="180"/>
      </w:pPr>
      <w:r>
        <w:rPr>
          <w:b/>
          <w:i w:val="0"/>
          <w:color w:val="1C3A36"/>
          <w:sz w:val="23"/>
        </w:rPr>
        <w:t>C.2  Expert 2 — the credit cycle and normalized provisioning</w:t>
      </w:r>
    </w:p>
    <w:p>
      <w:pPr>
        <w:spacing w:after="120" w:before="0"/>
      </w:pPr>
      <w:r>
        <w:rPr>
          <w:b w:val="0"/>
          <w:i w:val="0"/>
          <w:color w:val="1C3A36"/>
          <w:sz w:val="19"/>
        </w:rPr>
        <w:t>Worldview and tradition. Expert 2 is a credit-cycle sceptic who has seen banks report record profits at the top of a benign cycle, only to give it back in provisions when it turns. The right earnings number is a through-cycle one.</w:t>
      </w:r>
    </w:p>
    <w:p>
      <w:pPr>
        <w:spacing w:after="120" w:before="0"/>
      </w:pPr>
      <w:r>
        <w:rPr>
          <w:b w:val="0"/>
          <w:i w:val="0"/>
          <w:color w:val="1C3A36"/>
          <w:sz w:val="19"/>
        </w:rPr>
        <w:t>Standard workings. (1) Take current pre-provision profit. (2) Replace the reported cost of risk with a through-cycle charge. (3) Tax to a normalized net income and EPS. (4) Apply a through-cycle P/E, not the peak multiple.</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2448"/>
            <w:shd w:val="clear" w:color="auto" w:fill="1C3A36"/>
          </w:tcPr>
          <w:p>
            <w:r/>
            <w:r>
              <w:rPr>
                <w:b/>
                <w:color w:val="FFFFFF"/>
                <w:sz w:val="17"/>
              </w:rPr>
              <w:t>Input</w:t>
            </w:r>
          </w:p>
        </w:tc>
        <w:tc>
          <w:tcPr>
            <w:tcW w:type="dxa" w:w="1584"/>
            <w:shd w:val="clear" w:color="auto" w:fill="1C3A36"/>
          </w:tcPr>
          <w:p>
            <w:r/>
            <w:r>
              <w:rPr>
                <w:b/>
                <w:color w:val="FFFFFF"/>
                <w:sz w:val="17"/>
              </w:rPr>
              <w:t>Value</w:t>
            </w:r>
          </w:p>
        </w:tc>
        <w:tc>
          <w:tcPr>
            <w:tcW w:type="dxa" w:w="4176"/>
            <w:shd w:val="clear" w:color="auto" w:fill="1C3A36"/>
          </w:tcPr>
          <w:p>
            <w:r/>
            <w:r>
              <w:rPr>
                <w:b/>
                <w:color w:val="FFFFFF"/>
                <w:sz w:val="17"/>
              </w:rPr>
              <w:t>Basis</w:t>
            </w:r>
          </w:p>
        </w:tc>
      </w:tr>
      <w:tr>
        <w:tc>
          <w:tcPr>
            <w:tcW w:type="dxa" w:w="2448"/>
          </w:tcPr>
          <w:p>
            <w:r/>
            <w:r>
              <w:rPr>
                <w:color w:val="1C3A36"/>
                <w:sz w:val="17"/>
              </w:rPr>
              <w:t>Pre-provision profit (FY25)</w:t>
            </w:r>
          </w:p>
        </w:tc>
        <w:tc>
          <w:tcPr>
            <w:tcW w:type="dxa" w:w="1584"/>
          </w:tcPr>
          <w:p>
            <w:r/>
            <w:r>
              <w:rPr>
                <w:color w:val="1C3A36"/>
                <w:sz w:val="17"/>
              </w:rPr>
              <w:t>~SAR 12,000mn</w:t>
            </w:r>
          </w:p>
        </w:tc>
        <w:tc>
          <w:tcPr>
            <w:tcW w:type="dxa" w:w="4176"/>
          </w:tcPr>
          <w:p>
            <w:r/>
            <w:r>
              <w:rPr>
                <w:color w:val="1C3A36"/>
                <w:sz w:val="17"/>
              </w:rPr>
              <w:t>Disclosed / estimated</w:t>
            </w:r>
          </w:p>
        </w:tc>
      </w:tr>
      <w:tr>
        <w:tc>
          <w:tcPr>
            <w:tcW w:type="dxa" w:w="2448"/>
            <w:shd w:val="clear" w:color="auto" w:fill="EFF3F1"/>
          </w:tcPr>
          <w:p>
            <w:r/>
            <w:r>
              <w:rPr>
                <w:color w:val="1C3A36"/>
                <w:sz w:val="17"/>
              </w:rPr>
              <w:t>Reported cost of risk</w:t>
            </w:r>
          </w:p>
        </w:tc>
        <w:tc>
          <w:tcPr>
            <w:tcW w:type="dxa" w:w="1584"/>
            <w:shd w:val="clear" w:color="auto" w:fill="EFF3F1"/>
          </w:tcPr>
          <w:p>
            <w:r/>
            <w:r>
              <w:rPr>
                <w:color w:val="1C3A36"/>
                <w:sz w:val="17"/>
              </w:rPr>
              <w:t>37 bps</w:t>
            </w:r>
          </w:p>
        </w:tc>
        <w:tc>
          <w:tcPr>
            <w:tcW w:type="dxa" w:w="4176"/>
            <w:shd w:val="clear" w:color="auto" w:fill="EFF3F1"/>
          </w:tcPr>
          <w:p>
            <w:r/>
            <w:r>
              <w:rPr>
                <w:color w:val="1C3A36"/>
                <w:sz w:val="17"/>
              </w:rPr>
              <w:t>FY25 provisions ÷ loans</w:t>
            </w:r>
          </w:p>
        </w:tc>
      </w:tr>
      <w:tr>
        <w:tc>
          <w:tcPr>
            <w:tcW w:type="dxa" w:w="2448"/>
          </w:tcPr>
          <w:p>
            <w:r/>
            <w:r>
              <w:rPr>
                <w:color w:val="1C3A36"/>
                <w:sz w:val="17"/>
              </w:rPr>
              <w:t>Through-cycle cost of risk</w:t>
            </w:r>
          </w:p>
        </w:tc>
        <w:tc>
          <w:tcPr>
            <w:tcW w:type="dxa" w:w="1584"/>
          </w:tcPr>
          <w:p>
            <w:r/>
            <w:r>
              <w:rPr>
                <w:color w:val="1C3A36"/>
                <w:sz w:val="17"/>
              </w:rPr>
              <w:t>55 bps</w:t>
            </w:r>
          </w:p>
        </w:tc>
        <w:tc>
          <w:tcPr>
            <w:tcW w:type="dxa" w:w="4176"/>
          </w:tcPr>
          <w:p>
            <w:r/>
            <w:r>
              <w:rPr>
                <w:color w:val="1C3A36"/>
                <w:sz w:val="17"/>
              </w:rPr>
              <w:t>Normalises off a benign trough</w:t>
            </w:r>
          </w:p>
        </w:tc>
      </w:tr>
      <w:tr>
        <w:tc>
          <w:tcPr>
            <w:tcW w:type="dxa" w:w="2448"/>
            <w:shd w:val="clear" w:color="auto" w:fill="EFF3F1"/>
          </w:tcPr>
          <w:p>
            <w:r/>
            <w:r>
              <w:rPr>
                <w:color w:val="1C3A36"/>
                <w:sz w:val="17"/>
              </w:rPr>
              <w:t>Extra provision vs reported</w:t>
            </w:r>
          </w:p>
        </w:tc>
        <w:tc>
          <w:tcPr>
            <w:tcW w:type="dxa" w:w="1584"/>
            <w:shd w:val="clear" w:color="auto" w:fill="EFF3F1"/>
          </w:tcPr>
          <w:p>
            <w:r/>
            <w:r>
              <w:rPr>
                <w:color w:val="1C3A36"/>
                <w:sz w:val="17"/>
              </w:rPr>
              <w:t>~SAR 670mn</w:t>
            </w:r>
          </w:p>
        </w:tc>
        <w:tc>
          <w:tcPr>
            <w:tcW w:type="dxa" w:w="4176"/>
            <w:shd w:val="clear" w:color="auto" w:fill="EFF3F1"/>
          </w:tcPr>
          <w:p>
            <w:r/>
            <w:r>
              <w:rPr>
                <w:color w:val="1C3A36"/>
                <w:sz w:val="17"/>
              </w:rPr>
              <w:t>(55−37)bps × loans</w:t>
            </w:r>
          </w:p>
        </w:tc>
      </w:tr>
      <w:tr>
        <w:tc>
          <w:tcPr>
            <w:tcW w:type="dxa" w:w="2448"/>
          </w:tcPr>
          <w:p>
            <w:r/>
            <w:r>
              <w:rPr>
                <w:color w:val="1C3A36"/>
                <w:sz w:val="17"/>
              </w:rPr>
              <w:t>Normalized net income</w:t>
            </w:r>
          </w:p>
        </w:tc>
        <w:tc>
          <w:tcPr>
            <w:tcW w:type="dxa" w:w="1584"/>
          </w:tcPr>
          <w:p>
            <w:r/>
            <w:r>
              <w:rPr>
                <w:color w:val="1C3A36"/>
                <w:sz w:val="17"/>
              </w:rPr>
              <w:t>~SAR 9,850mn</w:t>
            </w:r>
          </w:p>
        </w:tc>
        <w:tc>
          <w:tcPr>
            <w:tcW w:type="dxa" w:w="4176"/>
          </w:tcPr>
          <w:p>
            <w:r/>
            <w:r>
              <w:rPr>
                <w:color w:val="1C3A36"/>
                <w:sz w:val="17"/>
              </w:rPr>
              <w:t>After the higher charge</w:t>
            </w:r>
          </w:p>
        </w:tc>
      </w:tr>
      <w:tr>
        <w:tc>
          <w:tcPr>
            <w:tcW w:type="dxa" w:w="2448"/>
            <w:shd w:val="clear" w:color="auto" w:fill="EFF3F1"/>
          </w:tcPr>
          <w:p>
            <w:r/>
            <w:r>
              <w:rPr>
                <w:color w:val="1C3A36"/>
                <w:sz w:val="17"/>
              </w:rPr>
              <w:t>Normalized EPS</w:t>
            </w:r>
          </w:p>
        </w:tc>
        <w:tc>
          <w:tcPr>
            <w:tcW w:type="dxa" w:w="1584"/>
            <w:shd w:val="clear" w:color="auto" w:fill="EFF3F1"/>
          </w:tcPr>
          <w:p>
            <w:r/>
            <w:r>
              <w:rPr>
                <w:color w:val="1C3A36"/>
                <w:sz w:val="17"/>
              </w:rPr>
              <w:t>~SAR 2.38</w:t>
            </w:r>
          </w:p>
        </w:tc>
        <w:tc>
          <w:tcPr>
            <w:tcW w:type="dxa" w:w="4176"/>
            <w:shd w:val="clear" w:color="auto" w:fill="EFF3F1"/>
          </w:tcPr>
          <w:p>
            <w:r/>
            <w:r>
              <w:rPr>
                <w:color w:val="1C3A36"/>
                <w:sz w:val="17"/>
              </w:rPr>
              <w:t>Post-bonus</w:t>
            </w:r>
          </w:p>
        </w:tc>
      </w:tr>
      <w:tr>
        <w:tc>
          <w:tcPr>
            <w:tcW w:type="dxa" w:w="2448"/>
          </w:tcPr>
          <w:p>
            <w:r/>
            <w:r>
              <w:rPr>
                <w:color w:val="1C3A36"/>
                <w:sz w:val="17"/>
              </w:rPr>
              <w:t>Through-cycle P/E</w:t>
            </w:r>
          </w:p>
        </w:tc>
        <w:tc>
          <w:tcPr>
            <w:tcW w:type="dxa" w:w="1584"/>
          </w:tcPr>
          <w:p>
            <w:r/>
            <w:r>
              <w:rPr>
                <w:color w:val="1C3A36"/>
                <w:sz w:val="17"/>
              </w:rPr>
              <w:t>9.0×</w:t>
            </w:r>
          </w:p>
        </w:tc>
        <w:tc>
          <w:tcPr>
            <w:tcW w:type="dxa" w:w="4176"/>
          </w:tcPr>
          <w:p>
            <w:r/>
            <w:r>
              <w:rPr>
                <w:color w:val="1C3A36"/>
                <w:sz w:val="17"/>
              </w:rPr>
              <w:t>Sober, not the peak</w:t>
            </w:r>
          </w:p>
        </w:tc>
      </w:tr>
      <w:tr>
        <w:tc>
          <w:tcPr>
            <w:tcW w:type="dxa" w:w="2448"/>
            <w:shd w:val="clear" w:color="auto" w:fill="EFF3F1"/>
          </w:tcPr>
          <w:p>
            <w:r/>
            <w:r>
              <w:rPr>
                <w:color w:val="1C3A36"/>
                <w:sz w:val="17"/>
              </w:rPr>
              <w:t>Fair value</w:t>
            </w:r>
          </w:p>
        </w:tc>
        <w:tc>
          <w:tcPr>
            <w:tcW w:type="dxa" w:w="1584"/>
            <w:shd w:val="clear" w:color="auto" w:fill="EFF3F1"/>
          </w:tcPr>
          <w:p>
            <w:r/>
            <w:r>
              <w:rPr>
                <w:color w:val="1C3A36"/>
                <w:sz w:val="17"/>
              </w:rPr>
              <w:t>~SAR 21</w:t>
            </w:r>
          </w:p>
        </w:tc>
        <w:tc>
          <w:tcPr>
            <w:tcW w:type="dxa" w:w="4176"/>
            <w:shd w:val="clear" w:color="auto" w:fill="EFF3F1"/>
          </w:tcPr>
          <w:p>
            <w:r/>
            <w:r>
              <w:rPr>
                <w:color w:val="1C3A36"/>
                <w:sz w:val="17"/>
              </w:rPr>
              <w:t>Normalized EPS × P/E</w:t>
            </w:r>
          </w:p>
        </w:tc>
      </w:tr>
    </w:tbl>
    <w:p>
      <w:pPr>
        <w:spacing w:after="120" w:before="0"/>
      </w:pPr>
      <w:r>
        <w:rPr>
          <w:b w:val="0"/>
          <w:i w:val="0"/>
          <w:color w:val="1C3A36"/>
          <w:sz w:val="19"/>
        </w:rPr>
        <w:t>Worked example and sensitivity. Normalising the cost of risk from 37 to 55bps costs ~SAR 670mn of net income and, at 9×, ~SAR 1.5 of fair value; the sober multiple (vs the market's peak) is the bigger lever. Expert 2 lands near spot — the point being that on normalized, not peak, earnings RIBL is roughly fairly valued, and the undervaluation the other lenses see is partly a benign-cycle artefact.</w:t>
      </w:r>
    </w:p>
    <w:p>
      <w:pPr>
        <w:spacing w:after="120" w:before="0"/>
      </w:pPr>
      <w:r>
        <w:rPr>
          <w:b w:val="0"/>
          <w:i w:val="0"/>
          <w:color w:val="1C3A36"/>
          <w:sz w:val="19"/>
        </w:rPr>
        <w:t>When the method works, and when it fails. Expert 2 is at its most valuable near a cycle peak in a project-finance- and SME-heavy loan book. It fails when it is too pessimistic on a structurally-improved book — Saudi banks' asset quality has been resilient — and when it applies a through-cycle multiple to a bank whose cycle has genuinely lengthened under Vision 2030 spending.</w:t>
      </w:r>
    </w:p>
    <w:p>
      <w:pPr>
        <w:spacing w:after="120" w:before="0"/>
      </w:pPr>
      <w:r>
        <w:rPr>
          <w:b w:val="0"/>
          <w:i w:val="0"/>
          <w:color w:val="1C3A36"/>
          <w:sz w:val="19"/>
        </w:rPr>
        <w:t>Cross-examination. Expert 2 warns Expert 1 that its 14.5% through-cycle ROE quietly assumes a benign cost of risk forever, and warns Expert 3 that a dividend that looks safe today can be cut when provisions spike. Expert 2 concedes the Saudi sovereign backstop and high capital ratios make a severe credit event less likely than in an unpegged EM.</w:t>
      </w:r>
    </w:p>
    <w:p>
      <w:pPr>
        <w:spacing w:after="60" w:before="180"/>
      </w:pPr>
      <w:r>
        <w:rPr>
          <w:b/>
          <w:i w:val="0"/>
          <w:color w:val="1C3A36"/>
          <w:sz w:val="23"/>
        </w:rPr>
        <w:t>C.3  Expert 3 — macro, policy and the dividend</w:t>
      </w:r>
    </w:p>
    <w:p>
      <w:pPr>
        <w:spacing w:after="120" w:before="0"/>
      </w:pPr>
      <w:r>
        <w:rPr>
          <w:b w:val="0"/>
          <w:i w:val="0"/>
          <w:color w:val="1C3A36"/>
          <w:sz w:val="19"/>
        </w:rPr>
        <w:t>Worldview and tradition. Expert 3 is a top-down macro strategist who values a bank as a claim on a cash stream whose size is set by forces outside the bank's control — the policy rate, the oil price, the sovereign's standing — and discounts the dividend the bank actually pays.</w:t>
      </w:r>
    </w:p>
    <w:p>
      <w:pPr>
        <w:spacing w:after="120" w:before="0"/>
      </w:pPr>
      <w:r>
        <w:rPr>
          <w:b w:val="0"/>
          <w:i w:val="0"/>
          <w:color w:val="1C3A36"/>
          <w:sz w:val="19"/>
        </w:rPr>
        <w:t>Standard workings. (1) Forecast the dividend from the macro-driven earnings path and a payout schedule. (2) Publish Ke = rf + β×ERP with the macro risk in the ERP. (3) Discount the explicit dividends and a Gordon terminal.</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89"/>
        <w:gridCol w:w="3389"/>
        <w:gridCol w:w="3389"/>
      </w:tblGrid>
      <w:tr>
        <w:tc>
          <w:tcPr>
            <w:tcW w:type="dxa" w:w="2448"/>
            <w:shd w:val="clear" w:color="auto" w:fill="1C3A36"/>
          </w:tcPr>
          <w:p>
            <w:r/>
            <w:r>
              <w:rPr>
                <w:b/>
                <w:color w:val="FFFFFF"/>
                <w:sz w:val="17"/>
              </w:rPr>
              <w:t>Input</w:t>
            </w:r>
          </w:p>
        </w:tc>
        <w:tc>
          <w:tcPr>
            <w:tcW w:type="dxa" w:w="1584"/>
            <w:shd w:val="clear" w:color="auto" w:fill="1C3A36"/>
          </w:tcPr>
          <w:p>
            <w:r/>
            <w:r>
              <w:rPr>
                <w:b/>
                <w:color w:val="FFFFFF"/>
                <w:sz w:val="17"/>
              </w:rPr>
              <w:t>Value</w:t>
            </w:r>
          </w:p>
        </w:tc>
        <w:tc>
          <w:tcPr>
            <w:tcW w:type="dxa" w:w="4176"/>
            <w:shd w:val="clear" w:color="auto" w:fill="1C3A36"/>
          </w:tcPr>
          <w:p>
            <w:r/>
            <w:r>
              <w:rPr>
                <w:b/>
                <w:color w:val="FFFFFF"/>
                <w:sz w:val="17"/>
              </w:rPr>
              <w:t>Basis</w:t>
            </w:r>
          </w:p>
        </w:tc>
      </w:tr>
      <w:tr>
        <w:tc>
          <w:tcPr>
            <w:tcW w:type="dxa" w:w="2448"/>
          </w:tcPr>
          <w:p>
            <w:r/>
            <w:r>
              <w:rPr>
                <w:color w:val="1C3A36"/>
                <w:sz w:val="17"/>
              </w:rPr>
              <w:t>FY25 DPS (post-bonus)</w:t>
            </w:r>
          </w:p>
        </w:tc>
        <w:tc>
          <w:tcPr>
            <w:tcW w:type="dxa" w:w="1584"/>
          </w:tcPr>
          <w:p>
            <w:r/>
            <w:r>
              <w:rPr>
                <w:color w:val="1C3A36"/>
                <w:sz w:val="17"/>
              </w:rPr>
              <w:t>SAR 1.05</w:t>
            </w:r>
          </w:p>
        </w:tc>
        <w:tc>
          <w:tcPr>
            <w:tcW w:type="dxa" w:w="4176"/>
          </w:tcPr>
          <w:p>
            <w:r/>
            <w:r>
              <w:rPr>
                <w:color w:val="1C3A36"/>
                <w:sz w:val="17"/>
              </w:rPr>
              <w:t>Disclosed</w:t>
            </w:r>
          </w:p>
        </w:tc>
      </w:tr>
      <w:tr>
        <w:tc>
          <w:tcPr>
            <w:tcW w:type="dxa" w:w="2448"/>
            <w:shd w:val="clear" w:color="auto" w:fill="EFF3F1"/>
          </w:tcPr>
          <w:p>
            <w:r/>
            <w:r>
              <w:rPr>
                <w:color w:val="1C3A36"/>
                <w:sz w:val="17"/>
              </w:rPr>
              <w:t>Payout path</w:t>
            </w:r>
          </w:p>
        </w:tc>
        <w:tc>
          <w:tcPr>
            <w:tcW w:type="dxa" w:w="1584"/>
            <w:shd w:val="clear" w:color="auto" w:fill="EFF3F1"/>
          </w:tcPr>
          <w:p>
            <w:r/>
            <w:r>
              <w:rPr>
                <w:color w:val="1C3A36"/>
                <w:sz w:val="17"/>
              </w:rPr>
              <w:t>~42% → ~47%</w:t>
            </w:r>
          </w:p>
        </w:tc>
        <w:tc>
          <w:tcPr>
            <w:tcW w:type="dxa" w:w="4176"/>
            <w:shd w:val="clear" w:color="auto" w:fill="EFF3F1"/>
          </w:tcPr>
          <w:p>
            <w:r/>
            <w:r>
              <w:rPr>
                <w:color w:val="1C3A36"/>
                <w:sz w:val="17"/>
              </w:rPr>
              <w:t>Rising post-bonus</w:t>
            </w:r>
          </w:p>
        </w:tc>
      </w:tr>
      <w:tr>
        <w:tc>
          <w:tcPr>
            <w:tcW w:type="dxa" w:w="2448"/>
          </w:tcPr>
          <w:p>
            <w:r/>
            <w:r>
              <w:rPr>
                <w:color w:val="1C3A36"/>
                <w:sz w:val="17"/>
              </w:rPr>
              <w:t>Cost of equity Ke</w:t>
            </w:r>
          </w:p>
        </w:tc>
        <w:tc>
          <w:tcPr>
            <w:tcW w:type="dxa" w:w="1584"/>
          </w:tcPr>
          <w:p>
            <w:r/>
            <w:r>
              <w:rPr>
                <w:color w:val="1C3A36"/>
                <w:sz w:val="17"/>
              </w:rPr>
              <w:t>10.3%</w:t>
            </w:r>
          </w:p>
        </w:tc>
        <w:tc>
          <w:tcPr>
            <w:tcW w:type="dxa" w:w="4176"/>
          </w:tcPr>
          <w:p>
            <w:r/>
            <w:r>
              <w:rPr>
                <w:color w:val="1C3A36"/>
                <w:sz w:val="17"/>
              </w:rPr>
              <w:t>rf 5.3% + ERP 5.0%</w:t>
            </w:r>
          </w:p>
        </w:tc>
      </w:tr>
      <w:tr>
        <w:tc>
          <w:tcPr>
            <w:tcW w:type="dxa" w:w="2448"/>
            <w:shd w:val="clear" w:color="auto" w:fill="EFF3F1"/>
          </w:tcPr>
          <w:p>
            <w:r/>
            <w:r>
              <w:rPr>
                <w:color w:val="1C3A36"/>
                <w:sz w:val="17"/>
              </w:rPr>
              <w:t>Terminal growth g</w:t>
            </w:r>
          </w:p>
        </w:tc>
        <w:tc>
          <w:tcPr>
            <w:tcW w:type="dxa" w:w="1584"/>
            <w:shd w:val="clear" w:color="auto" w:fill="EFF3F1"/>
          </w:tcPr>
          <w:p>
            <w:r/>
            <w:r>
              <w:rPr>
                <w:color w:val="1C3A36"/>
                <w:sz w:val="17"/>
              </w:rPr>
              <w:t>4.5%</w:t>
            </w:r>
          </w:p>
        </w:tc>
        <w:tc>
          <w:tcPr>
            <w:tcW w:type="dxa" w:w="4176"/>
            <w:shd w:val="clear" w:color="auto" w:fill="EFF3F1"/>
          </w:tcPr>
          <w:p>
            <w:r/>
            <w:r>
              <w:rPr>
                <w:color w:val="1C3A36"/>
                <w:sz w:val="17"/>
              </w:rPr>
              <w:t>Nominal GDP proxy</w:t>
            </w:r>
          </w:p>
        </w:tc>
      </w:tr>
      <w:tr>
        <w:tc>
          <w:tcPr>
            <w:tcW w:type="dxa" w:w="2448"/>
          </w:tcPr>
          <w:p>
            <w:r/>
            <w:r>
              <w:rPr>
                <w:color w:val="1C3A36"/>
                <w:sz w:val="17"/>
              </w:rPr>
              <w:t>Dividend yield (spot)</w:t>
            </w:r>
          </w:p>
        </w:tc>
        <w:tc>
          <w:tcPr>
            <w:tcW w:type="dxa" w:w="1584"/>
          </w:tcPr>
          <w:p>
            <w:r/>
            <w:r>
              <w:rPr>
                <w:color w:val="1C3A36"/>
                <w:sz w:val="17"/>
              </w:rPr>
              <w:t>5.2%</w:t>
            </w:r>
          </w:p>
        </w:tc>
        <w:tc>
          <w:tcPr>
            <w:tcW w:type="dxa" w:w="4176"/>
          </w:tcPr>
          <w:p>
            <w:r/>
            <w:r>
              <w:rPr>
                <w:color w:val="1C3A36"/>
                <w:sz w:val="17"/>
              </w:rPr>
              <w:t>A real, sizeable payout</w:t>
            </w:r>
          </w:p>
        </w:tc>
      </w:tr>
      <w:tr>
        <w:tc>
          <w:tcPr>
            <w:tcW w:type="dxa" w:w="2448"/>
            <w:shd w:val="clear" w:color="auto" w:fill="EFF3F1"/>
          </w:tcPr>
          <w:p>
            <w:r/>
            <w:r>
              <w:rPr>
                <w:color w:val="1C3A36"/>
                <w:sz w:val="17"/>
              </w:rPr>
              <w:t>Fair value (DDM)</w:t>
            </w:r>
          </w:p>
        </w:tc>
        <w:tc>
          <w:tcPr>
            <w:tcW w:type="dxa" w:w="1584"/>
            <w:shd w:val="clear" w:color="auto" w:fill="EFF3F1"/>
          </w:tcPr>
          <w:p>
            <w:r/>
            <w:r>
              <w:rPr>
                <w:color w:val="1C3A36"/>
                <w:sz w:val="17"/>
              </w:rPr>
              <w:t>SAR 24</w:t>
            </w:r>
          </w:p>
        </w:tc>
        <w:tc>
          <w:tcPr>
            <w:tcW w:type="dxa" w:w="4176"/>
            <w:shd w:val="clear" w:color="auto" w:fill="EFF3F1"/>
          </w:tcPr>
          <w:p>
            <w:r/>
            <w:r>
              <w:rPr>
                <w:color w:val="1C3A36"/>
                <w:sz w:val="17"/>
              </w:rPr>
              <w:t>PV of dividends + TV</w:t>
            </w:r>
          </w:p>
        </w:tc>
      </w:tr>
      <w:tr>
        <w:tc>
          <w:tcPr>
            <w:tcW w:type="dxa" w:w="2448"/>
          </w:tcPr>
          <w:p>
            <w:r/>
            <w:r>
              <w:rPr>
                <w:color w:val="1C3A36"/>
                <w:sz w:val="17"/>
              </w:rPr>
              <w:t>vs spot</w:t>
            </w:r>
          </w:p>
        </w:tc>
        <w:tc>
          <w:tcPr>
            <w:tcW w:type="dxa" w:w="1584"/>
          </w:tcPr>
          <w:p>
            <w:r/>
            <w:r>
              <w:rPr>
                <w:color w:val="1C3A36"/>
                <w:sz w:val="17"/>
              </w:rPr>
              <w:t>+17%</w:t>
            </w:r>
          </w:p>
        </w:tc>
        <w:tc>
          <w:tcPr>
            <w:tcW w:type="dxa" w:w="4176"/>
          </w:tcPr>
          <w:p>
            <w:r/>
            <w:r>
              <w:rPr>
                <w:color w:val="1C3A36"/>
                <w:sz w:val="17"/>
              </w:rPr>
              <w:t>Cautious lens, still above spot</w:t>
            </w:r>
          </w:p>
        </w:tc>
      </w:tr>
    </w:tbl>
    <w:p>
      <w:pPr>
        <w:spacing w:after="120" w:before="0"/>
      </w:pPr>
      <w:r>
        <w:rPr>
          <w:b w:val="0"/>
          <w:i w:val="0"/>
          <w:color w:val="1C3A36"/>
          <w:sz w:val="19"/>
        </w:rPr>
        <w:t>Worked example and sensitivity. On the cash RIBL actually pays, the shares are worth ~SAR 24 at a 10.3% Ke — above spot, which is Expert 3's point: even ignoring retention, a 5.2% yielder growing dividends mid-single-digits is worth more than SAR 20.23. Push Ke to 11% (a fuller other-risk premium for the region) and the DDM falls toward ~SAR 21 — near spot.</w:t>
      </w:r>
    </w:p>
    <w:p>
      <w:pPr>
        <w:spacing w:after="120" w:before="0"/>
      </w:pPr>
      <w:r>
        <w:rPr>
          <w:b w:val="0"/>
          <w:i w:val="0"/>
          <w:color w:val="1C3A36"/>
          <w:sz w:val="19"/>
        </w:rPr>
        <w:t>When the method works, and when it fails. Expert 3's DDM is the right tool for a mature bank whose payout is real and rising, and it forces the analyst to state a cost of equity. It fails on a bank that over-retains — it ignores the value of the ~58% of earnings RIBL keeps and reinvests at a high return, which is exactly what Expert 1 monetises.</w:t>
      </w:r>
    </w:p>
    <w:p>
      <w:pPr>
        <w:spacing w:after="120" w:before="0"/>
      </w:pPr>
      <w:r>
        <w:rPr>
          <w:b w:val="0"/>
          <w:i w:val="0"/>
          <w:color w:val="1C3A36"/>
          <w:sz w:val="19"/>
        </w:rPr>
        <w:t>Cross-examination. Expert 3 tells Expert 1 that a justified-P/B model is only as good as its ROE-persistence assumption, and that capitalising a 16% ROE into perpetuity is a heroic macro call dressed as a spreadsheet. Expert 3 agrees with Expert 2 that the dividend, not the "potential" dividend, is what shareholders actually receive.</w:t>
      </w:r>
    </w:p>
    <w:p>
      <w:pPr>
        <w:spacing w:after="60" w:before="180"/>
      </w:pPr>
      <w:r>
        <w:rPr>
          <w:b/>
          <w:i w:val="0"/>
          <w:color w:val="1C3A36"/>
          <w:sz w:val="23"/>
        </w:rPr>
        <w:t>C.5  The three in one room</w:t>
      </w:r>
    </w:p>
    <w:p>
      <w:pPr>
        <w:spacing w:after="120" w:before="0"/>
      </w:pPr>
      <w:r>
        <w:rPr>
          <w:b w:val="0"/>
          <w:i w:val="0"/>
          <w:color w:val="1C3A36"/>
          <w:sz w:val="19"/>
        </w:rPr>
        <w:t>Put the three in a room and the argument narrows to one question: what is Riyad Bank's retained capital worth? Expert 1 says it is worth ~1.7× book because it compounds at ~14.5%; Expert 3 says value only the cash paid, which is worth ~SAR 24; Expert 2 says normalise the cycle first, which pulls the answer to ~SAR 21, near spot. All three agree spot is not expensive; they disagree on how much of the upside to credit.</w:t>
      </w:r>
    </w:p>
    <w:p>
      <w:pPr>
        <w:spacing w:after="60" w:before="180"/>
      </w:pPr>
      <w:r>
        <w:rPr>
          <w:b/>
          <w:i w:val="0"/>
          <w:color w:val="1C3A36"/>
          <w:sz w:val="23"/>
        </w:rPr>
        <w:t>C.6  Reading the divergence</w:t>
      </w:r>
    </w:p>
    <w:p>
      <w:pPr>
        <w:spacing w:after="120" w:before="0"/>
      </w:pPr>
      <w:r>
        <w:rPr>
          <w:b w:val="0"/>
          <w:i w:val="0"/>
          <w:color w:val="1C3A36"/>
          <w:sz w:val="19"/>
        </w:rPr>
        <w:t>The spread — SAR 21 to SAR 28, about a third — is not noise; it is a clean measurement of a single disagreement. Each expert's answer is driven by one assumption, and the table isolates it.</w:t>
      </w:r>
    </w:p>
    <w:tbl>
      <w:tblPr>
        <w:tblW w:type="auto" w:w="0"/>
        <w:jc w:val="center"/>
        <w:tblLook w:firstColumn="1" w:firstRow="1" w:lastColumn="0" w:lastRow="0" w:noHBand="0" w:noVBand="1" w:val="04A0"/>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41"/>
        <w:gridCol w:w="2541"/>
        <w:gridCol w:w="2541"/>
        <w:gridCol w:w="2541"/>
      </w:tblGrid>
      <w:tr>
        <w:tc>
          <w:tcPr>
            <w:tcW w:type="dxa" w:w="2304"/>
            <w:shd w:val="clear" w:color="auto" w:fill="1C3A36"/>
          </w:tcPr>
          <w:p>
            <w:r/>
            <w:r>
              <w:rPr>
                <w:b/>
                <w:color w:val="FFFFFF"/>
                <w:sz w:val="17"/>
              </w:rPr>
              <w:t>Expert</w:t>
            </w:r>
          </w:p>
        </w:tc>
        <w:tc>
          <w:tcPr>
            <w:tcW w:type="dxa" w:w="1440"/>
            <w:shd w:val="clear" w:color="auto" w:fill="1C3A36"/>
          </w:tcPr>
          <w:p>
            <w:r/>
            <w:r>
              <w:rPr>
                <w:b/>
                <w:color w:val="FFFFFF"/>
                <w:sz w:val="17"/>
              </w:rPr>
              <w:t>Fair value</w:t>
            </w:r>
          </w:p>
        </w:tc>
        <w:tc>
          <w:tcPr>
            <w:tcW w:type="dxa" w:w="3168"/>
            <w:shd w:val="clear" w:color="auto" w:fill="1C3A36"/>
          </w:tcPr>
          <w:p>
            <w:r/>
            <w:r>
              <w:rPr>
                <w:b/>
                <w:color w:val="FFFFFF"/>
                <w:sz w:val="17"/>
              </w:rPr>
              <w:t>The one assumption that drives it</w:t>
            </w:r>
          </w:p>
        </w:tc>
        <w:tc>
          <w:tcPr>
            <w:tcW w:type="dxa" w:w="2880"/>
            <w:shd w:val="clear" w:color="auto" w:fill="1C3A36"/>
          </w:tcPr>
          <w:p>
            <w:r/>
            <w:r>
              <w:rPr>
                <w:b/>
                <w:color w:val="FFFFFF"/>
                <w:sz w:val="17"/>
              </w:rPr>
              <w:t>Where it sits and why</w:t>
            </w:r>
          </w:p>
        </w:tc>
      </w:tr>
      <w:tr>
        <w:tc>
          <w:tcPr>
            <w:tcW w:type="dxa" w:w="2304"/>
          </w:tcPr>
          <w:p>
            <w:r/>
            <w:r>
              <w:rPr>
                <w:color w:val="1C3A36"/>
                <w:sz w:val="17"/>
              </w:rPr>
              <w:t>1 — capital &amp; returns</w:t>
            </w:r>
          </w:p>
        </w:tc>
        <w:tc>
          <w:tcPr>
            <w:tcW w:type="dxa" w:w="1440"/>
          </w:tcPr>
          <w:p>
            <w:r/>
            <w:r>
              <w:rPr>
                <w:color w:val="1C3A36"/>
                <w:sz w:val="17"/>
              </w:rPr>
              <w:t>SAR 28</w:t>
            </w:r>
          </w:p>
        </w:tc>
        <w:tc>
          <w:tcPr>
            <w:tcW w:type="dxa" w:w="3168"/>
          </w:tcPr>
          <w:p>
            <w:r/>
            <w:r>
              <w:rPr>
                <w:color w:val="1C3A36"/>
                <w:sz w:val="17"/>
              </w:rPr>
              <w:t>Through-cycle ROE persists near 14.5%</w:t>
            </w:r>
          </w:p>
        </w:tc>
        <w:tc>
          <w:tcPr>
            <w:tcW w:type="dxa" w:w="2880"/>
          </w:tcPr>
          <w:p>
            <w:r/>
            <w:r>
              <w:rPr>
                <w:color w:val="1C3A36"/>
                <w:sz w:val="17"/>
              </w:rPr>
              <w:t>High — credits retained-capital compounding</w:t>
            </w:r>
          </w:p>
        </w:tc>
      </w:tr>
      <w:tr>
        <w:tc>
          <w:tcPr>
            <w:tcW w:type="dxa" w:w="2304"/>
            <w:shd w:val="clear" w:color="auto" w:fill="EFF3F1"/>
          </w:tcPr>
          <w:p>
            <w:r/>
            <w:r>
              <w:rPr>
                <w:color w:val="1C3A36"/>
                <w:sz w:val="17"/>
              </w:rPr>
              <w:t>2 — credit cycle</w:t>
            </w:r>
          </w:p>
        </w:tc>
        <w:tc>
          <w:tcPr>
            <w:tcW w:type="dxa" w:w="1440"/>
            <w:shd w:val="clear" w:color="auto" w:fill="EFF3F1"/>
          </w:tcPr>
          <w:p>
            <w:r/>
            <w:r>
              <w:rPr>
                <w:color w:val="1C3A36"/>
                <w:sz w:val="17"/>
              </w:rPr>
              <w:t>~SAR 21</w:t>
            </w:r>
          </w:p>
        </w:tc>
        <w:tc>
          <w:tcPr>
            <w:tcW w:type="dxa" w:w="3168"/>
            <w:shd w:val="clear" w:color="auto" w:fill="EFF3F1"/>
          </w:tcPr>
          <w:p>
            <w:r/>
            <w:r>
              <w:rPr>
                <w:color w:val="1C3A36"/>
                <w:sz w:val="17"/>
              </w:rPr>
              <w:t>Cost of risk normalises to 55bps</w:t>
            </w:r>
          </w:p>
        </w:tc>
        <w:tc>
          <w:tcPr>
            <w:tcW w:type="dxa" w:w="2880"/>
            <w:shd w:val="clear" w:color="auto" w:fill="EFF3F1"/>
          </w:tcPr>
          <w:p>
            <w:r/>
            <w:r>
              <w:rPr>
                <w:color w:val="1C3A36"/>
                <w:sz w:val="17"/>
              </w:rPr>
              <w:t>Low — strips the benign-cycle earnings</w:t>
            </w:r>
          </w:p>
        </w:tc>
      </w:tr>
      <w:tr>
        <w:tc>
          <w:tcPr>
            <w:tcW w:type="dxa" w:w="2304"/>
          </w:tcPr>
          <w:p>
            <w:r/>
            <w:r>
              <w:rPr>
                <w:color w:val="1C3A36"/>
                <w:sz w:val="17"/>
              </w:rPr>
              <w:t>3 — macro / dividend</w:t>
            </w:r>
          </w:p>
        </w:tc>
        <w:tc>
          <w:tcPr>
            <w:tcW w:type="dxa" w:w="1440"/>
          </w:tcPr>
          <w:p>
            <w:r/>
            <w:r>
              <w:rPr>
                <w:color w:val="1C3A36"/>
                <w:sz w:val="17"/>
              </w:rPr>
              <w:t>SAR 24</w:t>
            </w:r>
          </w:p>
        </w:tc>
        <w:tc>
          <w:tcPr>
            <w:tcW w:type="dxa" w:w="3168"/>
          </w:tcPr>
          <w:p>
            <w:r/>
            <w:r>
              <w:rPr>
                <w:color w:val="1C3A36"/>
                <w:sz w:val="17"/>
              </w:rPr>
              <w:t>Only the paid dividend counts</w:t>
            </w:r>
          </w:p>
        </w:tc>
        <w:tc>
          <w:tcPr>
            <w:tcW w:type="dxa" w:w="2880"/>
          </w:tcPr>
          <w:p>
            <w:r/>
            <w:r>
              <w:rPr>
                <w:color w:val="1C3A36"/>
                <w:sz w:val="17"/>
              </w:rPr>
              <w:t>Middle — cautious but still above spot</w:t>
            </w:r>
          </w:p>
        </w:tc>
      </w:tr>
    </w:tbl>
    <w:p>
      <w:pPr>
        <w:spacing w:after="120" w:before="0"/>
      </w:pPr>
      <w:r>
        <w:rPr>
          <w:b w:val="0"/>
          <w:i w:val="0"/>
          <w:color w:val="1C3A36"/>
          <w:sz w:val="19"/>
        </w:rPr>
        <w:t>What the spread measures. The distance between Expert 1 and Expert 2 is the value of RIBL's retention policy at a mid-teens ROE net of a normalized credit charge — the difference between crediting reinvestment (Expert 1) and normalising the cycle (Expert 2). Expert 3 sits between, valuing only what is paid. That every expert lands at or above spot is the study's central finding: RIBL is cheap on any of the three methods, and the only question is how cheap.</w:t>
      </w:r>
    </w:p>
    <w:p>
      <w:r>
        <w:br w:type="page"/>
      </w:r>
    </w:p>
    <w:p>
      <w:pPr>
        <w:spacing w:after="60" w:before="180"/>
      </w:pPr>
      <w:r>
        <w:rPr>
          <w:b/>
          <w:i w:val="0"/>
          <w:color w:val="1C3A36"/>
          <w:sz w:val="23"/>
        </w:rPr>
        <w:t>About this series</w:t>
      </w:r>
    </w:p>
    <w:p>
      <w:pPr>
        <w:spacing w:after="120" w:before="0"/>
      </w:pPr>
      <w:r>
        <w:rPr>
          <w:b w:val="0"/>
          <w:i w:val="0"/>
          <w:color w:val="6E7B77"/>
          <w:sz w:val="18"/>
        </w:rPr>
        <w:t>Testahil publishes independent, educational valuation studies. Each is an attempt to reason transparently about what a security is worth, with every assumption shown and a companion model so readers can change them. "Distributions, not tips." Studies are published under the Testahil brand only.</w:t>
      </w:r>
    </w:p>
    <w:p>
      <w:pPr>
        <w:spacing w:after="60" w:before="180"/>
      </w:pPr>
      <w:r>
        <w:rPr>
          <w:b/>
          <w:i w:val="0"/>
          <w:color w:val="1C3A36"/>
          <w:sz w:val="23"/>
        </w:rPr>
        <w:t>Disclosure &amp; Disclaimer</w:t>
      </w:r>
    </w:p>
    <w:p>
      <w:pPr>
        <w:pStyle w:val="ListNumber"/>
      </w:pPr>
      <w:r>
        <w:rPr>
          <w:color w:val="6E7B77"/>
          <w:sz w:val="17"/>
        </w:rPr>
        <w:t>Not investment advice. This document is educational and informational only. It is not, and must not be relied upon as, investment, financial, legal, accounting or tax advice, nor an offer, solicitation or recommendation to buy or sell any security.</w:t>
      </w:r>
    </w:p>
    <w:p>
      <w:pPr>
        <w:pStyle w:val="ListNumber"/>
      </w:pPr>
      <w:r>
        <w:rPr>
          <w:color w:val="6E7B77"/>
          <w:sz w:val="17"/>
        </w:rPr>
        <w:t>No licence; no advisory relationship. The preparer is not registered or licensed with any securities or financial regulator in any jurisdiction, holds no brokerage or investment-advisory authorisation, and no advisory relationship is created by this document.</w:t>
      </w:r>
    </w:p>
    <w:p>
      <w:pPr>
        <w:pStyle w:val="ListNumber"/>
      </w:pPr>
      <w:r>
        <w:rPr>
          <w:color w:val="6E7B77"/>
          <w:sz w:val="17"/>
        </w:rPr>
        <w:t>Holdings disclosure. The preparer may hold, and may in the future take or dispose of, a position in the security discussed in this report, and may transact at any time without notice.</w:t>
      </w:r>
    </w:p>
    <w:p>
      <w:pPr>
        <w:pStyle w:val="ListNumber"/>
      </w:pPr>
      <w:r>
        <w:rPr>
          <w:color w:val="6E7B77"/>
          <w:sz w:val="17"/>
        </w:rPr>
        <w:t>Sources &amp; accuracy. Reported financial and operating figures are drawn from the bank's public disclosure and other public sources believed reliable but not independently verified; they may contain errors, and several balance-sheet sub-lines are estimated to disclosed totals.</w:t>
      </w:r>
    </w:p>
    <w:p>
      <w:pPr>
        <w:pStyle w:val="ListNumber"/>
      </w:pPr>
      <w:r>
        <w:rPr>
          <w:color w:val="6E7B77"/>
          <w:sz w:val="17"/>
        </w:rPr>
        <w:t>Forward-looking statements. Any statements about the future are estimates subject to risks and uncertainties; actual results may differ materially. The Monte Carlo models price, not value, and encodes assumptions that may not hold.</w:t>
      </w:r>
    </w:p>
    <w:p>
      <w:pPr>
        <w:pStyle w:val="ListNumber"/>
      </w:pPr>
      <w:r>
        <w:rPr>
          <w:color w:val="6E7B77"/>
          <w:sz w:val="17"/>
        </w:rPr>
        <w:t>No reliance; your responsibility. Do your own research and consult a licensed professional before making any decision. You are solely responsible for your investment decisions and their outcomes.</w:t>
      </w:r>
    </w:p>
    <w:p>
      <w:pPr>
        <w:pStyle w:val="ListNumber"/>
      </w:pPr>
      <w:r>
        <w:rPr>
          <w:color w:val="6E7B77"/>
          <w:sz w:val="17"/>
        </w:rPr>
        <w:t>Currency &amp; figures. Figures are in Saudi riyals (SAR), pegged to the US dollar at 3.75; mn denotes million and bn billion. Rounding may cause totals to differ slightly.</w:t>
      </w:r>
    </w:p>
    <w:p>
      <w:pPr>
        <w:spacing w:after="120" w:before="240"/>
        <w:jc w:val="center"/>
      </w:pPr>
      <w:r>
        <w:rPr>
          <w:b w:val="0"/>
          <w:i w:val="0"/>
          <w:color w:val="6E7B77"/>
          <w:sz w:val="16"/>
        </w:rPr>
        <w:t>TESTAHIL · Independent Valuation Study · Educational Analysis · Riyad Bank (Tadawul: 1010) · edition 09-07-2026 · reporting currency SAR</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