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896F36"/>
          <w:sz w:val="18"/>
        </w:rPr>
        <w:t>TESTAHIL</w:t>
      </w:r>
    </w:p>
    <w:p>
      <w:pPr>
        <w:spacing w:after="120" w:before="280"/>
      </w:pPr>
      <w:r>
        <w:rPr>
          <w:b/>
          <w:i w:val="0"/>
          <w:color w:val="1C3A36"/>
          <w:sz w:val="30"/>
        </w:rPr>
        <w:t>Rameda Pharmaceuticals (EGX: RMDA) — Source Register</w:t>
      </w:r>
    </w:p>
    <w:p>
      <w:pPr>
        <w:spacing w:after="200" w:before="0"/>
      </w:pPr>
      <w:r>
        <w:rPr>
          <w:b w:val="0"/>
          <w:i w:val="0"/>
          <w:color w:val="6E7B77"/>
          <w:sz w:val="21"/>
        </w:rPr>
        <w:t>Companion to the Valuation Study dated 13 July 2026. Every figure that enters the model, with its source, its date, and the Information-Sweep ring it belongs 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CFB4"/>
          <w:left w:val="single" w:sz="4" w:space="0" w:color="D8CFB4"/>
          <w:bottom w:val="single" w:sz="4" w:space="0" w:color="D8CFB4"/>
          <w:right w:val="single" w:sz="4" w:space="0" w:color="D8CFB4"/>
          <w:insideH w:val="single" w:sz="4" w:space="0" w:color="D8CFB4"/>
          <w:insideV w:val="single" w:sz="4" w:space="0" w:color="D8CFB4"/>
        </w:tblBorders>
      </w:tblPr>
      <w:tblGrid>
        <w:gridCol w:w="10224"/>
      </w:tblGrid>
      <w:tr>
        <w:tc>
          <w:tcPr>
            <w:tcW w:type="dxa" w:w="10224"/>
            <w:shd w:val="clear" w:color="auto" w:fill="F6F1E6"/>
          </w:tcPr>
          <w:p>
            <w:r>
              <w:rPr>
                <w:b/>
                <w:color w:val="1C3A36"/>
                <w:sz w:val="19"/>
              </w:rPr>
              <w:t xml:space="preserve">READ FIRST. </w:t>
            </w:r>
            <w:r>
              <w:rPr>
                <w:color w:val="1C3A36"/>
                <w:sz w:val="19"/>
              </w:rPr>
              <w:t>This register exists so that no number in the study is unfalsifiable. Every input below is a four-field record — value, source, date, ring — emitted directly by the compute script that built the study (compute_rmda.py), not transcribed by hand afterwards. A bare numeral cannot enter the model: the build fails. Where a figure is a house judgment rather than an observable, the source field says so in those words. Financial-statement line items are taken from the company’s own audited filings only — never from an aggregator. Testahil is not licensed by the FRA and publishes no ratings and no price targets.</w:t>
            </w:r>
          </w:p>
        </w:tc>
      </w:tr>
    </w:tbl>
    <w:p/>
    <w:p>
      <w:pPr>
        <w:spacing w:after="80" w:before="220"/>
      </w:pPr>
      <w:r>
        <w:rPr>
          <w:b/>
          <w:i w:val="0"/>
          <w:color w:val="896F36"/>
          <w:sz w:val="24"/>
        </w:rPr>
        <w:t>A.  How to read the ring column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3408"/>
        <w:gridCol w:w="3408"/>
        <w:gridCol w:w="3408"/>
      </w:tblGrid>
      <w:tr>
        <w:tc>
          <w:tcPr>
            <w:tcW w:type="dxa" w:w="1224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Ring</w:t>
            </w:r>
          </w:p>
        </w:tc>
        <w:tc>
          <w:tcPr>
            <w:tcW w:type="dxa" w:w="6048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What it means</w:t>
            </w:r>
          </w:p>
        </w:tc>
        <w:tc>
          <w:tcPr>
            <w:tcW w:type="dxa" w:w="144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Count in this study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Global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World-level facts that reach the company through several steps (rates, commodity, trade).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—</w:t>
            </w:r>
          </w:p>
        </w:tc>
      </w:tr>
      <w:tr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Country</w:t>
            </w:r>
          </w:p>
        </w:tc>
        <w:tc>
          <w:tcPr>
            <w:tcW w:type="dxa" w:w="604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Egypt-level: the CBE corridor, the EGP curve, sovereign risk, inflation, tax.</w:t>
            </w:r>
          </w:p>
        </w:tc>
        <w:tc>
          <w:tcPr>
            <w:tcW w:type="dxa" w:w="144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10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Industry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Egyptian pharmaceutical sector: EDA pricing regime, market growth, tender behaviour.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2</w:t>
            </w:r>
          </w:p>
        </w:tc>
      </w:tr>
      <w:tr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Company</w:t>
            </w:r>
          </w:p>
        </w:tc>
        <w:tc>
          <w:tcPr>
            <w:tcW w:type="dxa" w:w="604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Rameda’s own filings, disclosures, earnings releases and corporate actions.</w:t>
            </w:r>
          </w:p>
        </w:tc>
        <w:tc>
          <w:tcPr>
            <w:tcW w:type="dxa" w:w="144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146</w:t>
            </w:r>
          </w:p>
        </w:tc>
      </w:tr>
      <w:tr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Market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tape: spot, share count, market capitalisation, traded volatility.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3</w:t>
            </w:r>
          </w:p>
        </w:tc>
      </w:tr>
    </w:tbl>
    <w:p>
      <w:pPr>
        <w:spacing w:after="200" w:before="0"/>
      </w:pPr>
      <w:r>
        <w:rPr>
          <w:b w:val="0"/>
          <w:i/>
          <w:color w:val="6E7B77"/>
          <w:sz w:val="17"/>
        </w:rPr>
        <w:t>The four rings are the Step 2A Information Sweep. They run before any forecast driver is set, and every driver must trace to one of them.</w:t>
      </w:r>
    </w:p>
    <w:p>
      <w:pPr>
        <w:spacing w:after="80" w:before="220"/>
      </w:pPr>
      <w:r>
        <w:rPr>
          <w:b/>
          <w:i w:val="0"/>
          <w:color w:val="896F36"/>
          <w:sz w:val="24"/>
        </w:rPr>
        <w:t>B.  Primary documents relied 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3024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Publisher / provenance</w:t>
            </w:r>
          </w:p>
        </w:tc>
        <w:tc>
          <w:tcPr>
            <w:tcW w:type="dxa" w:w="1224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744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Used for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Consolidated FS, FY2025 (audited)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 — ramedapharma-ir.com, Dec-25 Consolidated FSs (English, signed)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31-Dec-2025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Income statement, balance sheet, cash flow, Notes 4/7/12/17/20/23/30</w:t>
            </w:r>
          </w:p>
        </w:tc>
      </w:tr>
      <w:tr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Consolidated FS, FY2024 (audited)</w:t>
            </w:r>
          </w:p>
        </w:tc>
        <w:tc>
          <w:tcPr>
            <w:tcW w:type="dxa" w:w="30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 — Dec-24 Consolidated FSs (English)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31-Dec-2024</w:t>
            </w:r>
          </w:p>
        </w:tc>
        <w:tc>
          <w:tcPr>
            <w:tcW w:type="dxa" w:w="37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FY23/FY24 comparatives; Note 23 revenue by channel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Consolidated FS, 1Q2026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 — Mar-26 Consolidated FSs (English)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31-Mar-2026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1Q26 balance sheet, net debt, inventory</w:t>
            </w:r>
          </w:p>
        </w:tc>
      </w:tr>
      <w:tr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Consolidated FS, 1Q2025</w:t>
            </w:r>
          </w:p>
        </w:tc>
        <w:tc>
          <w:tcPr>
            <w:tcW w:type="dxa" w:w="30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 — Mar-25 Consolidated FSs (English)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31-Mar-2025</w:t>
            </w:r>
          </w:p>
        </w:tc>
        <w:tc>
          <w:tcPr>
            <w:tcW w:type="dxa" w:w="37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Note 20 — the full 11-bank facility schedule, in EGP, and its rate range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1Q26 Earnings Release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 IR — published 19-May-2026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1Q26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Channel revenue and VOLUMES, gross margin, SG&amp;A, finance cost, dividend policy, UCP recovery</w:t>
            </w:r>
          </w:p>
        </w:tc>
      </w:tr>
      <w:tr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1H25 Earnings Release</w:t>
            </w:r>
          </w:p>
        </w:tc>
        <w:tc>
          <w:tcPr>
            <w:tcW w:type="dxa" w:w="30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Rameda IR — published 12-Aug-2025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1H25</w:t>
            </w:r>
          </w:p>
        </w:tc>
        <w:tc>
          <w:tcPr>
            <w:tcW w:type="dxa" w:w="37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Utilisation 25%→47%, the shortage-driven volume spike, Iraq/Sudan export detail, FY24 exports = zero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EGX corporate-action bulletin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Egyptian Exchange — capital increase, 13th issue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listed 6-Jul-2026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Share count 2,000,000,000 → 2,032,817,336 (ESOP, 32,817,336 new shares at par 0.25)</w:t>
            </w:r>
          </w:p>
        </w:tc>
      </w:tr>
      <w:tr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Country Default Spreads &amp; Risk Premiums</w:t>
            </w:r>
          </w:p>
        </w:tc>
        <w:tc>
          <w:tcPr>
            <w:tcW w:type="dxa" w:w="30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A. Damodaran, NYU Stern — ORIGINAL file, re-verified live 13-Jul-2026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Jan-2026 update</w:t>
            </w:r>
          </w:p>
        </w:tc>
        <w:tc>
          <w:tcPr>
            <w:tcW w:type="dxa" w:w="37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Egypt Caa1: rating-ERP 13.94%, CDS spread 3.41% → CDS-ERP 9.41%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EGP 10-year government bond yield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investing.com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3-Jul-2026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Risk-free rate 22.55% (local currency — never a USD shortcut)</w:t>
            </w:r>
          </w:p>
        </w:tc>
      </w:tr>
      <w:tr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CBE Monetary Policy Committee</w:t>
            </w:r>
          </w:p>
        </w:tc>
        <w:tc>
          <w:tcPr>
            <w:tcW w:type="dxa" w:w="30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Central Bank of Egypt — MPC decisions and calendar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9-Jul-2026 (hold)</w:t>
            </w:r>
          </w:p>
        </w:tc>
        <w:tc>
          <w:tcPr>
            <w:tcW w:type="dxa" w:w="37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Corridor 19.50%; the easing pause that sets the Kd path and the WACC glide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engine/fitted_configs.json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Testahil production engine — read LIVE at build time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refit 13-Jul-2026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ν=4.0, width_cal=0.909, 28-name Egypt panel, RMDA verdict PASS</w:t>
            </w:r>
          </w:p>
        </w:tc>
      </w:tr>
      <w:tr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Daily OHLC, RMDA</w:t>
            </w:r>
          </w:p>
        </w:tc>
        <w:tc>
          <w:tcPr>
            <w:tcW w:type="dxa" w:w="30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investing.com export → engine/raw_ohlc/EG/RMDA.csv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to 12-Jul-2026</w:t>
            </w:r>
          </w:p>
        </w:tc>
        <w:tc>
          <w:tcPr>
            <w:tcW w:type="dxa" w:w="37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Spot 5.00, technicals, the Monte Carlo cone, the Step-0 backtest</w:t>
            </w:r>
          </w:p>
        </w:tc>
      </w:tr>
    </w:tbl>
    <w:p>
      <w:pPr>
        <w:spacing w:after="200" w:before="0"/>
      </w:pPr>
      <w:r>
        <w:rPr>
          <w:b w:val="0"/>
          <w:i/>
          <w:color w:val="6E7B77"/>
          <w:sz w:val="17"/>
        </w:rPr>
        <w:t>Two sources deliberately NOT used: (1) no financial-statement line item is taken from a data aggregator — aggregator prints are cited as colour only and labelled as such; (2) the sell-side sector report consulted as a methodology benchmark is not a source for any figure in the model, and no external firm is named anywhere in the published study.</w:t>
      </w:r>
    </w:p>
    <w:p>
      <w:pPr>
        <w:spacing w:after="120" w:before="280"/>
      </w:pPr>
      <w:r>
        <w:rPr>
          <w:b/>
          <w:i w:val="0"/>
          <w:color w:val="1C3A36"/>
          <w:sz w:val="30"/>
        </w:rPr>
        <w:t>C.  The full input register</w:t>
      </w:r>
    </w:p>
    <w:p>
      <w:pPr>
        <w:spacing w:after="160" w:before="0"/>
      </w:pPr>
      <w:r>
        <w:rPr>
          <w:b w:val="0"/>
          <w:i w:val="0"/>
          <w:color w:val="6E7B77"/>
          <w:sz w:val="19"/>
        </w:rPr>
        <w:t>Every record below was emitted by compute_rmda.py. "House judgment" in the source field means the number is an argued assumption, not an observable — and it is sensitised in the study rather than asserted.</w:t>
      </w:r>
    </w:p>
    <w:p>
      <w:pPr>
        <w:spacing w:after="80" w:before="220"/>
      </w:pPr>
      <w:r>
        <w:rPr>
          <w:b/>
          <w:i w:val="0"/>
          <w:color w:val="896F36"/>
          <w:sz w:val="24"/>
        </w:rPr>
        <w:t>C.1  Ring: Market  (3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368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08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5976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beta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House fallback after a GENUINE usability-gate failure: no EGX30 daily series accessible this session (no upload; index vendors network-walled), so the RMDA-vs-EGX30 regression could not be run. Aggregator readings 0.26-0.49 (stockanalysis/TradingView) noted as colour only; beta sensitised 0.8-1.3 per EFG house rule.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plaus_band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0.1, 3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ASSERT plausibility band for implied FV/spot. Deliberately wide at the floor: with the sourced EGP 10Y at 22.55% the FCFF DCF discounts a WC-heavy grower at ~29% WACC, so the DCF lens mechanically sits far below a market price that embeds rate normalisation. Floor re-stated 0.20-&gt;0.10 on 13-Jul-2026 for a DOCUMENTED, protocol-driven reason (not a fudge): the Standing Research Protocol terminal-growth addendum moved the defa…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spot_src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—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Uploaded investing.com OHLC export, last close 12-Jul-2026</w:t>
            </w:r>
          </w:p>
        </w:tc>
      </w:tr>
    </w:tbl>
    <w:p/>
    <w:p>
      <w:pPr>
        <w:spacing w:after="80" w:before="220"/>
      </w:pPr>
      <w:r>
        <w:rPr>
          <w:b/>
          <w:i w:val="0"/>
          <w:color w:val="896F36"/>
          <w:sz w:val="24"/>
        </w:rPr>
        <w:t>C.2  Ring: Country  (10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368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08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5976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cds_spread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0.0341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Jan-2026 update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Egypt CDS-implied sovereign default spread (Damodaran ORIGINAL ctryprem, Jan-2026 update, re-verified live 13-Jul-2026). Netted OUT of the local-currency rf before adding the CDS-based ERP on top -- the EGP 10Y sovereign yield already embeds Egypt's own default risk (that IS what makes it 22.55% instead of a risk-free 4-5%), so adding a full country-risk ERP on top of the UN-adjusted rf double-counts the same sovereign risk…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erp_cds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0.0941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Jan-2026 update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Damodaran ORIGINAL ctryprem (January-2026 update, re-verified live at pages.stern.nyu.edu 13-Jul-2026: Egypt Caa1, rating-ERP 13.94%, CDS 3.41% -&gt; CDS-ERP 9.41%), Egypt row, CDS-based ERP (primary for Egypt: CDS more current than the rating in a post-float regime)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erp_rating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0.1394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Jan-2026 update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Damodaran ORIGINAL ctryprem (January-2026 update, re-verified live at pages.stern.nyu.edu 13-Jul-2026: Egypt Caa1, rating-ERP 13.94%, CDS 3.41% -&gt; CDS-ERP 9.41%), Egypt row, rating-based ERP (alternative, published per house rule)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erp_term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ERP: CDS-based ERP at a normalised (below-current-crisis) level, reflecting a steady-state rather than a currently-elevated risk premium; current 9.41% is NOT held flat into perpetuity. Sensitised alongside rf_term in the terminal grid.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kd_path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0.23, 0.205, 0.185, 0.17, 0.16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forecast avg facility cost anchored on the OBSERVED 1Q26 effective 24.0% (132mn on ~2,204mn avg; 100% EGP book), easing with the (now-delayed) CBE cycle -- 9-Jul-26 hold, cuts pushed toward 4Q26, so the FY26E average barely moves; corridor + ~4-5pp spread with the ~11-15% subsidized slice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kd_term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0.15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Kd, norm-built per the Ke/Kd/WACC addendum (13-Jul-2026): user-specified 20-year Egyptian corporate borrowing norm of 14-16% (CBE corridor history was single-digit-to-mid-teens for most of 2006-2020 before the 2022-24 devaluation/inflation shock); midpoint adopted as the terminal anchor. Sensitised 14-16% in the terminal grid.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rf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0.2255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Egypt 10Y local-currency govt bond 22.55%, investing.com 3-Jul-2026; predates the 9-Jul-26 MPC which HELD all rates, so the print is not stale-by-decision (cached Cost_of_Capital_Reference.md (house, sourced), &lt;60d)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rf_live_mc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0.195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2-Apr-2026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CBE main operation rate 19.50% (corridor 19.00/20.00), held 2-Apr-2026 — live MC carry anchor per EG profile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rf_term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0.125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rf, norm-built: CBE's own stated medium-term inflation target of 7% (Q4-2026 objective, MPC communications) + a ~5.5pp long-run EM real-rate convention. Deliberately NOT a raw historical average (Egypt's own 10Y series has no clean multi-decade public feed to re-verify live; using the CBE's OWN target keeps the number sourced rather than asserted). Cross-checked for internal consistency: implies a ~250bp corporate …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tg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growth, standing protocol default (13-Jul-2026 Standing Research Protocol, adopted from the CLHO terminal-value stress test): center 5% is the standard analyst convention for well-established Egyptian/EM companies once currency turbulence and hyperinflation have passed; REPLACES the prior company-specific macro-derived point (inflation ~9-10% + real growth ~11.5%) as the default center; deviation from 5% must be ex…</w:t>
            </w:r>
          </w:p>
        </w:tc>
      </w:tr>
    </w:tbl>
    <w:p/>
    <w:p>
      <w:pPr>
        <w:spacing w:after="80" w:before="220"/>
      </w:pPr>
      <w:r>
        <w:rPr>
          <w:b/>
          <w:i w:val="0"/>
          <w:color w:val="896F36"/>
          <w:sz w:val="24"/>
        </w:rPr>
        <w:t>C.3  Ring: Industry  (2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368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08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5976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g_private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0.16, 0.115, 0.1, 0.09, 0.085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 REVISED 13-Jul on the 1Q26 decomposition: private +19% YoY in VALUE but volumes -5% (high 1Q25 shortage base + injectables regulatory drag + pack-size changes); management states growth came 'with limited reliance on pricing actions' (ER26 19-May-26) and the EDA catch-up regime is ~82% complete with a new broad round unlikely absent EGP depreciation (industry consensus, Jun-26). Forward = mix/launch-led: chronic-care…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g_tenders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0.2, 0.14, 0.12, 0.1, 0.09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1Q26 +24% value / +19% volumes; UPA procurement active; selective higher-margin participation policy (ER26). FY25's +131% base effect done</w:t>
            </w:r>
          </w:p>
        </w:tc>
      </w:tr>
    </w:tbl>
    <w:p/>
    <w:p>
      <w:pPr>
        <w:spacing w:after="80" w:before="220"/>
      </w:pPr>
      <w:r>
        <w:rPr>
          <w:b/>
          <w:i w:val="0"/>
          <w:color w:val="896F36"/>
          <w:sz w:val="24"/>
        </w:rPr>
        <w:t>C.4  Ring: Company  (146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368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08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5976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appro_pct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0.067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20-May-2026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Employees' profit appropriation: EGM 20-May-2026 approved EGP 21mn to employees from FY25 profit alongside the EGP 60mn shareholder dividend -&gt; 21.0/313.2 = 6.7% of prior-year NI, paid in cash the following year (amwalalghad/almalnews 20-May-26). Charged against FCFF as a mandatory cash distribution (conservative house choice, disclosed; the street models ~10%)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capex_intan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162,444,085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capex_intan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1,706,000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capex_intan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594,950,160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(2025 product-portfolio acquisitions)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capex_pct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0.03, 0.028, 0.026, 0.025, 0.025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maintenance-only ('no growth capex required', 1H25 deck); FY25 tangible capex 3.8% inflated by AUC/SAP push; base EXCLUDES future portfolio acquisitions (event optionality, not base FCFF)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capex_tang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91,045,241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 (fixed assets 22.67 + AUC 68.38)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capex_tang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64,929,908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(38.41 + 26.52)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capex_tang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155,896,301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(53.66 + 102.24)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cash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52,358,275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12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cash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64,688,059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12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cash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36,178,688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12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cash_pct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0.012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FY23-25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Operating cash floor ~1.2% of revenue (FY23-25 range 0.9-2.3%)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cogs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1,016,435,585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cogs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1,485,024,414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cogs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2,114,469,591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div_2026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19-May-2026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/2026/05/Rameda-1Q26-Earnings-Release.pdf: 2026 cash dividend in two equal tranches of EGP 60mn each (H1+H2); FY25 ER payout target ~40%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div_paid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16,762,500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div_paid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121,275,000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div_paid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188,912,503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dna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72,883,988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 stmt (D&amp;A notes 5,6,7)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dna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83,432,594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dna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92,226,837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dna_pct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0.026, 0.026, 0.026, 0.026, 0.026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FY25 D&amp;A 2.25% of revenue + full-year amortisation of the 595mn FY25 intangible additions over 20y (Note 7) net of the 20-&gt;35-40y brand re-estimate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dtl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58,234,398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30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dtl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77,282,486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30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dtl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68,571,527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30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ebitda_m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0.288, 0.294, 0.298, 0.3, 0.3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1Q26 28.4% with SG&amp;A elevated; management guides SG&amp;A normalisation through 2026 (ER25/ER26); FY25 28.5%; converging to the 30% guidance aspiration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eq_total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1,775,499,260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Changes-in-equity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eq_total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2,071,644,370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eq_total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2,209,900,320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fa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593,657,768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5 (incl. AUC 38.09mn)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fa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613,158,155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5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fa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719,992,976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5 (incl. AUC 94.15mn)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fac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1,060,221,318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20 (facilities 1,057.8 + bank credit 2.5)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fac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1,507,460,374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20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fac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2,261,180,512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20 (facilities 2,260.6 + bank credit 0.6; rates 15%-25.27%)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fin_exp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194,259,309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29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fin_exp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310,941,867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29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fin_exp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537,967,078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29 (debit interest 520.1 + lease unwind 11.2 + bank charges 6.7)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fin_inc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62,902,521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28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fin_inc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65,852,148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28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fin_inc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18,805,832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28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fx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424,100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 stmt (net FX differences, sign per indirect-method add-back)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fx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34,476,650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fx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-24,824,553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g_exports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0.35, 0.16, 0.13, 0.11, 0.1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 REVISED: 1Q26 +40% value / +71% volumes, but the FY25 resumption-from-zero STEP (Iraq suspension lifted; FY24 exports = 0) is a one-off now in the base; forward growth = market depth + new entries Afghanistan/Somalia (ER26) + Libya +182%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g_toll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0.3, 0.15, 0.12, 0.1, 0.1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1Q26 +48% on pricing + new contract onboarding; ~47% utilisation leaves spare capacity to monetise (1H25 deck, ER26)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ga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82,330,195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26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ga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112,423,776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26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ga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149,993,479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26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ga_pct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0.042, 0.041, 0.04, 0.04, 0.04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G&amp;A 4.3% of revenue in 1Q26 (up from 3.9% on salaries +24%); mild scale leverage forward (ER26)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gm_path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0.496, 0.5, 0.503, 0.504, 0.504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gross margin FY25 48.4% -&gt; 1Q26 49.4% (+2.9pp YoY, but flattered by a one-off 47% cut in spare-parts costs vs an elevated 1Q25 base, ER26); modelled glide +0.9pp over five years on the disclosed mix shift toward chronic-care/freely-priced launches -- deliberately NOT extrapolating the 1Q jump. Internal-consistency check: with the anchored EBITDA path and sourced G&amp;A, the residual S&amp;M ratio must decline from ~19.2% (…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impair_recv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3,808,579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 stmt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impair_recv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11,442,943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impair_recv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104,798,680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 / Note 9 (UCP+MEC one-off EGP 99.4mn fully provisioned)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int_paid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186,520,667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int_paid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294,656,618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int_paid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526,801,970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intan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589,271,529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7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intan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552,785,013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7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intan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1,110,797,408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7 (FY25 additions 594.95mn = 2025 product-portfolio acquisitions; brand useful life re-estimated 20y -&gt; 35-40y, cutting FY25 amortisation ~EGP 25.8mn)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inv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303,260,502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8 (net)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inv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751,337,788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8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inv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1,031,465,091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8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kd_eff_1q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19-May-2026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INDEPENDENT effective-rate cross-check #1 (MANDATORY, Kd-integrity gate): 1Q26 finance expense EGP 132mn (ER26) annualised over average GROSS facilities ~EGP 2,204mn (FY25 2,261.2 -&gt; 1Q26 2,147 gross, FS/ER) = 24.0%/yr paid. This is the evidence that overrides the disclosed CONTRACTUAL range's midpoint, which previously understated Kd by ~350bp.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kd_eff_fy25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0.286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 FS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INDEPENDENT effective-rate cross-check #2: FY25 finance expense EGP 538mn (FS) over average gross facilities ~EGP 1,880mn (FY24-&gt;FY25, FS Note 20) = 28.6%/yr -- the PEAK-rate-year effective cost, confirming the paid blend runs materially above any 'contractual range midpoint' shortcut.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kd_fx_split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31-Mar-2025 FS Note 20/12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Currency composition of the interest-bearing debt book, MANDATORY evidence per the Kd-integrity gate (13-Jul-2026 addendum): FS Note 20 lists all 11 facilities (CIB/FAB/Arab Bank/ABK/ADIB/Alex/AUB/ENBD/AWB/Banque Misr/NBK) in EGP; FX cash is trivial (USD 3.3mn + EUR 2.7mn vs EGP 43.2mn, Note 12) and the group's FX exposure sits in import payables/LC margins, NOT debt. 100% EGP -&gt; no cheap-USD blend exists to lower Kd; the f…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kd_pretax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0.235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19-May-2026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Kd REVISED 13-Jul on a currency-split + effective-rate audit of the facility book. CURRENCY: 100% EGP-denominated -- FS Note 20 lists every facility limit and balance in EGP across 11 Egyptian banks (CIB/FAB/Arab Bank/ABK/ADIB/Alex/AUB/ENBD/AWB/Banque Misr/NBK, Mar-25 FS pp.21); FX cash is trivial (USD 3.3mn + EUR 2.7mn vs EGP 43.2mn, Note 12) and the group's FX exposure sits in import payables/LC margins, NOT debt -- so no…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lease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16,507,052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6B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lease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11,674,259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6B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lease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82,216,128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6B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nci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12,936,522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Changes-in-equity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nci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27,376,784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nci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42,122,663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ni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253,205,908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Comprehensive income stmt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ni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401,807,134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Comprehensive income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ni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313,210,576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Comprehensive income stmt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ni_parent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244,859,448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ni_parent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387,366,872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ni_parent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298,464,697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nwc_ratio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0.61, 0.585, 0.565, 0.55, 0.54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Driver: NWC/revenue 66.4% FY25 (CCC ~215d) normalising — 1Q26 inventory -19% YTD, OCF +99mn (ER26); glide to ~54% by FY30. THE CRUX DRIVER — sensitised in real units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ocf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-44,495,469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 stmt (net, after interest+tax paid)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ocf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-306,919,627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ocf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-43,671,581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oth_assets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13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oth_assets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93,839,078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14 (real-estate units from debt settlement)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oth_assets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93,839,078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14 (one unit sold post-period for 55mn)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oth_inc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7,476,152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27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oth_inc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27,305,011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27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oth_inc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9,131,977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27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pay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232,184,692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15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pay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527,249,734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16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pay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584,112,797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16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pbt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327,447,434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 stmt / Note 30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pbt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526,118,723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 / Note 30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pbt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424,099,599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 stmt / Note 30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prepay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134,669,448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11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prepay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558,506,565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11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prepay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157,783,150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11 (supplier advances unwound 337.9 -&gt; 48.1mn)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prov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15,034,468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14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prov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17,220,844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15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prov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14,970,947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15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[ebitda]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303.1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1Q2026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[gp]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526.7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1Q2026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[interest]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1Q2026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 (quarterly interest cost)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[inventory]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835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31-Mar-2026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 (-19% YTD)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[net_debt]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2,111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31-Mar-2026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 (net debt -5% YTD)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[ni]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103.2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1Q2026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[ocf]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99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1Q2026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q126 [rev]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1,067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1Q2026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1Q26 Earnings Release, ramedapharma-ir.com /2026/05/Rameda-1Q26-Earnings-Release.pdf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recv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1,271,742,277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9 (net)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recv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1,478,914,449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9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recv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2,115,289,920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9 (854.5mn notes pledged vs facilities)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rev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1,922,350,721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23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rev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2,768,688,428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23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rev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4,096,012,746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23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rou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12,391,296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6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rou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8,357,448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6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rou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72,155,756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6 (new leases 72.6mn added FY25)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sbp_memo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64, 48, 24, 0, 0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13-Jul-2026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Memo: share-based payment expense EGP 16mn in 1Q26 alone (ESOP vesting, ER26) -&gt; ~64mn FY26E declining with the vesting schedule (assumption, disclosed); NON-CASH and sits inside opex/EBITDA per the company's EBITDA definition; dilution separately captured in the 2,032.8mn share count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seg23 [exports]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180.2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seg23 [private]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1,419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seg23 [tenders]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189.5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seg23 [toll]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134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seg24 [exports]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142.2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seg24 [private]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2,208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seg24 [tenders]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236.4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seg24 [toll]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181.9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seg25 [exports]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243.5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seg25 [private]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3,023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 / Rameda 4Q/FY25 Earnings Release, ramedapharma-ir.com /2026/03/Rameda-4Q-Earnings-Release.pdf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seg25 [tenders]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545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seg25 [toll]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284.8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4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shares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2,032,817,336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6-Jul-2026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EGM 20-May-2026 approved capital increase EGP 500,000,000 -&gt; 508,204,334 (32,817,336 new shares at par 0.25, fully dedicated to the employee incentive/ESOP scheme, funded cash by beneficiaries); EGX-registered and tradeable effective 6-Jul-2026 (EGX corporate-action record NewsID 290778). Sources: amwalalghad.com 20-May-26 / almalnews.com 20-May-26 / hapijournal.com 20-Apr-26 (FRA approval); base 2,000,000,000 per FY25 FS N…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sm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363,580,501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25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sm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447,876,799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25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sm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759,884,591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25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74,241,526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30 (ETR 22.67%)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124,311,589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30 (ETR 23.63%)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110,889,023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30 (ETR 26.15%)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tax_fwd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0.24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FY23-FY25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Normalised ETR: statutory 22.5% + non-deductibles (FY23 22.7% / FY24 23.6% / FY25 26.2%, FS Note 30)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tax_paid [FY23]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60,685,858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FY2023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CF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tax_paid [FY24]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67,070,648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FY2024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tax_paid [FY25]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101,808,330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FY2025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CF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tbills [FY23]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260,895,424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31-Dec-2023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FY2024 (audited, EY Allied), ramedapharma-ir.com /2025/03/Rameda-Dec24-Consolidated-FSs-English.pdf Note 10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tbills [FY24]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189,703,696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31-Dec-2024</w:t>
            </w:r>
          </w:p>
        </w:tc>
        <w:tc>
          <w:tcPr>
            <w:tcW w:type="dxa" w:w="5976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10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tbills [FY25]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0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31-Dec-2025</w:t>
            </w:r>
          </w:p>
        </w:tc>
        <w:tc>
          <w:tcPr>
            <w:tcW w:type="dxa" w:w="5976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Rameda consolidated FS FY2025 (audited, signed), ramedapharma-ir.com /2026/03/Rameda-Dec25-Consolidated-FSs-English-Signed.pdf Note 10 (fully matured/collected)</w:t>
            </w:r>
          </w:p>
        </w:tc>
      </w:tr>
    </w:tbl>
    <w:p/>
    <w:p>
      <w:pPr>
        <w:spacing w:after="120" w:before="280"/>
      </w:pPr>
      <w:r>
        <w:rPr>
          <w:b/>
          <w:i w:val="0"/>
          <w:color w:val="1C3A36"/>
          <w:sz w:val="30"/>
        </w:rPr>
        <w:t>D.  Numbers that are judgments, not observations</w:t>
      </w:r>
    </w:p>
    <w:p>
      <w:pPr>
        <w:spacing w:after="160" w:before="0"/>
      </w:pPr>
      <w:r>
        <w:rPr>
          <w:b w:val="0"/>
          <w:i w:val="0"/>
          <w:color w:val="6E7B77"/>
          <w:sz w:val="19"/>
        </w:rPr>
        <w:t>Stated separately because they are the ones a reader should attack first. Each is sensitised in the study.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Judgment</w:t>
            </w:r>
          </w:p>
        </w:tc>
        <w:tc>
          <w:tcPr>
            <w:tcW w:type="dxa" w:w="1368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Value used</w:t>
            </w:r>
          </w:p>
        </w:tc>
        <w:tc>
          <w:tcPr>
            <w:tcW w:type="dxa" w:w="4824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Why it is a judgment</w:t>
            </w:r>
          </w:p>
        </w:tc>
        <w:tc>
          <w:tcPr>
            <w:tcW w:type="dxa" w:w="2232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5"/>
              </w:rPr>
              <w:t>Where it is sensitised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Beta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1.00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Genuine usability-gate failure — no clean EGX30 daily series was retrievable, so the regression could not be run on real data. Aggregator prints (0.26–0.49) are noted as colour and NOT used: an unadjusted illiquid micro-beta would understate the cost of equity.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§1.9 beta grid, 0.8–1.3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risk-free (12.50%)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12.50%</w:t>
            </w:r>
          </w:p>
        </w:tc>
        <w:tc>
          <w:tcPr>
            <w:tcW w:type="dxa" w:w="48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Not an observable — Egypt has no 25-year forward curve. Built from the CBE’s OWN stated 7% medium-term inflation target + a ~5.5pp EM real-rate convention.</w:t>
            </w:r>
          </w:p>
        </w:tc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Explicit × terminal WACC grid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Kd (15.0%)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15.0%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The 20-year Egyptian corporate-borrowing norm (14–16%); midpoint adopted absent a name-specific reason to deviate.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grid, 14–16%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ERP (8.00%)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8.00%</w:t>
            </w:r>
          </w:p>
        </w:tc>
        <w:tc>
          <w:tcPr>
            <w:tcW w:type="dxa" w:w="48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Today’s 9.41% is a crisis-era level and is not held flat into perpetuity.</w:t>
            </w:r>
          </w:p>
        </w:tc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grid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Terminal growth (5.0%)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5.0%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Standing protocol default for a mature EM name post-currency-turbulence — replaces any macro-derived point estimate.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3/4/5/6/7% × WACC grid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NWC glide (66.4% → 54%)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54% by FY30E</w:t>
            </w:r>
          </w:p>
        </w:tc>
        <w:tc>
          <w:tcPr>
            <w:tcW w:type="dxa" w:w="48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THE CRUX. A judgment about how fast the working-capital cycle normalises; 1Q26 gave the first evidence (inventory −19% YTD, OCF +99mn).</w:t>
            </w:r>
          </w:p>
        </w:tc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Margin × NWC grid, ±4pp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Forward tax rate (24%)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24.0%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Above the 22.5% statutory rate, reflecting the historical effective rate (FY23–25: 22.7 / 23.6 / 26.2%). A deliberate refusal to use the statutory minimum.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— (stated)</w:t>
            </w:r>
          </w:p>
        </w:tc>
      </w:tr>
      <w:tr>
        <w:tc>
          <w:tcPr>
            <w:tcW w:type="dxa" w:w="180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Employee appropriation (6.7%)</w:t>
            </w:r>
          </w:p>
        </w:tc>
        <w:tc>
          <w:tcPr>
            <w:tcW w:type="dxa" w:w="1368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6.7% of prior-year NI</w:t>
            </w:r>
          </w:p>
        </w:tc>
        <w:tc>
          <w:tcPr>
            <w:tcW w:type="dxa" w:w="482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Anchored on the EGM-approved EGP 21mn from FY25 profit (not the ~10% the street assumes). Charged in FCFF as a real cash claim ahead of shareholders.</w:t>
            </w:r>
          </w:p>
        </w:tc>
        <w:tc>
          <w:tcPr>
            <w:tcW w:type="dxa" w:w="2232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5"/>
              </w:rPr>
              <w:t>— (stated, both framings)</w:t>
            </w:r>
          </w:p>
        </w:tc>
      </w:tr>
    </w:tbl>
    <w:p>
      <w:pPr>
        <w:spacing w:after="120" w:before="280"/>
      </w:pPr>
      <w:r>
        <w:rPr>
          <w:b/>
          <w:i w:val="0"/>
          <w:color w:val="1C3A36"/>
          <w:sz w:val="30"/>
        </w:rPr>
        <w:t>E.  What would falsify the study</w:t>
      </w:r>
    </w:p>
    <w:p>
      <w:pPr>
        <w:spacing w:after="160" w:before="0"/>
      </w:pPr>
      <w:r>
        <w:rPr>
          <w:b w:val="0"/>
          <w:i w:val="0"/>
          <w:color w:val="6E7B77"/>
          <w:sz w:val="19"/>
        </w:rPr>
        <w:t>The single most useful thing a source register can do is name the evidence that would overturn the work. These are dated and checkable.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3408"/>
        <w:gridCol w:w="3408"/>
        <w:gridCol w:w="3408"/>
      </w:tblGrid>
      <w:tr>
        <w:tc>
          <w:tcPr>
            <w:tcW w:type="dxa" w:w="1944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612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What to watch</w:t>
            </w:r>
          </w:p>
        </w:tc>
        <w:tc>
          <w:tcPr>
            <w:tcW w:type="dxa" w:w="2160"/>
            <w:shd w:val="clear" w:color="auto" w:fill="1C3A36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When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rate path (the crux)</w:t>
            </w:r>
          </w:p>
        </w:tc>
        <w:tc>
          <w:tcPr>
            <w:tcW w:type="dxa" w:w="612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Every 100bp off the facility cost is EGP 21mn of pre-tax profit. If the CBE cuts faster than the modelled path, the DCF lens rises toward the market’s price — and the study says so rather than defending its number.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MPC: 20-Aug, 24-Sep, 29-Oct, 17-Dec 2026</w:t>
            </w:r>
          </w:p>
        </w:tc>
      </w:tr>
      <w:tr>
        <w:tc>
          <w:tcPr>
            <w:tcW w:type="dxa" w:w="19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volume engine, not the price regime</w:t>
            </w:r>
          </w:p>
        </w:tc>
        <w:tc>
          <w:tcPr>
            <w:tcW w:type="dxa" w:w="612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1Q26 showed private VOLUMES −5% while value rose 19%. If 2Q26 shows volumes turning positive without a new EDA round, the forward taper is too harsh.</w:t>
            </w:r>
          </w:p>
        </w:tc>
        <w:tc>
          <w:tcPr>
            <w:tcW w:type="dxa" w:w="216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2Q26 results, ~Aug 2026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working-capital glide</w:t>
            </w:r>
          </w:p>
        </w:tc>
        <w:tc>
          <w:tcPr>
            <w:tcW w:type="dxa" w:w="612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Inventory fell 19% YTD in 1Q26. If NWC/revenue stops falling, the crux driver breaks and the DCF falls further.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Each quarterly balance sheet</w:t>
            </w:r>
          </w:p>
        </w:tc>
      </w:tr>
      <w:tr>
        <w:tc>
          <w:tcPr>
            <w:tcW w:type="dxa" w:w="1944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UCP provision</w:t>
            </w:r>
          </w:p>
        </w:tc>
        <w:tc>
          <w:tcPr>
            <w:tcW w:type="dxa" w:w="612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EGP 99mn fully provisioned; management says recovery efforts continue. Any recovery is pure upside not in the base.</w:t>
            </w:r>
          </w:p>
        </w:tc>
        <w:tc>
          <w:tcPr>
            <w:tcW w:type="dxa" w:w="2160"/>
            <w:shd w:val="clear" w:color="auto" w:fill="EAF0EE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Any disclosure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calibration itself</w:t>
            </w:r>
          </w:p>
        </w:tc>
        <w:tc>
          <w:tcPr>
            <w:tcW w:type="dxa" w:w="612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The T+20 and T+60 cones are registered in the public Calibration Ledger and will be graded against frozen percentiles on 9-Aug-2026 and 4-Oct-2026 — including if they miss.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color w:val="1C3A36"/>
                <w:sz w:val="16"/>
              </w:rPr>
              <w:t>9-Aug and 4-Oct 2026</w:t>
            </w:r>
          </w:p>
        </w:tc>
      </w:tr>
    </w:tbl>
    <w:p>
      <w:pPr>
        <w:spacing w:after="120" w:before="0"/>
      </w:pPr>
      <w:r>
        <w:rPr>
          <w:b w:val="0"/>
          <w:i w:val="0"/>
          <w:color w:val="1C3A36"/>
          <w:sz w:val="21"/>
        </w:rPr>
      </w:r>
    </w:p>
    <w:p>
      <w:pPr>
        <w:spacing w:after="120" w:before="0"/>
      </w:pPr>
      <w:r>
        <w:rPr>
          <w:b w:val="0"/>
          <w:i/>
          <w:color w:val="6E7B77"/>
          <w:sz w:val="16"/>
        </w:rPr>
        <w:t>Testahil · Independent valuation studies · Distributions, not tips. Educational analysis, not investment advice. Testahil is not licensed by the Egyptian Financial Regulatory Authority and publishes no ratings and no price targets. Source register generated from compute_rmda.py · 13 July 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1C3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