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30" w:type="dxa"/>
          <w:bottom w:w="80" w:type="dxa"/>
          <w:right w:w="130" w:type="dxa"/>
        </w:tblCellMar>
      </w:tblPr>
      <w:tblGrid>
        <w:gridCol w:w="14400"/>
      </w:tblGrid>
      <w:tr>
        <w:tc>
          <w:tcPr>
            <w:tcW w:type="dxa" w:w="14400"/>
            <w:shd w:val="clear" w:color="auto" w:fill="1C3A36"/>
          </w:tcPr>
          <w:p>
            <w:r>
              <w:rPr>
                <w:b/>
                <w:color w:val="FFFFFF"/>
                <w:sz w:val="24"/>
              </w:rPr>
              <w:t>Testahil · Source &amp; Provenance Register</w:t>
            </w:r>
            <w:r>
              <w:rPr>
                <w:color w:val="9FB0AC"/>
                <w:sz w:val="19"/>
              </w:rPr>
              <w:t xml:space="preserve">  Companion to the SALIK valuation study — every figure, traced</w:t>
            </w:r>
          </w:p>
        </w:tc>
      </w:tr>
    </w:tbl>
    <w:p>
      <w:pPr>
        <w:spacing w:after="0"/>
      </w:pPr>
    </w:p>
    <w:p>
      <w:pPr>
        <w:spacing w:after="40" w:before="0"/>
      </w:pPr>
      <w:r>
        <w:rPr>
          <w:b/>
          <w:i w:val="0"/>
          <w:color w:val="1C3A36"/>
          <w:sz w:val="32"/>
        </w:rPr>
        <w:t>SALIK Company PJSC (DFM: SALIK) — Source &amp; Provenance Register</w:t>
      </w:r>
    </w:p>
    <w:p>
      <w:pPr>
        <w:spacing w:after="160" w:before="0"/>
      </w:pPr>
      <w:r>
        <w:rPr>
          <w:b w:val="0"/>
          <w:i/>
          <w:color w:val="6E7B77"/>
          <w:sz w:val="19"/>
        </w:rPr>
        <w:t>Companion document to SALIK_Valuation_Study_11-07-2026 (v3). Anchor: 10 July 2026 close. Register compiled 12 July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00" w:type="dxa"/>
          <w:left w:w="130" w:type="dxa"/>
          <w:bottom w:w="100" w:type="dxa"/>
          <w:right w:w="130" w:type="dxa"/>
        </w:tblCellMar>
      </w:tblPr>
      <w:tblGrid>
        <w:gridCol w:w="14400"/>
      </w:tblGrid>
      <w:tr>
        <w:tc>
          <w:tcPr>
            <w:tcW w:type="dxa" w:w="14400"/>
            <w:shd w:val="clear" w:color="auto" w:fill="F6F1E6"/>
          </w:tcPr>
          <w:p>
            <w:pPr>
              <w:spacing w:after="80"/>
            </w:pPr>
            <w:r>
              <w:rPr>
                <w:b/>
                <w:color w:val="1C3A36"/>
                <w:sz w:val="18"/>
              </w:rPr>
              <w:t xml:space="preserve">What this document is. </w:t>
            </w:r>
            <w:r>
              <w:rPr>
                <w:color w:val="1C3A36"/>
                <w:sz w:val="18"/>
              </w:rPr>
              <w:t>A line-by-line trace of every material figure in the SALIK valuation study back to its origin. Each figure is assigned one of four provenance classes, and the class is what tells you how much weight it can bear. The point of the register is not to prove we are right — it is to make it cheap for a reader to check whether we are, and to make our judgments and our failures visible rather than buried inside a number that looks sourced.</w:t>
            </w:r>
          </w:p>
          <w:p>
            <w:pPr>
              <w:spacing w:after="80"/>
            </w:pPr>
            <w:r>
              <w:rPr>
                <w:b/>
                <w:color w:val="1C3A36"/>
                <w:sz w:val="18"/>
              </w:rPr>
              <w:t xml:space="preserve">Why it exists. </w:t>
            </w:r>
            <w:r>
              <w:rPr>
                <w:color w:val="1C3A36"/>
                <w:sz w:val="18"/>
              </w:rPr>
              <w:t>This study was fact-checked by an external reviewer who alleged that a historical growth figure had been fabricated. It had not — it is a verbatim disclosure on the company’s own investor relations page (see §6, D-03). But the same review correctly caught two figures we HAD got wrong, and a third that we had derived when the company had already published it. A register that had existed at the time would have settled all four in about ninety seconds. It exists now.</w:t>
            </w:r>
          </w:p>
        </w:tc>
      </w:tr>
    </w:tbl>
    <w:p>
      <w:pPr>
        <w:spacing w:after="40"/>
      </w:pPr>
    </w:p>
    <w:p>
      <w:pPr>
        <w:spacing w:after="60" w:before="120"/>
      </w:pPr>
      <w:r>
        <w:rPr>
          <w:b/>
          <w:i w:val="0"/>
          <w:color w:val="1C3A36"/>
          <w:sz w:val="21"/>
        </w:rPr>
        <w:t>PROVENANCE CLASSES</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600"/>
        <w:gridCol w:w="3600"/>
        <w:gridCol w:w="3600"/>
        <w:gridCol w:w="3600"/>
      </w:tblGrid>
      <w:tr>
        <w:tc>
          <w:tcPr>
            <w:tcW w:type="dxa" w:w="1526"/>
            <w:shd w:val="clear" w:color="auto" w:fill="EAF0EE"/>
          </w:tcPr>
          <w:p>
            <w:pPr>
              <w:spacing w:after="0"/>
            </w:pPr>
            <w:r>
              <w:rPr>
                <w:b/>
                <w:color w:val="1C3A36"/>
                <w:sz w:val="16"/>
              </w:rPr>
              <w:t>Class</w:t>
            </w:r>
          </w:p>
        </w:tc>
        <w:tc>
          <w:tcPr>
            <w:tcW w:type="dxa" w:w="4752"/>
            <w:shd w:val="clear" w:color="auto" w:fill="EAF0EE"/>
          </w:tcPr>
          <w:p>
            <w:pPr>
              <w:spacing w:after="0"/>
            </w:pPr>
            <w:r>
              <w:rPr>
                <w:b/>
                <w:color w:val="1C3A36"/>
                <w:sz w:val="16"/>
              </w:rPr>
              <w:t>Meaning</w:t>
            </w:r>
          </w:p>
        </w:tc>
        <w:tc>
          <w:tcPr>
            <w:tcW w:type="dxa" w:w="4752"/>
            <w:shd w:val="clear" w:color="auto" w:fill="EAF0EE"/>
          </w:tcPr>
          <w:p>
            <w:pPr>
              <w:spacing w:after="0"/>
            </w:pPr>
            <w:r>
              <w:rPr>
                <w:b/>
                <w:color w:val="1C3A36"/>
                <w:sz w:val="16"/>
              </w:rPr>
              <w:t>What it can bear</w:t>
            </w:r>
          </w:p>
        </w:tc>
        <w:tc>
          <w:tcPr>
            <w:tcW w:type="dxa" w:w="749"/>
            <w:shd w:val="clear" w:color="auto" w:fill="EAF0EE"/>
          </w:tcPr>
          <w:p>
            <w:pPr>
              <w:spacing w:after="0"/>
            </w:pPr>
            <w:r>
              <w:rPr>
                <w:b/>
                <w:color w:val="1C3A36"/>
                <w:sz w:val="16"/>
              </w:rPr>
              <w:t>Count</w:t>
            </w:r>
          </w:p>
        </w:tc>
      </w:tr>
      <w:tr>
        <w:tc>
          <w:tcPr>
            <w:tcW w:type="dxa" w:w="1526"/>
            <w:shd w:val="clear" w:color="auto" w:fill="E3EDE6"/>
          </w:tcPr>
          <w:p>
            <w:pPr>
              <w:spacing w:after="0"/>
            </w:pPr>
            <w:r>
              <w:rPr>
                <w:b/>
                <w:color w:val="1C3A36"/>
                <w:sz w:val="16"/>
              </w:rPr>
              <w:t>■ SOURCED</w:t>
            </w:r>
          </w:p>
        </w:tc>
        <w:tc>
          <w:tcPr>
            <w:tcW w:type="dxa" w:w="4752"/>
            <w:shd w:val="clear" w:color="auto" w:fill="E3EDE6"/>
          </w:tcPr>
          <w:p>
            <w:pPr>
              <w:spacing w:after="0"/>
            </w:pPr>
            <w:r>
              <w:rPr>
                <w:color w:val="1C3A36"/>
                <w:sz w:val="16"/>
              </w:rPr>
              <w:t>Lifted directly from a primary document — a company release, an annual report, a regulator, or a primary market print. Quoted, not interpreted.</w:t>
            </w:r>
          </w:p>
        </w:tc>
        <w:tc>
          <w:tcPr>
            <w:tcW w:type="dxa" w:w="4752"/>
            <w:shd w:val="clear" w:color="auto" w:fill="E3EDE6"/>
          </w:tcPr>
          <w:p>
            <w:pPr>
              <w:spacing w:after="0"/>
            </w:pPr>
            <w:r>
              <w:rPr>
                <w:color w:val="1C3A36"/>
                <w:sz w:val="16"/>
              </w:rPr>
              <w:t>Anything. This is the bedrock.</w:t>
            </w:r>
          </w:p>
        </w:tc>
        <w:tc>
          <w:tcPr>
            <w:tcW w:type="dxa" w:w="749"/>
            <w:shd w:val="clear" w:color="auto" w:fill="E3EDE6"/>
          </w:tcPr>
          <w:p>
            <w:pPr>
              <w:spacing w:after="0"/>
            </w:pPr>
            <w:r>
              <w:rPr>
                <w:color w:val="1C3A36"/>
                <w:sz w:val="16"/>
              </w:rPr>
              <w:t>61</w:t>
            </w:r>
          </w:p>
        </w:tc>
      </w:tr>
      <w:tr>
        <w:tc>
          <w:tcPr>
            <w:tcW w:type="dxa" w:w="1526"/>
            <w:shd w:val="clear" w:color="auto" w:fill="E3EDE6"/>
          </w:tcPr>
          <w:p>
            <w:pPr>
              <w:spacing w:after="0"/>
            </w:pPr>
            <w:r>
              <w:rPr>
                <w:b/>
                <w:color w:val="1C3A36"/>
                <w:sz w:val="16"/>
              </w:rPr>
              <w:t>■ DERIVED</w:t>
            </w:r>
          </w:p>
        </w:tc>
        <w:tc>
          <w:tcPr>
            <w:tcW w:type="dxa" w:w="4752"/>
            <w:shd w:val="clear" w:color="auto" w:fill="E3EDE6"/>
          </w:tcPr>
          <w:p>
            <w:pPr>
              <w:spacing w:after="0"/>
            </w:pPr>
            <w:r>
              <w:rPr>
                <w:color w:val="1C3A36"/>
                <w:sz w:val="16"/>
              </w:rPr>
              <w:t>Computed from SOURCED inputs by arithmetic that is shown. No new information is added; the derivation is auditable and reproducible.</w:t>
            </w:r>
          </w:p>
        </w:tc>
        <w:tc>
          <w:tcPr>
            <w:tcW w:type="dxa" w:w="4752"/>
            <w:shd w:val="clear" w:color="auto" w:fill="E3EDE6"/>
          </w:tcPr>
          <w:p>
            <w:pPr>
              <w:spacing w:after="0"/>
            </w:pPr>
            <w:r>
              <w:rPr>
                <w:color w:val="1C3A36"/>
                <w:sz w:val="16"/>
              </w:rPr>
              <w:t>Anything, PROVIDED the derivation is shown. It is, in column 5.</w:t>
            </w:r>
          </w:p>
        </w:tc>
        <w:tc>
          <w:tcPr>
            <w:tcW w:type="dxa" w:w="749"/>
            <w:shd w:val="clear" w:color="auto" w:fill="E3EDE6"/>
          </w:tcPr>
          <w:p>
            <w:pPr>
              <w:spacing w:after="0"/>
            </w:pPr>
            <w:r>
              <w:rPr>
                <w:color w:val="1C3A36"/>
                <w:sz w:val="16"/>
              </w:rPr>
              <w:t>18</w:t>
            </w:r>
          </w:p>
        </w:tc>
      </w:tr>
      <w:tr>
        <w:tc>
          <w:tcPr>
            <w:tcW w:type="dxa" w:w="1526"/>
            <w:shd w:val="clear" w:color="auto" w:fill="EFF3F1"/>
          </w:tcPr>
          <w:p>
            <w:pPr>
              <w:spacing w:after="0"/>
            </w:pPr>
            <w:r>
              <w:rPr>
                <w:b/>
                <w:color w:val="1C3A36"/>
                <w:sz w:val="16"/>
              </w:rPr>
              <w:t>■ MEASURED</w:t>
            </w:r>
          </w:p>
        </w:tc>
        <w:tc>
          <w:tcPr>
            <w:tcW w:type="dxa" w:w="4752"/>
            <w:shd w:val="clear" w:color="auto" w:fill="EFF3F1"/>
          </w:tcPr>
          <w:p>
            <w:pPr>
              <w:spacing w:after="0"/>
            </w:pPr>
            <w:r>
              <w:rPr>
                <w:color w:val="1C3A36"/>
                <w:sz w:val="16"/>
              </w:rPr>
              <w:t>Estimated from primary market data by a stated statistical method, with the sample, the standard error and the pass/fail gate published.</w:t>
            </w:r>
          </w:p>
        </w:tc>
        <w:tc>
          <w:tcPr>
            <w:tcW w:type="dxa" w:w="4752"/>
            <w:shd w:val="clear" w:color="auto" w:fill="EFF3F1"/>
          </w:tcPr>
          <w:p>
            <w:pPr>
              <w:spacing w:after="0"/>
            </w:pPr>
            <w:r>
              <w:rPr>
                <w:color w:val="1C3A36"/>
                <w:sz w:val="16"/>
              </w:rPr>
              <w:t>The beta. Read the confidence interval, not the point estimate.</w:t>
            </w:r>
          </w:p>
        </w:tc>
        <w:tc>
          <w:tcPr>
            <w:tcW w:type="dxa" w:w="749"/>
            <w:shd w:val="clear" w:color="auto" w:fill="EFF3F1"/>
          </w:tcPr>
          <w:p>
            <w:pPr>
              <w:spacing w:after="0"/>
            </w:pPr>
            <w:r>
              <w:rPr>
                <w:color w:val="1C3A36"/>
                <w:sz w:val="16"/>
              </w:rPr>
              <w:t>6</w:t>
            </w:r>
          </w:p>
        </w:tc>
      </w:tr>
      <w:tr>
        <w:tc>
          <w:tcPr>
            <w:tcW w:type="dxa" w:w="1526"/>
            <w:shd w:val="clear" w:color="auto" w:fill="FBF0DC"/>
          </w:tcPr>
          <w:p>
            <w:pPr>
              <w:spacing w:after="0"/>
            </w:pPr>
            <w:r>
              <w:rPr>
                <w:b/>
                <w:color w:val="1C3A36"/>
                <w:sz w:val="16"/>
              </w:rPr>
              <w:t>■ JUDGMENT</w:t>
            </w:r>
          </w:p>
        </w:tc>
        <w:tc>
          <w:tcPr>
            <w:tcW w:type="dxa" w:w="4752"/>
            <w:shd w:val="clear" w:color="auto" w:fill="FBF0DC"/>
          </w:tcPr>
          <w:p>
            <w:pPr>
              <w:spacing w:after="0"/>
            </w:pPr>
            <w:r>
              <w:rPr>
                <w:color w:val="1C3A36"/>
                <w:sz w:val="16"/>
              </w:rPr>
              <w:t>The preparer’s forward view. NOT a fact. Every one is logged to the our forecast-assumptions log with the date its truth becomes checkable.</w:t>
            </w:r>
          </w:p>
        </w:tc>
        <w:tc>
          <w:tcPr>
            <w:tcW w:type="dxa" w:w="4752"/>
            <w:shd w:val="clear" w:color="auto" w:fill="FBF0DC"/>
          </w:tcPr>
          <w:p>
            <w:pPr>
              <w:spacing w:after="0"/>
            </w:pPr>
            <w:r>
              <w:rPr>
                <w:color w:val="1C3A36"/>
                <w:sz w:val="16"/>
              </w:rPr>
              <w:t>Nothing, on its own. These are the things to argue with.</w:t>
            </w:r>
          </w:p>
        </w:tc>
        <w:tc>
          <w:tcPr>
            <w:tcW w:type="dxa" w:w="749"/>
            <w:shd w:val="clear" w:color="auto" w:fill="FBF0DC"/>
          </w:tcPr>
          <w:p>
            <w:pPr>
              <w:spacing w:after="0"/>
            </w:pPr>
            <w:r>
              <w:rPr>
                <w:color w:val="1C3A36"/>
                <w:sz w:val="16"/>
              </w:rPr>
              <w:t>13</w:t>
            </w:r>
          </w:p>
        </w:tc>
      </w:tr>
      <w:tr>
        <w:tc>
          <w:tcPr>
            <w:tcW w:type="dxa" w:w="1526"/>
            <w:shd w:val="clear" w:color="auto" w:fill="F6E2DA"/>
          </w:tcPr>
          <w:p>
            <w:pPr>
              <w:spacing w:after="0"/>
            </w:pPr>
            <w:r>
              <w:rPr>
                <w:b/>
                <w:color w:val="1C3A36"/>
                <w:sz w:val="16"/>
              </w:rPr>
              <w:t>■ NOT SOURCED</w:t>
            </w:r>
          </w:p>
        </w:tc>
        <w:tc>
          <w:tcPr>
            <w:tcW w:type="dxa" w:w="4752"/>
            <w:shd w:val="clear" w:color="auto" w:fill="F6E2DA"/>
          </w:tcPr>
          <w:p>
            <w:pPr>
              <w:spacing w:after="0"/>
            </w:pPr>
            <w:r>
              <w:rPr>
                <w:color w:val="1C3A36"/>
                <w:sz w:val="16"/>
              </w:rPr>
              <w:t>We looked, and we could not find it — or we could not attribute it. Declared rather than estimated.</w:t>
            </w:r>
          </w:p>
        </w:tc>
        <w:tc>
          <w:tcPr>
            <w:tcW w:type="dxa" w:w="4752"/>
            <w:shd w:val="clear" w:color="auto" w:fill="F6E2DA"/>
          </w:tcPr>
          <w:p>
            <w:pPr>
              <w:spacing w:after="0"/>
            </w:pPr>
            <w:r>
              <w:rPr>
                <w:color w:val="1C3A36"/>
                <w:sz w:val="16"/>
              </w:rPr>
              <w:t>Nothing. These are the holes, and we would rather you saw them.</w:t>
            </w:r>
          </w:p>
        </w:tc>
        <w:tc>
          <w:tcPr>
            <w:tcW w:type="dxa" w:w="749"/>
            <w:shd w:val="clear" w:color="auto" w:fill="F6E2DA"/>
          </w:tcPr>
          <w:p>
            <w:pPr>
              <w:spacing w:after="0"/>
            </w:pPr>
            <w:r>
              <w:rPr>
                <w:color w:val="1C3A36"/>
                <w:sz w:val="16"/>
              </w:rPr>
              <w:t>4</w:t>
            </w:r>
          </w:p>
        </w:tc>
      </w:tr>
    </w:tbl>
    <w:p>
      <w:pPr>
        <w:spacing w:after="40"/>
      </w:pPr>
    </w:p>
    <w:p>
      <w:pPr>
        <w:spacing w:after="80" w:before="0"/>
      </w:pPr>
      <w:r>
        <w:rPr>
          <w:b w:val="0"/>
          <w:i/>
          <w:color w:val="6E7B77"/>
          <w:sz w:val="17"/>
        </w:rPr>
        <w:t>One rule governs the whole register: a financial-statement line item may only ever be SOURCED or DERIVED. It may never be JUDGMENT, and it may never come from an aggregator. Where an aggregator is used at all (once — the Parkin multiple, M-05) it anchors a MULTIPLE BAND and never a financial statement line, and it is flagged as such.</w:t>
      </w:r>
    </w:p>
    <w:p>
      <w:r>
        <w:br w:type="page"/>
      </w:r>
    </w:p>
    <w:p>
      <w:pPr>
        <w:spacing w:after="100" w:before="240"/>
      </w:pPr>
      <w:r>
        <w:rPr>
          <w:b/>
          <w:i w:val="0"/>
          <w:color w:val="1C3A36"/>
          <w:sz w:val="27"/>
        </w:rPr>
        <w:t>1 The primary sources</w:t>
      </w:r>
    </w:p>
    <w:p>
      <w:pPr>
        <w:spacing w:after="80" w:before="0"/>
      </w:pPr>
      <w:r>
        <w:rPr>
          <w:b w:val="0"/>
          <w:i w:val="0"/>
          <w:color w:val="1C3A36"/>
          <w:sz w:val="18"/>
        </w:rPr>
        <w:t>Every reference in this register resolves to one of the documents below. Where a company disclosure was distributed through the Dubai Media Office or WAM as well as the company’s own IR channel, both are given — the company’s own channel is authoritative; the wire is the accessible copy.</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880"/>
        <w:gridCol w:w="2880"/>
        <w:gridCol w:w="2880"/>
        <w:gridCol w:w="2880"/>
        <w:gridCol w:w="2880"/>
      </w:tblGrid>
      <w:tr>
        <w:tc>
          <w:tcPr>
            <w:tcW w:type="dxa" w:w="634"/>
            <w:shd w:val="clear" w:color="auto" w:fill="EAF0EE"/>
          </w:tcPr>
          <w:p>
            <w:pPr>
              <w:spacing w:after="0"/>
            </w:pPr>
            <w:r>
              <w:rPr>
                <w:b/>
                <w:color w:val="1C3A36"/>
                <w:sz w:val="14"/>
              </w:rPr>
              <w:t>Ref</w:t>
            </w:r>
          </w:p>
        </w:tc>
        <w:tc>
          <w:tcPr>
            <w:tcW w:type="dxa" w:w="4464"/>
            <w:shd w:val="clear" w:color="auto" w:fill="EAF0EE"/>
          </w:tcPr>
          <w:p>
            <w:pPr>
              <w:spacing w:after="0"/>
            </w:pPr>
            <w:r>
              <w:rPr>
                <w:b/>
                <w:color w:val="1C3A36"/>
                <w:sz w:val="14"/>
              </w:rPr>
              <w:t>Document</w:t>
            </w:r>
          </w:p>
        </w:tc>
        <w:tc>
          <w:tcPr>
            <w:tcW w:type="dxa" w:w="2678"/>
            <w:shd w:val="clear" w:color="auto" w:fill="EAF0EE"/>
          </w:tcPr>
          <w:p>
            <w:pPr>
              <w:spacing w:after="0"/>
            </w:pPr>
            <w:r>
              <w:rPr>
                <w:b/>
                <w:color w:val="1C3A36"/>
                <w:sz w:val="14"/>
              </w:rPr>
              <w:t>Publisher</w:t>
            </w:r>
          </w:p>
        </w:tc>
        <w:tc>
          <w:tcPr>
            <w:tcW w:type="dxa" w:w="1872"/>
            <w:shd w:val="clear" w:color="auto" w:fill="EAF0EE"/>
          </w:tcPr>
          <w:p>
            <w:pPr>
              <w:spacing w:after="0"/>
            </w:pPr>
            <w:r>
              <w:rPr>
                <w:b/>
                <w:color w:val="1C3A36"/>
                <w:sz w:val="14"/>
              </w:rPr>
              <w:t>Date</w:t>
            </w:r>
          </w:p>
        </w:tc>
        <w:tc>
          <w:tcPr>
            <w:tcW w:type="dxa" w:w="4752"/>
            <w:shd w:val="clear" w:color="auto" w:fill="EAF0EE"/>
          </w:tcPr>
          <w:p>
            <w:pPr>
              <w:spacing w:after="0"/>
            </w:pPr>
            <w:r>
              <w:rPr>
                <w:b/>
                <w:color w:val="1C3A36"/>
                <w:sz w:val="14"/>
              </w:rPr>
              <w:t>Locator</w:t>
            </w:r>
          </w:p>
        </w:tc>
      </w:tr>
      <w:tr>
        <w:tc>
          <w:tcPr>
            <w:tcW w:type="dxa" w:w="634"/>
          </w:tcPr>
          <w:p>
            <w:pPr>
              <w:spacing w:after="0"/>
            </w:pPr>
            <w:r>
              <w:rPr>
                <w:b/>
                <w:color w:val="1C3A36"/>
                <w:sz w:val="14"/>
              </w:rPr>
              <w:t>S-01</w:t>
            </w:r>
          </w:p>
        </w:tc>
        <w:tc>
          <w:tcPr>
            <w:tcW w:type="dxa" w:w="4464"/>
          </w:tcPr>
          <w:p>
            <w:pPr>
              <w:spacing w:after="0"/>
            </w:pPr>
            <w:r>
              <w:rPr>
                <w:color w:val="1C3A36"/>
                <w:sz w:val="14"/>
              </w:rPr>
              <w:t>Q1-2026 earnings release — "Salik Achieves Stable Results Supported by High Resilience"</w:t>
            </w:r>
          </w:p>
        </w:tc>
        <w:tc>
          <w:tcPr>
            <w:tcW w:type="dxa" w:w="2678"/>
          </w:tcPr>
          <w:p>
            <w:pPr>
              <w:spacing w:after="0"/>
            </w:pPr>
            <w:r>
              <w:rPr>
                <w:color w:val="1C3A36"/>
                <w:sz w:val="14"/>
              </w:rPr>
              <w:t>Salik Company PJSC / Dubai Media Office</w:t>
            </w:r>
          </w:p>
        </w:tc>
        <w:tc>
          <w:tcPr>
            <w:tcW w:type="dxa" w:w="1872"/>
          </w:tcPr>
          <w:p>
            <w:pPr>
              <w:spacing w:after="0"/>
            </w:pPr>
            <w:r>
              <w:rPr>
                <w:color w:val="1C3A36"/>
                <w:sz w:val="14"/>
              </w:rPr>
              <w:t>11 May 2026</w:t>
            </w:r>
          </w:p>
        </w:tc>
        <w:tc>
          <w:tcPr>
            <w:tcW w:type="dxa" w:w="4752"/>
          </w:tcPr>
          <w:p>
            <w:pPr>
              <w:spacing w:after="0"/>
            </w:pPr>
            <w:r>
              <w:rPr>
                <w:color w:val="1C3A36"/>
                <w:sz w:val="14"/>
              </w:rPr>
              <w:t>salik.ae/en/news/... ; mediaoffice.ae/en/news/2026/may/11-05/salik</w:t>
            </w:r>
          </w:p>
        </w:tc>
      </w:tr>
      <w:tr>
        <w:tc>
          <w:tcPr>
            <w:tcW w:type="dxa" w:w="634"/>
          </w:tcPr>
          <w:p>
            <w:pPr>
              <w:spacing w:after="0"/>
            </w:pPr>
            <w:r>
              <w:rPr>
                <w:b/>
                <w:color w:val="1C3A36"/>
                <w:sz w:val="14"/>
              </w:rPr>
              <w:t>S-02</w:t>
            </w:r>
          </w:p>
        </w:tc>
        <w:tc>
          <w:tcPr>
            <w:tcW w:type="dxa" w:w="4464"/>
          </w:tcPr>
          <w:p>
            <w:pPr>
              <w:spacing w:after="0"/>
            </w:pPr>
            <w:r>
              <w:rPr>
                <w:color w:val="1C3A36"/>
                <w:sz w:val="14"/>
              </w:rPr>
              <w:t>FY2025 earnings release</w:t>
            </w:r>
          </w:p>
        </w:tc>
        <w:tc>
          <w:tcPr>
            <w:tcW w:type="dxa" w:w="2678"/>
          </w:tcPr>
          <w:p>
            <w:pPr>
              <w:spacing w:after="0"/>
            </w:pPr>
            <w:r>
              <w:rPr>
                <w:color w:val="1C3A36"/>
                <w:sz w:val="14"/>
              </w:rPr>
              <w:t>Salik / Dubai Media Office</w:t>
            </w:r>
          </w:p>
        </w:tc>
        <w:tc>
          <w:tcPr>
            <w:tcW w:type="dxa" w:w="1872"/>
          </w:tcPr>
          <w:p>
            <w:pPr>
              <w:spacing w:after="0"/>
            </w:pPr>
            <w:r>
              <w:rPr>
                <w:color w:val="1C3A36"/>
                <w:sz w:val="14"/>
              </w:rPr>
              <w:t>4 Mar 2026</w:t>
            </w:r>
          </w:p>
        </w:tc>
        <w:tc>
          <w:tcPr>
            <w:tcW w:type="dxa" w:w="4752"/>
          </w:tcPr>
          <w:p>
            <w:pPr>
              <w:spacing w:after="0"/>
            </w:pPr>
            <w:r>
              <w:rPr>
                <w:color w:val="1C3A36"/>
                <w:sz w:val="14"/>
              </w:rPr>
              <w:t>mediaoffice.ae</w:t>
            </w:r>
          </w:p>
        </w:tc>
      </w:tr>
      <w:tr>
        <w:tc>
          <w:tcPr>
            <w:tcW w:type="dxa" w:w="634"/>
          </w:tcPr>
          <w:p>
            <w:pPr>
              <w:spacing w:after="0"/>
            </w:pPr>
            <w:r>
              <w:rPr>
                <w:b/>
                <w:color w:val="1C3A36"/>
                <w:sz w:val="14"/>
              </w:rPr>
              <w:t>S-03</w:t>
            </w:r>
          </w:p>
        </w:tc>
        <w:tc>
          <w:tcPr>
            <w:tcW w:type="dxa" w:w="4464"/>
          </w:tcPr>
          <w:p>
            <w:pPr>
              <w:spacing w:after="0"/>
            </w:pPr>
            <w:r>
              <w:rPr>
                <w:color w:val="1C3A36"/>
                <w:sz w:val="14"/>
              </w:rPr>
              <w:t>Annual Report 2024 — CFO’s Review</w:t>
            </w:r>
          </w:p>
        </w:tc>
        <w:tc>
          <w:tcPr>
            <w:tcW w:type="dxa" w:w="2678"/>
          </w:tcPr>
          <w:p>
            <w:pPr>
              <w:spacing w:after="0"/>
            </w:pPr>
            <w:r>
              <w:rPr>
                <w:color w:val="1C3A36"/>
                <w:sz w:val="14"/>
              </w:rPr>
              <w:t>Salik Company PJSC</w:t>
            </w:r>
          </w:p>
        </w:tc>
        <w:tc>
          <w:tcPr>
            <w:tcW w:type="dxa" w:w="1872"/>
          </w:tcPr>
          <w:p>
            <w:pPr>
              <w:spacing w:after="0"/>
            </w:pPr>
            <w:r>
              <w:rPr>
                <w:color w:val="1C3A36"/>
                <w:sz w:val="14"/>
              </w:rPr>
              <w:t>Mar 2025</w:t>
            </w:r>
          </w:p>
        </w:tc>
        <w:tc>
          <w:tcPr>
            <w:tcW w:type="dxa" w:w="4752"/>
          </w:tcPr>
          <w:p>
            <w:pPr>
              <w:spacing w:after="0"/>
            </w:pPr>
            <w:r>
              <w:rPr>
                <w:color w:val="1C3A36"/>
                <w:sz w:val="14"/>
              </w:rPr>
              <w:t>ar2024.salik.ae/en/strategic-review/cfo-review</w:t>
            </w:r>
          </w:p>
        </w:tc>
      </w:tr>
      <w:tr>
        <w:tc>
          <w:tcPr>
            <w:tcW w:type="dxa" w:w="634"/>
          </w:tcPr>
          <w:p>
            <w:pPr>
              <w:spacing w:after="0"/>
            </w:pPr>
            <w:r>
              <w:rPr>
                <w:b/>
                <w:color w:val="1C3A36"/>
                <w:sz w:val="14"/>
              </w:rPr>
              <w:t>S-04</w:t>
            </w:r>
          </w:p>
        </w:tc>
        <w:tc>
          <w:tcPr>
            <w:tcW w:type="dxa" w:w="4464"/>
          </w:tcPr>
          <w:p>
            <w:pPr>
              <w:spacing w:after="0"/>
            </w:pPr>
            <w:r>
              <w:rPr>
                <w:color w:val="1C3A36"/>
                <w:sz w:val="14"/>
              </w:rPr>
              <w:t>Annual Report 2024 — Operational Review</w:t>
            </w:r>
          </w:p>
        </w:tc>
        <w:tc>
          <w:tcPr>
            <w:tcW w:type="dxa" w:w="2678"/>
          </w:tcPr>
          <w:p>
            <w:pPr>
              <w:spacing w:after="0"/>
            </w:pPr>
            <w:r>
              <w:rPr>
                <w:color w:val="1C3A36"/>
                <w:sz w:val="14"/>
              </w:rPr>
              <w:t>Salik Company PJSC</w:t>
            </w:r>
          </w:p>
        </w:tc>
        <w:tc>
          <w:tcPr>
            <w:tcW w:type="dxa" w:w="1872"/>
          </w:tcPr>
          <w:p>
            <w:pPr>
              <w:spacing w:after="0"/>
            </w:pPr>
            <w:r>
              <w:rPr>
                <w:color w:val="1C3A36"/>
                <w:sz w:val="14"/>
              </w:rPr>
              <w:t>Mar 2025</w:t>
            </w:r>
          </w:p>
        </w:tc>
        <w:tc>
          <w:tcPr>
            <w:tcW w:type="dxa" w:w="4752"/>
          </w:tcPr>
          <w:p>
            <w:pPr>
              <w:spacing w:after="0"/>
            </w:pPr>
            <w:r>
              <w:rPr>
                <w:color w:val="1C3A36"/>
                <w:sz w:val="14"/>
              </w:rPr>
              <w:t>ar2024.salik.ae/en/strategic-review/operational-review</w:t>
            </w:r>
          </w:p>
        </w:tc>
      </w:tr>
      <w:tr>
        <w:tc>
          <w:tcPr>
            <w:tcW w:type="dxa" w:w="634"/>
          </w:tcPr>
          <w:p>
            <w:pPr>
              <w:spacing w:after="0"/>
            </w:pPr>
            <w:r>
              <w:rPr>
                <w:b/>
                <w:color w:val="1C3A36"/>
                <w:sz w:val="14"/>
              </w:rPr>
              <w:t>S-05</w:t>
            </w:r>
          </w:p>
        </w:tc>
        <w:tc>
          <w:tcPr>
            <w:tcW w:type="dxa" w:w="4464"/>
          </w:tcPr>
          <w:p>
            <w:pPr>
              <w:spacing w:after="0"/>
            </w:pPr>
            <w:r>
              <w:rPr>
                <w:color w:val="1C3A36"/>
                <w:sz w:val="14"/>
              </w:rPr>
              <w:t>Annual Report 2024 — The Year in Review</w:t>
            </w:r>
          </w:p>
        </w:tc>
        <w:tc>
          <w:tcPr>
            <w:tcW w:type="dxa" w:w="2678"/>
          </w:tcPr>
          <w:p>
            <w:pPr>
              <w:spacing w:after="0"/>
            </w:pPr>
            <w:r>
              <w:rPr>
                <w:color w:val="1C3A36"/>
                <w:sz w:val="14"/>
              </w:rPr>
              <w:t>Salik Company PJSC</w:t>
            </w:r>
          </w:p>
        </w:tc>
        <w:tc>
          <w:tcPr>
            <w:tcW w:type="dxa" w:w="1872"/>
          </w:tcPr>
          <w:p>
            <w:pPr>
              <w:spacing w:after="0"/>
            </w:pPr>
            <w:r>
              <w:rPr>
                <w:color w:val="1C3A36"/>
                <w:sz w:val="14"/>
              </w:rPr>
              <w:t>Mar 2025</w:t>
            </w:r>
          </w:p>
        </w:tc>
        <w:tc>
          <w:tcPr>
            <w:tcW w:type="dxa" w:w="4752"/>
          </w:tcPr>
          <w:p>
            <w:pPr>
              <w:spacing w:after="0"/>
            </w:pPr>
            <w:r>
              <w:rPr>
                <w:color w:val="1C3A36"/>
                <w:sz w:val="14"/>
              </w:rPr>
              <w:t>ar2024.salik.ae/en/strategic-review/year-in-review</w:t>
            </w:r>
          </w:p>
        </w:tc>
      </w:tr>
      <w:tr>
        <w:tc>
          <w:tcPr>
            <w:tcW w:type="dxa" w:w="634"/>
          </w:tcPr>
          <w:p>
            <w:pPr>
              <w:spacing w:after="0"/>
            </w:pPr>
            <w:r>
              <w:rPr>
                <w:b/>
                <w:color w:val="1C3A36"/>
                <w:sz w:val="14"/>
              </w:rPr>
              <w:t>S-06</w:t>
            </w:r>
          </w:p>
        </w:tc>
        <w:tc>
          <w:tcPr>
            <w:tcW w:type="dxa" w:w="4464"/>
          </w:tcPr>
          <w:p>
            <w:pPr>
              <w:spacing w:after="0"/>
            </w:pPr>
            <w:r>
              <w:rPr>
                <w:color w:val="1C3A36"/>
                <w:sz w:val="14"/>
              </w:rPr>
              <w:t>FY2024 earnings release — "Salik Reports AED 2.3 billion of Revenue in 2024"</w:t>
            </w:r>
          </w:p>
        </w:tc>
        <w:tc>
          <w:tcPr>
            <w:tcW w:type="dxa" w:w="2678"/>
          </w:tcPr>
          <w:p>
            <w:pPr>
              <w:spacing w:after="0"/>
            </w:pPr>
            <w:r>
              <w:rPr>
                <w:color w:val="1C3A36"/>
                <w:sz w:val="14"/>
              </w:rPr>
              <w:t>Salik / Dubai Media Office</w:t>
            </w:r>
          </w:p>
        </w:tc>
        <w:tc>
          <w:tcPr>
            <w:tcW w:type="dxa" w:w="1872"/>
          </w:tcPr>
          <w:p>
            <w:pPr>
              <w:spacing w:after="0"/>
            </w:pPr>
            <w:r>
              <w:rPr>
                <w:color w:val="1C3A36"/>
                <w:sz w:val="14"/>
              </w:rPr>
              <w:t>4 Mar 2025</w:t>
            </w:r>
          </w:p>
        </w:tc>
        <w:tc>
          <w:tcPr>
            <w:tcW w:type="dxa" w:w="4752"/>
          </w:tcPr>
          <w:p>
            <w:pPr>
              <w:spacing w:after="0"/>
            </w:pPr>
            <w:r>
              <w:rPr>
                <w:color w:val="1C3A36"/>
                <w:sz w:val="14"/>
              </w:rPr>
              <w:t>mediaoffice.ae/en/news/2025/march/04-03/salik-financial-results</w:t>
            </w:r>
          </w:p>
        </w:tc>
      </w:tr>
      <w:tr>
        <w:tc>
          <w:tcPr>
            <w:tcW w:type="dxa" w:w="634"/>
          </w:tcPr>
          <w:p>
            <w:pPr>
              <w:spacing w:after="0"/>
            </w:pPr>
            <w:r>
              <w:rPr>
                <w:b/>
                <w:color w:val="1C3A36"/>
                <w:sz w:val="14"/>
              </w:rPr>
              <w:t>S-07</w:t>
            </w:r>
          </w:p>
        </w:tc>
        <w:tc>
          <w:tcPr>
            <w:tcW w:type="dxa" w:w="4464"/>
          </w:tcPr>
          <w:p>
            <w:pPr>
              <w:spacing w:after="0"/>
            </w:pPr>
            <w:r>
              <w:rPr>
                <w:color w:val="1C3A36"/>
                <w:sz w:val="14"/>
              </w:rPr>
              <w:t>Investor Relations — Overview</w:t>
            </w:r>
          </w:p>
        </w:tc>
        <w:tc>
          <w:tcPr>
            <w:tcW w:type="dxa" w:w="2678"/>
          </w:tcPr>
          <w:p>
            <w:pPr>
              <w:spacing w:after="0"/>
            </w:pPr>
            <w:r>
              <w:rPr>
                <w:color w:val="1C3A36"/>
                <w:sz w:val="14"/>
              </w:rPr>
              <w:t>Salik Company PJSC</w:t>
            </w:r>
          </w:p>
        </w:tc>
        <w:tc>
          <w:tcPr>
            <w:tcW w:type="dxa" w:w="1872"/>
          </w:tcPr>
          <w:p>
            <w:pPr>
              <w:spacing w:after="0"/>
            </w:pPr>
            <w:r>
              <w:rPr>
                <w:color w:val="1C3A36"/>
                <w:sz w:val="14"/>
              </w:rPr>
              <w:t>standing (accessed 12 Jul 2026)</w:t>
            </w:r>
          </w:p>
        </w:tc>
        <w:tc>
          <w:tcPr>
            <w:tcW w:type="dxa" w:w="4752"/>
          </w:tcPr>
          <w:p>
            <w:pPr>
              <w:spacing w:after="0"/>
            </w:pPr>
            <w:r>
              <w:rPr>
                <w:color w:val="1C3A36"/>
                <w:sz w:val="14"/>
              </w:rPr>
              <w:t>salik.ae/en/Investors/Overview</w:t>
            </w:r>
          </w:p>
        </w:tc>
      </w:tr>
      <w:tr>
        <w:tc>
          <w:tcPr>
            <w:tcW w:type="dxa" w:w="634"/>
          </w:tcPr>
          <w:p>
            <w:pPr>
              <w:spacing w:after="0"/>
            </w:pPr>
            <w:r>
              <w:rPr>
                <w:b/>
                <w:color w:val="1C3A36"/>
                <w:sz w:val="14"/>
              </w:rPr>
              <w:t>S-08</w:t>
            </w:r>
          </w:p>
        </w:tc>
        <w:tc>
          <w:tcPr>
            <w:tcW w:type="dxa" w:w="4464"/>
          </w:tcPr>
          <w:p>
            <w:pPr>
              <w:spacing w:after="0"/>
            </w:pPr>
            <w:r>
              <w:rPr>
                <w:color w:val="1C3A36"/>
                <w:sz w:val="14"/>
              </w:rPr>
              <w:t>"Salik Announces the Financial Valuation of Two New Gates"</w:t>
            </w:r>
          </w:p>
        </w:tc>
        <w:tc>
          <w:tcPr>
            <w:tcW w:type="dxa" w:w="2678"/>
          </w:tcPr>
          <w:p>
            <w:pPr>
              <w:spacing w:after="0"/>
            </w:pPr>
            <w:r>
              <w:rPr>
                <w:color w:val="1C3A36"/>
                <w:sz w:val="14"/>
              </w:rPr>
              <w:t>Salik / Dubai Media Office / WAM</w:t>
            </w:r>
          </w:p>
        </w:tc>
        <w:tc>
          <w:tcPr>
            <w:tcW w:type="dxa" w:w="1872"/>
          </w:tcPr>
          <w:p>
            <w:pPr>
              <w:spacing w:after="0"/>
            </w:pPr>
            <w:r>
              <w:rPr>
                <w:color w:val="1C3A36"/>
                <w:sz w:val="14"/>
              </w:rPr>
              <w:t>28 Aug 2024</w:t>
            </w:r>
          </w:p>
        </w:tc>
        <w:tc>
          <w:tcPr>
            <w:tcW w:type="dxa" w:w="4752"/>
          </w:tcPr>
          <w:p>
            <w:pPr>
              <w:spacing w:after="0"/>
            </w:pPr>
            <w:r>
              <w:rPr>
                <w:color w:val="1C3A36"/>
                <w:sz w:val="14"/>
              </w:rPr>
              <w:t>mediaoffice.ae/.../salik-financial-valuation ; zawya.com press release</w:t>
            </w:r>
          </w:p>
        </w:tc>
      </w:tr>
      <w:tr>
        <w:tc>
          <w:tcPr>
            <w:tcW w:type="dxa" w:w="634"/>
          </w:tcPr>
          <w:p>
            <w:pPr>
              <w:spacing w:after="0"/>
            </w:pPr>
            <w:r>
              <w:rPr>
                <w:b/>
                <w:color w:val="1C3A36"/>
                <w:sz w:val="14"/>
              </w:rPr>
              <w:t>S-09</w:t>
            </w:r>
          </w:p>
        </w:tc>
        <w:tc>
          <w:tcPr>
            <w:tcW w:type="dxa" w:w="4464"/>
          </w:tcPr>
          <w:p>
            <w:pPr>
              <w:spacing w:after="0"/>
            </w:pPr>
            <w:r>
              <w:rPr>
                <w:color w:val="1C3A36"/>
                <w:sz w:val="14"/>
              </w:rPr>
              <w:t>H1-2025 earnings release</w:t>
            </w:r>
          </w:p>
        </w:tc>
        <w:tc>
          <w:tcPr>
            <w:tcW w:type="dxa" w:w="2678"/>
          </w:tcPr>
          <w:p>
            <w:pPr>
              <w:spacing w:after="0"/>
            </w:pPr>
            <w:r>
              <w:rPr>
                <w:color w:val="1C3A36"/>
                <w:sz w:val="14"/>
              </w:rPr>
              <w:t>Salik Company PJSC</w:t>
            </w:r>
          </w:p>
        </w:tc>
        <w:tc>
          <w:tcPr>
            <w:tcW w:type="dxa" w:w="1872"/>
          </w:tcPr>
          <w:p>
            <w:pPr>
              <w:spacing w:after="0"/>
            </w:pPr>
            <w:r>
              <w:rPr>
                <w:color w:val="1C3A36"/>
                <w:sz w:val="14"/>
              </w:rPr>
              <w:t>Aug 2025</w:t>
            </w:r>
          </w:p>
        </w:tc>
        <w:tc>
          <w:tcPr>
            <w:tcW w:type="dxa" w:w="4752"/>
          </w:tcPr>
          <w:p>
            <w:pPr>
              <w:spacing w:after="0"/>
            </w:pPr>
            <w:r>
              <w:rPr>
                <w:color w:val="1C3A36"/>
                <w:sz w:val="14"/>
              </w:rPr>
              <w:t>salik.ae Investor Relations</w:t>
            </w:r>
          </w:p>
        </w:tc>
      </w:tr>
      <w:tr>
        <w:tc>
          <w:tcPr>
            <w:tcW w:type="dxa" w:w="634"/>
          </w:tcPr>
          <w:p>
            <w:pPr>
              <w:spacing w:after="0"/>
            </w:pPr>
            <w:r>
              <w:rPr>
                <w:b/>
                <w:color w:val="1C3A36"/>
                <w:sz w:val="14"/>
              </w:rPr>
              <w:t>S-10</w:t>
            </w:r>
          </w:p>
        </w:tc>
        <w:tc>
          <w:tcPr>
            <w:tcW w:type="dxa" w:w="4464"/>
          </w:tcPr>
          <w:p>
            <w:pPr>
              <w:spacing w:after="0"/>
            </w:pPr>
            <w:r>
              <w:rPr>
                <w:color w:val="1C3A36"/>
                <w:sz w:val="14"/>
              </w:rPr>
              <w:t>Q1-2025 earnings release</w:t>
            </w:r>
          </w:p>
        </w:tc>
        <w:tc>
          <w:tcPr>
            <w:tcW w:type="dxa" w:w="2678"/>
          </w:tcPr>
          <w:p>
            <w:pPr>
              <w:spacing w:after="0"/>
            </w:pPr>
            <w:r>
              <w:rPr>
                <w:color w:val="1C3A36"/>
                <w:sz w:val="14"/>
              </w:rPr>
              <w:t>Salik Company PJSC</w:t>
            </w:r>
          </w:p>
        </w:tc>
        <w:tc>
          <w:tcPr>
            <w:tcW w:type="dxa" w:w="1872"/>
          </w:tcPr>
          <w:p>
            <w:pPr>
              <w:spacing w:after="0"/>
            </w:pPr>
            <w:r>
              <w:rPr>
                <w:color w:val="1C3A36"/>
                <w:sz w:val="14"/>
              </w:rPr>
              <w:t>May 2025</w:t>
            </w:r>
          </w:p>
        </w:tc>
        <w:tc>
          <w:tcPr>
            <w:tcW w:type="dxa" w:w="4752"/>
          </w:tcPr>
          <w:p>
            <w:pPr>
              <w:spacing w:after="0"/>
            </w:pPr>
            <w:r>
              <w:rPr>
                <w:color w:val="1C3A36"/>
                <w:sz w:val="14"/>
              </w:rPr>
              <w:t>salik.ae Investor Relations</w:t>
            </w:r>
          </w:p>
        </w:tc>
      </w:tr>
      <w:tr>
        <w:tc>
          <w:tcPr>
            <w:tcW w:type="dxa" w:w="634"/>
          </w:tcPr>
          <w:p>
            <w:pPr>
              <w:spacing w:after="0"/>
            </w:pPr>
            <w:r>
              <w:rPr>
                <w:b/>
                <w:color w:val="1C3A36"/>
                <w:sz w:val="14"/>
              </w:rPr>
              <w:t>S-11</w:t>
            </w:r>
          </w:p>
        </w:tc>
        <w:tc>
          <w:tcPr>
            <w:tcW w:type="dxa" w:w="4464"/>
          </w:tcPr>
          <w:p>
            <w:pPr>
              <w:spacing w:after="0"/>
            </w:pPr>
            <w:r>
              <w:rPr>
                <w:color w:val="1C3A36"/>
                <w:sz w:val="14"/>
              </w:rPr>
              <w:t>RTA announcement — concession fee reduced 25.0% → 22.5%</w:t>
            </w:r>
          </w:p>
        </w:tc>
        <w:tc>
          <w:tcPr>
            <w:tcW w:type="dxa" w:w="2678"/>
          </w:tcPr>
          <w:p>
            <w:pPr>
              <w:spacing w:after="0"/>
            </w:pPr>
            <w:r>
              <w:rPr>
                <w:color w:val="1C3A36"/>
                <w:sz w:val="14"/>
              </w:rPr>
              <w:t>Roads and Transport Authority, Dubai</w:t>
            </w:r>
          </w:p>
        </w:tc>
        <w:tc>
          <w:tcPr>
            <w:tcW w:type="dxa" w:w="1872"/>
          </w:tcPr>
          <w:p>
            <w:pPr>
              <w:spacing w:after="0"/>
            </w:pPr>
            <w:r>
              <w:rPr>
                <w:color w:val="1C3A36"/>
                <w:sz w:val="14"/>
              </w:rPr>
              <w:t>3 Apr 2024</w:t>
            </w:r>
          </w:p>
        </w:tc>
        <w:tc>
          <w:tcPr>
            <w:tcW w:type="dxa" w:w="4752"/>
          </w:tcPr>
          <w:p>
            <w:pPr>
              <w:spacing w:after="0"/>
            </w:pPr>
            <w:r>
              <w:rPr>
                <w:color w:val="1C3A36"/>
                <w:sz w:val="14"/>
              </w:rPr>
              <w:t>RTA / company confirmation</w:t>
            </w:r>
          </w:p>
        </w:tc>
      </w:tr>
      <w:tr>
        <w:tc>
          <w:tcPr>
            <w:tcW w:type="dxa" w:w="634"/>
          </w:tcPr>
          <w:p>
            <w:pPr>
              <w:spacing w:after="0"/>
            </w:pPr>
            <w:r>
              <w:rPr>
                <w:b/>
                <w:color w:val="1C3A36"/>
                <w:sz w:val="14"/>
              </w:rPr>
              <w:t>S-12</w:t>
            </w:r>
          </w:p>
        </w:tc>
        <w:tc>
          <w:tcPr>
            <w:tcW w:type="dxa" w:w="4464"/>
          </w:tcPr>
          <w:p>
            <w:pPr>
              <w:spacing w:after="0"/>
            </w:pPr>
            <w:r>
              <w:rPr>
                <w:color w:val="1C3A36"/>
                <w:sz w:val="14"/>
              </w:rPr>
              <w:t>"Country Default Spreads and Risk Premiums" (ctryprem.html), ORIGINAL data file</w:t>
            </w:r>
          </w:p>
        </w:tc>
        <w:tc>
          <w:tcPr>
            <w:tcW w:type="dxa" w:w="2678"/>
          </w:tcPr>
          <w:p>
            <w:pPr>
              <w:spacing w:after="0"/>
            </w:pPr>
            <w:r>
              <w:rPr>
                <w:color w:val="1C3A36"/>
                <w:sz w:val="14"/>
              </w:rPr>
              <w:t>Aswath Damodaran, NYU Stern</w:t>
            </w:r>
          </w:p>
        </w:tc>
        <w:tc>
          <w:tcPr>
            <w:tcW w:type="dxa" w:w="1872"/>
          </w:tcPr>
          <w:p>
            <w:pPr>
              <w:spacing w:after="0"/>
            </w:pPr>
            <w:r>
              <w:rPr>
                <w:color w:val="1C3A36"/>
                <w:sz w:val="14"/>
              </w:rPr>
              <w:t>last updated 5 Jan 2026</w:t>
            </w:r>
          </w:p>
        </w:tc>
        <w:tc>
          <w:tcPr>
            <w:tcW w:type="dxa" w:w="4752"/>
          </w:tcPr>
          <w:p>
            <w:pPr>
              <w:spacing w:after="0"/>
            </w:pPr>
            <w:r>
              <w:rPr>
                <w:color w:val="1C3A36"/>
                <w:sz w:val="14"/>
              </w:rPr>
              <w:t>pages.stern.nyu.edu/~adamodar/New_Home_Page/datafile/ctryprem.html</w:t>
            </w:r>
          </w:p>
        </w:tc>
      </w:tr>
      <w:tr>
        <w:tc>
          <w:tcPr>
            <w:tcW w:type="dxa" w:w="634"/>
          </w:tcPr>
          <w:p>
            <w:pPr>
              <w:spacing w:after="0"/>
            </w:pPr>
            <w:r>
              <w:rPr>
                <w:b/>
                <w:color w:val="1C3A36"/>
                <w:sz w:val="14"/>
              </w:rPr>
              <w:t>S-13</w:t>
            </w:r>
          </w:p>
        </w:tc>
        <w:tc>
          <w:tcPr>
            <w:tcW w:type="dxa" w:w="4464"/>
          </w:tcPr>
          <w:p>
            <w:pPr>
              <w:spacing w:after="0"/>
            </w:pPr>
            <w:r>
              <w:rPr>
                <w:color w:val="1C3A36"/>
                <w:sz w:val="14"/>
              </w:rPr>
              <w:t>May-2026 Treasury Bond auction result — AED T-Bonds</w:t>
            </w:r>
          </w:p>
        </w:tc>
        <w:tc>
          <w:tcPr>
            <w:tcW w:type="dxa" w:w="2678"/>
          </w:tcPr>
          <w:p>
            <w:pPr>
              <w:spacing w:after="0"/>
            </w:pPr>
            <w:r>
              <w:rPr>
                <w:color w:val="1C3A36"/>
                <w:sz w:val="14"/>
              </w:rPr>
              <w:t>UAE Ministry of Finance</w:t>
            </w:r>
          </w:p>
        </w:tc>
        <w:tc>
          <w:tcPr>
            <w:tcW w:type="dxa" w:w="1872"/>
          </w:tcPr>
          <w:p>
            <w:pPr>
              <w:spacing w:after="0"/>
            </w:pPr>
            <w:r>
              <w:rPr>
                <w:color w:val="1C3A36"/>
                <w:sz w:val="14"/>
              </w:rPr>
              <w:t>23 May 2026</w:t>
            </w:r>
          </w:p>
        </w:tc>
        <w:tc>
          <w:tcPr>
            <w:tcW w:type="dxa" w:w="4752"/>
          </w:tcPr>
          <w:p>
            <w:pPr>
              <w:spacing w:after="0"/>
            </w:pPr>
            <w:r>
              <w:rPr>
                <w:color w:val="1C3A36"/>
                <w:sz w:val="14"/>
              </w:rPr>
              <w:t>mof.gov.ae</w:t>
            </w:r>
          </w:p>
        </w:tc>
      </w:tr>
      <w:tr>
        <w:tc>
          <w:tcPr>
            <w:tcW w:type="dxa" w:w="634"/>
          </w:tcPr>
          <w:p>
            <w:pPr>
              <w:spacing w:after="0"/>
            </w:pPr>
            <w:r>
              <w:rPr>
                <w:b/>
                <w:color w:val="1C3A36"/>
                <w:sz w:val="14"/>
              </w:rPr>
              <w:t>S-14</w:t>
            </w:r>
          </w:p>
        </w:tc>
        <w:tc>
          <w:tcPr>
            <w:tcW w:type="dxa" w:w="4464"/>
          </w:tcPr>
          <w:p>
            <w:pPr>
              <w:spacing w:after="0"/>
            </w:pPr>
            <w:r>
              <w:rPr>
                <w:color w:val="1C3A36"/>
                <w:sz w:val="14"/>
              </w:rPr>
              <w:t>US Treasury 10-year constant-maturity yield</w:t>
            </w:r>
          </w:p>
        </w:tc>
        <w:tc>
          <w:tcPr>
            <w:tcW w:type="dxa" w:w="2678"/>
          </w:tcPr>
          <w:p>
            <w:pPr>
              <w:spacing w:after="0"/>
            </w:pPr>
            <w:r>
              <w:rPr>
                <w:color w:val="1C3A36"/>
                <w:sz w:val="14"/>
              </w:rPr>
              <w:t>US Treasury / market print</w:t>
            </w:r>
          </w:p>
        </w:tc>
        <w:tc>
          <w:tcPr>
            <w:tcW w:type="dxa" w:w="1872"/>
          </w:tcPr>
          <w:p>
            <w:pPr>
              <w:spacing w:after="0"/>
            </w:pPr>
            <w:r>
              <w:rPr>
                <w:color w:val="1C3A36"/>
                <w:sz w:val="14"/>
              </w:rPr>
              <w:t>10 Jul 2026</w:t>
            </w:r>
          </w:p>
        </w:tc>
        <w:tc>
          <w:tcPr>
            <w:tcW w:type="dxa" w:w="4752"/>
          </w:tcPr>
          <w:p>
            <w:pPr>
              <w:spacing w:after="0"/>
            </w:pPr>
            <w:r>
              <w:rPr>
                <w:color w:val="1C3A36"/>
                <w:sz w:val="14"/>
              </w:rPr>
              <w:t>primary market data</w:t>
            </w:r>
          </w:p>
        </w:tc>
      </w:tr>
      <w:tr>
        <w:tc>
          <w:tcPr>
            <w:tcW w:type="dxa" w:w="634"/>
          </w:tcPr>
          <w:p>
            <w:pPr>
              <w:spacing w:after="0"/>
            </w:pPr>
            <w:r>
              <w:rPr>
                <w:b/>
                <w:color w:val="1C3A36"/>
                <w:sz w:val="14"/>
              </w:rPr>
              <w:t>S-15</w:t>
            </w:r>
          </w:p>
        </w:tc>
        <w:tc>
          <w:tcPr>
            <w:tcW w:type="dxa" w:w="4464"/>
          </w:tcPr>
          <w:p>
            <w:pPr>
              <w:spacing w:after="0"/>
            </w:pPr>
            <w:r>
              <w:rPr>
                <w:color w:val="1C3A36"/>
                <w:sz w:val="14"/>
              </w:rPr>
              <w:t>Base rate held at 3.65% (Overnight Deposit Facility)</w:t>
            </w:r>
          </w:p>
        </w:tc>
        <w:tc>
          <w:tcPr>
            <w:tcW w:type="dxa" w:w="2678"/>
          </w:tcPr>
          <w:p>
            <w:pPr>
              <w:spacing w:after="0"/>
            </w:pPr>
            <w:r>
              <w:rPr>
                <w:color w:val="1C3A36"/>
                <w:sz w:val="14"/>
              </w:rPr>
              <w:t>Central Bank of the UAE</w:t>
            </w:r>
          </w:p>
        </w:tc>
        <w:tc>
          <w:tcPr>
            <w:tcW w:type="dxa" w:w="1872"/>
          </w:tcPr>
          <w:p>
            <w:pPr>
              <w:spacing w:after="0"/>
            </w:pPr>
            <w:r>
              <w:rPr>
                <w:color w:val="1C3A36"/>
                <w:sz w:val="14"/>
              </w:rPr>
              <w:t>17 Jun 2026</w:t>
            </w:r>
          </w:p>
        </w:tc>
        <w:tc>
          <w:tcPr>
            <w:tcW w:type="dxa" w:w="4752"/>
          </w:tcPr>
          <w:p>
            <w:pPr>
              <w:spacing w:after="0"/>
            </w:pPr>
            <w:r>
              <w:rPr>
                <w:color w:val="1C3A36"/>
                <w:sz w:val="14"/>
              </w:rPr>
              <w:t>centralbank.ae</w:t>
            </w:r>
          </w:p>
        </w:tc>
      </w:tr>
      <w:tr>
        <w:tc>
          <w:tcPr>
            <w:tcW w:type="dxa" w:w="634"/>
          </w:tcPr>
          <w:p>
            <w:pPr>
              <w:spacing w:after="0"/>
            </w:pPr>
            <w:r>
              <w:rPr>
                <w:b/>
                <w:color w:val="1C3A36"/>
                <w:sz w:val="14"/>
              </w:rPr>
              <w:t>S-16</w:t>
            </w:r>
          </w:p>
        </w:tc>
        <w:tc>
          <w:tcPr>
            <w:tcW w:type="dxa" w:w="4464"/>
          </w:tcPr>
          <w:p>
            <w:pPr>
              <w:spacing w:after="0"/>
            </w:pPr>
            <w:r>
              <w:rPr>
                <w:color w:val="1C3A36"/>
                <w:sz w:val="14"/>
              </w:rPr>
              <w:t>SALIK daily OHLC, 30-Sep-2022 to 10-Jul-2026 (946 sessions)</w:t>
            </w:r>
          </w:p>
        </w:tc>
        <w:tc>
          <w:tcPr>
            <w:tcW w:type="dxa" w:w="2678"/>
          </w:tcPr>
          <w:p>
            <w:pPr>
              <w:spacing w:after="0"/>
            </w:pPr>
            <w:r>
              <w:rPr>
                <w:color w:val="1C3A36"/>
                <w:sz w:val="14"/>
              </w:rPr>
              <w:t>DFM via investing.com — client-supplied</w:t>
            </w:r>
          </w:p>
        </w:tc>
        <w:tc>
          <w:tcPr>
            <w:tcW w:type="dxa" w:w="1872"/>
          </w:tcPr>
          <w:p>
            <w:pPr>
              <w:spacing w:after="0"/>
            </w:pPr>
            <w:r>
              <w:rPr>
                <w:color w:val="1C3A36"/>
                <w:sz w:val="14"/>
              </w:rPr>
              <w:t>10 Jul 2026</w:t>
            </w:r>
          </w:p>
        </w:tc>
        <w:tc>
          <w:tcPr>
            <w:tcW w:type="dxa" w:w="4752"/>
          </w:tcPr>
          <w:p>
            <w:pPr>
              <w:spacing w:after="0"/>
            </w:pPr>
            <w:r>
              <w:rPr>
                <w:color w:val="1C3A36"/>
                <w:sz w:val="14"/>
              </w:rPr>
              <w:t>the file attached to this engagement</w:t>
            </w:r>
          </w:p>
        </w:tc>
      </w:tr>
      <w:tr>
        <w:tc>
          <w:tcPr>
            <w:tcW w:type="dxa" w:w="634"/>
          </w:tcPr>
          <w:p>
            <w:pPr>
              <w:spacing w:after="0"/>
            </w:pPr>
            <w:r>
              <w:rPr>
                <w:b/>
                <w:color w:val="1C3A36"/>
                <w:sz w:val="14"/>
              </w:rPr>
              <w:t>S-17</w:t>
            </w:r>
          </w:p>
        </w:tc>
        <w:tc>
          <w:tcPr>
            <w:tcW w:type="dxa" w:w="4464"/>
          </w:tcPr>
          <w:p>
            <w:pPr>
              <w:spacing w:after="0"/>
            </w:pPr>
            <w:r>
              <w:rPr>
                <w:color w:val="1C3A36"/>
                <w:sz w:val="14"/>
              </w:rPr>
              <w:t>UAE market portfolio — daily OHLC for 14 names (ADCB, ADIB, ADNOCGAS, AGTHIA, ALDAR, ALPHADHABI, DIB, EAND, EMAAR, EMAARDEV, ENBD, FAB, IHC, TWOPOINTZERO)</w:t>
            </w:r>
          </w:p>
        </w:tc>
        <w:tc>
          <w:tcPr>
            <w:tcW w:type="dxa" w:w="2678"/>
          </w:tcPr>
          <w:p>
            <w:pPr>
              <w:spacing w:after="0"/>
            </w:pPr>
            <w:r>
              <w:rPr>
                <w:color w:val="1C3A36"/>
                <w:sz w:val="14"/>
              </w:rPr>
              <w:t>Testahil public repository, our public price-history library</w:t>
            </w:r>
          </w:p>
        </w:tc>
        <w:tc>
          <w:tcPr>
            <w:tcW w:type="dxa" w:w="1872"/>
          </w:tcPr>
          <w:p>
            <w:pPr>
              <w:spacing w:after="0"/>
            </w:pPr>
            <w:r>
              <w:rPr>
                <w:color w:val="1C3A36"/>
                <w:sz w:val="14"/>
              </w:rPr>
              <w:t>live</w:t>
            </w:r>
          </w:p>
        </w:tc>
        <w:tc>
          <w:tcPr>
            <w:tcW w:type="dxa" w:w="4752"/>
          </w:tcPr>
          <w:p>
            <w:pPr>
              <w:spacing w:after="0"/>
            </w:pPr>
            <w:r>
              <w:rPr>
                <w:color w:val="1C3A36"/>
                <w:sz w:val="14"/>
              </w:rPr>
              <w:t>github.com/sherifomarsaleh/testahil</w:t>
            </w:r>
          </w:p>
        </w:tc>
      </w:tr>
      <w:tr>
        <w:tc>
          <w:tcPr>
            <w:tcW w:type="dxa" w:w="634"/>
          </w:tcPr>
          <w:p>
            <w:pPr>
              <w:spacing w:after="0"/>
            </w:pPr>
            <w:r>
              <w:rPr>
                <w:b/>
                <w:color w:val="1C3A36"/>
                <w:sz w:val="14"/>
              </w:rPr>
              <w:t>S-18</w:t>
            </w:r>
          </w:p>
        </w:tc>
        <w:tc>
          <w:tcPr>
            <w:tcW w:type="dxa" w:w="4464"/>
          </w:tcPr>
          <w:p>
            <w:pPr>
              <w:spacing w:after="0"/>
            </w:pPr>
            <w:r>
              <w:rPr>
                <w:color w:val="1C3A36"/>
                <w:sz w:val="14"/>
              </w:rPr>
              <w:t>our calibration engine — the live Monte-Carlo fit (ν, the cone-width calibration, signal state)</w:t>
            </w:r>
          </w:p>
        </w:tc>
        <w:tc>
          <w:tcPr>
            <w:tcW w:type="dxa" w:w="2678"/>
          </w:tcPr>
          <w:p>
            <w:pPr>
              <w:spacing w:after="0"/>
            </w:pPr>
            <w:r>
              <w:rPr>
                <w:color w:val="1C3A36"/>
                <w:sz w:val="14"/>
              </w:rPr>
              <w:t>Testahil public repository</w:t>
            </w:r>
          </w:p>
        </w:tc>
        <w:tc>
          <w:tcPr>
            <w:tcW w:type="dxa" w:w="1872"/>
          </w:tcPr>
          <w:p>
            <w:pPr>
              <w:spacing w:after="0"/>
            </w:pPr>
            <w:r>
              <w:rPr>
                <w:color w:val="1C3A36"/>
                <w:sz w:val="14"/>
              </w:rPr>
              <w:t>live — read by import, never from memory</w:t>
            </w:r>
          </w:p>
        </w:tc>
        <w:tc>
          <w:tcPr>
            <w:tcW w:type="dxa" w:w="4752"/>
          </w:tcPr>
          <w:p>
            <w:pPr>
              <w:spacing w:after="0"/>
            </w:pPr>
            <w:r>
              <w:rPr>
                <w:color w:val="1C3A36"/>
                <w:sz w:val="14"/>
              </w:rPr>
              <w:t>raw.githubusercontent.com/sherifomarsaleh/testahil/main/our calibration engine</w:t>
            </w:r>
          </w:p>
        </w:tc>
      </w:tr>
      <w:tr>
        <w:tc>
          <w:tcPr>
            <w:tcW w:type="dxa" w:w="634"/>
          </w:tcPr>
          <w:p>
            <w:pPr>
              <w:spacing w:after="0"/>
            </w:pPr>
            <w:r>
              <w:rPr>
                <w:b/>
                <w:color w:val="1C3A36"/>
                <w:sz w:val="14"/>
              </w:rPr>
              <w:t>S-19</w:t>
            </w:r>
          </w:p>
        </w:tc>
        <w:tc>
          <w:tcPr>
            <w:tcW w:type="dxa" w:w="4464"/>
          </w:tcPr>
          <w:p>
            <w:pPr>
              <w:spacing w:after="0"/>
            </w:pPr>
            <w:r>
              <w:rPr>
                <w:color w:val="1C3A36"/>
                <w:sz w:val="14"/>
              </w:rPr>
              <w:t>Emirates NBD inaugural AED-denominated bond — priced at UAE Treasuries + 83bp</w:t>
            </w:r>
          </w:p>
        </w:tc>
        <w:tc>
          <w:tcPr>
            <w:tcW w:type="dxa" w:w="2678"/>
          </w:tcPr>
          <w:p>
            <w:pPr>
              <w:spacing w:after="0"/>
            </w:pPr>
            <w:r>
              <w:rPr>
                <w:color w:val="1C3A36"/>
                <w:sz w:val="14"/>
              </w:rPr>
              <w:t>Emirates NBD</w:t>
            </w:r>
          </w:p>
        </w:tc>
        <w:tc>
          <w:tcPr>
            <w:tcW w:type="dxa" w:w="1872"/>
          </w:tcPr>
          <w:p>
            <w:pPr>
              <w:spacing w:after="0"/>
            </w:pPr>
            <w:r>
              <w:rPr>
                <w:color w:val="1C3A36"/>
                <w:sz w:val="14"/>
              </w:rPr>
              <w:t>2023</w:t>
            </w:r>
          </w:p>
        </w:tc>
        <w:tc>
          <w:tcPr>
            <w:tcW w:type="dxa" w:w="4752"/>
          </w:tcPr>
          <w:p>
            <w:pPr>
              <w:spacing w:after="0"/>
            </w:pPr>
            <w:r>
              <w:rPr>
                <w:color w:val="1C3A36"/>
                <w:sz w:val="14"/>
              </w:rPr>
              <w:t>issuer announcement</w:t>
            </w:r>
          </w:p>
        </w:tc>
      </w:tr>
      <w:tr>
        <w:tc>
          <w:tcPr>
            <w:tcW w:type="dxa" w:w="634"/>
          </w:tcPr>
          <w:p>
            <w:pPr>
              <w:spacing w:after="0"/>
            </w:pPr>
            <w:r>
              <w:rPr>
                <w:b/>
                <w:color w:val="1C3A36"/>
                <w:sz w:val="14"/>
              </w:rPr>
              <w:t>S-20</w:t>
            </w:r>
          </w:p>
        </w:tc>
        <w:tc>
          <w:tcPr>
            <w:tcW w:type="dxa" w:w="4464"/>
          </w:tcPr>
          <w:p>
            <w:pPr>
              <w:spacing w:after="0"/>
            </w:pPr>
            <w:r>
              <w:rPr>
                <w:color w:val="1C3A36"/>
                <w:sz w:val="14"/>
              </w:rPr>
              <w:t>Metro Blue Line — AED 20.5bn, 30km, 14 stations, opening 2029</w:t>
            </w:r>
          </w:p>
        </w:tc>
        <w:tc>
          <w:tcPr>
            <w:tcW w:type="dxa" w:w="2678"/>
          </w:tcPr>
          <w:p>
            <w:pPr>
              <w:spacing w:after="0"/>
            </w:pPr>
            <w:r>
              <w:rPr>
                <w:color w:val="1C3A36"/>
                <w:sz w:val="14"/>
              </w:rPr>
              <w:t>Roads and Transport Authority / Gulf News</w:t>
            </w:r>
          </w:p>
        </w:tc>
        <w:tc>
          <w:tcPr>
            <w:tcW w:type="dxa" w:w="1872"/>
          </w:tcPr>
          <w:p>
            <w:pPr>
              <w:spacing w:after="0"/>
            </w:pPr>
            <w:r>
              <w:rPr>
                <w:color w:val="1C3A36"/>
                <w:sz w:val="14"/>
              </w:rPr>
              <w:t>Feb 2026</w:t>
            </w:r>
          </w:p>
        </w:tc>
        <w:tc>
          <w:tcPr>
            <w:tcW w:type="dxa" w:w="4752"/>
          </w:tcPr>
          <w:p>
            <w:pPr>
              <w:spacing w:after="0"/>
            </w:pPr>
            <w:r>
              <w:rPr>
                <w:color w:val="1C3A36"/>
                <w:sz w:val="14"/>
              </w:rPr>
              <w:t>RTA</w:t>
            </w:r>
          </w:p>
        </w:tc>
      </w:tr>
      <w:tr>
        <w:tc>
          <w:tcPr>
            <w:tcW w:type="dxa" w:w="634"/>
          </w:tcPr>
          <w:p>
            <w:pPr>
              <w:spacing w:after="0"/>
            </w:pPr>
            <w:r>
              <w:rPr>
                <w:b/>
                <w:color w:val="1C3A36"/>
                <w:sz w:val="14"/>
              </w:rPr>
              <w:t>S-21</w:t>
            </w:r>
          </w:p>
        </w:tc>
        <w:tc>
          <w:tcPr>
            <w:tcW w:type="dxa" w:w="4464"/>
          </w:tcPr>
          <w:p>
            <w:pPr>
              <w:spacing w:after="0"/>
            </w:pPr>
            <w:r>
              <w:rPr>
                <w:color w:val="1C3A36"/>
                <w:sz w:val="14"/>
              </w:rPr>
              <w:t>2026 Iran war — timeline and Strait of Hormuz status</w:t>
            </w:r>
          </w:p>
        </w:tc>
        <w:tc>
          <w:tcPr>
            <w:tcW w:type="dxa" w:w="2678"/>
          </w:tcPr>
          <w:p>
            <w:pPr>
              <w:spacing w:after="0"/>
            </w:pPr>
            <w:r>
              <w:rPr>
                <w:color w:val="1C3A36"/>
                <w:sz w:val="14"/>
              </w:rPr>
              <w:t>Britannica; Wikipedia (Economic impact of the 2026 Iran war)</w:t>
            </w:r>
          </w:p>
        </w:tc>
        <w:tc>
          <w:tcPr>
            <w:tcW w:type="dxa" w:w="1872"/>
          </w:tcPr>
          <w:p>
            <w:pPr>
              <w:spacing w:after="0"/>
            </w:pPr>
            <w:r>
              <w:rPr>
                <w:color w:val="1C3A36"/>
                <w:sz w:val="14"/>
              </w:rPr>
              <w:t>accessed 11 Jul 2026</w:t>
            </w:r>
          </w:p>
        </w:tc>
        <w:tc>
          <w:tcPr>
            <w:tcW w:type="dxa" w:w="4752"/>
          </w:tcPr>
          <w:p>
            <w:pPr>
              <w:spacing w:after="0"/>
            </w:pPr>
            <w:r>
              <w:rPr>
                <w:color w:val="1C3A36"/>
                <w:sz w:val="14"/>
              </w:rPr>
              <w:t>—</w:t>
            </w:r>
          </w:p>
        </w:tc>
      </w:tr>
      <w:tr>
        <w:tc>
          <w:tcPr>
            <w:tcW w:type="dxa" w:w="634"/>
          </w:tcPr>
          <w:p>
            <w:pPr>
              <w:spacing w:after="0"/>
            </w:pPr>
            <w:r>
              <w:rPr>
                <w:b/>
                <w:color w:val="1C3A36"/>
                <w:sz w:val="14"/>
              </w:rPr>
              <w:t>S-22</w:t>
            </w:r>
          </w:p>
        </w:tc>
        <w:tc>
          <w:tcPr>
            <w:tcW w:type="dxa" w:w="4464"/>
          </w:tcPr>
          <w:p>
            <w:pPr>
              <w:spacing w:after="0"/>
            </w:pPr>
            <w:r>
              <w:rPr>
                <w:color w:val="1C3A36"/>
                <w:sz w:val="14"/>
              </w:rPr>
              <w:t>Emirates network restoration (96%); Dubai AED 2.5bn support package</w:t>
            </w:r>
          </w:p>
        </w:tc>
        <w:tc>
          <w:tcPr>
            <w:tcW w:type="dxa" w:w="2678"/>
          </w:tcPr>
          <w:p>
            <w:pPr>
              <w:spacing w:after="0"/>
            </w:pPr>
            <w:r>
              <w:rPr>
                <w:color w:val="1C3A36"/>
                <w:sz w:val="14"/>
              </w:rPr>
              <w:t>Emirates / Dubai Media Office / Travel &amp; Tour World</w:t>
            </w:r>
          </w:p>
        </w:tc>
        <w:tc>
          <w:tcPr>
            <w:tcW w:type="dxa" w:w="1872"/>
          </w:tcPr>
          <w:p>
            <w:pPr>
              <w:spacing w:after="0"/>
            </w:pPr>
            <w:r>
              <w:rPr>
                <w:color w:val="1C3A36"/>
                <w:sz w:val="14"/>
              </w:rPr>
              <w:t>Jun 2026</w:t>
            </w:r>
          </w:p>
        </w:tc>
        <w:tc>
          <w:tcPr>
            <w:tcW w:type="dxa" w:w="4752"/>
          </w:tcPr>
          <w:p>
            <w:pPr>
              <w:spacing w:after="0"/>
            </w:pPr>
            <w:r>
              <w:rPr>
                <w:color w:val="1C3A36"/>
                <w:sz w:val="14"/>
              </w:rPr>
              <w:t>—</w:t>
            </w:r>
          </w:p>
        </w:tc>
      </w:tr>
      <w:tr>
        <w:tc>
          <w:tcPr>
            <w:tcW w:type="dxa" w:w="634"/>
          </w:tcPr>
          <w:p>
            <w:pPr>
              <w:spacing w:after="0"/>
            </w:pPr>
            <w:r>
              <w:rPr>
                <w:b/>
                <w:color w:val="1C3A36"/>
                <w:sz w:val="14"/>
              </w:rPr>
              <w:t>S-23</w:t>
            </w:r>
          </w:p>
        </w:tc>
        <w:tc>
          <w:tcPr>
            <w:tcW w:type="dxa" w:w="4464"/>
          </w:tcPr>
          <w:p>
            <w:pPr>
              <w:spacing w:after="0"/>
            </w:pPr>
            <w:r>
              <w:rPr>
                <w:color w:val="1C3A36"/>
                <w:sz w:val="14"/>
              </w:rPr>
              <w:t>Parkin (DFM) — P/E and dividend yield</w:t>
            </w:r>
          </w:p>
        </w:tc>
        <w:tc>
          <w:tcPr>
            <w:tcW w:type="dxa" w:w="2678"/>
          </w:tcPr>
          <w:p>
            <w:pPr>
              <w:spacing w:after="0"/>
            </w:pPr>
            <w:r>
              <w:rPr>
                <w:color w:val="1C3A36"/>
                <w:sz w:val="14"/>
              </w:rPr>
              <w:t>investing.com (AGGREGATOR — see M-05)</w:t>
            </w:r>
          </w:p>
        </w:tc>
        <w:tc>
          <w:tcPr>
            <w:tcW w:type="dxa" w:w="1872"/>
          </w:tcPr>
          <w:p>
            <w:pPr>
              <w:spacing w:after="0"/>
            </w:pPr>
            <w:r>
              <w:rPr>
                <w:color w:val="1C3A36"/>
                <w:sz w:val="14"/>
              </w:rPr>
              <w:t>Apr 2026 — ~3 months stale, flagged</w:t>
            </w:r>
          </w:p>
        </w:tc>
        <w:tc>
          <w:tcPr>
            <w:tcW w:type="dxa" w:w="4752"/>
          </w:tcPr>
          <w:p>
            <w:pPr>
              <w:spacing w:after="0"/>
            </w:pPr>
            <w:r>
              <w:rPr>
                <w:color w:val="1C3A36"/>
                <w:sz w:val="14"/>
              </w:rPr>
              <w:t>investing.com</w:t>
            </w:r>
          </w:p>
        </w:tc>
      </w:tr>
      <w:tr>
        <w:tc>
          <w:tcPr>
            <w:tcW w:type="dxa" w:w="634"/>
          </w:tcPr>
          <w:p>
            <w:pPr>
              <w:spacing w:after="0"/>
            </w:pPr>
            <w:r>
              <w:rPr>
                <w:b/>
                <w:color w:val="1C3A36"/>
                <w:sz w:val="14"/>
              </w:rPr>
              <w:t>S-24</w:t>
            </w:r>
          </w:p>
        </w:tc>
        <w:tc>
          <w:tcPr>
            <w:tcW w:type="dxa" w:w="4464"/>
          </w:tcPr>
          <w:p>
            <w:pPr>
              <w:spacing w:after="0"/>
            </w:pPr>
            <w:r>
              <w:rPr>
                <w:color w:val="1C3A36"/>
                <w:sz w:val="14"/>
              </w:rPr>
              <w:t>our published research standards; our cost-of-capital module (our beta usability test gate)</w:t>
            </w:r>
          </w:p>
        </w:tc>
        <w:tc>
          <w:tcPr>
            <w:tcW w:type="dxa" w:w="2678"/>
          </w:tcPr>
          <w:p>
            <w:pPr>
              <w:spacing w:after="0"/>
            </w:pPr>
            <w:r>
              <w:rPr>
                <w:color w:val="1C3A36"/>
                <w:sz w:val="14"/>
              </w:rPr>
              <w:t>Testahil internal / public repository</w:t>
            </w:r>
          </w:p>
        </w:tc>
        <w:tc>
          <w:tcPr>
            <w:tcW w:type="dxa" w:w="1872"/>
          </w:tcPr>
          <w:p>
            <w:pPr>
              <w:spacing w:after="0"/>
            </w:pPr>
            <w:r>
              <w:rPr>
                <w:color w:val="1C3A36"/>
                <w:sz w:val="14"/>
              </w:rPr>
              <w:t>live</w:t>
            </w:r>
          </w:p>
        </w:tc>
        <w:tc>
          <w:tcPr>
            <w:tcW w:type="dxa" w:w="4752"/>
          </w:tcPr>
          <w:p>
            <w:pPr>
              <w:spacing w:after="0"/>
            </w:pPr>
            <w:r>
              <w:rPr>
                <w:color w:val="1C3A36"/>
                <w:sz w:val="14"/>
              </w:rPr>
              <w:t>repository + project files</w:t>
            </w:r>
          </w:p>
        </w:tc>
      </w:tr>
      <w:tr>
        <w:tc>
          <w:tcPr>
            <w:tcW w:type="dxa" w:w="634"/>
          </w:tcPr>
          <w:p>
            <w:pPr>
              <w:spacing w:after="0"/>
            </w:pPr>
            <w:r>
              <w:rPr>
                <w:b/>
                <w:color w:val="1C3A36"/>
                <w:sz w:val="14"/>
              </w:rPr>
              <w:t>S-25</w:t>
            </w:r>
          </w:p>
        </w:tc>
        <w:tc>
          <w:tcPr>
            <w:tcW w:type="dxa" w:w="4464"/>
          </w:tcPr>
          <w:p>
            <w:pPr>
              <w:spacing w:after="0"/>
            </w:pPr>
            <w:r>
              <w:rPr>
                <w:color w:val="1C3A36"/>
                <w:sz w:val="14"/>
              </w:rPr>
              <w:t>our standing expert panel</w:t>
            </w:r>
          </w:p>
        </w:tc>
        <w:tc>
          <w:tcPr>
            <w:tcW w:type="dxa" w:w="2678"/>
          </w:tcPr>
          <w:p>
            <w:pPr>
              <w:spacing w:after="0"/>
            </w:pPr>
            <w:r>
              <w:rPr>
                <w:color w:val="1C3A36"/>
                <w:sz w:val="14"/>
              </w:rPr>
              <w:t>Testahil internal</w:t>
            </w:r>
          </w:p>
        </w:tc>
        <w:tc>
          <w:tcPr>
            <w:tcW w:type="dxa" w:w="1872"/>
          </w:tcPr>
          <w:p>
            <w:pPr>
              <w:spacing w:after="0"/>
            </w:pPr>
            <w:r>
              <w:rPr>
                <w:color w:val="1C3A36"/>
                <w:sz w:val="14"/>
              </w:rPr>
              <w:t>v1</w:t>
            </w:r>
          </w:p>
        </w:tc>
        <w:tc>
          <w:tcPr>
            <w:tcW w:type="dxa" w:w="4752"/>
          </w:tcPr>
          <w:p>
            <w:pPr>
              <w:spacing w:after="0"/>
            </w:pPr>
            <w:r>
              <w:rPr>
                <w:color w:val="1C3A36"/>
                <w:sz w:val="14"/>
              </w:rPr>
              <w:t>project files</w:t>
            </w:r>
          </w:p>
        </w:tc>
      </w:tr>
    </w:tbl>
    <w:p>
      <w:pPr>
        <w:spacing w:after="40"/>
      </w:pPr>
    </w:p>
    <w:p>
      <w:r>
        <w:br w:type="page"/>
      </w:r>
    </w:p>
    <w:p>
      <w:pPr>
        <w:spacing w:after="100" w:before="240"/>
      </w:pPr>
      <w:r>
        <w:rPr>
          <w:b/>
          <w:i w:val="0"/>
          <w:color w:val="1C3A36"/>
          <w:sz w:val="27"/>
        </w:rPr>
        <w:t>2 The figure register</w:t>
      </w:r>
    </w:p>
    <w:p>
      <w:pPr>
        <w:spacing w:after="120" w:before="0"/>
      </w:pPr>
      <w:r>
        <w:rPr>
          <w:b w:val="0"/>
          <w:i w:val="0"/>
          <w:color w:val="1C3A36"/>
          <w:sz w:val="18"/>
        </w:rPr>
        <w:t>Read column 4 first. It tells you what kind of number you are looking at. Column 6 is the trace: for SOURCED figures it is the reference; for DERIVED figures it is the arithmetic, shown in full.</w:t>
      </w:r>
    </w:p>
    <w:p>
      <w:pPr>
        <w:spacing w:after="60" w:before="160"/>
      </w:pPr>
      <w:r>
        <w:rPr>
          <w:b/>
          <w:i w:val="0"/>
          <w:color w:val="1C3A36"/>
          <w:sz w:val="21"/>
        </w:rPr>
        <w:t>2.1 Anchor and market data</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621"/>
            <w:shd w:val="clear" w:color="auto" w:fill="EAF0EE"/>
          </w:tcPr>
          <w:p>
            <w:pPr>
              <w:spacing w:after="0"/>
            </w:pPr>
            <w:r>
              <w:rPr>
                <w:b/>
                <w:color w:val="1C3A36"/>
                <w:sz w:val="14"/>
              </w:rPr>
              <w:t>Figure in the study</w:t>
            </w:r>
          </w:p>
        </w:tc>
        <w:tc>
          <w:tcPr>
            <w:tcW w:type="dxa" w:w="1411"/>
            <w:shd w:val="clear" w:color="auto" w:fill="EAF0EE"/>
          </w:tcPr>
          <w:p>
            <w:pPr>
              <w:spacing w:after="0"/>
            </w:pPr>
            <w:r>
              <w:rPr>
                <w:b/>
                <w:color w:val="1C3A36"/>
                <w:sz w:val="14"/>
              </w:rPr>
              <w:t>Value</w:t>
            </w:r>
          </w:p>
        </w:tc>
        <w:tc>
          <w:tcPr>
            <w:tcW w:type="dxa" w:w="1094"/>
            <w:shd w:val="clear" w:color="auto" w:fill="EAF0EE"/>
          </w:tcPr>
          <w:p>
            <w:pPr>
              <w:spacing w:after="0"/>
            </w:pPr>
            <w:r>
              <w:rPr>
                <w:b/>
                <w:color w:val="1C3A36"/>
                <w:sz w:val="14"/>
              </w:rPr>
              <w:t>Class</w:t>
            </w:r>
          </w:p>
        </w:tc>
        <w:tc>
          <w:tcPr>
            <w:tcW w:type="dxa" w:w="950"/>
            <w:shd w:val="clear" w:color="auto" w:fill="EAF0EE"/>
          </w:tcPr>
          <w:p>
            <w:pPr>
              <w:spacing w:after="0"/>
            </w:pPr>
            <w:r>
              <w:rPr>
                <w:b/>
                <w:color w:val="1C3A36"/>
                <w:sz w:val="14"/>
              </w:rPr>
              <w:t>Source</w:t>
            </w:r>
          </w:p>
        </w:tc>
        <w:tc>
          <w:tcPr>
            <w:tcW w:type="dxa" w:w="7718"/>
            <w:shd w:val="clear" w:color="auto" w:fill="EAF0EE"/>
          </w:tcPr>
          <w:p>
            <w:pPr>
              <w:spacing w:after="0"/>
            </w:pPr>
            <w:r>
              <w:rPr>
                <w:b/>
                <w:color w:val="1C3A36"/>
                <w:sz w:val="14"/>
              </w:rPr>
              <w:t>Trace / derivation</w:t>
            </w:r>
          </w:p>
        </w:tc>
      </w:tr>
      <w:tr>
        <w:tc>
          <w:tcPr>
            <w:tcW w:type="dxa" w:w="605"/>
          </w:tcPr>
          <w:p>
            <w:pPr>
              <w:spacing w:after="0"/>
            </w:pPr>
            <w:r>
              <w:rPr>
                <w:b/>
                <w:color w:val="1C3A36"/>
                <w:sz w:val="14"/>
              </w:rPr>
              <w:t>A-01</w:t>
            </w:r>
          </w:p>
        </w:tc>
        <w:tc>
          <w:tcPr>
            <w:tcW w:type="dxa" w:w="2621"/>
          </w:tcPr>
          <w:p>
            <w:pPr>
              <w:spacing w:after="0"/>
            </w:pPr>
            <w:r>
              <w:rPr>
                <w:color w:val="1C3A36"/>
                <w:sz w:val="14"/>
              </w:rPr>
              <w:t>Spot price (anchor)</w:t>
            </w:r>
          </w:p>
        </w:tc>
        <w:tc>
          <w:tcPr>
            <w:tcW w:type="dxa" w:w="1411"/>
          </w:tcPr>
          <w:p>
            <w:pPr>
              <w:spacing w:after="0"/>
            </w:pPr>
            <w:r>
              <w:rPr>
                <w:color w:val="1C3A36"/>
                <w:sz w:val="14"/>
              </w:rPr>
              <w:t>AED 5.70</w:t>
            </w:r>
          </w:p>
        </w:tc>
        <w:tc>
          <w:tcPr>
            <w:tcW w:type="dxa" w:w="1094"/>
          </w:tcPr>
          <w:p>
            <w:pPr>
              <w:spacing w:after="0"/>
            </w:pPr>
            <w:r>
              <w:rPr>
                <w:color w:val="1C3A36"/>
                <w:sz w:val="14"/>
              </w:rPr>
              <w:t>SOURCED</w:t>
            </w:r>
          </w:p>
        </w:tc>
        <w:tc>
          <w:tcPr>
            <w:tcW w:type="dxa" w:w="950"/>
          </w:tcPr>
          <w:p>
            <w:pPr>
              <w:spacing w:after="0"/>
            </w:pPr>
            <w:r>
              <w:rPr>
                <w:color w:val="1C3A36"/>
                <w:sz w:val="14"/>
              </w:rPr>
              <w:t>S-16</w:t>
            </w:r>
          </w:p>
        </w:tc>
        <w:tc>
          <w:tcPr>
            <w:tcW w:type="dxa" w:w="7718"/>
          </w:tcPr>
          <w:p>
            <w:pPr>
              <w:spacing w:after="0"/>
            </w:pPr>
            <w:r>
              <w:rPr>
                <w:color w:val="1C3A36"/>
                <w:sz w:val="14"/>
              </w:rPr>
              <w:t>DFM close, 10 Jul 2026.</w:t>
            </w:r>
          </w:p>
        </w:tc>
      </w:tr>
      <w:tr>
        <w:tc>
          <w:tcPr>
            <w:tcW w:type="dxa" w:w="605"/>
          </w:tcPr>
          <w:p>
            <w:pPr>
              <w:spacing w:after="0"/>
            </w:pPr>
            <w:r>
              <w:rPr>
                <w:b/>
                <w:color w:val="1C3A36"/>
                <w:sz w:val="14"/>
              </w:rPr>
              <w:t>A-02</w:t>
            </w:r>
          </w:p>
        </w:tc>
        <w:tc>
          <w:tcPr>
            <w:tcW w:type="dxa" w:w="2621"/>
          </w:tcPr>
          <w:p>
            <w:pPr>
              <w:spacing w:after="0"/>
            </w:pPr>
            <w:r>
              <w:rPr>
                <w:color w:val="1C3A36"/>
                <w:sz w:val="14"/>
              </w:rPr>
              <w:t>Shares outstanding</w:t>
            </w:r>
          </w:p>
        </w:tc>
        <w:tc>
          <w:tcPr>
            <w:tcW w:type="dxa" w:w="1411"/>
          </w:tcPr>
          <w:p>
            <w:pPr>
              <w:spacing w:after="0"/>
            </w:pPr>
            <w:r>
              <w:rPr>
                <w:color w:val="1C3A36"/>
                <w:sz w:val="14"/>
              </w:rPr>
              <w:t>7,500.0 mn</w:t>
            </w:r>
          </w:p>
        </w:tc>
        <w:tc>
          <w:tcPr>
            <w:tcW w:type="dxa" w:w="1094"/>
          </w:tcPr>
          <w:p>
            <w:pPr>
              <w:spacing w:after="0"/>
            </w:pPr>
            <w:r>
              <w:rPr>
                <w:color w:val="1C3A36"/>
                <w:sz w:val="14"/>
              </w:rPr>
              <w:t>SOURCED</w:t>
            </w:r>
          </w:p>
        </w:tc>
        <w:tc>
          <w:tcPr>
            <w:tcW w:type="dxa" w:w="950"/>
          </w:tcPr>
          <w:p>
            <w:pPr>
              <w:spacing w:after="0"/>
            </w:pPr>
            <w:r>
              <w:rPr>
                <w:color w:val="1C3A36"/>
                <w:sz w:val="14"/>
              </w:rPr>
              <w:t>S-07, S-06</w:t>
            </w:r>
          </w:p>
        </w:tc>
        <w:tc>
          <w:tcPr>
            <w:tcW w:type="dxa" w:w="7718"/>
          </w:tcPr>
          <w:p>
            <w:pPr>
              <w:spacing w:after="0"/>
            </w:pPr>
            <w:r>
              <w:rPr>
                <w:color w:val="1C3A36"/>
                <w:sz w:val="14"/>
              </w:rPr>
              <w:t>IPO floated 1,867.5 mn = 24.9% ⇒ 7,500.0 mn. CROSS-CHECKED to the dirham: the H2-2024 dividend of AED 619,836k ÷ 8.2645 fils = 7,500.0 mn exactly (S-06).</w:t>
            </w:r>
          </w:p>
        </w:tc>
      </w:tr>
      <w:tr>
        <w:tc>
          <w:tcPr>
            <w:tcW w:type="dxa" w:w="605"/>
          </w:tcPr>
          <w:p>
            <w:pPr>
              <w:spacing w:after="0"/>
            </w:pPr>
            <w:r>
              <w:rPr>
                <w:b/>
                <w:color w:val="1C3A36"/>
                <w:sz w:val="14"/>
              </w:rPr>
              <w:t>A-03</w:t>
            </w:r>
          </w:p>
        </w:tc>
        <w:tc>
          <w:tcPr>
            <w:tcW w:type="dxa" w:w="2621"/>
          </w:tcPr>
          <w:p>
            <w:pPr>
              <w:spacing w:after="0"/>
            </w:pPr>
            <w:r>
              <w:rPr>
                <w:color w:val="1C3A36"/>
                <w:sz w:val="14"/>
              </w:rPr>
              <w:t>Market capitalisation</w:t>
            </w:r>
          </w:p>
        </w:tc>
        <w:tc>
          <w:tcPr>
            <w:tcW w:type="dxa" w:w="1411"/>
          </w:tcPr>
          <w:p>
            <w:pPr>
              <w:spacing w:after="0"/>
            </w:pPr>
            <w:r>
              <w:rPr>
                <w:color w:val="1C3A36"/>
                <w:sz w:val="14"/>
              </w:rPr>
              <w:t>AED 42,750 mn</w:t>
            </w:r>
          </w:p>
        </w:tc>
        <w:tc>
          <w:tcPr>
            <w:tcW w:type="dxa" w:w="1094"/>
          </w:tcPr>
          <w:p>
            <w:pPr>
              <w:spacing w:after="0"/>
            </w:pPr>
            <w:r>
              <w:rPr>
                <w:color w:val="1C3A36"/>
                <w:sz w:val="14"/>
              </w:rPr>
              <w:t>DERIVED</w:t>
            </w:r>
          </w:p>
        </w:tc>
        <w:tc>
          <w:tcPr>
            <w:tcW w:type="dxa" w:w="950"/>
          </w:tcPr>
          <w:p>
            <w:pPr>
              <w:spacing w:after="0"/>
            </w:pPr>
            <w:r>
              <w:rPr>
                <w:color w:val="1C3A36"/>
                <w:sz w:val="14"/>
              </w:rPr>
              <w:t>A-01 × A-02</w:t>
            </w:r>
          </w:p>
        </w:tc>
        <w:tc>
          <w:tcPr>
            <w:tcW w:type="dxa" w:w="7718"/>
          </w:tcPr>
          <w:p>
            <w:pPr>
              <w:spacing w:after="0"/>
            </w:pPr>
            <w:r>
              <w:rPr>
                <w:color w:val="1C3A36"/>
                <w:sz w:val="14"/>
              </w:rPr>
              <w:t>5.70 × 7,500.0.</w:t>
            </w:r>
          </w:p>
        </w:tc>
      </w:tr>
      <w:tr>
        <w:tc>
          <w:tcPr>
            <w:tcW w:type="dxa" w:w="605"/>
          </w:tcPr>
          <w:p>
            <w:pPr>
              <w:spacing w:after="0"/>
            </w:pPr>
            <w:r>
              <w:rPr>
                <w:b/>
                <w:color w:val="1C3A36"/>
                <w:sz w:val="14"/>
              </w:rPr>
              <w:t>A-04</w:t>
            </w:r>
          </w:p>
        </w:tc>
        <w:tc>
          <w:tcPr>
            <w:tcW w:type="dxa" w:w="2621"/>
          </w:tcPr>
          <w:p>
            <w:pPr>
              <w:spacing w:after="0"/>
            </w:pPr>
            <w:r>
              <w:rPr>
                <w:color w:val="1C3A36"/>
                <w:sz w:val="14"/>
              </w:rPr>
              <w:t>Net debt (Q1-2026)</w:t>
            </w:r>
          </w:p>
        </w:tc>
        <w:tc>
          <w:tcPr>
            <w:tcW w:type="dxa" w:w="1411"/>
          </w:tcPr>
          <w:p>
            <w:pPr>
              <w:spacing w:after="0"/>
            </w:pPr>
            <w:r>
              <w:rPr>
                <w:color w:val="1C3A36"/>
                <w:sz w:val="14"/>
              </w:rPr>
              <w:t>AED 4,226.4 mn</w:t>
            </w:r>
          </w:p>
        </w:tc>
        <w:tc>
          <w:tcPr>
            <w:tcW w:type="dxa" w:w="1094"/>
          </w:tcPr>
          <w:p>
            <w:pPr>
              <w:spacing w:after="0"/>
            </w:pPr>
            <w:r>
              <w:rPr>
                <w:color w:val="1C3A36"/>
                <w:sz w:val="14"/>
              </w:rPr>
              <w:t>SOURCED</w:t>
            </w:r>
          </w:p>
        </w:tc>
        <w:tc>
          <w:tcPr>
            <w:tcW w:type="dxa" w:w="950"/>
          </w:tcPr>
          <w:p>
            <w:pPr>
              <w:spacing w:after="0"/>
            </w:pPr>
            <w:r>
              <w:rPr>
                <w:color w:val="1C3A36"/>
                <w:sz w:val="14"/>
              </w:rPr>
              <w:t>S-01</w:t>
            </w:r>
          </w:p>
        </w:tc>
        <w:tc>
          <w:tcPr>
            <w:tcW w:type="dxa" w:w="7718"/>
          </w:tcPr>
          <w:p>
            <w:pPr>
              <w:spacing w:after="0"/>
            </w:pPr>
            <w:r>
              <w:rPr>
                <w:color w:val="1C3A36"/>
                <w:sz w:val="14"/>
              </w:rPr>
              <w:t>Disclosed. NOTE: INCLUSIVE of the RTA toll-rights payable — see C-06.</w:t>
            </w:r>
          </w:p>
        </w:tc>
      </w:tr>
      <w:tr>
        <w:tc>
          <w:tcPr>
            <w:tcW w:type="dxa" w:w="605"/>
          </w:tcPr>
          <w:p>
            <w:pPr>
              <w:spacing w:after="0"/>
            </w:pPr>
            <w:r>
              <w:rPr>
                <w:b/>
                <w:color w:val="1C3A36"/>
                <w:sz w:val="14"/>
              </w:rPr>
              <w:t>A-05</w:t>
            </w:r>
          </w:p>
        </w:tc>
        <w:tc>
          <w:tcPr>
            <w:tcW w:type="dxa" w:w="2621"/>
          </w:tcPr>
          <w:p>
            <w:pPr>
              <w:spacing w:after="0"/>
            </w:pPr>
            <w:r>
              <w:rPr>
                <w:color w:val="1C3A36"/>
                <w:sz w:val="14"/>
              </w:rPr>
              <w:t>Enterprise value</w:t>
            </w:r>
          </w:p>
        </w:tc>
        <w:tc>
          <w:tcPr>
            <w:tcW w:type="dxa" w:w="1411"/>
          </w:tcPr>
          <w:p>
            <w:pPr>
              <w:spacing w:after="0"/>
            </w:pPr>
            <w:r>
              <w:rPr>
                <w:color w:val="1C3A36"/>
                <w:sz w:val="14"/>
              </w:rPr>
              <w:t>AED 46,976.4 mn</w:t>
            </w:r>
          </w:p>
        </w:tc>
        <w:tc>
          <w:tcPr>
            <w:tcW w:type="dxa" w:w="1094"/>
          </w:tcPr>
          <w:p>
            <w:pPr>
              <w:spacing w:after="0"/>
            </w:pPr>
            <w:r>
              <w:rPr>
                <w:color w:val="1C3A36"/>
                <w:sz w:val="14"/>
              </w:rPr>
              <w:t>DERIVED</w:t>
            </w:r>
          </w:p>
        </w:tc>
        <w:tc>
          <w:tcPr>
            <w:tcW w:type="dxa" w:w="950"/>
          </w:tcPr>
          <w:p>
            <w:pPr>
              <w:spacing w:after="0"/>
            </w:pPr>
            <w:r>
              <w:rPr>
                <w:color w:val="1C3A36"/>
                <w:sz w:val="14"/>
              </w:rPr>
              <w:t>A-03 + A-04</w:t>
            </w:r>
          </w:p>
        </w:tc>
        <w:tc>
          <w:tcPr>
            <w:tcW w:type="dxa" w:w="7718"/>
          </w:tcPr>
          <w:p>
            <w:pPr>
              <w:spacing w:after="0"/>
            </w:pPr>
            <w:r>
              <w:rPr>
                <w:color w:val="1C3A36"/>
                <w:sz w:val="14"/>
              </w:rPr>
              <w:t>—</w:t>
            </w:r>
          </w:p>
        </w:tc>
      </w:tr>
      <w:tr>
        <w:tc>
          <w:tcPr>
            <w:tcW w:type="dxa" w:w="605"/>
          </w:tcPr>
          <w:p>
            <w:pPr>
              <w:spacing w:after="0"/>
            </w:pPr>
            <w:r>
              <w:rPr>
                <w:b/>
                <w:color w:val="1C3A36"/>
                <w:sz w:val="14"/>
              </w:rPr>
              <w:t>A-06</w:t>
            </w:r>
          </w:p>
        </w:tc>
        <w:tc>
          <w:tcPr>
            <w:tcW w:type="dxa" w:w="2621"/>
          </w:tcPr>
          <w:p>
            <w:pPr>
              <w:spacing w:after="0"/>
            </w:pPr>
            <w:r>
              <w:rPr>
                <w:color w:val="1C3A36"/>
                <w:sz w:val="14"/>
              </w:rPr>
              <w:t>Free float</w:t>
            </w:r>
          </w:p>
        </w:tc>
        <w:tc>
          <w:tcPr>
            <w:tcW w:type="dxa" w:w="1411"/>
          </w:tcPr>
          <w:p>
            <w:pPr>
              <w:spacing w:after="0"/>
            </w:pPr>
            <w:r>
              <w:rPr>
                <w:color w:val="1C3A36"/>
                <w:sz w:val="14"/>
              </w:rPr>
              <w:t>24.9%</w:t>
            </w:r>
          </w:p>
        </w:tc>
        <w:tc>
          <w:tcPr>
            <w:tcW w:type="dxa" w:w="1094"/>
          </w:tcPr>
          <w:p>
            <w:pPr>
              <w:spacing w:after="0"/>
            </w:pPr>
            <w:r>
              <w:rPr>
                <w:color w:val="1C3A36"/>
                <w:sz w:val="14"/>
              </w:rPr>
              <w:t>SOURCED</w:t>
            </w:r>
          </w:p>
        </w:tc>
        <w:tc>
          <w:tcPr>
            <w:tcW w:type="dxa" w:w="950"/>
          </w:tcPr>
          <w:p>
            <w:pPr>
              <w:spacing w:after="0"/>
            </w:pPr>
            <w:r>
              <w:rPr>
                <w:color w:val="1C3A36"/>
                <w:sz w:val="14"/>
              </w:rPr>
              <w:t>S-07</w:t>
            </w:r>
          </w:p>
        </w:tc>
        <w:tc>
          <w:tcPr>
            <w:tcW w:type="dxa" w:w="7718"/>
          </w:tcPr>
          <w:p>
            <w:pPr>
              <w:spacing w:after="0"/>
            </w:pPr>
            <w:r>
              <w:rPr>
                <w:color w:val="1C3A36"/>
                <w:sz w:val="14"/>
              </w:rPr>
              <w:t>Government of Dubai holds 75.1% via the Dubai Investment Fund. No named change-of-stake transaction found since listing — searched specifically, per the named-transaction rule.</w:t>
            </w:r>
          </w:p>
        </w:tc>
      </w:tr>
      <w:tr>
        <w:tc>
          <w:tcPr>
            <w:tcW w:type="dxa" w:w="605"/>
          </w:tcPr>
          <w:p>
            <w:pPr>
              <w:spacing w:after="0"/>
            </w:pPr>
            <w:r>
              <w:rPr>
                <w:b/>
                <w:color w:val="1C3A36"/>
                <w:sz w:val="14"/>
              </w:rPr>
              <w:t>A-07</w:t>
            </w:r>
          </w:p>
        </w:tc>
        <w:tc>
          <w:tcPr>
            <w:tcW w:type="dxa" w:w="2621"/>
          </w:tcPr>
          <w:p>
            <w:pPr>
              <w:spacing w:after="0"/>
            </w:pPr>
            <w:r>
              <w:rPr>
                <w:color w:val="1C3A36"/>
                <w:sz w:val="14"/>
              </w:rPr>
              <w:t>Realised volatility, 252d</w:t>
            </w:r>
          </w:p>
        </w:tc>
        <w:tc>
          <w:tcPr>
            <w:tcW w:type="dxa" w:w="1411"/>
          </w:tcPr>
          <w:p>
            <w:pPr>
              <w:spacing w:after="0"/>
            </w:pPr>
            <w:r>
              <w:rPr>
                <w:color w:val="1C3A36"/>
                <w:sz w:val="14"/>
              </w:rPr>
              <w:t>25.8% ann.</w:t>
            </w:r>
          </w:p>
        </w:tc>
        <w:tc>
          <w:tcPr>
            <w:tcW w:type="dxa" w:w="1094"/>
          </w:tcPr>
          <w:p>
            <w:pPr>
              <w:spacing w:after="0"/>
            </w:pPr>
            <w:r>
              <w:rPr>
                <w:color w:val="1C3A36"/>
                <w:sz w:val="14"/>
              </w:rPr>
              <w:t>DERIVED</w:t>
            </w:r>
          </w:p>
        </w:tc>
        <w:tc>
          <w:tcPr>
            <w:tcW w:type="dxa" w:w="950"/>
          </w:tcPr>
          <w:p>
            <w:pPr>
              <w:spacing w:after="0"/>
            </w:pPr>
            <w:r>
              <w:rPr>
                <w:color w:val="1C3A36"/>
                <w:sz w:val="14"/>
              </w:rPr>
              <w:t>S-16</w:t>
            </w:r>
          </w:p>
        </w:tc>
        <w:tc>
          <w:tcPr>
            <w:tcW w:type="dxa" w:w="7718"/>
          </w:tcPr>
          <w:p>
            <w:pPr>
              <w:spacing w:after="0"/>
            </w:pPr>
            <w:r>
              <w:rPr>
                <w:color w:val="1C3A36"/>
                <w:sz w:val="14"/>
              </w:rPr>
              <w:t>Std dev of daily log returns × √252.</w:t>
            </w:r>
          </w:p>
        </w:tc>
      </w:tr>
      <w:tr>
        <w:tc>
          <w:tcPr>
            <w:tcW w:type="dxa" w:w="605"/>
          </w:tcPr>
          <w:p>
            <w:pPr>
              <w:spacing w:after="0"/>
            </w:pPr>
            <w:r>
              <w:rPr>
                <w:b/>
                <w:color w:val="1C3A36"/>
                <w:sz w:val="14"/>
              </w:rPr>
              <w:t>A-08</w:t>
            </w:r>
          </w:p>
        </w:tc>
        <w:tc>
          <w:tcPr>
            <w:tcW w:type="dxa" w:w="2621"/>
          </w:tcPr>
          <w:p>
            <w:pPr>
              <w:spacing w:after="0"/>
            </w:pPr>
            <w:r>
              <w:rPr>
                <w:color w:val="1C3A36"/>
                <w:sz w:val="14"/>
              </w:rPr>
              <w:t>Employees</w:t>
            </w:r>
          </w:p>
        </w:tc>
        <w:tc>
          <w:tcPr>
            <w:tcW w:type="dxa" w:w="1411"/>
          </w:tcPr>
          <w:p>
            <w:pPr>
              <w:spacing w:after="0"/>
            </w:pPr>
            <w:r>
              <w:rPr>
                <w:color w:val="1C3A36"/>
                <w:sz w:val="14"/>
              </w:rPr>
              <w:t>60</w:t>
            </w:r>
          </w:p>
        </w:tc>
        <w:tc>
          <w:tcPr>
            <w:tcW w:type="dxa" w:w="1094"/>
          </w:tcPr>
          <w:p>
            <w:pPr>
              <w:spacing w:after="0"/>
            </w:pPr>
            <w:r>
              <w:rPr>
                <w:color w:val="1C3A36"/>
                <w:sz w:val="14"/>
              </w:rPr>
              <w:t>SOURCED</w:t>
            </w:r>
          </w:p>
        </w:tc>
        <w:tc>
          <w:tcPr>
            <w:tcW w:type="dxa" w:w="950"/>
          </w:tcPr>
          <w:p>
            <w:pPr>
              <w:spacing w:after="0"/>
            </w:pPr>
            <w:r>
              <w:rPr>
                <w:color w:val="1C3A36"/>
                <w:sz w:val="14"/>
              </w:rPr>
              <w:t>S-01</w:t>
            </w:r>
          </w:p>
        </w:tc>
        <w:tc>
          <w:tcPr>
            <w:tcW w:type="dxa" w:w="7718"/>
          </w:tcPr>
          <w:p>
            <w:pPr>
              <w:spacing w:after="0"/>
            </w:pPr>
            <w:r>
              <w:rPr>
                <w:color w:val="1C3A36"/>
                <w:sz w:val="14"/>
              </w:rPr>
              <w:t>—</w:t>
            </w:r>
          </w:p>
        </w:tc>
      </w:tr>
    </w:tbl>
    <w:p>
      <w:pPr>
        <w:spacing w:after="40"/>
      </w:pPr>
    </w:p>
    <w:p>
      <w:pPr>
        <w:spacing w:after="60" w:before="160"/>
      </w:pPr>
      <w:r>
        <w:rPr>
          <w:b/>
          <w:i w:val="0"/>
          <w:color w:val="1C3A36"/>
          <w:sz w:val="21"/>
        </w:rPr>
        <w:t>2.2 Historical financials — FY2023 / FY2024 / FY2025</w:t>
      </w:r>
    </w:p>
    <w:p>
      <w:pPr>
        <w:spacing w:after="80" w:before="0"/>
      </w:pPr>
      <w:r>
        <w:rPr>
          <w:b w:val="0"/>
          <w:i/>
          <w:color w:val="6E7B77"/>
          <w:sz w:val="16"/>
        </w:rPr>
        <w:t>Every line below is now SOURCED or DERIVED-from-sourced. Versions 1 and 2 of the study carried two derived figures here (FY23/24 fines) that we have since traced to the company’s own CFO Review. The FY2024 revenue lines now sum to the reported total EXACTLY, and the FY2023 effective toll comes to AED 4.001 — an independent second validation of the flat-tariff metric.</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800"/>
        <w:gridCol w:w="1800"/>
        <w:gridCol w:w="1800"/>
        <w:gridCol w:w="1800"/>
        <w:gridCol w:w="1800"/>
        <w:gridCol w:w="1800"/>
        <w:gridCol w:w="1800"/>
        <w:gridCol w:w="1800"/>
      </w:tblGrid>
      <w:tr>
        <w:tc>
          <w:tcPr>
            <w:tcW w:type="dxa" w:w="576"/>
            <w:shd w:val="clear" w:color="auto" w:fill="EAF0EE"/>
          </w:tcPr>
          <w:p>
            <w:pPr>
              <w:spacing w:after="0"/>
            </w:pPr>
            <w:r>
              <w:rPr>
                <w:b/>
                <w:color w:val="1C3A36"/>
                <w:sz w:val="14"/>
              </w:rPr>
              <w:t>Ref</w:t>
            </w:r>
          </w:p>
        </w:tc>
        <w:tc>
          <w:tcPr>
            <w:tcW w:type="dxa" w:w="2304"/>
            <w:shd w:val="clear" w:color="auto" w:fill="EAF0EE"/>
          </w:tcPr>
          <w:p>
            <w:pPr>
              <w:spacing w:after="0"/>
            </w:pPr>
            <w:r>
              <w:rPr>
                <w:b/>
                <w:color w:val="1C3A36"/>
                <w:sz w:val="14"/>
              </w:rPr>
              <w:t>Figure</w:t>
            </w:r>
          </w:p>
        </w:tc>
        <w:tc>
          <w:tcPr>
            <w:tcW w:type="dxa" w:w="893"/>
            <w:shd w:val="clear" w:color="auto" w:fill="EAF0EE"/>
          </w:tcPr>
          <w:p>
            <w:pPr>
              <w:spacing w:after="0"/>
            </w:pPr>
            <w:r>
              <w:rPr>
                <w:b/>
                <w:color w:val="1C3A36"/>
                <w:sz w:val="14"/>
              </w:rPr>
              <w:t>FY2023</w:t>
            </w:r>
          </w:p>
        </w:tc>
        <w:tc>
          <w:tcPr>
            <w:tcW w:type="dxa" w:w="893"/>
            <w:shd w:val="clear" w:color="auto" w:fill="EAF0EE"/>
          </w:tcPr>
          <w:p>
            <w:pPr>
              <w:spacing w:after="0"/>
            </w:pPr>
            <w:r>
              <w:rPr>
                <w:b/>
                <w:color w:val="1C3A36"/>
                <w:sz w:val="14"/>
              </w:rPr>
              <w:t>FY2024</w:t>
            </w:r>
          </w:p>
        </w:tc>
        <w:tc>
          <w:tcPr>
            <w:tcW w:type="dxa" w:w="893"/>
            <w:shd w:val="clear" w:color="auto" w:fill="EAF0EE"/>
          </w:tcPr>
          <w:p>
            <w:pPr>
              <w:spacing w:after="0"/>
            </w:pPr>
            <w:r>
              <w:rPr>
                <w:b/>
                <w:color w:val="1C3A36"/>
                <w:sz w:val="14"/>
              </w:rPr>
              <w:t>FY2025</w:t>
            </w:r>
          </w:p>
        </w:tc>
        <w:tc>
          <w:tcPr>
            <w:tcW w:type="dxa" w:w="835"/>
            <w:shd w:val="clear" w:color="auto" w:fill="EAF0EE"/>
          </w:tcPr>
          <w:p>
            <w:pPr>
              <w:spacing w:after="0"/>
            </w:pPr>
            <w:r>
              <w:rPr>
                <w:b/>
                <w:color w:val="1C3A36"/>
                <w:sz w:val="14"/>
              </w:rPr>
              <w:t>Class</w:t>
            </w:r>
          </w:p>
        </w:tc>
        <w:tc>
          <w:tcPr>
            <w:tcW w:type="dxa" w:w="835"/>
            <w:shd w:val="clear" w:color="auto" w:fill="EAF0EE"/>
          </w:tcPr>
          <w:p>
            <w:pPr>
              <w:spacing w:after="0"/>
            </w:pPr>
            <w:r>
              <w:rPr>
                <w:b/>
                <w:color w:val="1C3A36"/>
                <w:sz w:val="14"/>
              </w:rPr>
              <w:t>Src</w:t>
            </w:r>
          </w:p>
        </w:tc>
        <w:tc>
          <w:tcPr>
            <w:tcW w:type="dxa" w:w="7229"/>
            <w:shd w:val="clear" w:color="auto" w:fill="EAF0EE"/>
          </w:tcPr>
          <w:p>
            <w:pPr>
              <w:spacing w:after="0"/>
            </w:pPr>
            <w:r>
              <w:rPr>
                <w:b/>
                <w:color w:val="1C3A36"/>
                <w:sz w:val="14"/>
              </w:rPr>
              <w:t>Trace</w:t>
            </w:r>
          </w:p>
        </w:tc>
      </w:tr>
      <w:tr>
        <w:tc>
          <w:tcPr>
            <w:tcW w:type="dxa" w:w="576"/>
          </w:tcPr>
          <w:p>
            <w:pPr>
              <w:spacing w:after="0"/>
            </w:pPr>
            <w:r>
              <w:rPr>
                <w:b/>
                <w:color w:val="1C3A36"/>
                <w:sz w:val="14"/>
              </w:rPr>
              <w:t>H-01</w:t>
            </w:r>
          </w:p>
        </w:tc>
        <w:tc>
          <w:tcPr>
            <w:tcW w:type="dxa" w:w="2304"/>
          </w:tcPr>
          <w:p>
            <w:pPr>
              <w:spacing w:after="0"/>
            </w:pPr>
            <w:r>
              <w:rPr>
                <w:color w:val="1C3A36"/>
                <w:sz w:val="14"/>
              </w:rPr>
              <w:t>Revenue</w:t>
            </w:r>
          </w:p>
        </w:tc>
        <w:tc>
          <w:tcPr>
            <w:tcW w:type="dxa" w:w="893"/>
          </w:tcPr>
          <w:p>
            <w:pPr>
              <w:spacing w:after="0"/>
            </w:pPr>
            <w:r>
              <w:rPr>
                <w:color w:val="1C3A36"/>
                <w:sz w:val="14"/>
              </w:rPr>
              <w:t>2,109.0</w:t>
            </w:r>
          </w:p>
        </w:tc>
        <w:tc>
          <w:tcPr>
            <w:tcW w:type="dxa" w:w="893"/>
          </w:tcPr>
          <w:p>
            <w:pPr>
              <w:spacing w:after="0"/>
            </w:pPr>
            <w:r>
              <w:rPr>
                <w:color w:val="1C3A36"/>
                <w:sz w:val="14"/>
              </w:rPr>
              <w:t>2,292.0</w:t>
            </w:r>
          </w:p>
        </w:tc>
        <w:tc>
          <w:tcPr>
            <w:tcW w:type="dxa" w:w="893"/>
          </w:tcPr>
          <w:p>
            <w:pPr>
              <w:spacing w:after="0"/>
            </w:pPr>
            <w:r>
              <w:rPr>
                <w:color w:val="1C3A36"/>
                <w:sz w:val="14"/>
              </w:rPr>
              <w:t>3,096.9</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w:t>
            </w:r>
          </w:p>
        </w:tc>
      </w:tr>
      <w:tr>
        <w:tc>
          <w:tcPr>
            <w:tcW w:type="dxa" w:w="576"/>
          </w:tcPr>
          <w:p>
            <w:pPr>
              <w:spacing w:after="0"/>
            </w:pPr>
            <w:r>
              <w:rPr>
                <w:b/>
                <w:color w:val="1C3A36"/>
                <w:sz w:val="14"/>
              </w:rPr>
              <w:t>H-02</w:t>
            </w:r>
          </w:p>
        </w:tc>
        <w:tc>
          <w:tcPr>
            <w:tcW w:type="dxa" w:w="2304"/>
          </w:tcPr>
          <w:p>
            <w:pPr>
              <w:spacing w:after="0"/>
            </w:pPr>
            <w:r>
              <w:rPr>
                <w:color w:val="1C3A36"/>
                <w:sz w:val="14"/>
              </w:rPr>
              <w:t>Toll usage revenue</w:t>
            </w:r>
          </w:p>
        </w:tc>
        <w:tc>
          <w:tcPr>
            <w:tcW w:type="dxa" w:w="893"/>
          </w:tcPr>
          <w:p>
            <w:pPr>
              <w:spacing w:after="0"/>
            </w:pPr>
            <w:r>
              <w:rPr>
                <w:color w:val="1C3A36"/>
                <w:sz w:val="14"/>
              </w:rPr>
              <w:t>1,845.9</w:t>
            </w:r>
          </w:p>
        </w:tc>
        <w:tc>
          <w:tcPr>
            <w:tcW w:type="dxa" w:w="893"/>
          </w:tcPr>
          <w:p>
            <w:pPr>
              <w:spacing w:after="0"/>
            </w:pPr>
            <w:r>
              <w:rPr>
                <w:color w:val="1C3A36"/>
                <w:sz w:val="14"/>
              </w:rPr>
              <w:t>1,992.5</w:t>
            </w:r>
          </w:p>
        </w:tc>
        <w:tc>
          <w:tcPr>
            <w:tcW w:type="dxa" w:w="893"/>
          </w:tcPr>
          <w:p>
            <w:pPr>
              <w:spacing w:after="0"/>
            </w:pPr>
            <w:r>
              <w:rPr>
                <w:color w:val="1C3A36"/>
                <w:sz w:val="14"/>
              </w:rPr>
              <w:t>2,730.0</w:t>
            </w:r>
          </w:p>
        </w:tc>
        <w:tc>
          <w:tcPr>
            <w:tcW w:type="dxa" w:w="835"/>
          </w:tcPr>
          <w:p>
            <w:pPr>
              <w:spacing w:after="0"/>
            </w:pPr>
            <w:r>
              <w:rPr>
                <w:color w:val="1C3A36"/>
                <w:sz w:val="14"/>
              </w:rPr>
              <w:t>S / D</w:t>
            </w:r>
          </w:p>
        </w:tc>
        <w:tc>
          <w:tcPr>
            <w:tcW w:type="dxa" w:w="835"/>
          </w:tcPr>
          <w:p>
            <w:pPr>
              <w:spacing w:after="0"/>
            </w:pPr>
            <w:r>
              <w:rPr>
                <w:color w:val="1C3A36"/>
                <w:sz w:val="14"/>
              </w:rPr>
              <w:t>S-06, S-02</w:t>
            </w:r>
          </w:p>
        </w:tc>
        <w:tc>
          <w:tcPr>
            <w:tcW w:type="dxa" w:w="7229"/>
          </w:tcPr>
          <w:p>
            <w:pPr>
              <w:spacing w:after="0"/>
            </w:pPr>
            <w:r>
              <w:rPr>
                <w:color w:val="1C3A36"/>
                <w:sz w:val="14"/>
              </w:rPr>
              <w:t>FY24 and FY25 disclosed. FY23 = H-01 − H-03 − H-04 − H-05 = 1,845.9 (DERIVED residual).</w:t>
            </w:r>
          </w:p>
        </w:tc>
      </w:tr>
      <w:tr>
        <w:tc>
          <w:tcPr>
            <w:tcW w:type="dxa" w:w="576"/>
          </w:tcPr>
          <w:p>
            <w:pPr>
              <w:spacing w:after="0"/>
            </w:pPr>
            <w:r>
              <w:rPr>
                <w:b/>
                <w:color w:val="1C3A36"/>
                <w:sz w:val="14"/>
              </w:rPr>
              <w:t>H-03</w:t>
            </w:r>
          </w:p>
        </w:tc>
        <w:tc>
          <w:tcPr>
            <w:tcW w:type="dxa" w:w="2304"/>
          </w:tcPr>
          <w:p>
            <w:pPr>
              <w:spacing w:after="0"/>
            </w:pPr>
            <w:r>
              <w:rPr>
                <w:color w:val="1C3A36"/>
                <w:sz w:val="14"/>
              </w:rPr>
              <w:t>Fines revenue</w:t>
            </w:r>
          </w:p>
        </w:tc>
        <w:tc>
          <w:tcPr>
            <w:tcW w:type="dxa" w:w="893"/>
          </w:tcPr>
          <w:p>
            <w:pPr>
              <w:spacing w:after="0"/>
            </w:pPr>
            <w:r>
              <w:rPr>
                <w:color w:val="1C3A36"/>
                <w:sz w:val="14"/>
              </w:rPr>
              <w:t>216.8</w:t>
            </w:r>
          </w:p>
        </w:tc>
        <w:tc>
          <w:tcPr>
            <w:tcW w:type="dxa" w:w="893"/>
          </w:tcPr>
          <w:p>
            <w:pPr>
              <w:spacing w:after="0"/>
            </w:pPr>
            <w:r>
              <w:rPr>
                <w:color w:val="1C3A36"/>
                <w:sz w:val="14"/>
              </w:rPr>
              <w:t>236.9</w:t>
            </w:r>
          </w:p>
        </w:tc>
        <w:tc>
          <w:tcPr>
            <w:tcW w:type="dxa" w:w="893"/>
          </w:tcPr>
          <w:p>
            <w:pPr>
              <w:spacing w:after="0"/>
            </w:pPr>
            <w:r>
              <w:rPr>
                <w:color w:val="1C3A36"/>
                <w:sz w:val="14"/>
              </w:rPr>
              <w:t>280.6</w:t>
            </w:r>
          </w:p>
        </w:tc>
        <w:tc>
          <w:tcPr>
            <w:tcW w:type="dxa" w:w="835"/>
          </w:tcPr>
          <w:p>
            <w:pPr>
              <w:spacing w:after="0"/>
            </w:pPr>
            <w:r>
              <w:rPr>
                <w:color w:val="1C3A36"/>
                <w:sz w:val="14"/>
              </w:rPr>
              <w:t>SOURCED</w:t>
            </w:r>
          </w:p>
        </w:tc>
        <w:tc>
          <w:tcPr>
            <w:tcW w:type="dxa" w:w="835"/>
          </w:tcPr>
          <w:p>
            <w:pPr>
              <w:spacing w:after="0"/>
            </w:pPr>
            <w:r>
              <w:rPr>
                <w:color w:val="1C3A36"/>
                <w:sz w:val="14"/>
              </w:rPr>
              <w:t>S-03, S-02</w:t>
            </w:r>
          </w:p>
        </w:tc>
        <w:tc>
          <w:tcPr>
            <w:tcW w:type="dxa" w:w="7229"/>
          </w:tcPr>
          <w:p>
            <w:pPr>
              <w:spacing w:after="0"/>
            </w:pPr>
            <w:r>
              <w:rPr>
                <w:color w:val="1C3A36"/>
                <w:sz w:val="14"/>
              </w:rPr>
              <w:t>S-03 verbatim: fines "reached AED 236.9 million, up from AED 216.8 million in 2023".</w:t>
            </w:r>
          </w:p>
        </w:tc>
      </w:tr>
      <w:tr>
        <w:tc>
          <w:tcPr>
            <w:tcW w:type="dxa" w:w="576"/>
          </w:tcPr>
          <w:p>
            <w:pPr>
              <w:spacing w:after="0"/>
            </w:pPr>
            <w:r>
              <w:rPr>
                <w:b/>
                <w:color w:val="1C3A36"/>
                <w:sz w:val="14"/>
              </w:rPr>
              <w:t>H-04</w:t>
            </w:r>
          </w:p>
        </w:tc>
        <w:tc>
          <w:tcPr>
            <w:tcW w:type="dxa" w:w="2304"/>
          </w:tcPr>
          <w:p>
            <w:pPr>
              <w:spacing w:after="0"/>
            </w:pPr>
            <w:r>
              <w:rPr>
                <w:color w:val="1C3A36"/>
                <w:sz w:val="14"/>
              </w:rPr>
              <w:t>Tag activation fees</w:t>
            </w:r>
          </w:p>
        </w:tc>
        <w:tc>
          <w:tcPr>
            <w:tcW w:type="dxa" w:w="893"/>
          </w:tcPr>
          <w:p>
            <w:pPr>
              <w:spacing w:after="0"/>
            </w:pPr>
            <w:r>
              <w:rPr>
                <w:color w:val="1C3A36"/>
                <w:sz w:val="14"/>
              </w:rPr>
              <w:t>38.2</w:t>
            </w:r>
          </w:p>
        </w:tc>
        <w:tc>
          <w:tcPr>
            <w:tcW w:type="dxa" w:w="893"/>
          </w:tcPr>
          <w:p>
            <w:pPr>
              <w:spacing w:after="0"/>
            </w:pPr>
            <w:r>
              <w:rPr>
                <w:color w:val="1C3A36"/>
                <w:sz w:val="14"/>
              </w:rPr>
              <w:t>40.9</w:t>
            </w:r>
          </w:p>
        </w:tc>
        <w:tc>
          <w:tcPr>
            <w:tcW w:type="dxa" w:w="893"/>
          </w:tcPr>
          <w:p>
            <w:pPr>
              <w:spacing w:after="0"/>
            </w:pPr>
            <w:r>
              <w:rPr>
                <w:color w:val="1C3A36"/>
                <w:sz w:val="14"/>
              </w:rPr>
              <w:t>~46</w:t>
            </w:r>
          </w:p>
        </w:tc>
        <w:tc>
          <w:tcPr>
            <w:tcW w:type="dxa" w:w="835"/>
          </w:tcPr>
          <w:p>
            <w:pPr>
              <w:spacing w:after="0"/>
            </w:pPr>
            <w:r>
              <w:rPr>
                <w:color w:val="1C3A36"/>
                <w:sz w:val="14"/>
              </w:rPr>
              <w:t>S / D</w:t>
            </w:r>
          </w:p>
        </w:tc>
        <w:tc>
          <w:tcPr>
            <w:tcW w:type="dxa" w:w="835"/>
          </w:tcPr>
          <w:p>
            <w:pPr>
              <w:spacing w:after="0"/>
            </w:pPr>
            <w:r>
              <w:rPr>
                <w:color w:val="1C3A36"/>
                <w:sz w:val="14"/>
              </w:rPr>
              <w:t>S-06</w:t>
            </w:r>
          </w:p>
        </w:tc>
        <w:tc>
          <w:tcPr>
            <w:tcW w:type="dxa" w:w="7229"/>
          </w:tcPr>
          <w:p>
            <w:pPr>
              <w:spacing w:after="0"/>
            </w:pPr>
            <w:r>
              <w:rPr>
                <w:color w:val="1C3A36"/>
                <w:sz w:val="14"/>
              </w:rPr>
              <w:t>FY24 disclosed (AED 40.9 mn, +7.0% y/y) ⇒ FY23 = 40.9 / 1.07 = 38.2 (DERIVED).</w:t>
            </w:r>
          </w:p>
        </w:tc>
      </w:tr>
      <w:tr>
        <w:tc>
          <w:tcPr>
            <w:tcW w:type="dxa" w:w="576"/>
          </w:tcPr>
          <w:p>
            <w:pPr>
              <w:spacing w:after="0"/>
            </w:pPr>
            <w:r>
              <w:rPr>
                <w:b/>
                <w:color w:val="1C3A36"/>
                <w:sz w:val="14"/>
              </w:rPr>
              <w:t>H-05</w:t>
            </w:r>
          </w:p>
        </w:tc>
        <w:tc>
          <w:tcPr>
            <w:tcW w:type="dxa" w:w="2304"/>
          </w:tcPr>
          <w:p>
            <w:pPr>
              <w:spacing w:after="0"/>
            </w:pPr>
            <w:r>
              <w:rPr>
                <w:color w:val="1C3A36"/>
                <w:sz w:val="14"/>
              </w:rPr>
              <w:t>Other revenue</w:t>
            </w:r>
          </w:p>
        </w:tc>
        <w:tc>
          <w:tcPr>
            <w:tcW w:type="dxa" w:w="893"/>
          </w:tcPr>
          <w:p>
            <w:pPr>
              <w:spacing w:after="0"/>
            </w:pPr>
            <w:r>
              <w:rPr>
                <w:color w:val="1C3A36"/>
                <w:sz w:val="14"/>
              </w:rPr>
              <w:t>8.1</w:t>
            </w:r>
          </w:p>
        </w:tc>
        <w:tc>
          <w:tcPr>
            <w:tcW w:type="dxa" w:w="893"/>
          </w:tcPr>
          <w:p>
            <w:pPr>
              <w:spacing w:after="0"/>
            </w:pPr>
            <w:r>
              <w:rPr>
                <w:color w:val="1C3A36"/>
                <w:sz w:val="14"/>
              </w:rPr>
              <w:t>21.7</w:t>
            </w:r>
          </w:p>
        </w:tc>
        <w:tc>
          <w:tcPr>
            <w:tcW w:type="dxa" w:w="893"/>
          </w:tcPr>
          <w:p>
            <w:pPr>
              <w:spacing w:after="0"/>
            </w:pPr>
            <w:r>
              <w:rPr>
                <w:color w:val="1C3A36"/>
                <w:sz w:val="14"/>
              </w:rPr>
              <w:t>~40</w:t>
            </w:r>
          </w:p>
        </w:tc>
        <w:tc>
          <w:tcPr>
            <w:tcW w:type="dxa" w:w="835"/>
          </w:tcPr>
          <w:p>
            <w:pPr>
              <w:spacing w:after="0"/>
            </w:pPr>
            <w:r>
              <w:rPr>
                <w:color w:val="1C3A36"/>
                <w:sz w:val="14"/>
              </w:rPr>
              <w:t>SOURCED</w:t>
            </w:r>
          </w:p>
        </w:tc>
        <w:tc>
          <w:tcPr>
            <w:tcW w:type="dxa" w:w="835"/>
          </w:tcPr>
          <w:p>
            <w:pPr>
              <w:spacing w:after="0"/>
            </w:pPr>
            <w:r>
              <w:rPr>
                <w:color w:val="1C3A36"/>
                <w:sz w:val="14"/>
              </w:rPr>
              <w:t>S-03</w:t>
            </w:r>
          </w:p>
        </w:tc>
        <w:tc>
          <w:tcPr>
            <w:tcW w:type="dxa" w:w="7229"/>
          </w:tcPr>
          <w:p>
            <w:pPr>
              <w:spacing w:after="0"/>
            </w:pPr>
            <w:r>
              <w:rPr>
                <w:color w:val="1C3A36"/>
                <w:sz w:val="14"/>
              </w:rPr>
              <w:t>S-03 verbatim: "Other revenues for 2024 reached AED 21.7 million, up significantly from AED 8.1 million in 2023." SEE ALSO J-11 — the FORWARD "other" line is a PLUG, not this.</w:t>
            </w:r>
          </w:p>
        </w:tc>
      </w:tr>
      <w:tr>
        <w:tc>
          <w:tcPr>
            <w:tcW w:type="dxa" w:w="576"/>
            <w:shd w:val="clear" w:color="auto" w:fill="EFF3F1"/>
          </w:tcPr>
          <w:p>
            <w:pPr>
              <w:spacing w:after="0"/>
            </w:pPr>
            <w:r>
              <w:rPr>
                <w:b/>
                <w:color w:val="1C3A36"/>
                <w:sz w:val="14"/>
              </w:rPr>
              <w:t>H-06</w:t>
            </w:r>
          </w:p>
        </w:tc>
        <w:tc>
          <w:tcPr>
            <w:tcW w:type="dxa" w:w="2304"/>
            <w:shd w:val="clear" w:color="auto" w:fill="EFF3F1"/>
          </w:tcPr>
          <w:p>
            <w:pPr>
              <w:spacing w:after="0"/>
            </w:pPr>
            <w:r>
              <w:rPr>
                <w:color w:val="1C3A36"/>
                <w:sz w:val="14"/>
              </w:rPr>
              <w:t>Revenue lines sum to reported revenue</w:t>
            </w:r>
          </w:p>
        </w:tc>
        <w:tc>
          <w:tcPr>
            <w:tcW w:type="dxa" w:w="893"/>
            <w:shd w:val="clear" w:color="auto" w:fill="EFF3F1"/>
          </w:tcPr>
          <w:p>
            <w:pPr>
              <w:spacing w:after="0"/>
            </w:pPr>
            <w:r>
              <w:rPr>
                <w:color w:val="1C3A36"/>
                <w:sz w:val="14"/>
              </w:rPr>
              <w:t>2,109.0</w:t>
            </w:r>
          </w:p>
        </w:tc>
        <w:tc>
          <w:tcPr>
            <w:tcW w:type="dxa" w:w="893"/>
            <w:shd w:val="clear" w:color="auto" w:fill="EFF3F1"/>
          </w:tcPr>
          <w:p>
            <w:pPr>
              <w:spacing w:after="0"/>
            </w:pPr>
            <w:r>
              <w:rPr>
                <w:color w:val="1C3A36"/>
                <w:sz w:val="14"/>
              </w:rPr>
              <w:t>2,292.0 ✓</w:t>
            </w:r>
          </w:p>
        </w:tc>
        <w:tc>
          <w:tcPr>
            <w:tcW w:type="dxa" w:w="893"/>
            <w:shd w:val="clear" w:color="auto" w:fill="EFF3F1"/>
          </w:tcPr>
          <w:p>
            <w:pPr>
              <w:spacing w:after="0"/>
            </w:pPr>
            <w:r>
              <w:rPr>
                <w:color w:val="1C3A36"/>
                <w:sz w:val="14"/>
              </w:rPr>
              <w:t>—</w:t>
            </w:r>
          </w:p>
        </w:tc>
        <w:tc>
          <w:tcPr>
            <w:tcW w:type="dxa" w:w="835"/>
            <w:shd w:val="clear" w:color="auto" w:fill="EFF3F1"/>
          </w:tcPr>
          <w:p>
            <w:pPr>
              <w:spacing w:after="0"/>
            </w:pPr>
            <w:r>
              <w:rPr>
                <w:color w:val="1C3A36"/>
                <w:sz w:val="14"/>
              </w:rPr>
              <w:t>CHECK</w:t>
            </w:r>
          </w:p>
        </w:tc>
        <w:tc>
          <w:tcPr>
            <w:tcW w:type="dxa" w:w="835"/>
            <w:shd w:val="clear" w:color="auto" w:fill="EFF3F1"/>
          </w:tcPr>
          <w:p>
            <w:pPr>
              <w:spacing w:after="0"/>
            </w:pPr>
            <w:r>
              <w:rPr>
                <w:color w:val="1C3A36"/>
                <w:sz w:val="14"/>
              </w:rPr>
              <w:t>—</w:t>
            </w:r>
          </w:p>
        </w:tc>
        <w:tc>
          <w:tcPr>
            <w:tcW w:type="dxa" w:w="7229"/>
            <w:shd w:val="clear" w:color="auto" w:fill="EFF3F1"/>
          </w:tcPr>
          <w:p>
            <w:pPr>
              <w:spacing w:after="0"/>
            </w:pPr>
            <w:r>
              <w:rPr>
                <w:color w:val="1C3A36"/>
                <w:sz w:val="14"/>
              </w:rPr>
              <w:t>FY2024: 1,992.5 + 236.9 + 40.9 + 21.7 = 2,292.0 EXACTLY. This is the check that validates the build.</w:t>
            </w:r>
          </w:p>
        </w:tc>
      </w:tr>
      <w:tr>
        <w:tc>
          <w:tcPr>
            <w:tcW w:type="dxa" w:w="576"/>
          </w:tcPr>
          <w:p>
            <w:pPr>
              <w:spacing w:after="0"/>
            </w:pPr>
            <w:r>
              <w:rPr>
                <w:b/>
                <w:color w:val="1C3A36"/>
                <w:sz w:val="14"/>
              </w:rPr>
              <w:t>H-07</w:t>
            </w:r>
          </w:p>
        </w:tc>
        <w:tc>
          <w:tcPr>
            <w:tcW w:type="dxa" w:w="2304"/>
          </w:tcPr>
          <w:p>
            <w:pPr>
              <w:spacing w:after="0"/>
            </w:pPr>
            <w:r>
              <w:rPr>
                <w:color w:val="1C3A36"/>
                <w:sz w:val="14"/>
              </w:rPr>
              <w:t>EBITDA</w:t>
            </w:r>
          </w:p>
        </w:tc>
        <w:tc>
          <w:tcPr>
            <w:tcW w:type="dxa" w:w="893"/>
          </w:tcPr>
          <w:p>
            <w:pPr>
              <w:spacing w:after="0"/>
            </w:pPr>
            <w:r>
              <w:rPr>
                <w:color w:val="1C3A36"/>
                <w:sz w:val="14"/>
              </w:rPr>
              <w:t>1,390.1</w:t>
            </w:r>
          </w:p>
        </w:tc>
        <w:tc>
          <w:tcPr>
            <w:tcW w:type="dxa" w:w="893"/>
          </w:tcPr>
          <w:p>
            <w:pPr>
              <w:spacing w:after="0"/>
            </w:pPr>
            <w:r>
              <w:rPr>
                <w:color w:val="1C3A36"/>
                <w:sz w:val="14"/>
              </w:rPr>
              <w:t>1,579.1</w:t>
            </w:r>
          </w:p>
        </w:tc>
        <w:tc>
          <w:tcPr>
            <w:tcW w:type="dxa" w:w="893"/>
          </w:tcPr>
          <w:p>
            <w:pPr>
              <w:spacing w:after="0"/>
            </w:pPr>
            <w:r>
              <w:rPr>
                <w:color w:val="1C3A36"/>
                <w:sz w:val="14"/>
              </w:rPr>
              <w:t>2,143.9</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w:t>
            </w:r>
          </w:p>
        </w:tc>
      </w:tr>
      <w:tr>
        <w:tc>
          <w:tcPr>
            <w:tcW w:type="dxa" w:w="576"/>
          </w:tcPr>
          <w:p>
            <w:pPr>
              <w:spacing w:after="0"/>
            </w:pPr>
            <w:r>
              <w:rPr>
                <w:b/>
                <w:color w:val="1C3A36"/>
                <w:sz w:val="14"/>
              </w:rPr>
              <w:t>H-08</w:t>
            </w:r>
          </w:p>
        </w:tc>
        <w:tc>
          <w:tcPr>
            <w:tcW w:type="dxa" w:w="2304"/>
          </w:tcPr>
          <w:p>
            <w:pPr>
              <w:spacing w:after="0"/>
            </w:pPr>
            <w:r>
              <w:rPr>
                <w:color w:val="1C3A36"/>
                <w:sz w:val="14"/>
              </w:rPr>
              <w:t>EBITDA margin</w:t>
            </w:r>
          </w:p>
        </w:tc>
        <w:tc>
          <w:tcPr>
            <w:tcW w:type="dxa" w:w="893"/>
          </w:tcPr>
          <w:p>
            <w:pPr>
              <w:spacing w:after="0"/>
            </w:pPr>
            <w:r>
              <w:rPr>
                <w:color w:val="1C3A36"/>
                <w:sz w:val="14"/>
              </w:rPr>
              <w:t>65.9%</w:t>
            </w:r>
          </w:p>
        </w:tc>
        <w:tc>
          <w:tcPr>
            <w:tcW w:type="dxa" w:w="893"/>
          </w:tcPr>
          <w:p>
            <w:pPr>
              <w:spacing w:after="0"/>
            </w:pPr>
            <w:r>
              <w:rPr>
                <w:color w:val="1C3A36"/>
                <w:sz w:val="14"/>
              </w:rPr>
              <w:t>68.9%</w:t>
            </w:r>
          </w:p>
        </w:tc>
        <w:tc>
          <w:tcPr>
            <w:tcW w:type="dxa" w:w="893"/>
          </w:tcPr>
          <w:p>
            <w:pPr>
              <w:spacing w:after="0"/>
            </w:pPr>
            <w:r>
              <w:rPr>
                <w:color w:val="1C3A36"/>
                <w:sz w:val="14"/>
              </w:rPr>
              <w:t>69.2%</w:t>
            </w:r>
          </w:p>
        </w:tc>
        <w:tc>
          <w:tcPr>
            <w:tcW w:type="dxa" w:w="835"/>
          </w:tcPr>
          <w:p>
            <w:pPr>
              <w:spacing w:after="0"/>
            </w:pPr>
            <w:r>
              <w:rPr>
                <w:color w:val="1C3A36"/>
                <w:sz w:val="14"/>
              </w:rPr>
              <w:t>DERIVED</w:t>
            </w:r>
          </w:p>
        </w:tc>
        <w:tc>
          <w:tcPr>
            <w:tcW w:type="dxa" w:w="835"/>
          </w:tcPr>
          <w:p>
            <w:pPr>
              <w:spacing w:after="0"/>
            </w:pPr>
            <w:r>
              <w:rPr>
                <w:color w:val="1C3A36"/>
                <w:sz w:val="14"/>
              </w:rPr>
              <w:t>H-07 / H-01</w:t>
            </w:r>
          </w:p>
        </w:tc>
        <w:tc>
          <w:tcPr>
            <w:tcW w:type="dxa" w:w="7229"/>
          </w:tcPr>
          <w:p>
            <w:pPr>
              <w:spacing w:after="0"/>
            </w:pPr>
            <w:r>
              <w:rPr>
                <w:color w:val="1C3A36"/>
                <w:sz w:val="14"/>
              </w:rPr>
              <w:t>—</w:t>
            </w:r>
          </w:p>
        </w:tc>
      </w:tr>
      <w:tr>
        <w:tc>
          <w:tcPr>
            <w:tcW w:type="dxa" w:w="576"/>
          </w:tcPr>
          <w:p>
            <w:pPr>
              <w:spacing w:after="0"/>
            </w:pPr>
            <w:r>
              <w:rPr>
                <w:b/>
                <w:color w:val="1C3A36"/>
                <w:sz w:val="14"/>
              </w:rPr>
              <w:t>H-09</w:t>
            </w:r>
          </w:p>
        </w:tc>
        <w:tc>
          <w:tcPr>
            <w:tcW w:type="dxa" w:w="2304"/>
          </w:tcPr>
          <w:p>
            <w:pPr>
              <w:spacing w:after="0"/>
            </w:pPr>
            <w:r>
              <w:rPr>
                <w:color w:val="1C3A36"/>
                <w:sz w:val="14"/>
              </w:rPr>
              <w:t>Profit before tax</w:t>
            </w:r>
          </w:p>
        </w:tc>
        <w:tc>
          <w:tcPr>
            <w:tcW w:type="dxa" w:w="893"/>
          </w:tcPr>
          <w:p>
            <w:pPr>
              <w:spacing w:after="0"/>
            </w:pPr>
            <w:r>
              <w:rPr>
                <w:color w:val="1C3A36"/>
                <w:sz w:val="14"/>
              </w:rPr>
              <w:t>—</w:t>
            </w:r>
          </w:p>
        </w:tc>
        <w:tc>
          <w:tcPr>
            <w:tcW w:type="dxa" w:w="893"/>
          </w:tcPr>
          <w:p>
            <w:pPr>
              <w:spacing w:after="0"/>
            </w:pPr>
            <w:r>
              <w:rPr>
                <w:color w:val="1C3A36"/>
                <w:sz w:val="14"/>
              </w:rPr>
              <w:t>1,279.7</w:t>
            </w:r>
          </w:p>
        </w:tc>
        <w:tc>
          <w:tcPr>
            <w:tcW w:type="dxa" w:w="893"/>
          </w:tcPr>
          <w:p>
            <w:pPr>
              <w:spacing w:after="0"/>
            </w:pPr>
            <w:r>
              <w:rPr>
                <w:color w:val="1C3A36"/>
                <w:sz w:val="14"/>
              </w:rPr>
              <w:t>1,707.0</w:t>
            </w:r>
          </w:p>
        </w:tc>
        <w:tc>
          <w:tcPr>
            <w:tcW w:type="dxa" w:w="835"/>
          </w:tcPr>
          <w:p>
            <w:pPr>
              <w:spacing w:after="0"/>
            </w:pPr>
            <w:r>
              <w:rPr>
                <w:color w:val="1C3A36"/>
                <w:sz w:val="14"/>
              </w:rPr>
              <w:t>S / D</w:t>
            </w:r>
          </w:p>
        </w:tc>
        <w:tc>
          <w:tcPr>
            <w:tcW w:type="dxa" w:w="835"/>
          </w:tcPr>
          <w:p>
            <w:pPr>
              <w:spacing w:after="0"/>
            </w:pPr>
            <w:r>
              <w:rPr>
                <w:color w:val="1C3A36"/>
                <w:sz w:val="14"/>
              </w:rPr>
              <w:t>S-06</w:t>
            </w:r>
          </w:p>
        </w:tc>
        <w:tc>
          <w:tcPr>
            <w:tcW w:type="dxa" w:w="7229"/>
          </w:tcPr>
          <w:p>
            <w:pPr>
              <w:spacing w:after="0"/>
            </w:pPr>
            <w:r>
              <w:rPr>
                <w:color w:val="1C3A36"/>
                <w:sz w:val="14"/>
              </w:rPr>
              <w:t>FY24 disclosed. FY25 DERIVED: 1,553.4 / 0.91 (the 9% UAE CT, confirmed effective in S-01).</w:t>
            </w:r>
          </w:p>
        </w:tc>
      </w:tr>
      <w:tr>
        <w:tc>
          <w:tcPr>
            <w:tcW w:type="dxa" w:w="576"/>
          </w:tcPr>
          <w:p>
            <w:pPr>
              <w:spacing w:after="0"/>
            </w:pPr>
            <w:r>
              <w:rPr>
                <w:b/>
                <w:color w:val="1C3A36"/>
                <w:sz w:val="14"/>
              </w:rPr>
              <w:t>H-10</w:t>
            </w:r>
          </w:p>
        </w:tc>
        <w:tc>
          <w:tcPr>
            <w:tcW w:type="dxa" w:w="2304"/>
          </w:tcPr>
          <w:p>
            <w:pPr>
              <w:spacing w:after="0"/>
            </w:pPr>
            <w:r>
              <w:rPr>
                <w:color w:val="1C3A36"/>
                <w:sz w:val="14"/>
              </w:rPr>
              <w:t>Net profit after tax</w:t>
            </w:r>
          </w:p>
        </w:tc>
        <w:tc>
          <w:tcPr>
            <w:tcW w:type="dxa" w:w="893"/>
          </w:tcPr>
          <w:p>
            <w:pPr>
              <w:spacing w:after="0"/>
            </w:pPr>
            <w:r>
              <w:rPr>
                <w:color w:val="1C3A36"/>
                <w:sz w:val="14"/>
              </w:rPr>
              <w:t>1,098.0</w:t>
            </w:r>
          </w:p>
        </w:tc>
        <w:tc>
          <w:tcPr>
            <w:tcW w:type="dxa" w:w="893"/>
          </w:tcPr>
          <w:p>
            <w:pPr>
              <w:spacing w:after="0"/>
            </w:pPr>
            <w:r>
              <w:rPr>
                <w:color w:val="1C3A36"/>
                <w:sz w:val="14"/>
              </w:rPr>
              <w:t>1,164.5</w:t>
            </w:r>
          </w:p>
        </w:tc>
        <w:tc>
          <w:tcPr>
            <w:tcW w:type="dxa" w:w="893"/>
          </w:tcPr>
          <w:p>
            <w:pPr>
              <w:spacing w:after="0"/>
            </w:pPr>
            <w:r>
              <w:rPr>
                <w:color w:val="1C3A36"/>
                <w:sz w:val="14"/>
              </w:rPr>
              <w:t>1,553.4</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w:t>
            </w:r>
          </w:p>
        </w:tc>
      </w:tr>
      <w:tr>
        <w:tc>
          <w:tcPr>
            <w:tcW w:type="dxa" w:w="576"/>
          </w:tcPr>
          <w:p>
            <w:pPr>
              <w:spacing w:after="0"/>
            </w:pPr>
            <w:r>
              <w:rPr>
                <w:b/>
                <w:color w:val="1C3A36"/>
                <w:sz w:val="14"/>
              </w:rPr>
              <w:t>H-11</w:t>
            </w:r>
          </w:p>
        </w:tc>
        <w:tc>
          <w:tcPr>
            <w:tcW w:type="dxa" w:w="2304"/>
          </w:tcPr>
          <w:p>
            <w:pPr>
              <w:spacing w:after="0"/>
            </w:pPr>
            <w:r>
              <w:rPr>
                <w:color w:val="1C3A36"/>
                <w:sz w:val="14"/>
              </w:rPr>
              <w:t>Chargeable (revenue-generating) trips, mn</w:t>
            </w:r>
          </w:p>
        </w:tc>
        <w:tc>
          <w:tcPr>
            <w:tcW w:type="dxa" w:w="893"/>
          </w:tcPr>
          <w:p>
            <w:pPr>
              <w:spacing w:after="0"/>
            </w:pPr>
            <w:r>
              <w:rPr>
                <w:color w:val="1C3A36"/>
                <w:sz w:val="14"/>
              </w:rPr>
              <w:t>461.4</w:t>
            </w:r>
          </w:p>
        </w:tc>
        <w:tc>
          <w:tcPr>
            <w:tcW w:type="dxa" w:w="893"/>
          </w:tcPr>
          <w:p>
            <w:pPr>
              <w:spacing w:after="0"/>
            </w:pPr>
            <w:r>
              <w:rPr>
                <w:color w:val="1C3A36"/>
                <w:sz w:val="14"/>
              </w:rPr>
              <w:t>498.1</w:t>
            </w:r>
          </w:p>
        </w:tc>
        <w:tc>
          <w:tcPr>
            <w:tcW w:type="dxa" w:w="893"/>
          </w:tcPr>
          <w:p>
            <w:pPr>
              <w:spacing w:after="0"/>
            </w:pPr>
            <w:r>
              <w:rPr>
                <w:color w:val="1C3A36"/>
                <w:sz w:val="14"/>
              </w:rPr>
              <w:t>639.1</w:t>
            </w:r>
          </w:p>
        </w:tc>
        <w:tc>
          <w:tcPr>
            <w:tcW w:type="dxa" w:w="835"/>
          </w:tcPr>
          <w:p>
            <w:pPr>
              <w:spacing w:after="0"/>
            </w:pPr>
            <w:r>
              <w:rPr>
                <w:color w:val="1C3A36"/>
                <w:sz w:val="14"/>
              </w:rPr>
              <w:t>SOURCED</w:t>
            </w:r>
          </w:p>
        </w:tc>
        <w:tc>
          <w:tcPr>
            <w:tcW w:type="dxa" w:w="835"/>
          </w:tcPr>
          <w:p>
            <w:pPr>
              <w:spacing w:after="0"/>
            </w:pPr>
            <w:r>
              <w:rPr>
                <w:color w:val="1C3A36"/>
                <w:sz w:val="14"/>
              </w:rPr>
              <w:t>S-03, S-02</w:t>
            </w:r>
          </w:p>
        </w:tc>
        <w:tc>
          <w:tcPr>
            <w:tcW w:type="dxa" w:w="7229"/>
          </w:tcPr>
          <w:p>
            <w:pPr>
              <w:spacing w:after="0"/>
            </w:pPr>
            <w:r>
              <w:rPr>
                <w:color w:val="1C3A36"/>
                <w:sz w:val="14"/>
              </w:rPr>
              <w:t>—</w:t>
            </w:r>
          </w:p>
        </w:tc>
      </w:tr>
      <w:tr>
        <w:tc>
          <w:tcPr>
            <w:tcW w:type="dxa" w:w="576"/>
          </w:tcPr>
          <w:p>
            <w:pPr>
              <w:spacing w:after="0"/>
            </w:pPr>
            <w:r>
              <w:rPr>
                <w:b/>
                <w:color w:val="1C3A36"/>
                <w:sz w:val="14"/>
              </w:rPr>
              <w:t>H-12</w:t>
            </w:r>
          </w:p>
        </w:tc>
        <w:tc>
          <w:tcPr>
            <w:tcW w:type="dxa" w:w="2304"/>
          </w:tcPr>
          <w:p>
            <w:pPr>
              <w:spacing w:after="0"/>
            </w:pPr>
            <w:r>
              <w:rPr>
                <w:color w:val="1C3A36"/>
                <w:sz w:val="14"/>
              </w:rPr>
              <w:t>Total trips incl. discounted, mn</w:t>
            </w:r>
          </w:p>
        </w:tc>
        <w:tc>
          <w:tcPr>
            <w:tcW w:type="dxa" w:w="893"/>
          </w:tcPr>
          <w:p>
            <w:pPr>
              <w:spacing w:after="0"/>
            </w:pPr>
            <w:r>
              <w:rPr>
                <w:color w:val="1C3A36"/>
                <w:sz w:val="14"/>
              </w:rPr>
              <w:t>593.1</w:t>
            </w:r>
          </w:p>
        </w:tc>
        <w:tc>
          <w:tcPr>
            <w:tcW w:type="dxa" w:w="893"/>
          </w:tcPr>
          <w:p>
            <w:pPr>
              <w:spacing w:after="0"/>
            </w:pPr>
            <w:r>
              <w:rPr>
                <w:color w:val="1C3A36"/>
                <w:sz w:val="14"/>
              </w:rPr>
              <w:t>638.2</w:t>
            </w:r>
          </w:p>
        </w:tc>
        <w:tc>
          <w:tcPr>
            <w:tcW w:type="dxa" w:w="893"/>
          </w:tcPr>
          <w:p>
            <w:pPr>
              <w:spacing w:after="0"/>
            </w:pPr>
            <w:r>
              <w:rPr>
                <w:color w:val="1C3A36"/>
                <w:sz w:val="14"/>
              </w:rPr>
              <w:t>852.7</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DUAL FRAME. Both figures are true; only one is billed. Stated together everywhere they appear.</w:t>
            </w:r>
          </w:p>
        </w:tc>
      </w:tr>
      <w:tr>
        <w:tc>
          <w:tcPr>
            <w:tcW w:type="dxa" w:w="576"/>
            <w:shd w:val="clear" w:color="auto" w:fill="F6F1E6"/>
          </w:tcPr>
          <w:p>
            <w:pPr>
              <w:spacing w:after="0"/>
            </w:pPr>
            <w:r>
              <w:rPr>
                <w:b/>
                <w:color w:val="1C3A36"/>
                <w:sz w:val="14"/>
              </w:rPr>
              <w:t>H-13</w:t>
            </w:r>
          </w:p>
        </w:tc>
        <w:tc>
          <w:tcPr>
            <w:tcW w:type="dxa" w:w="2304"/>
            <w:shd w:val="clear" w:color="auto" w:fill="F6F1E6"/>
          </w:tcPr>
          <w:p>
            <w:pPr>
              <w:spacing w:after="0"/>
            </w:pPr>
            <w:r>
              <w:rPr>
                <w:color w:val="1C3A36"/>
                <w:sz w:val="14"/>
              </w:rPr>
              <w:t>EFFECTIVE REALISED TOLL, AED/chargeable trip</w:t>
            </w:r>
          </w:p>
        </w:tc>
        <w:tc>
          <w:tcPr>
            <w:tcW w:type="dxa" w:w="893"/>
            <w:shd w:val="clear" w:color="auto" w:fill="F6F1E6"/>
          </w:tcPr>
          <w:p>
            <w:pPr>
              <w:spacing w:after="0"/>
            </w:pPr>
            <w:r>
              <w:rPr>
                <w:color w:val="1C3A36"/>
                <w:sz w:val="14"/>
              </w:rPr>
              <w:t>4.001</w:t>
            </w:r>
          </w:p>
        </w:tc>
        <w:tc>
          <w:tcPr>
            <w:tcW w:type="dxa" w:w="893"/>
            <w:shd w:val="clear" w:color="auto" w:fill="F6F1E6"/>
          </w:tcPr>
          <w:p>
            <w:pPr>
              <w:spacing w:after="0"/>
            </w:pPr>
            <w:r>
              <w:rPr>
                <w:color w:val="1C3A36"/>
                <w:sz w:val="14"/>
              </w:rPr>
              <w:t>4.000</w:t>
            </w:r>
          </w:p>
        </w:tc>
        <w:tc>
          <w:tcPr>
            <w:tcW w:type="dxa" w:w="893"/>
            <w:shd w:val="clear" w:color="auto" w:fill="F6F1E6"/>
          </w:tcPr>
          <w:p>
            <w:pPr>
              <w:spacing w:after="0"/>
            </w:pPr>
            <w:r>
              <w:rPr>
                <w:color w:val="1C3A36"/>
                <w:sz w:val="14"/>
              </w:rPr>
              <w:t>4.272</w:t>
            </w:r>
          </w:p>
        </w:tc>
        <w:tc>
          <w:tcPr>
            <w:tcW w:type="dxa" w:w="835"/>
            <w:shd w:val="clear" w:color="auto" w:fill="F6F1E6"/>
          </w:tcPr>
          <w:p>
            <w:pPr>
              <w:spacing w:after="0"/>
            </w:pPr>
            <w:r>
              <w:rPr>
                <w:color w:val="1C3A36"/>
                <w:sz w:val="14"/>
              </w:rPr>
              <w:t>DERIVED</w:t>
            </w:r>
          </w:p>
        </w:tc>
        <w:tc>
          <w:tcPr>
            <w:tcW w:type="dxa" w:w="835"/>
            <w:shd w:val="clear" w:color="auto" w:fill="F6F1E6"/>
          </w:tcPr>
          <w:p>
            <w:pPr>
              <w:spacing w:after="0"/>
            </w:pPr>
            <w:r>
              <w:rPr>
                <w:color w:val="1C3A36"/>
                <w:sz w:val="14"/>
              </w:rPr>
              <w:t>H-02 / H-11</w:t>
            </w:r>
          </w:p>
        </w:tc>
        <w:tc>
          <w:tcPr>
            <w:tcW w:type="dxa" w:w="7229"/>
            <w:shd w:val="clear" w:color="auto" w:fill="F6F1E6"/>
          </w:tcPr>
          <w:p>
            <w:pPr>
              <w:spacing w:after="0"/>
            </w:pPr>
            <w:r>
              <w:rPr>
                <w:color w:val="1C3A36"/>
                <w:sz w:val="14"/>
              </w:rPr>
              <w:t>THE KEYSTONE. FY2023 AND FY2024 both reconcile to the flat AED 4.00 tariff to three decimals, independently. That is what licenses the metric.</w:t>
            </w:r>
          </w:p>
        </w:tc>
      </w:tr>
      <w:tr>
        <w:tc>
          <w:tcPr>
            <w:tcW w:type="dxa" w:w="576"/>
          </w:tcPr>
          <w:p>
            <w:pPr>
              <w:spacing w:after="0"/>
            </w:pPr>
            <w:r>
              <w:rPr>
                <w:b/>
                <w:color w:val="1C3A36"/>
                <w:sz w:val="14"/>
              </w:rPr>
              <w:t>H-14</w:t>
            </w:r>
          </w:p>
        </w:tc>
        <w:tc>
          <w:tcPr>
            <w:tcW w:type="dxa" w:w="2304"/>
          </w:tcPr>
          <w:p>
            <w:pPr>
              <w:spacing w:after="0"/>
            </w:pPr>
            <w:r>
              <w:rPr>
                <w:color w:val="1C3A36"/>
                <w:sz w:val="14"/>
              </w:rPr>
              <w:t>Concession fee</w:t>
            </w:r>
          </w:p>
        </w:tc>
        <w:tc>
          <w:tcPr>
            <w:tcW w:type="dxa" w:w="893"/>
          </w:tcPr>
          <w:p>
            <w:pPr>
              <w:spacing w:after="0"/>
            </w:pPr>
            <w:r>
              <w:rPr>
                <w:color w:val="1C3A36"/>
                <w:sz w:val="14"/>
              </w:rPr>
              <w:t>461.5</w:t>
            </w:r>
          </w:p>
        </w:tc>
        <w:tc>
          <w:tcPr>
            <w:tcW w:type="dxa" w:w="893"/>
          </w:tcPr>
          <w:p>
            <w:pPr>
              <w:spacing w:after="0"/>
            </w:pPr>
            <w:r>
              <w:rPr>
                <w:color w:val="1C3A36"/>
                <w:sz w:val="14"/>
              </w:rPr>
              <w:t>460.6</w:t>
            </w:r>
          </w:p>
        </w:tc>
        <w:tc>
          <w:tcPr>
            <w:tcW w:type="dxa" w:w="893"/>
          </w:tcPr>
          <w:p>
            <w:pPr>
              <w:spacing w:after="0"/>
            </w:pPr>
            <w:r>
              <w:rPr>
                <w:color w:val="1C3A36"/>
                <w:sz w:val="14"/>
              </w:rPr>
              <w:t>614.3</w:t>
            </w:r>
          </w:p>
        </w:tc>
        <w:tc>
          <w:tcPr>
            <w:tcW w:type="dxa" w:w="835"/>
          </w:tcPr>
          <w:p>
            <w:pPr>
              <w:spacing w:after="0"/>
            </w:pPr>
            <w:r>
              <w:rPr>
                <w:color w:val="1C3A36"/>
                <w:sz w:val="14"/>
              </w:rPr>
              <w:t>S / D</w:t>
            </w:r>
          </w:p>
        </w:tc>
        <w:tc>
          <w:tcPr>
            <w:tcW w:type="dxa" w:w="835"/>
          </w:tcPr>
          <w:p>
            <w:pPr>
              <w:spacing w:after="0"/>
            </w:pPr>
            <w:r>
              <w:rPr>
                <w:color w:val="1C3A36"/>
                <w:sz w:val="14"/>
              </w:rPr>
              <w:t>S-03</w:t>
            </w:r>
          </w:p>
        </w:tc>
        <w:tc>
          <w:tcPr>
            <w:tcW w:type="dxa" w:w="7229"/>
          </w:tcPr>
          <w:p>
            <w:pPr>
              <w:spacing w:after="0"/>
            </w:pPr>
            <w:r>
              <w:rPr>
                <w:color w:val="1C3A36"/>
                <w:sz w:val="14"/>
              </w:rPr>
              <w:t>FY24 disclosed (AED 460.6 mn = 23.1% of toll revenue, reflecting the 1-Apr-2024 cut). FY23 = 25.0% × H-02. FY25 = 22.5% × H-02.</w:t>
            </w:r>
          </w:p>
        </w:tc>
      </w:tr>
      <w:tr>
        <w:tc>
          <w:tcPr>
            <w:tcW w:type="dxa" w:w="576"/>
          </w:tcPr>
          <w:p>
            <w:pPr>
              <w:spacing w:after="0"/>
            </w:pPr>
            <w:r>
              <w:rPr>
                <w:b/>
                <w:color w:val="1C3A36"/>
                <w:sz w:val="14"/>
              </w:rPr>
              <w:t>H-15</w:t>
            </w:r>
          </w:p>
        </w:tc>
        <w:tc>
          <w:tcPr>
            <w:tcW w:type="dxa" w:w="2304"/>
          </w:tcPr>
          <w:p>
            <w:pPr>
              <w:spacing w:after="0"/>
            </w:pPr>
            <w:r>
              <w:rPr>
                <w:color w:val="1C3A36"/>
                <w:sz w:val="14"/>
              </w:rPr>
              <w:t>Net debt</w:t>
            </w:r>
          </w:p>
        </w:tc>
        <w:tc>
          <w:tcPr>
            <w:tcW w:type="dxa" w:w="893"/>
          </w:tcPr>
          <w:p>
            <w:pPr>
              <w:spacing w:after="0"/>
            </w:pPr>
            <w:r>
              <w:rPr>
                <w:color w:val="1C3A36"/>
                <w:sz w:val="14"/>
              </w:rPr>
              <w:t>—</w:t>
            </w:r>
          </w:p>
        </w:tc>
        <w:tc>
          <w:tcPr>
            <w:tcW w:type="dxa" w:w="893"/>
          </w:tcPr>
          <w:p>
            <w:pPr>
              <w:spacing w:after="0"/>
            </w:pPr>
            <w:r>
              <w:rPr>
                <w:color w:val="1C3A36"/>
                <w:sz w:val="14"/>
              </w:rPr>
              <w:t>5,198.6</w:t>
            </w:r>
          </w:p>
        </w:tc>
        <w:tc>
          <w:tcPr>
            <w:tcW w:type="dxa" w:w="893"/>
          </w:tcPr>
          <w:p>
            <w:pPr>
              <w:spacing w:after="0"/>
            </w:pPr>
            <w:r>
              <w:rPr>
                <w:color w:val="1C3A36"/>
                <w:sz w:val="14"/>
              </w:rPr>
              <w:t>4,799.2</w:t>
            </w:r>
          </w:p>
        </w:tc>
        <w:tc>
          <w:tcPr>
            <w:tcW w:type="dxa" w:w="835"/>
          </w:tcPr>
          <w:p>
            <w:pPr>
              <w:spacing w:after="0"/>
            </w:pPr>
            <w:r>
              <w:rPr>
                <w:color w:val="1C3A36"/>
                <w:sz w:val="14"/>
              </w:rPr>
              <w:t>SOURCED</w:t>
            </w:r>
          </w:p>
        </w:tc>
        <w:tc>
          <w:tcPr>
            <w:tcW w:type="dxa" w:w="835"/>
          </w:tcPr>
          <w:p>
            <w:pPr>
              <w:spacing w:after="0"/>
            </w:pPr>
            <w:r>
              <w:rPr>
                <w:color w:val="1C3A36"/>
                <w:sz w:val="14"/>
              </w:rPr>
              <w:t>S-06, S-02</w:t>
            </w:r>
          </w:p>
        </w:tc>
        <w:tc>
          <w:tcPr>
            <w:tcW w:type="dxa" w:w="7229"/>
          </w:tcPr>
          <w:p>
            <w:pPr>
              <w:spacing w:after="0"/>
            </w:pPr>
            <w:r>
              <w:rPr>
                <w:color w:val="1C3A36"/>
                <w:sz w:val="14"/>
              </w:rPr>
              <w:t>—</w:t>
            </w:r>
          </w:p>
        </w:tc>
      </w:tr>
      <w:tr>
        <w:tc>
          <w:tcPr>
            <w:tcW w:type="dxa" w:w="576"/>
          </w:tcPr>
          <w:p>
            <w:pPr>
              <w:spacing w:after="0"/>
            </w:pPr>
            <w:r>
              <w:rPr>
                <w:b/>
                <w:color w:val="1C3A36"/>
                <w:sz w:val="14"/>
              </w:rPr>
              <w:t>H-16</w:t>
            </w:r>
          </w:p>
        </w:tc>
        <w:tc>
          <w:tcPr>
            <w:tcW w:type="dxa" w:w="2304"/>
          </w:tcPr>
          <w:p>
            <w:pPr>
              <w:spacing w:after="0"/>
            </w:pPr>
            <w:r>
              <w:rPr>
                <w:color w:val="1C3A36"/>
                <w:sz w:val="14"/>
              </w:rPr>
              <w:t>Net working capital</w:t>
            </w:r>
          </w:p>
        </w:tc>
        <w:tc>
          <w:tcPr>
            <w:tcW w:type="dxa" w:w="893"/>
          </w:tcPr>
          <w:p>
            <w:pPr>
              <w:spacing w:after="0"/>
            </w:pPr>
            <w:r>
              <w:rPr>
                <w:color w:val="1C3A36"/>
                <w:sz w:val="14"/>
              </w:rPr>
              <w:t>(192.4)</w:t>
            </w:r>
          </w:p>
        </w:tc>
        <w:tc>
          <w:tcPr>
            <w:tcW w:type="dxa" w:w="893"/>
          </w:tcPr>
          <w:p>
            <w:pPr>
              <w:spacing w:after="0"/>
            </w:pPr>
            <w:r>
              <w:rPr>
                <w:color w:val="1C3A36"/>
                <w:sz w:val="14"/>
              </w:rPr>
              <w:t>(536.8)</w:t>
            </w:r>
          </w:p>
        </w:tc>
        <w:tc>
          <w:tcPr>
            <w:tcW w:type="dxa" w:w="893"/>
          </w:tcPr>
          <w:p>
            <w:pPr>
              <w:spacing w:after="0"/>
            </w:pPr>
            <w:r>
              <w:rPr>
                <w:color w:val="1C3A36"/>
                <w:sz w:val="14"/>
              </w:rPr>
              <w:t>(674.0)</w:t>
            </w:r>
          </w:p>
        </w:tc>
        <w:tc>
          <w:tcPr>
            <w:tcW w:type="dxa" w:w="835"/>
          </w:tcPr>
          <w:p>
            <w:pPr>
              <w:spacing w:after="0"/>
            </w:pPr>
            <w:r>
              <w:rPr>
                <w:color w:val="1C3A36"/>
                <w:sz w:val="14"/>
              </w:rPr>
              <w:t>SOURCED</w:t>
            </w:r>
          </w:p>
        </w:tc>
        <w:tc>
          <w:tcPr>
            <w:tcW w:type="dxa" w:w="835"/>
          </w:tcPr>
          <w:p>
            <w:pPr>
              <w:spacing w:after="0"/>
            </w:pPr>
            <w:r>
              <w:rPr>
                <w:color w:val="1C3A36"/>
                <w:sz w:val="14"/>
              </w:rPr>
              <w:t>S-03, S-02</w:t>
            </w:r>
          </w:p>
        </w:tc>
        <w:tc>
          <w:tcPr>
            <w:tcW w:type="dxa" w:w="7229"/>
          </w:tcPr>
          <w:p>
            <w:pPr>
              <w:spacing w:after="0"/>
            </w:pPr>
            <w:r>
              <w:rPr>
                <w:color w:val="1C3A36"/>
                <w:sz w:val="14"/>
              </w:rPr>
              <w:t>S-03 gives FY23 and FY24. FY25 = 20.5% of annualised Q4 revenue (S-02).</w:t>
            </w:r>
          </w:p>
        </w:tc>
      </w:tr>
      <w:tr>
        <w:tc>
          <w:tcPr>
            <w:tcW w:type="dxa" w:w="576"/>
          </w:tcPr>
          <w:p>
            <w:pPr>
              <w:spacing w:after="0"/>
            </w:pPr>
            <w:r>
              <w:rPr>
                <w:b/>
                <w:color w:val="1C3A36"/>
                <w:sz w:val="14"/>
              </w:rPr>
              <w:t>H-17</w:t>
            </w:r>
          </w:p>
        </w:tc>
        <w:tc>
          <w:tcPr>
            <w:tcW w:type="dxa" w:w="2304"/>
          </w:tcPr>
          <w:p>
            <w:pPr>
              <w:spacing w:after="0"/>
            </w:pPr>
            <w:r>
              <w:rPr>
                <w:color w:val="1C3A36"/>
                <w:sz w:val="14"/>
              </w:rPr>
              <w:t>Free cash flow</w:t>
            </w:r>
          </w:p>
        </w:tc>
        <w:tc>
          <w:tcPr>
            <w:tcW w:type="dxa" w:w="893"/>
          </w:tcPr>
          <w:p>
            <w:pPr>
              <w:spacing w:after="0"/>
            </w:pPr>
            <w:r>
              <w:rPr>
                <w:color w:val="1C3A36"/>
                <w:sz w:val="14"/>
              </w:rPr>
              <w:t>1,449.8</w:t>
            </w:r>
          </w:p>
        </w:tc>
        <w:tc>
          <w:tcPr>
            <w:tcW w:type="dxa" w:w="893"/>
          </w:tcPr>
          <w:p>
            <w:pPr>
              <w:spacing w:after="0"/>
            </w:pPr>
            <w:r>
              <w:rPr>
                <w:color w:val="1C3A36"/>
                <w:sz w:val="14"/>
              </w:rPr>
              <w:t>1,457.3</w:t>
            </w:r>
          </w:p>
        </w:tc>
        <w:tc>
          <w:tcPr>
            <w:tcW w:type="dxa" w:w="893"/>
          </w:tcPr>
          <w:p>
            <w:pPr>
              <w:spacing w:after="0"/>
            </w:pPr>
            <w:r>
              <w:rPr>
                <w:color w:val="1C3A36"/>
                <w:sz w:val="14"/>
              </w:rPr>
              <w:t>—</w:t>
            </w:r>
          </w:p>
        </w:tc>
        <w:tc>
          <w:tcPr>
            <w:tcW w:type="dxa" w:w="835"/>
          </w:tcPr>
          <w:p>
            <w:pPr>
              <w:spacing w:after="0"/>
            </w:pPr>
            <w:r>
              <w:rPr>
                <w:color w:val="1C3A36"/>
                <w:sz w:val="14"/>
              </w:rPr>
              <w:t>SOURCED</w:t>
            </w:r>
          </w:p>
        </w:tc>
        <w:tc>
          <w:tcPr>
            <w:tcW w:type="dxa" w:w="835"/>
          </w:tcPr>
          <w:p>
            <w:pPr>
              <w:spacing w:after="0"/>
            </w:pPr>
            <w:r>
              <w:rPr>
                <w:color w:val="1C3A36"/>
                <w:sz w:val="14"/>
              </w:rPr>
              <w:t>S-06</w:t>
            </w:r>
          </w:p>
        </w:tc>
        <w:tc>
          <w:tcPr>
            <w:tcW w:type="dxa" w:w="7229"/>
          </w:tcPr>
          <w:p>
            <w:pPr>
              <w:spacing w:after="0"/>
            </w:pPr>
            <w:r>
              <w:rPr>
                <w:color w:val="1C3A36"/>
                <w:sz w:val="14"/>
              </w:rPr>
              <w:t>FY24 disclosed (AED 1,457.3 mn, +0.5% y/y, 63.6% margin) ⇒ FY23 DERIVED.</w:t>
            </w:r>
          </w:p>
        </w:tc>
      </w:tr>
      <w:tr>
        <w:tc>
          <w:tcPr>
            <w:tcW w:type="dxa" w:w="576"/>
            <w:shd w:val="clear" w:color="auto" w:fill="F6F1E6"/>
          </w:tcPr>
          <w:p>
            <w:pPr>
              <w:spacing w:after="0"/>
            </w:pPr>
            <w:r>
              <w:rPr>
                <w:b/>
                <w:color w:val="1C3A36"/>
                <w:sz w:val="14"/>
              </w:rPr>
              <w:t>H-18</w:t>
            </w:r>
          </w:p>
        </w:tc>
        <w:tc>
          <w:tcPr>
            <w:tcW w:type="dxa" w:w="2304"/>
            <w:shd w:val="clear" w:color="auto" w:fill="F6F1E6"/>
          </w:tcPr>
          <w:p>
            <w:pPr>
              <w:spacing w:after="0"/>
            </w:pPr>
            <w:r>
              <w:rPr>
                <w:color w:val="1C3A36"/>
                <w:sz w:val="14"/>
              </w:rPr>
              <w:t>Net debt at end-Sep-2024</w:t>
            </w:r>
          </w:p>
        </w:tc>
        <w:tc>
          <w:tcPr>
            <w:tcW w:type="dxa" w:w="893"/>
            <w:shd w:val="clear" w:color="auto" w:fill="F6F1E6"/>
          </w:tcPr>
          <w:p>
            <w:pPr>
              <w:spacing w:after="0"/>
            </w:pPr>
            <w:r>
              <w:rPr>
                <w:color w:val="1C3A36"/>
                <w:sz w:val="14"/>
              </w:rPr>
              <w:t>—</w:t>
            </w:r>
          </w:p>
        </w:tc>
        <w:tc>
          <w:tcPr>
            <w:tcW w:type="dxa" w:w="893"/>
            <w:shd w:val="clear" w:color="auto" w:fill="F6F1E6"/>
          </w:tcPr>
          <w:p>
            <w:pPr>
              <w:spacing w:after="0"/>
            </w:pPr>
            <w:r>
              <w:rPr>
                <w:color w:val="1C3A36"/>
                <w:sz w:val="14"/>
              </w:rPr>
              <w:t>3,163.3</w:t>
            </w:r>
          </w:p>
        </w:tc>
        <w:tc>
          <w:tcPr>
            <w:tcW w:type="dxa" w:w="893"/>
            <w:shd w:val="clear" w:color="auto" w:fill="F6F1E6"/>
          </w:tcPr>
          <w:p>
            <w:pPr>
              <w:spacing w:after="0"/>
            </w:pPr>
            <w:r>
              <w:rPr>
                <w:color w:val="1C3A36"/>
                <w:sz w:val="14"/>
              </w:rPr>
              <w:t>—</w:t>
            </w:r>
          </w:p>
        </w:tc>
        <w:tc>
          <w:tcPr>
            <w:tcW w:type="dxa" w:w="835"/>
            <w:shd w:val="clear" w:color="auto" w:fill="F6F1E6"/>
          </w:tcPr>
          <w:p>
            <w:pPr>
              <w:spacing w:after="0"/>
            </w:pPr>
            <w:r>
              <w:rPr>
                <w:color w:val="1C3A36"/>
                <w:sz w:val="14"/>
              </w:rPr>
              <w:t>SOURCED</w:t>
            </w:r>
          </w:p>
        </w:tc>
        <w:tc>
          <w:tcPr>
            <w:tcW w:type="dxa" w:w="835"/>
            <w:shd w:val="clear" w:color="auto" w:fill="F6F1E6"/>
          </w:tcPr>
          <w:p>
            <w:pPr>
              <w:spacing w:after="0"/>
            </w:pPr>
            <w:r>
              <w:rPr>
                <w:color w:val="1C3A36"/>
                <w:sz w:val="14"/>
              </w:rPr>
              <w:t>S-06</w:t>
            </w:r>
          </w:p>
        </w:tc>
        <w:tc>
          <w:tcPr>
            <w:tcW w:type="dxa" w:w="7229"/>
            <w:shd w:val="clear" w:color="auto" w:fill="F6F1E6"/>
          </w:tcPr>
          <w:p>
            <w:pPr>
              <w:spacing w:after="0"/>
            </w:pPr>
            <w:r>
              <w:rPr>
                <w:color w:val="1C3A36"/>
                <w:sz w:val="14"/>
              </w:rPr>
              <w:t>CRITICAL. See C-06 — this is the figure that proves the RTA payable sits INSIDE net debt.</w:t>
            </w:r>
          </w:p>
        </w:tc>
      </w:tr>
    </w:tbl>
    <w:p>
      <w:pPr>
        <w:spacing w:after="40"/>
      </w:pPr>
    </w:p>
    <w:p>
      <w:r>
        <w:br w:type="page"/>
      </w:r>
    </w:p>
    <w:p>
      <w:pPr>
        <w:spacing w:after="60" w:before="160"/>
      </w:pPr>
      <w:r>
        <w:rPr>
          <w:b/>
          <w:i w:val="0"/>
          <w:color w:val="1C3A36"/>
          <w:sz w:val="21"/>
        </w:rPr>
        <w:t>2.3 Q1-2026 — the shock quarter, and the base for every forward driver</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678"/>
            <w:shd w:val="clear" w:color="auto" w:fill="EAF0EE"/>
          </w:tcPr>
          <w:p>
            <w:pPr>
              <w:spacing w:after="0"/>
            </w:pPr>
            <w:r>
              <w:rPr>
                <w:b/>
                <w:color w:val="1C3A36"/>
                <w:sz w:val="14"/>
              </w:rPr>
              <w:t>Figure</w:t>
            </w:r>
          </w:p>
        </w:tc>
        <w:tc>
          <w:tcPr>
            <w:tcW w:type="dxa" w:w="2045"/>
            <w:shd w:val="clear" w:color="auto" w:fill="EAF0EE"/>
          </w:tcPr>
          <w:p>
            <w:pPr>
              <w:spacing w:after="0"/>
            </w:pPr>
            <w:r>
              <w:rPr>
                <w:b/>
                <w:color w:val="1C3A36"/>
                <w:sz w:val="14"/>
              </w:rPr>
              <w:t>Value</w:t>
            </w:r>
          </w:p>
        </w:tc>
        <w:tc>
          <w:tcPr>
            <w:tcW w:type="dxa" w:w="1037"/>
            <w:shd w:val="clear" w:color="auto" w:fill="EAF0EE"/>
          </w:tcPr>
          <w:p>
            <w:pPr>
              <w:spacing w:after="0"/>
            </w:pPr>
            <w:r>
              <w:rPr>
                <w:b/>
                <w:color w:val="1C3A36"/>
                <w:sz w:val="14"/>
              </w:rPr>
              <w:t>Class</w:t>
            </w:r>
          </w:p>
        </w:tc>
        <w:tc>
          <w:tcPr>
            <w:tcW w:type="dxa" w:w="662"/>
            <w:shd w:val="clear" w:color="auto" w:fill="EAF0EE"/>
          </w:tcPr>
          <w:p>
            <w:pPr>
              <w:spacing w:after="0"/>
            </w:pPr>
            <w:r>
              <w:rPr>
                <w:b/>
                <w:color w:val="1C3A36"/>
                <w:sz w:val="14"/>
              </w:rPr>
              <w:t>Src</w:t>
            </w:r>
          </w:p>
        </w:tc>
        <w:tc>
          <w:tcPr>
            <w:tcW w:type="dxa" w:w="7373"/>
            <w:shd w:val="clear" w:color="auto" w:fill="EAF0EE"/>
          </w:tcPr>
          <w:p>
            <w:pPr>
              <w:spacing w:after="0"/>
            </w:pPr>
            <w:r>
              <w:rPr>
                <w:b/>
                <w:color w:val="1C3A36"/>
                <w:sz w:val="14"/>
              </w:rPr>
              <w:t>Trace / note</w:t>
            </w:r>
          </w:p>
        </w:tc>
      </w:tr>
      <w:tr>
        <w:tc>
          <w:tcPr>
            <w:tcW w:type="dxa" w:w="605"/>
          </w:tcPr>
          <w:p>
            <w:pPr>
              <w:spacing w:after="0"/>
            </w:pPr>
            <w:r>
              <w:rPr>
                <w:b/>
                <w:color w:val="1C3A36"/>
                <w:sz w:val="14"/>
              </w:rPr>
              <w:t>Q-01</w:t>
            </w:r>
          </w:p>
        </w:tc>
        <w:tc>
          <w:tcPr>
            <w:tcW w:type="dxa" w:w="2678"/>
          </w:tcPr>
          <w:p>
            <w:pPr>
              <w:spacing w:after="0"/>
            </w:pPr>
            <w:r>
              <w:rPr>
                <w:color w:val="1C3A36"/>
                <w:sz w:val="14"/>
              </w:rPr>
              <w:t>Revenue</w:t>
            </w:r>
          </w:p>
        </w:tc>
        <w:tc>
          <w:tcPr>
            <w:tcW w:type="dxa" w:w="2045"/>
          </w:tcPr>
          <w:p>
            <w:pPr>
              <w:spacing w:after="0"/>
            </w:pPr>
            <w:r>
              <w:rPr>
                <w:color w:val="1C3A36"/>
                <w:sz w:val="14"/>
              </w:rPr>
              <w:t>AED 728.9 mn (−3.0% y/y)</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Q-02</w:t>
            </w:r>
          </w:p>
        </w:tc>
        <w:tc>
          <w:tcPr>
            <w:tcW w:type="dxa" w:w="2678"/>
          </w:tcPr>
          <w:p>
            <w:pPr>
              <w:spacing w:after="0"/>
            </w:pPr>
            <w:r>
              <w:rPr>
                <w:color w:val="1C3A36"/>
                <w:sz w:val="14"/>
              </w:rPr>
              <w:t>Toll usage revenue</w:t>
            </w:r>
          </w:p>
        </w:tc>
        <w:tc>
          <w:tcPr>
            <w:tcW w:type="dxa" w:w="2045"/>
          </w:tcPr>
          <w:p>
            <w:pPr>
              <w:spacing w:after="0"/>
            </w:pPr>
            <w:r>
              <w:rPr>
                <w:color w:val="1C3A36"/>
                <w:sz w:val="14"/>
              </w:rPr>
              <w:t>AED 625.5 mn (−6.0%)</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Q-03</w:t>
            </w:r>
          </w:p>
        </w:tc>
        <w:tc>
          <w:tcPr>
            <w:tcW w:type="dxa" w:w="2678"/>
          </w:tcPr>
          <w:p>
            <w:pPr>
              <w:spacing w:after="0"/>
            </w:pPr>
            <w:r>
              <w:rPr>
                <w:color w:val="1C3A36"/>
                <w:sz w:val="14"/>
              </w:rPr>
              <w:t>Fines</w:t>
            </w:r>
          </w:p>
        </w:tc>
        <w:tc>
          <w:tcPr>
            <w:tcW w:type="dxa" w:w="2045"/>
          </w:tcPr>
          <w:p>
            <w:pPr>
              <w:spacing w:after="0"/>
            </w:pPr>
            <w:r>
              <w:rPr>
                <w:color w:val="1C3A36"/>
                <w:sz w:val="14"/>
              </w:rPr>
              <w:t>AED 69.1 mn (+1%)</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Q-04</w:t>
            </w:r>
          </w:p>
        </w:tc>
        <w:tc>
          <w:tcPr>
            <w:tcW w:type="dxa" w:w="2678"/>
          </w:tcPr>
          <w:p>
            <w:pPr>
              <w:spacing w:after="0"/>
            </w:pPr>
            <w:r>
              <w:rPr>
                <w:color w:val="1C3A36"/>
                <w:sz w:val="14"/>
              </w:rPr>
              <w:t>Tag activation</w:t>
            </w:r>
          </w:p>
        </w:tc>
        <w:tc>
          <w:tcPr>
            <w:tcW w:type="dxa" w:w="2045"/>
          </w:tcPr>
          <w:p>
            <w:pPr>
              <w:spacing w:after="0"/>
            </w:pPr>
            <w:r>
              <w:rPr>
                <w:color w:val="1C3A36"/>
                <w:sz w:val="14"/>
              </w:rPr>
              <w:t>AED 12.2 mn (+6.1%)</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Q-05</w:t>
            </w:r>
          </w:p>
        </w:tc>
        <w:tc>
          <w:tcPr>
            <w:tcW w:type="dxa" w:w="2678"/>
          </w:tcPr>
          <w:p>
            <w:pPr>
              <w:spacing w:after="0"/>
            </w:pPr>
            <w:r>
              <w:rPr>
                <w:color w:val="1C3A36"/>
                <w:sz w:val="14"/>
              </w:rPr>
              <w:t>Ancillary revenue</w:t>
            </w:r>
          </w:p>
        </w:tc>
        <w:tc>
          <w:tcPr>
            <w:tcW w:type="dxa" w:w="2045"/>
          </w:tcPr>
          <w:p>
            <w:pPr>
              <w:spacing w:after="0"/>
            </w:pPr>
            <w:r>
              <w:rPr>
                <w:color w:val="1C3A36"/>
                <w:sz w:val="14"/>
              </w:rPr>
              <w:t>AED 8.0 mn (+147%)</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Q-06</w:t>
            </w:r>
          </w:p>
        </w:tc>
        <w:tc>
          <w:tcPr>
            <w:tcW w:type="dxa" w:w="2678"/>
          </w:tcPr>
          <w:p>
            <w:pPr>
              <w:spacing w:after="0"/>
            </w:pPr>
            <w:r>
              <w:rPr>
                <w:color w:val="1C3A36"/>
                <w:sz w:val="14"/>
              </w:rPr>
              <w:t>EBITDA / margin</w:t>
            </w:r>
          </w:p>
        </w:tc>
        <w:tc>
          <w:tcPr>
            <w:tcW w:type="dxa" w:w="2045"/>
          </w:tcPr>
          <w:p>
            <w:pPr>
              <w:spacing w:after="0"/>
            </w:pPr>
            <w:r>
              <w:rPr>
                <w:color w:val="1C3A36"/>
                <w:sz w:val="14"/>
              </w:rPr>
              <w:t>AED 507.2 mn / 69.6%</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Margin +44bp y/y — rising THROUGH a traffic collapse.</w:t>
            </w:r>
          </w:p>
        </w:tc>
      </w:tr>
      <w:tr>
        <w:tc>
          <w:tcPr>
            <w:tcW w:type="dxa" w:w="605"/>
          </w:tcPr>
          <w:p>
            <w:pPr>
              <w:spacing w:after="0"/>
            </w:pPr>
            <w:r>
              <w:rPr>
                <w:b/>
                <w:color w:val="1C3A36"/>
                <w:sz w:val="14"/>
              </w:rPr>
              <w:t>Q-07</w:t>
            </w:r>
          </w:p>
        </w:tc>
        <w:tc>
          <w:tcPr>
            <w:tcW w:type="dxa" w:w="2678"/>
          </w:tcPr>
          <w:p>
            <w:pPr>
              <w:spacing w:after="0"/>
            </w:pPr>
            <w:r>
              <w:rPr>
                <w:color w:val="1C3A36"/>
                <w:sz w:val="14"/>
              </w:rPr>
              <w:t>Profit before tax</w:t>
            </w:r>
          </w:p>
        </w:tc>
        <w:tc>
          <w:tcPr>
            <w:tcW w:type="dxa" w:w="2045"/>
          </w:tcPr>
          <w:p>
            <w:pPr>
              <w:spacing w:after="0"/>
            </w:pPr>
            <w:r>
              <w:rPr>
                <w:color w:val="1C3A36"/>
                <w:sz w:val="14"/>
              </w:rPr>
              <w:t>AED 405.8 mn</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Q-08</w:t>
            </w:r>
          </w:p>
        </w:tc>
        <w:tc>
          <w:tcPr>
            <w:tcW w:type="dxa" w:w="2678"/>
          </w:tcPr>
          <w:p>
            <w:pPr>
              <w:spacing w:after="0"/>
            </w:pPr>
            <w:r>
              <w:rPr>
                <w:color w:val="1C3A36"/>
                <w:sz w:val="14"/>
              </w:rPr>
              <w:t>Net profit after tax</w:t>
            </w:r>
          </w:p>
        </w:tc>
        <w:tc>
          <w:tcPr>
            <w:tcW w:type="dxa" w:w="2045"/>
          </w:tcPr>
          <w:p>
            <w:pPr>
              <w:spacing w:after="0"/>
            </w:pPr>
            <w:r>
              <w:rPr>
                <w:color w:val="1C3A36"/>
                <w:sz w:val="14"/>
              </w:rPr>
              <w:t>AED 369.3 mn (−0.4%)</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Q-09</w:t>
            </w:r>
          </w:p>
        </w:tc>
        <w:tc>
          <w:tcPr>
            <w:tcW w:type="dxa" w:w="2678"/>
          </w:tcPr>
          <w:p>
            <w:pPr>
              <w:spacing w:after="0"/>
            </w:pPr>
            <w:r>
              <w:rPr>
                <w:color w:val="1C3A36"/>
                <w:sz w:val="14"/>
              </w:rPr>
              <w:t>Effective tax rate</w:t>
            </w:r>
          </w:p>
        </w:tc>
        <w:tc>
          <w:tcPr>
            <w:tcW w:type="dxa" w:w="2045"/>
          </w:tcPr>
          <w:p>
            <w:pPr>
              <w:spacing w:after="0"/>
            </w:pPr>
            <w:r>
              <w:rPr>
                <w:color w:val="1C3A36"/>
                <w:sz w:val="14"/>
              </w:rPr>
              <w:t>9.0%</w:t>
            </w:r>
          </w:p>
        </w:tc>
        <w:tc>
          <w:tcPr>
            <w:tcW w:type="dxa" w:w="1037"/>
          </w:tcPr>
          <w:p>
            <w:pPr>
              <w:spacing w:after="0"/>
            </w:pPr>
            <w:r>
              <w:rPr>
                <w:color w:val="1C3A36"/>
                <w:sz w:val="14"/>
              </w:rPr>
              <w:t>DERIVED</w:t>
            </w:r>
          </w:p>
        </w:tc>
        <w:tc>
          <w:tcPr>
            <w:tcW w:type="dxa" w:w="662"/>
          </w:tcPr>
          <w:p>
            <w:pPr>
              <w:spacing w:after="0"/>
            </w:pPr>
            <w:r>
              <w:rPr>
                <w:color w:val="1C3A36"/>
                <w:sz w:val="14"/>
              </w:rPr>
              <w:t>Q-07, Q-08</w:t>
            </w:r>
          </w:p>
        </w:tc>
        <w:tc>
          <w:tcPr>
            <w:tcW w:type="dxa" w:w="7373"/>
          </w:tcPr>
          <w:p>
            <w:pPr>
              <w:spacing w:after="0"/>
            </w:pPr>
            <w:r>
              <w:rPr>
                <w:color w:val="1C3A36"/>
                <w:sz w:val="14"/>
              </w:rPr>
              <w:t>(405.8 − 369.3) / 405.8 = 9.0%. Confirms the statutory UAE CT is being paid in full.</w:t>
            </w:r>
          </w:p>
        </w:tc>
      </w:tr>
      <w:tr>
        <w:tc>
          <w:tcPr>
            <w:tcW w:type="dxa" w:w="605"/>
          </w:tcPr>
          <w:p>
            <w:pPr>
              <w:spacing w:after="0"/>
            </w:pPr>
            <w:r>
              <w:rPr>
                <w:b/>
                <w:color w:val="1C3A36"/>
                <w:sz w:val="14"/>
              </w:rPr>
              <w:t>Q-10</w:t>
            </w:r>
          </w:p>
        </w:tc>
        <w:tc>
          <w:tcPr>
            <w:tcW w:type="dxa" w:w="2678"/>
          </w:tcPr>
          <w:p>
            <w:pPr>
              <w:spacing w:after="0"/>
            </w:pPr>
            <w:r>
              <w:rPr>
                <w:color w:val="1C3A36"/>
                <w:sz w:val="14"/>
              </w:rPr>
              <w:t>Net finance costs</w:t>
            </w:r>
          </w:p>
        </w:tc>
        <w:tc>
          <w:tcPr>
            <w:tcW w:type="dxa" w:w="2045"/>
          </w:tcPr>
          <w:p>
            <w:pPr>
              <w:spacing w:after="0"/>
            </w:pPr>
            <w:r>
              <w:rPr>
                <w:color w:val="1C3A36"/>
                <w:sz w:val="14"/>
              </w:rPr>
              <w:t>AED 65.1 mn (−14.6%)</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Q-11</w:t>
            </w:r>
          </w:p>
        </w:tc>
        <w:tc>
          <w:tcPr>
            <w:tcW w:type="dxa" w:w="2678"/>
          </w:tcPr>
          <w:p>
            <w:pPr>
              <w:spacing w:after="0"/>
            </w:pPr>
            <w:r>
              <w:rPr>
                <w:color w:val="1C3A36"/>
                <w:sz w:val="14"/>
              </w:rPr>
              <w:t>D&amp;A (implied)</w:t>
            </w:r>
          </w:p>
        </w:tc>
        <w:tc>
          <w:tcPr>
            <w:tcW w:type="dxa" w:w="2045"/>
          </w:tcPr>
          <w:p>
            <w:pPr>
              <w:spacing w:after="0"/>
            </w:pPr>
            <w:r>
              <w:rPr>
                <w:color w:val="1C3A36"/>
                <w:sz w:val="14"/>
              </w:rPr>
              <w:t>AED 36.3 mn/qtr → 145.2/yr</w:t>
            </w:r>
          </w:p>
        </w:tc>
        <w:tc>
          <w:tcPr>
            <w:tcW w:type="dxa" w:w="1037"/>
          </w:tcPr>
          <w:p>
            <w:pPr>
              <w:spacing w:after="0"/>
            </w:pPr>
            <w:r>
              <w:rPr>
                <w:color w:val="1C3A36"/>
                <w:sz w:val="14"/>
              </w:rPr>
              <w:t>DERIVED</w:t>
            </w:r>
          </w:p>
        </w:tc>
        <w:tc>
          <w:tcPr>
            <w:tcW w:type="dxa" w:w="662"/>
          </w:tcPr>
          <w:p>
            <w:pPr>
              <w:spacing w:after="0"/>
            </w:pPr>
            <w:r>
              <w:rPr>
                <w:color w:val="1C3A36"/>
                <w:sz w:val="14"/>
              </w:rPr>
              <w:t>Q-06, Q-07, Q-10</w:t>
            </w:r>
          </w:p>
        </w:tc>
        <w:tc>
          <w:tcPr>
            <w:tcW w:type="dxa" w:w="7373"/>
          </w:tcPr>
          <w:p>
            <w:pPr>
              <w:spacing w:after="0"/>
            </w:pPr>
            <w:r>
              <w:rPr>
                <w:color w:val="1C3A36"/>
                <w:sz w:val="14"/>
              </w:rPr>
              <w:t>EBITDA − (PBT + net finance) = 507.2 − (405.8 + 65.1) = 36.3. THE anchor for the D&amp;A driver — see C-05.</w:t>
            </w:r>
          </w:p>
        </w:tc>
      </w:tr>
      <w:tr>
        <w:tc>
          <w:tcPr>
            <w:tcW w:type="dxa" w:w="605"/>
          </w:tcPr>
          <w:p>
            <w:pPr>
              <w:spacing w:after="0"/>
            </w:pPr>
            <w:r>
              <w:rPr>
                <w:b/>
                <w:color w:val="1C3A36"/>
                <w:sz w:val="14"/>
              </w:rPr>
              <w:t>Q-12</w:t>
            </w:r>
          </w:p>
        </w:tc>
        <w:tc>
          <w:tcPr>
            <w:tcW w:type="dxa" w:w="2678"/>
          </w:tcPr>
          <w:p>
            <w:pPr>
              <w:spacing w:after="0"/>
            </w:pPr>
            <w:r>
              <w:rPr>
                <w:color w:val="1C3A36"/>
                <w:sz w:val="14"/>
              </w:rPr>
              <w:t>Chargeable trips</w:t>
            </w:r>
          </w:p>
        </w:tc>
        <w:tc>
          <w:tcPr>
            <w:tcW w:type="dxa" w:w="2045"/>
          </w:tcPr>
          <w:p>
            <w:pPr>
              <w:spacing w:after="0"/>
            </w:pPr>
            <w:r>
              <w:rPr>
                <w:color w:val="1C3A36"/>
                <w:sz w:val="14"/>
              </w:rPr>
              <w:t>145.7 mn (−7.7%)</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Q-13</w:t>
            </w:r>
          </w:p>
        </w:tc>
        <w:tc>
          <w:tcPr>
            <w:tcW w:type="dxa" w:w="2678"/>
          </w:tcPr>
          <w:p>
            <w:pPr>
              <w:spacing w:after="0"/>
            </w:pPr>
            <w:r>
              <w:rPr>
                <w:color w:val="1C3A36"/>
                <w:sz w:val="14"/>
              </w:rPr>
              <w:t>Total trips</w:t>
            </w:r>
          </w:p>
        </w:tc>
        <w:tc>
          <w:tcPr>
            <w:tcW w:type="dxa" w:w="2045"/>
          </w:tcPr>
          <w:p>
            <w:pPr>
              <w:spacing w:after="0"/>
            </w:pPr>
            <w:r>
              <w:rPr>
                <w:color w:val="1C3A36"/>
                <w:sz w:val="14"/>
              </w:rPr>
              <w:t>197.2 mn (−6.4%)</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Q-14</w:t>
            </w:r>
          </w:p>
        </w:tc>
        <w:tc>
          <w:tcPr>
            <w:tcW w:type="dxa" w:w="2678"/>
          </w:tcPr>
          <w:p>
            <w:pPr>
              <w:spacing w:after="0"/>
            </w:pPr>
            <w:r>
              <w:rPr>
                <w:color w:val="1C3A36"/>
                <w:sz w:val="14"/>
              </w:rPr>
              <w:t>PEAK trips (charged AED 6)</w:t>
            </w:r>
          </w:p>
        </w:tc>
        <w:tc>
          <w:tcPr>
            <w:tcW w:type="dxa" w:w="2045"/>
          </w:tcPr>
          <w:p>
            <w:pPr>
              <w:spacing w:after="0"/>
            </w:pPr>
            <w:r>
              <w:rPr>
                <w:color w:val="1C3A36"/>
                <w:sz w:val="14"/>
              </w:rPr>
              <w:t>53.7 mn (+36.6%)</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The +36.6% is a BASE-PERIOD ARTEFACT, not a demand signal — variable pricing began 31 Jan 2025, so a third of the Q1-2025 base had no peak tier. We do not use it as a demand signal.</w:t>
            </w:r>
          </w:p>
        </w:tc>
      </w:tr>
      <w:tr>
        <w:tc>
          <w:tcPr>
            <w:tcW w:type="dxa" w:w="605"/>
          </w:tcPr>
          <w:p>
            <w:pPr>
              <w:spacing w:after="0"/>
            </w:pPr>
            <w:r>
              <w:rPr>
                <w:b/>
                <w:color w:val="1C3A36"/>
                <w:sz w:val="14"/>
              </w:rPr>
              <w:t>Q-15</w:t>
            </w:r>
          </w:p>
        </w:tc>
        <w:tc>
          <w:tcPr>
            <w:tcW w:type="dxa" w:w="2678"/>
          </w:tcPr>
          <w:p>
            <w:pPr>
              <w:spacing w:after="0"/>
            </w:pPr>
            <w:r>
              <w:rPr>
                <w:color w:val="1C3A36"/>
                <w:sz w:val="14"/>
              </w:rPr>
              <w:t>OFF-PEAK trips (charged AED 4)</w:t>
            </w:r>
          </w:p>
        </w:tc>
        <w:tc>
          <w:tcPr>
            <w:tcW w:type="dxa" w:w="2045"/>
          </w:tcPr>
          <w:p>
            <w:pPr>
              <w:spacing w:after="0"/>
            </w:pPr>
            <w:r>
              <w:rPr>
                <w:color w:val="1C3A36"/>
                <w:sz w:val="14"/>
              </w:rPr>
              <w:t>75.9 mn (−29.4%)</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Same artefact, inverted.</w:t>
            </w:r>
          </w:p>
        </w:tc>
      </w:tr>
      <w:tr>
        <w:tc>
          <w:tcPr>
            <w:tcW w:type="dxa" w:w="605"/>
            <w:shd w:val="clear" w:color="auto" w:fill="F6F1E6"/>
          </w:tcPr>
          <w:p>
            <w:pPr>
              <w:spacing w:after="0"/>
            </w:pPr>
            <w:r>
              <w:rPr>
                <w:b/>
                <w:color w:val="1C3A36"/>
                <w:sz w:val="14"/>
              </w:rPr>
              <w:t>Q-16</w:t>
            </w:r>
          </w:p>
        </w:tc>
        <w:tc>
          <w:tcPr>
            <w:tcW w:type="dxa" w:w="2678"/>
            <w:shd w:val="clear" w:color="auto" w:fill="F6F1E6"/>
          </w:tcPr>
          <w:p>
            <w:pPr>
              <w:spacing w:after="0"/>
            </w:pPr>
            <w:r>
              <w:rPr>
                <w:color w:val="1C3A36"/>
                <w:sz w:val="14"/>
              </w:rPr>
              <w:t>THE AUDIT RECEIPT: 6 × Q-14 + 4 × Q-15</w:t>
            </w:r>
          </w:p>
        </w:tc>
        <w:tc>
          <w:tcPr>
            <w:tcW w:type="dxa" w:w="2045"/>
            <w:shd w:val="clear" w:color="auto" w:fill="F6F1E6"/>
          </w:tcPr>
          <w:p>
            <w:pPr>
              <w:spacing w:after="0"/>
            </w:pPr>
            <w:r>
              <w:rPr>
                <w:color w:val="1C3A36"/>
                <w:sz w:val="14"/>
              </w:rPr>
              <w:t>AED 625.8 mn vs AED 625.5 reported — +0.05%</w:t>
            </w:r>
          </w:p>
        </w:tc>
        <w:tc>
          <w:tcPr>
            <w:tcW w:type="dxa" w:w="1037"/>
            <w:shd w:val="clear" w:color="auto" w:fill="F6F1E6"/>
          </w:tcPr>
          <w:p>
            <w:pPr>
              <w:spacing w:after="0"/>
            </w:pPr>
            <w:r>
              <w:rPr>
                <w:color w:val="1C3A36"/>
                <w:sz w:val="14"/>
              </w:rPr>
              <w:t>DERIVED</w:t>
            </w:r>
          </w:p>
        </w:tc>
        <w:tc>
          <w:tcPr>
            <w:tcW w:type="dxa" w:w="662"/>
            <w:shd w:val="clear" w:color="auto" w:fill="F6F1E6"/>
          </w:tcPr>
          <w:p>
            <w:pPr>
              <w:spacing w:after="0"/>
            </w:pPr>
            <w:r>
              <w:rPr>
                <w:color w:val="1C3A36"/>
                <w:sz w:val="14"/>
              </w:rPr>
              <w:t>Q-02, Q-14, Q-15</w:t>
            </w:r>
          </w:p>
        </w:tc>
        <w:tc>
          <w:tcPr>
            <w:tcW w:type="dxa" w:w="7373"/>
            <w:shd w:val="clear" w:color="auto" w:fill="F6F1E6"/>
          </w:tcPr>
          <w:p>
            <w:pPr>
              <w:spacing w:after="0"/>
            </w:pPr>
            <w:r>
              <w:rPr>
                <w:color w:val="1C3A36"/>
                <w:sz w:val="14"/>
              </w:rPr>
              <w:t>This is what makes the toll driver BOTTOM-UP rather than assumed. The disclosed tariff split reproduces reported toll revenue to five hundredths of one per cent.</w:t>
            </w:r>
          </w:p>
        </w:tc>
      </w:tr>
      <w:tr>
        <w:tc>
          <w:tcPr>
            <w:tcW w:type="dxa" w:w="605"/>
            <w:shd w:val="clear" w:color="auto" w:fill="F6E2DA"/>
          </w:tcPr>
          <w:p>
            <w:pPr>
              <w:spacing w:after="0"/>
            </w:pPr>
            <w:r>
              <w:rPr>
                <w:b/>
                <w:color w:val="1C3A36"/>
                <w:sz w:val="14"/>
              </w:rPr>
              <w:t>Q-17</w:t>
            </w:r>
          </w:p>
        </w:tc>
        <w:tc>
          <w:tcPr>
            <w:tcW w:type="dxa" w:w="2678"/>
            <w:shd w:val="clear" w:color="auto" w:fill="F6E2DA"/>
          </w:tcPr>
          <w:p>
            <w:pPr>
              <w:spacing w:after="0"/>
            </w:pPr>
            <w:r>
              <w:rPr>
                <w:color w:val="1C3A36"/>
                <w:sz w:val="14"/>
              </w:rPr>
              <w:t>Residual: chargeable trips less trips that PAID</w:t>
            </w:r>
          </w:p>
        </w:tc>
        <w:tc>
          <w:tcPr>
            <w:tcW w:type="dxa" w:w="2045"/>
            <w:shd w:val="clear" w:color="auto" w:fill="F6E2DA"/>
          </w:tcPr>
          <w:p>
            <w:pPr>
              <w:spacing w:after="0"/>
            </w:pPr>
            <w:r>
              <w:rPr>
                <w:color w:val="1C3A36"/>
                <w:sz w:val="14"/>
              </w:rPr>
              <w:t>16.1 mn (11.1% of chargeable)</w:t>
            </w:r>
          </w:p>
        </w:tc>
        <w:tc>
          <w:tcPr>
            <w:tcW w:type="dxa" w:w="1037"/>
            <w:shd w:val="clear" w:color="auto" w:fill="F6E2DA"/>
          </w:tcPr>
          <w:p>
            <w:pPr>
              <w:spacing w:after="0"/>
            </w:pPr>
            <w:r>
              <w:rPr>
                <w:color w:val="1C3A36"/>
                <w:sz w:val="14"/>
              </w:rPr>
              <w:t>NOT SOURCED</w:t>
            </w:r>
          </w:p>
        </w:tc>
        <w:tc>
          <w:tcPr>
            <w:tcW w:type="dxa" w:w="662"/>
            <w:shd w:val="clear" w:color="auto" w:fill="F6E2DA"/>
          </w:tcPr>
          <w:p>
            <w:pPr>
              <w:spacing w:after="0"/>
            </w:pPr>
            <w:r>
              <w:rPr>
                <w:color w:val="1C3A36"/>
                <w:sz w:val="14"/>
              </w:rPr>
              <w:t>—</w:t>
            </w:r>
          </w:p>
        </w:tc>
        <w:tc>
          <w:tcPr>
            <w:tcW w:type="dxa" w:w="7373"/>
            <w:shd w:val="clear" w:color="auto" w:fill="F6E2DA"/>
          </w:tcPr>
          <w:p>
            <w:pPr>
              <w:spacing w:after="0"/>
            </w:pPr>
            <w:r>
              <w:rPr>
                <w:color w:val="1C3A36"/>
                <w:sz w:val="14"/>
              </w:rPr>
              <w:t>SEE D-06. We report it. We do NOT attribute it. Our earlier attribution is WITHDRAWN.</w:t>
            </w:r>
          </w:p>
        </w:tc>
      </w:tr>
      <w:tr>
        <w:tc>
          <w:tcPr>
            <w:tcW w:type="dxa" w:w="605"/>
          </w:tcPr>
          <w:p>
            <w:pPr>
              <w:spacing w:after="0"/>
            </w:pPr>
            <w:r>
              <w:rPr>
                <w:b/>
                <w:color w:val="1C3A36"/>
                <w:sz w:val="14"/>
              </w:rPr>
              <w:t>Q-18</w:t>
            </w:r>
          </w:p>
        </w:tc>
        <w:tc>
          <w:tcPr>
            <w:tcW w:type="dxa" w:w="2678"/>
          </w:tcPr>
          <w:p>
            <w:pPr>
              <w:spacing w:after="0"/>
            </w:pPr>
            <w:r>
              <w:rPr>
                <w:color w:val="1C3A36"/>
                <w:sz w:val="14"/>
              </w:rPr>
              <w:t>Effective realised toll</w:t>
            </w:r>
          </w:p>
        </w:tc>
        <w:tc>
          <w:tcPr>
            <w:tcW w:type="dxa" w:w="2045"/>
          </w:tcPr>
          <w:p>
            <w:pPr>
              <w:spacing w:after="0"/>
            </w:pPr>
            <w:r>
              <w:rPr>
                <w:color w:val="1C3A36"/>
                <w:sz w:val="14"/>
              </w:rPr>
              <w:t>AED 4.293</w:t>
            </w:r>
          </w:p>
        </w:tc>
        <w:tc>
          <w:tcPr>
            <w:tcW w:type="dxa" w:w="1037"/>
          </w:tcPr>
          <w:p>
            <w:pPr>
              <w:spacing w:after="0"/>
            </w:pPr>
            <w:r>
              <w:rPr>
                <w:color w:val="1C3A36"/>
                <w:sz w:val="14"/>
              </w:rPr>
              <w:t>DERIVED</w:t>
            </w:r>
          </w:p>
        </w:tc>
        <w:tc>
          <w:tcPr>
            <w:tcW w:type="dxa" w:w="662"/>
          </w:tcPr>
          <w:p>
            <w:pPr>
              <w:spacing w:after="0"/>
            </w:pPr>
            <w:r>
              <w:rPr>
                <w:color w:val="1C3A36"/>
                <w:sz w:val="14"/>
              </w:rPr>
              <w:t>Q-02 / Q-12</w:t>
            </w:r>
          </w:p>
        </w:tc>
        <w:tc>
          <w:tcPr>
            <w:tcW w:type="dxa" w:w="7373"/>
          </w:tcPr>
          <w:p>
            <w:pPr>
              <w:spacing w:after="0"/>
            </w:pPr>
            <w:r>
              <w:rPr>
                <w:color w:val="1C3A36"/>
                <w:sz w:val="14"/>
              </w:rPr>
              <w:t>625.5 / 145.7.</w:t>
            </w:r>
          </w:p>
        </w:tc>
      </w:tr>
      <w:tr>
        <w:tc>
          <w:tcPr>
            <w:tcW w:type="dxa" w:w="605"/>
          </w:tcPr>
          <w:p>
            <w:pPr>
              <w:spacing w:after="0"/>
            </w:pPr>
            <w:r>
              <w:rPr>
                <w:b/>
                <w:color w:val="1C3A36"/>
                <w:sz w:val="14"/>
              </w:rPr>
              <w:t>Q-19</w:t>
            </w:r>
          </w:p>
        </w:tc>
        <w:tc>
          <w:tcPr>
            <w:tcW w:type="dxa" w:w="2678"/>
          </w:tcPr>
          <w:p>
            <w:pPr>
              <w:spacing w:after="0"/>
            </w:pPr>
            <w:r>
              <w:rPr>
                <w:color w:val="1C3A36"/>
                <w:sz w:val="14"/>
              </w:rPr>
              <w:t>Free cash flow</w:t>
            </w:r>
          </w:p>
        </w:tc>
        <w:tc>
          <w:tcPr>
            <w:tcW w:type="dxa" w:w="2045"/>
          </w:tcPr>
          <w:p>
            <w:pPr>
              <w:spacing w:after="0"/>
            </w:pPr>
            <w:r>
              <w:rPr>
                <w:color w:val="1C3A36"/>
                <w:sz w:val="14"/>
              </w:rPr>
              <w:t>AED 636.5 mn (87.3% margin)</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EXCEEDS EBITDA. Not an error — the negative working-capital float deepened AED 172 mn in the quarter.</w:t>
            </w:r>
          </w:p>
        </w:tc>
      </w:tr>
      <w:tr>
        <w:tc>
          <w:tcPr>
            <w:tcW w:type="dxa" w:w="605"/>
          </w:tcPr>
          <w:p>
            <w:pPr>
              <w:spacing w:after="0"/>
            </w:pPr>
            <w:r>
              <w:rPr>
                <w:b/>
                <w:color w:val="1C3A36"/>
                <w:sz w:val="14"/>
              </w:rPr>
              <w:t>Q-20</w:t>
            </w:r>
          </w:p>
        </w:tc>
        <w:tc>
          <w:tcPr>
            <w:tcW w:type="dxa" w:w="2678"/>
          </w:tcPr>
          <w:p>
            <w:pPr>
              <w:spacing w:after="0"/>
            </w:pPr>
            <w:r>
              <w:rPr>
                <w:color w:val="1C3A36"/>
                <w:sz w:val="14"/>
              </w:rPr>
              <w:t>Net debt / leverage / covenant</w:t>
            </w:r>
          </w:p>
        </w:tc>
        <w:tc>
          <w:tcPr>
            <w:tcW w:type="dxa" w:w="2045"/>
          </w:tcPr>
          <w:p>
            <w:pPr>
              <w:spacing w:after="0"/>
            </w:pPr>
            <w:r>
              <w:rPr>
                <w:color w:val="1C3A36"/>
                <w:sz w:val="14"/>
              </w:rPr>
              <w:t>AED 4,226.4 mn / 1.98× / 5.0×</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tcPr>
          <w:p>
            <w:pPr>
              <w:spacing w:after="0"/>
            </w:pPr>
            <w:r>
              <w:rPr>
                <w:b/>
                <w:color w:val="1C3A36"/>
                <w:sz w:val="14"/>
              </w:rPr>
              <w:t>Q-21</w:t>
            </w:r>
          </w:p>
        </w:tc>
        <w:tc>
          <w:tcPr>
            <w:tcW w:type="dxa" w:w="2678"/>
          </w:tcPr>
          <w:p>
            <w:pPr>
              <w:spacing w:after="0"/>
            </w:pPr>
            <w:r>
              <w:rPr>
                <w:color w:val="1C3A36"/>
                <w:sz w:val="14"/>
              </w:rPr>
              <w:t>Net working capital</w:t>
            </w:r>
          </w:p>
        </w:tc>
        <w:tc>
          <w:tcPr>
            <w:tcW w:type="dxa" w:w="2045"/>
          </w:tcPr>
          <w:p>
            <w:pPr>
              <w:spacing w:after="0"/>
            </w:pPr>
            <w:r>
              <w:rPr>
                <w:color w:val="1C3A36"/>
                <w:sz w:val="14"/>
              </w:rPr>
              <w:t>(AED 846.0 mn)</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r>
        <w:tc>
          <w:tcPr>
            <w:tcW w:type="dxa" w:w="605"/>
            <w:shd w:val="clear" w:color="auto" w:fill="F6F1E6"/>
          </w:tcPr>
          <w:p>
            <w:pPr>
              <w:spacing w:after="0"/>
            </w:pPr>
            <w:r>
              <w:rPr>
                <w:b/>
                <w:color w:val="1C3A36"/>
                <w:sz w:val="14"/>
              </w:rPr>
              <w:t>Q-22</w:t>
            </w:r>
          </w:p>
        </w:tc>
        <w:tc>
          <w:tcPr>
            <w:tcW w:type="dxa" w:w="2678"/>
            <w:shd w:val="clear" w:color="auto" w:fill="F6F1E6"/>
          </w:tcPr>
          <w:p>
            <w:pPr>
              <w:spacing w:after="0"/>
            </w:pPr>
            <w:r>
              <w:rPr>
                <w:color w:val="1C3A36"/>
                <w:sz w:val="14"/>
              </w:rPr>
              <w:t>Registered active accounts / vehicles</w:t>
            </w:r>
          </w:p>
        </w:tc>
        <w:tc>
          <w:tcPr>
            <w:tcW w:type="dxa" w:w="2045"/>
            <w:shd w:val="clear" w:color="auto" w:fill="F6F1E6"/>
          </w:tcPr>
          <w:p>
            <w:pPr>
              <w:spacing w:after="0"/>
            </w:pPr>
            <w:r>
              <w:rPr>
                <w:color w:val="1C3A36"/>
                <w:sz w:val="14"/>
              </w:rPr>
              <w:t>+7.5% y/y / +8.4% y/y</w:t>
            </w:r>
          </w:p>
        </w:tc>
        <w:tc>
          <w:tcPr>
            <w:tcW w:type="dxa" w:w="1037"/>
            <w:shd w:val="clear" w:color="auto" w:fill="F6F1E6"/>
          </w:tcPr>
          <w:p>
            <w:pPr>
              <w:spacing w:after="0"/>
            </w:pPr>
            <w:r>
              <w:rPr>
                <w:color w:val="1C3A36"/>
                <w:sz w:val="14"/>
              </w:rPr>
              <w:t>SOURCED</w:t>
            </w:r>
          </w:p>
        </w:tc>
        <w:tc>
          <w:tcPr>
            <w:tcW w:type="dxa" w:w="662"/>
            <w:shd w:val="clear" w:color="auto" w:fill="F6F1E6"/>
          </w:tcPr>
          <w:p>
            <w:pPr>
              <w:spacing w:after="0"/>
            </w:pPr>
            <w:r>
              <w:rPr>
                <w:color w:val="1C3A36"/>
                <w:sz w:val="14"/>
              </w:rPr>
              <w:t>S-01</w:t>
            </w:r>
          </w:p>
        </w:tc>
        <w:tc>
          <w:tcPr>
            <w:tcW w:type="dxa" w:w="7373"/>
            <w:shd w:val="clear" w:color="auto" w:fill="F6F1E6"/>
          </w:tcPr>
          <w:p>
            <w:pPr>
              <w:spacing w:after="0"/>
            </w:pPr>
            <w:r>
              <w:rPr>
                <w:color w:val="1C3A36"/>
                <w:sz w:val="14"/>
              </w:rPr>
              <w:t>THE key company datum. The customer base GREW while trips fell 7.7%. It is why we treat the shock as a UTILISATION shock and not a POPULATION shock — and therefore why we model a recovery at all.</w:t>
            </w:r>
          </w:p>
        </w:tc>
      </w:tr>
      <w:tr>
        <w:tc>
          <w:tcPr>
            <w:tcW w:type="dxa" w:w="605"/>
          </w:tcPr>
          <w:p>
            <w:pPr>
              <w:spacing w:after="0"/>
            </w:pPr>
            <w:r>
              <w:rPr>
                <w:b/>
                <w:color w:val="1C3A36"/>
                <w:sz w:val="14"/>
              </w:rPr>
              <w:t>Q-23</w:t>
            </w:r>
          </w:p>
        </w:tc>
        <w:tc>
          <w:tcPr>
            <w:tcW w:type="dxa" w:w="2678"/>
          </w:tcPr>
          <w:p>
            <w:pPr>
              <w:spacing w:after="0"/>
            </w:pPr>
            <w:r>
              <w:rPr>
                <w:color w:val="1C3A36"/>
                <w:sz w:val="14"/>
              </w:rPr>
              <w:t>Credit ratings</w:t>
            </w:r>
          </w:p>
        </w:tc>
        <w:tc>
          <w:tcPr>
            <w:tcW w:type="dxa" w:w="2045"/>
          </w:tcPr>
          <w:p>
            <w:pPr>
              <w:spacing w:after="0"/>
            </w:pPr>
            <w:r>
              <w:rPr>
                <w:color w:val="1C3A36"/>
                <w:sz w:val="14"/>
              </w:rPr>
              <w:t>Fitch A (Nov-25); Moody’s A3 (Dec-25)</w:t>
            </w:r>
          </w:p>
        </w:tc>
        <w:tc>
          <w:tcPr>
            <w:tcW w:type="dxa" w:w="1037"/>
          </w:tcPr>
          <w:p>
            <w:pPr>
              <w:spacing w:after="0"/>
            </w:pPr>
            <w:r>
              <w:rPr>
                <w:color w:val="1C3A36"/>
                <w:sz w:val="14"/>
              </w:rPr>
              <w:t>SOURCED</w:t>
            </w:r>
          </w:p>
        </w:tc>
        <w:tc>
          <w:tcPr>
            <w:tcW w:type="dxa" w:w="662"/>
          </w:tcPr>
          <w:p>
            <w:pPr>
              <w:spacing w:after="0"/>
            </w:pPr>
            <w:r>
              <w:rPr>
                <w:color w:val="1C3A36"/>
                <w:sz w:val="14"/>
              </w:rPr>
              <w:t>S-01</w:t>
            </w:r>
          </w:p>
        </w:tc>
        <w:tc>
          <w:tcPr>
            <w:tcW w:type="dxa" w:w="7373"/>
          </w:tcPr>
          <w:p>
            <w:pPr>
              <w:spacing w:after="0"/>
            </w:pPr>
            <w:r>
              <w:rPr>
                <w:color w:val="1C3A36"/>
                <w:sz w:val="14"/>
              </w:rPr>
              <w:t>—</w:t>
            </w:r>
          </w:p>
        </w:tc>
      </w:tr>
    </w:tbl>
    <w:p>
      <w:pPr>
        <w:spacing w:after="40"/>
      </w:pPr>
    </w:p>
    <w:p>
      <w:r>
        <w:br w:type="page"/>
      </w:r>
    </w:p>
    <w:p>
      <w:pPr>
        <w:spacing w:after="60" w:before="160"/>
      </w:pPr>
      <w:r>
        <w:rPr>
          <w:b/>
          <w:i w:val="0"/>
          <w:color w:val="1C3A36"/>
          <w:sz w:val="21"/>
        </w:rPr>
        <w:t>2.4 The concession — the contract that IS the business</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477"/>
            <w:shd w:val="clear" w:color="auto" w:fill="EAF0EE"/>
          </w:tcPr>
          <w:p>
            <w:pPr>
              <w:spacing w:after="0"/>
            </w:pPr>
            <w:r>
              <w:rPr>
                <w:b/>
                <w:color w:val="1C3A36"/>
                <w:sz w:val="14"/>
              </w:rPr>
              <w:t>Figure</w:t>
            </w:r>
          </w:p>
        </w:tc>
        <w:tc>
          <w:tcPr>
            <w:tcW w:type="dxa" w:w="1930"/>
            <w:shd w:val="clear" w:color="auto" w:fill="EAF0EE"/>
          </w:tcPr>
          <w:p>
            <w:pPr>
              <w:spacing w:after="0"/>
            </w:pPr>
            <w:r>
              <w:rPr>
                <w:b/>
                <w:color w:val="1C3A36"/>
                <w:sz w:val="14"/>
              </w:rPr>
              <w:t>Value</w:t>
            </w:r>
          </w:p>
        </w:tc>
        <w:tc>
          <w:tcPr>
            <w:tcW w:type="dxa" w:w="950"/>
            <w:shd w:val="clear" w:color="auto" w:fill="EAF0EE"/>
          </w:tcPr>
          <w:p>
            <w:pPr>
              <w:spacing w:after="0"/>
            </w:pPr>
            <w:r>
              <w:rPr>
                <w:b/>
                <w:color w:val="1C3A36"/>
                <w:sz w:val="14"/>
              </w:rPr>
              <w:t>Class</w:t>
            </w:r>
          </w:p>
        </w:tc>
        <w:tc>
          <w:tcPr>
            <w:tcW w:type="dxa" w:w="1066"/>
            <w:shd w:val="clear" w:color="auto" w:fill="EAF0EE"/>
          </w:tcPr>
          <w:p>
            <w:pPr>
              <w:spacing w:after="0"/>
            </w:pPr>
            <w:r>
              <w:rPr>
                <w:b/>
                <w:color w:val="1C3A36"/>
                <w:sz w:val="14"/>
              </w:rPr>
              <w:t>Src</w:t>
            </w:r>
          </w:p>
        </w:tc>
        <w:tc>
          <w:tcPr>
            <w:tcW w:type="dxa" w:w="7373"/>
            <w:shd w:val="clear" w:color="auto" w:fill="EAF0EE"/>
          </w:tcPr>
          <w:p>
            <w:pPr>
              <w:spacing w:after="0"/>
            </w:pPr>
            <w:r>
              <w:rPr>
                <w:b/>
                <w:color w:val="1C3A36"/>
                <w:sz w:val="14"/>
              </w:rPr>
              <w:t>Trace / note</w:t>
            </w:r>
          </w:p>
        </w:tc>
      </w:tr>
      <w:tr>
        <w:tc>
          <w:tcPr>
            <w:tcW w:type="dxa" w:w="605"/>
          </w:tcPr>
          <w:p>
            <w:pPr>
              <w:spacing w:after="0"/>
            </w:pPr>
            <w:r>
              <w:rPr>
                <w:b/>
                <w:color w:val="1C3A36"/>
                <w:sz w:val="14"/>
              </w:rPr>
              <w:t>C-01</w:t>
            </w:r>
          </w:p>
        </w:tc>
        <w:tc>
          <w:tcPr>
            <w:tcW w:type="dxa" w:w="2477"/>
          </w:tcPr>
          <w:p>
            <w:pPr>
              <w:spacing w:after="0"/>
            </w:pPr>
            <w:r>
              <w:rPr>
                <w:color w:val="1C3A36"/>
                <w:sz w:val="14"/>
              </w:rPr>
              <w:t>Concession term</w:t>
            </w:r>
          </w:p>
        </w:tc>
        <w:tc>
          <w:tcPr>
            <w:tcW w:type="dxa" w:w="1930"/>
          </w:tcPr>
          <w:p>
            <w:pPr>
              <w:spacing w:after="0"/>
            </w:pPr>
            <w:r>
              <w:rPr>
                <w:color w:val="1C3A36"/>
                <w:sz w:val="14"/>
              </w:rPr>
              <w:t>49 years, 1 Jul 2022 – 30 Jun 2071</w:t>
            </w:r>
          </w:p>
        </w:tc>
        <w:tc>
          <w:tcPr>
            <w:tcW w:type="dxa" w:w="950"/>
          </w:tcPr>
          <w:p>
            <w:pPr>
              <w:spacing w:after="0"/>
            </w:pPr>
            <w:r>
              <w:rPr>
                <w:color w:val="1C3A36"/>
                <w:sz w:val="14"/>
              </w:rPr>
              <w:t>SOURCED</w:t>
            </w:r>
          </w:p>
        </w:tc>
        <w:tc>
          <w:tcPr>
            <w:tcW w:type="dxa" w:w="1066"/>
          </w:tcPr>
          <w:p>
            <w:pPr>
              <w:spacing w:after="0"/>
            </w:pPr>
            <w:r>
              <w:rPr>
                <w:color w:val="1C3A36"/>
                <w:sz w:val="14"/>
              </w:rPr>
              <w:t>S-04, S-07</w:t>
            </w:r>
          </w:p>
        </w:tc>
        <w:tc>
          <w:tcPr>
            <w:tcW w:type="dxa" w:w="7373"/>
          </w:tcPr>
          <w:p>
            <w:pPr>
              <w:spacing w:after="0"/>
            </w:pPr>
            <w:r>
              <w:rPr>
                <w:color w:val="1C3A36"/>
                <w:sz w:val="14"/>
              </w:rPr>
              <w:t>—</w:t>
            </w:r>
          </w:p>
        </w:tc>
      </w:tr>
      <w:tr>
        <w:tc>
          <w:tcPr>
            <w:tcW w:type="dxa" w:w="605"/>
          </w:tcPr>
          <w:p>
            <w:pPr>
              <w:spacing w:after="0"/>
            </w:pPr>
            <w:r>
              <w:rPr>
                <w:b/>
                <w:color w:val="1C3A36"/>
                <w:sz w:val="14"/>
              </w:rPr>
              <w:t>C-02</w:t>
            </w:r>
          </w:p>
        </w:tc>
        <w:tc>
          <w:tcPr>
            <w:tcW w:type="dxa" w:w="2477"/>
          </w:tcPr>
          <w:p>
            <w:pPr>
              <w:spacing w:after="0"/>
            </w:pPr>
            <w:r>
              <w:rPr>
                <w:color w:val="1C3A36"/>
                <w:sz w:val="14"/>
              </w:rPr>
              <w:t>Upfront paid for the ORIGINAL 8 gates</w:t>
            </w:r>
          </w:p>
        </w:tc>
        <w:tc>
          <w:tcPr>
            <w:tcW w:type="dxa" w:w="1930"/>
          </w:tcPr>
          <w:p>
            <w:pPr>
              <w:spacing w:after="0"/>
            </w:pPr>
            <w:r>
              <w:rPr>
                <w:color w:val="1C3A36"/>
                <w:sz w:val="14"/>
              </w:rPr>
              <w:t>AED 4,200 mn</w:t>
            </w:r>
          </w:p>
        </w:tc>
        <w:tc>
          <w:tcPr>
            <w:tcW w:type="dxa" w:w="950"/>
          </w:tcPr>
          <w:p>
            <w:pPr>
              <w:spacing w:after="0"/>
            </w:pPr>
            <w:r>
              <w:rPr>
                <w:color w:val="1C3A36"/>
                <w:sz w:val="14"/>
              </w:rPr>
              <w:t>SOURCED</w:t>
            </w:r>
          </w:p>
        </w:tc>
        <w:tc>
          <w:tcPr>
            <w:tcW w:type="dxa" w:w="1066"/>
          </w:tcPr>
          <w:p>
            <w:pPr>
              <w:spacing w:after="0"/>
            </w:pPr>
            <w:r>
              <w:rPr>
                <w:color w:val="1C3A36"/>
                <w:sz w:val="14"/>
              </w:rPr>
              <w:t>S-07</w:t>
            </w:r>
          </w:p>
        </w:tc>
        <w:tc>
          <w:tcPr>
            <w:tcW w:type="dxa" w:w="7373"/>
          </w:tcPr>
          <w:p>
            <w:pPr>
              <w:spacing w:after="0"/>
            </w:pPr>
            <w:r>
              <w:rPr>
                <w:color w:val="1C3A36"/>
                <w:sz w:val="14"/>
              </w:rPr>
              <w:t>IPO-era, debt-funded.</w:t>
            </w:r>
          </w:p>
        </w:tc>
      </w:tr>
      <w:tr>
        <w:tc>
          <w:tcPr>
            <w:tcW w:type="dxa" w:w="605"/>
            <w:shd w:val="clear" w:color="auto" w:fill="F6F1E6"/>
          </w:tcPr>
          <w:p>
            <w:pPr>
              <w:spacing w:after="0"/>
            </w:pPr>
            <w:r>
              <w:rPr>
                <w:b/>
                <w:color w:val="1C3A36"/>
                <w:sz w:val="14"/>
              </w:rPr>
              <w:t>C-03</w:t>
            </w:r>
          </w:p>
        </w:tc>
        <w:tc>
          <w:tcPr>
            <w:tcW w:type="dxa" w:w="2477"/>
            <w:shd w:val="clear" w:color="auto" w:fill="F6F1E6"/>
          </w:tcPr>
          <w:p>
            <w:pPr>
              <w:spacing w:after="0"/>
            </w:pPr>
            <w:r>
              <w:rPr>
                <w:color w:val="1C3A36"/>
                <w:sz w:val="14"/>
              </w:rPr>
              <w:t>THE 2 NEW GATES — combined valuation</w:t>
            </w:r>
          </w:p>
        </w:tc>
        <w:tc>
          <w:tcPr>
            <w:tcW w:type="dxa" w:w="1930"/>
            <w:shd w:val="clear" w:color="auto" w:fill="F6F1E6"/>
          </w:tcPr>
          <w:p>
            <w:pPr>
              <w:spacing w:after="0"/>
            </w:pPr>
            <w:r>
              <w:rPr>
                <w:color w:val="1C3A36"/>
                <w:sz w:val="14"/>
              </w:rPr>
              <w:t>AED 2,734 mn</w:t>
            </w:r>
          </w:p>
        </w:tc>
        <w:tc>
          <w:tcPr>
            <w:tcW w:type="dxa" w:w="950"/>
            <w:shd w:val="clear" w:color="auto" w:fill="F6F1E6"/>
          </w:tcPr>
          <w:p>
            <w:pPr>
              <w:spacing w:after="0"/>
            </w:pPr>
            <w:r>
              <w:rPr>
                <w:color w:val="1C3A36"/>
                <w:sz w:val="14"/>
              </w:rPr>
              <w:t>SOURCED</w:t>
            </w:r>
          </w:p>
        </w:tc>
        <w:tc>
          <w:tcPr>
            <w:tcW w:type="dxa" w:w="1066"/>
            <w:shd w:val="clear" w:color="auto" w:fill="F6F1E6"/>
          </w:tcPr>
          <w:p>
            <w:pPr>
              <w:spacing w:after="0"/>
            </w:pPr>
            <w:r>
              <w:rPr>
                <w:color w:val="1C3A36"/>
                <w:sz w:val="14"/>
              </w:rPr>
              <w:t>S-08</w:t>
            </w:r>
          </w:p>
        </w:tc>
        <w:tc>
          <w:tcPr>
            <w:tcW w:type="dxa" w:w="7373"/>
            <w:shd w:val="clear" w:color="auto" w:fill="F6F1E6"/>
          </w:tcPr>
          <w:p>
            <w:pPr>
              <w:spacing w:after="0"/>
            </w:pPr>
            <w:r>
              <w:rPr>
                <w:color w:val="1C3A36"/>
                <w:sz w:val="14"/>
              </w:rPr>
              <w:t>Business Bay Crossing AED 2,265 mn + Al Safa South AED 469 mn. CORRECTED in v3 — versions 1 and 2 carried AED 2,700 mn. Our error, caught by an external fact-check.</w:t>
            </w:r>
          </w:p>
        </w:tc>
      </w:tr>
      <w:tr>
        <w:tc>
          <w:tcPr>
            <w:tcW w:type="dxa" w:w="605"/>
          </w:tcPr>
          <w:p>
            <w:pPr>
              <w:spacing w:after="0"/>
            </w:pPr>
            <w:r>
              <w:rPr>
                <w:b/>
                <w:color w:val="1C3A36"/>
                <w:sz w:val="14"/>
              </w:rPr>
              <w:t>C-04</w:t>
            </w:r>
          </w:p>
        </w:tc>
        <w:tc>
          <w:tcPr>
            <w:tcW w:type="dxa" w:w="2477"/>
          </w:tcPr>
          <w:p>
            <w:pPr>
              <w:spacing w:after="0"/>
            </w:pPr>
            <w:r>
              <w:rPr>
                <w:color w:val="1C3A36"/>
                <w:sz w:val="14"/>
              </w:rPr>
              <w:t>The 2 gates became operational</w:t>
            </w:r>
          </w:p>
        </w:tc>
        <w:tc>
          <w:tcPr>
            <w:tcW w:type="dxa" w:w="1930"/>
          </w:tcPr>
          <w:p>
            <w:pPr>
              <w:spacing w:after="0"/>
            </w:pPr>
            <w:r>
              <w:rPr>
                <w:color w:val="1C3A36"/>
                <w:sz w:val="14"/>
              </w:rPr>
              <w:t>24 November 2024</w:t>
            </w:r>
          </w:p>
        </w:tc>
        <w:tc>
          <w:tcPr>
            <w:tcW w:type="dxa" w:w="950"/>
          </w:tcPr>
          <w:p>
            <w:pPr>
              <w:spacing w:after="0"/>
            </w:pPr>
            <w:r>
              <w:rPr>
                <w:color w:val="1C3A36"/>
                <w:sz w:val="14"/>
              </w:rPr>
              <w:t>SOURCED</w:t>
            </w:r>
          </w:p>
        </w:tc>
        <w:tc>
          <w:tcPr>
            <w:tcW w:type="dxa" w:w="1066"/>
          </w:tcPr>
          <w:p>
            <w:pPr>
              <w:spacing w:after="0"/>
            </w:pPr>
            <w:r>
              <w:rPr>
                <w:color w:val="1C3A36"/>
                <w:sz w:val="14"/>
              </w:rPr>
              <w:t>S-04</w:t>
            </w:r>
          </w:p>
        </w:tc>
        <w:tc>
          <w:tcPr>
            <w:tcW w:type="dxa" w:w="7373"/>
          </w:tcPr>
          <w:p>
            <w:pPr>
              <w:spacing w:after="0"/>
            </w:pPr>
            <w:r>
              <w:rPr>
                <w:color w:val="1C3A36"/>
                <w:sz w:val="14"/>
              </w:rPr>
              <w:t>—</w:t>
            </w:r>
          </w:p>
        </w:tc>
      </w:tr>
      <w:tr>
        <w:tc>
          <w:tcPr>
            <w:tcW w:type="dxa" w:w="605"/>
            <w:shd w:val="clear" w:color="auto" w:fill="F6F1E6"/>
          </w:tcPr>
          <w:p>
            <w:pPr>
              <w:spacing w:after="0"/>
            </w:pPr>
            <w:r>
              <w:rPr>
                <w:b/>
                <w:color w:val="1C3A36"/>
                <w:sz w:val="14"/>
              </w:rPr>
              <w:t>C-05</w:t>
            </w:r>
          </w:p>
        </w:tc>
        <w:tc>
          <w:tcPr>
            <w:tcW w:type="dxa" w:w="2477"/>
            <w:shd w:val="clear" w:color="auto" w:fill="F6F1E6"/>
          </w:tcPr>
          <w:p>
            <w:pPr>
              <w:spacing w:after="0"/>
            </w:pPr>
            <w:r>
              <w:rPr>
                <w:color w:val="1C3A36"/>
                <w:sz w:val="14"/>
              </w:rPr>
              <w:t>AMORTISATION of the concession intangible</w:t>
            </w:r>
          </w:p>
        </w:tc>
        <w:tc>
          <w:tcPr>
            <w:tcW w:type="dxa" w:w="1930"/>
            <w:shd w:val="clear" w:color="auto" w:fill="F6F1E6"/>
          </w:tcPr>
          <w:p>
            <w:pPr>
              <w:spacing w:after="0"/>
            </w:pPr>
            <w:r>
              <w:rPr>
                <w:color w:val="1C3A36"/>
                <w:sz w:val="14"/>
              </w:rPr>
              <w:t>AED 144.3 mn / yr</w:t>
            </w:r>
          </w:p>
        </w:tc>
        <w:tc>
          <w:tcPr>
            <w:tcW w:type="dxa" w:w="950"/>
            <w:shd w:val="clear" w:color="auto" w:fill="F6F1E6"/>
          </w:tcPr>
          <w:p>
            <w:pPr>
              <w:spacing w:after="0"/>
            </w:pPr>
            <w:r>
              <w:rPr>
                <w:color w:val="1C3A36"/>
                <w:sz w:val="14"/>
              </w:rPr>
              <w:t>DERIVED</w:t>
            </w:r>
          </w:p>
        </w:tc>
        <w:tc>
          <w:tcPr>
            <w:tcW w:type="dxa" w:w="1066"/>
            <w:shd w:val="clear" w:color="auto" w:fill="F6F1E6"/>
          </w:tcPr>
          <w:p>
            <w:pPr>
              <w:spacing w:after="0"/>
            </w:pPr>
            <w:r>
              <w:rPr>
                <w:color w:val="1C3A36"/>
                <w:sz w:val="14"/>
              </w:rPr>
              <w:t>C-01–C-04</w:t>
            </w:r>
          </w:p>
        </w:tc>
        <w:tc>
          <w:tcPr>
            <w:tcW w:type="dxa" w:w="7373"/>
            <w:shd w:val="clear" w:color="auto" w:fill="F6F1E6"/>
          </w:tcPr>
          <w:p>
            <w:pPr>
              <w:spacing w:after="0"/>
            </w:pPr>
            <w:r>
              <w:rPr>
                <w:color w:val="1C3A36"/>
                <w:sz w:val="14"/>
              </w:rPr>
              <w:t>4,200 / 49.00 yrs (from 1-Jul-2022) = 85.71, PLUS 2,734 / 46.67 yrs (the REMAINING term at the Nov-2024 handover) = 58.58. An intangible cannot outlive its concession. CORRECTED in v3 — versions 1 and 2 ran the new gates over a full 49 yrs. The corrected figure reconciles to the disclosed Q-11 (145.2) within 0.6%; the old one was 3.0% off.</w:t>
            </w:r>
          </w:p>
        </w:tc>
      </w:tr>
      <w:tr>
        <w:tc>
          <w:tcPr>
            <w:tcW w:type="dxa" w:w="605"/>
            <w:shd w:val="clear" w:color="auto" w:fill="F6F1E6"/>
          </w:tcPr>
          <w:p>
            <w:pPr>
              <w:spacing w:after="0"/>
            </w:pPr>
            <w:r>
              <w:rPr>
                <w:b/>
                <w:color w:val="1C3A36"/>
                <w:sz w:val="14"/>
              </w:rPr>
              <w:t>C-06</w:t>
            </w:r>
          </w:p>
        </w:tc>
        <w:tc>
          <w:tcPr>
            <w:tcW w:type="dxa" w:w="2477"/>
            <w:shd w:val="clear" w:color="auto" w:fill="F6F1E6"/>
          </w:tcPr>
          <w:p>
            <w:pPr>
              <w:spacing w:after="0"/>
            </w:pPr>
            <w:r>
              <w:rPr>
                <w:color w:val="1C3A36"/>
                <w:sz w:val="14"/>
              </w:rPr>
              <w:t>RTA REPAYMENT SCHEDULE</w:t>
            </w:r>
          </w:p>
        </w:tc>
        <w:tc>
          <w:tcPr>
            <w:tcW w:type="dxa" w:w="1930"/>
            <w:shd w:val="clear" w:color="auto" w:fill="F6F1E6"/>
          </w:tcPr>
          <w:p>
            <w:pPr>
              <w:spacing w:after="0"/>
            </w:pPr>
            <w:r>
              <w:rPr>
                <w:color w:val="1C3A36"/>
                <w:sz w:val="14"/>
              </w:rPr>
              <w:t>AED 455.7 mn / yr, semi-annual (2 × 227.9), SIX YEARS from end-Nov-2024</w:t>
            </w:r>
          </w:p>
        </w:tc>
        <w:tc>
          <w:tcPr>
            <w:tcW w:type="dxa" w:w="950"/>
            <w:shd w:val="clear" w:color="auto" w:fill="F6F1E6"/>
          </w:tcPr>
          <w:p>
            <w:pPr>
              <w:spacing w:after="0"/>
            </w:pPr>
            <w:r>
              <w:rPr>
                <w:color w:val="1C3A36"/>
                <w:sz w:val="14"/>
              </w:rPr>
              <w:t>SOURCED</w:t>
            </w:r>
          </w:p>
        </w:tc>
        <w:tc>
          <w:tcPr>
            <w:tcW w:type="dxa" w:w="1066"/>
            <w:shd w:val="clear" w:color="auto" w:fill="F6F1E6"/>
          </w:tcPr>
          <w:p>
            <w:pPr>
              <w:spacing w:after="0"/>
            </w:pPr>
            <w:r>
              <w:rPr>
                <w:color w:val="1C3A36"/>
                <w:sz w:val="14"/>
              </w:rPr>
              <w:t>S-03, S-08</w:t>
            </w:r>
          </w:p>
        </w:tc>
        <w:tc>
          <w:tcPr>
            <w:tcW w:type="dxa" w:w="7373"/>
            <w:shd w:val="clear" w:color="auto" w:fill="F6F1E6"/>
          </w:tcPr>
          <w:p>
            <w:pPr>
              <w:spacing w:after="0"/>
            </w:pPr>
            <w:r>
              <w:rPr>
                <w:color w:val="1C3A36"/>
                <w:sz w:val="14"/>
              </w:rPr>
              <w:t>S-03 VERBATIM: "Salik’s repayment plan with the RTA is structured as an annual installment of AED 455.7 million to be paid semi-annually over six years as of the starting date." CHECK: 455.7 × 6 = AED 2,734.2 mn = C-03 EXACTLY. Last instalment Nov-2030. AND — decisively — it is ALREADY INSIDE NET DEBT: S-06 states net debt rose to AED 5,198.6 mn "up from AED 3,163.3 million at the end of September 2024, MAINLY DUE TO THE PAYABLE OF THE CONCESSIONARY RIGHTS TO RTA" (H-18). A jump of AED 2,035 mn in one quarter. See §6, D-01 and D-02.</w:t>
            </w:r>
          </w:p>
        </w:tc>
      </w:tr>
      <w:tr>
        <w:tc>
          <w:tcPr>
            <w:tcW w:type="dxa" w:w="605"/>
          </w:tcPr>
          <w:p>
            <w:pPr>
              <w:spacing w:after="0"/>
            </w:pPr>
            <w:r>
              <w:rPr>
                <w:b/>
                <w:color w:val="1C3A36"/>
                <w:sz w:val="14"/>
              </w:rPr>
              <w:t>C-07</w:t>
            </w:r>
          </w:p>
        </w:tc>
        <w:tc>
          <w:tcPr>
            <w:tcW w:type="dxa" w:w="2477"/>
          </w:tcPr>
          <w:p>
            <w:pPr>
              <w:spacing w:after="0"/>
            </w:pPr>
            <w:r>
              <w:rPr>
                <w:color w:val="1C3A36"/>
                <w:sz w:val="14"/>
              </w:rPr>
              <w:t>Concession fee — current</w:t>
            </w:r>
          </w:p>
        </w:tc>
        <w:tc>
          <w:tcPr>
            <w:tcW w:type="dxa" w:w="1930"/>
          </w:tcPr>
          <w:p>
            <w:pPr>
              <w:spacing w:after="0"/>
            </w:pPr>
            <w:r>
              <w:rPr>
                <w:color w:val="1C3A36"/>
                <w:sz w:val="14"/>
              </w:rPr>
              <w:t>22.5% of TOLL revenue only</w:t>
            </w:r>
          </w:p>
        </w:tc>
        <w:tc>
          <w:tcPr>
            <w:tcW w:type="dxa" w:w="950"/>
          </w:tcPr>
          <w:p>
            <w:pPr>
              <w:spacing w:after="0"/>
            </w:pPr>
            <w:r>
              <w:rPr>
                <w:color w:val="1C3A36"/>
                <w:sz w:val="14"/>
              </w:rPr>
              <w:t>SOURCED</w:t>
            </w:r>
          </w:p>
        </w:tc>
        <w:tc>
          <w:tcPr>
            <w:tcW w:type="dxa" w:w="1066"/>
          </w:tcPr>
          <w:p>
            <w:pPr>
              <w:spacing w:after="0"/>
            </w:pPr>
            <w:r>
              <w:rPr>
                <w:color w:val="1C3A36"/>
                <w:sz w:val="14"/>
              </w:rPr>
              <w:t>S-03, S-11</w:t>
            </w:r>
          </w:p>
        </w:tc>
        <w:tc>
          <w:tcPr>
            <w:tcW w:type="dxa" w:w="7373"/>
          </w:tcPr>
          <w:p>
            <w:pPr>
              <w:spacing w:after="0"/>
            </w:pPr>
            <w:r>
              <w:rPr>
                <w:color w:val="1C3A36"/>
                <w:sz w:val="14"/>
              </w:rPr>
              <w:t>Cut from 25.0% effective 1 Apr 2024 under the inflation-compensation mechanism. Fines, tag fees and ancillary are 100% retained by Salik.</w:t>
            </w:r>
          </w:p>
        </w:tc>
      </w:tr>
      <w:tr>
        <w:tc>
          <w:tcPr>
            <w:tcW w:type="dxa" w:w="605"/>
          </w:tcPr>
          <w:p>
            <w:pPr>
              <w:spacing w:after="0"/>
            </w:pPr>
            <w:r>
              <w:rPr>
                <w:b/>
                <w:color w:val="1C3A36"/>
                <w:sz w:val="14"/>
              </w:rPr>
              <w:t>C-08</w:t>
            </w:r>
          </w:p>
        </w:tc>
        <w:tc>
          <w:tcPr>
            <w:tcW w:type="dxa" w:w="2477"/>
          </w:tcPr>
          <w:p>
            <w:pPr>
              <w:spacing w:after="0"/>
            </w:pPr>
            <w:r>
              <w:rPr>
                <w:color w:val="1C3A36"/>
                <w:sz w:val="14"/>
              </w:rPr>
              <w:t>Concession fee — CAP / FLOOR</w:t>
            </w:r>
          </w:p>
        </w:tc>
        <w:tc>
          <w:tcPr>
            <w:tcW w:type="dxa" w:w="1930"/>
          </w:tcPr>
          <w:p>
            <w:pPr>
              <w:spacing w:after="0"/>
            </w:pPr>
            <w:r>
              <w:rPr>
                <w:color w:val="1C3A36"/>
                <w:sz w:val="14"/>
              </w:rPr>
              <w:t>25% / 15%</w:t>
            </w:r>
          </w:p>
        </w:tc>
        <w:tc>
          <w:tcPr>
            <w:tcW w:type="dxa" w:w="950"/>
          </w:tcPr>
          <w:p>
            <w:pPr>
              <w:spacing w:after="0"/>
            </w:pPr>
            <w:r>
              <w:rPr>
                <w:color w:val="1C3A36"/>
                <w:sz w:val="14"/>
              </w:rPr>
              <w:t>SOURCED</w:t>
            </w:r>
          </w:p>
        </w:tc>
        <w:tc>
          <w:tcPr>
            <w:tcW w:type="dxa" w:w="1066"/>
          </w:tcPr>
          <w:p>
            <w:pPr>
              <w:spacing w:after="0"/>
            </w:pPr>
            <w:r>
              <w:rPr>
                <w:color w:val="1C3A36"/>
                <w:sz w:val="14"/>
              </w:rPr>
              <w:t>S-04</w:t>
            </w:r>
          </w:p>
        </w:tc>
        <w:tc>
          <w:tcPr>
            <w:tcW w:type="dxa" w:w="7373"/>
          </w:tcPr>
          <w:p>
            <w:pPr>
              <w:spacing w:after="0"/>
            </w:pPr>
            <w:r>
              <w:rPr>
                <w:color w:val="1C3A36"/>
                <w:sz w:val="14"/>
              </w:rPr>
              <w:t>If the Executive Council REJECTS a tariff rise, the RTA CUTS the fee. If it approves a higher-than-standard rise, the fee RISES. A two-sided contractual inflation hedge that has already fired once.</w:t>
            </w:r>
          </w:p>
        </w:tc>
      </w:tr>
      <w:tr>
        <w:tc>
          <w:tcPr>
            <w:tcW w:type="dxa" w:w="605"/>
          </w:tcPr>
          <w:p>
            <w:pPr>
              <w:spacing w:after="0"/>
            </w:pPr>
            <w:r>
              <w:rPr>
                <w:b/>
                <w:color w:val="1C3A36"/>
                <w:sz w:val="14"/>
              </w:rPr>
              <w:t>C-09</w:t>
            </w:r>
          </w:p>
        </w:tc>
        <w:tc>
          <w:tcPr>
            <w:tcW w:type="dxa" w:w="2477"/>
          </w:tcPr>
          <w:p>
            <w:pPr>
              <w:spacing w:after="0"/>
            </w:pPr>
            <w:r>
              <w:rPr>
                <w:color w:val="1C3A36"/>
                <w:sz w:val="14"/>
              </w:rPr>
              <w:t>The cushion, in money</w:t>
            </w:r>
          </w:p>
        </w:tc>
        <w:tc>
          <w:tcPr>
            <w:tcW w:type="dxa" w:w="1930"/>
          </w:tcPr>
          <w:p>
            <w:pPr>
              <w:spacing w:after="0"/>
            </w:pPr>
            <w:r>
              <w:rPr>
                <w:color w:val="1C3A36"/>
                <w:sz w:val="14"/>
              </w:rPr>
              <w:t>AED 192 mn/yr = 9.2% of FY26E EBITDA</w:t>
            </w:r>
          </w:p>
        </w:tc>
        <w:tc>
          <w:tcPr>
            <w:tcW w:type="dxa" w:w="950"/>
          </w:tcPr>
          <w:p>
            <w:pPr>
              <w:spacing w:after="0"/>
            </w:pPr>
            <w:r>
              <w:rPr>
                <w:color w:val="1C3A36"/>
                <w:sz w:val="14"/>
              </w:rPr>
              <w:t>DERIVED</w:t>
            </w:r>
          </w:p>
        </w:tc>
        <w:tc>
          <w:tcPr>
            <w:tcW w:type="dxa" w:w="1066"/>
          </w:tcPr>
          <w:p>
            <w:pPr>
              <w:spacing w:after="0"/>
            </w:pPr>
            <w:r>
              <w:rPr>
                <w:color w:val="1C3A36"/>
                <w:sz w:val="14"/>
              </w:rPr>
              <w:t>C-07, C-08</w:t>
            </w:r>
          </w:p>
        </w:tc>
        <w:tc>
          <w:tcPr>
            <w:tcW w:type="dxa" w:w="7373"/>
          </w:tcPr>
          <w:p>
            <w:pPr>
              <w:spacing w:after="0"/>
            </w:pPr>
            <w:r>
              <w:rPr>
                <w:color w:val="1C3A36"/>
                <w:sz w:val="14"/>
              </w:rPr>
              <w:t>(22.5% − 15%) × FY2026E toll revenue.</w:t>
            </w:r>
          </w:p>
        </w:tc>
      </w:tr>
      <w:tr>
        <w:tc>
          <w:tcPr>
            <w:tcW w:type="dxa" w:w="605"/>
          </w:tcPr>
          <w:p>
            <w:pPr>
              <w:spacing w:after="0"/>
            </w:pPr>
            <w:r>
              <w:rPr>
                <w:b/>
                <w:color w:val="1C3A36"/>
                <w:sz w:val="14"/>
              </w:rPr>
              <w:t>C-10</w:t>
            </w:r>
          </w:p>
        </w:tc>
        <w:tc>
          <w:tcPr>
            <w:tcW w:type="dxa" w:w="2477"/>
          </w:tcPr>
          <w:p>
            <w:pPr>
              <w:spacing w:after="0"/>
            </w:pPr>
            <w:r>
              <w:rPr>
                <w:color w:val="1C3A36"/>
                <w:sz w:val="14"/>
              </w:rPr>
              <w:t>Variable pricing — tariffs</w:t>
            </w:r>
          </w:p>
        </w:tc>
        <w:tc>
          <w:tcPr>
            <w:tcW w:type="dxa" w:w="1930"/>
          </w:tcPr>
          <w:p>
            <w:pPr>
              <w:spacing w:after="0"/>
            </w:pPr>
            <w:r>
              <w:rPr>
                <w:color w:val="1C3A36"/>
                <w:sz w:val="14"/>
              </w:rPr>
              <w:t>AED 6 peak / AED 4 off-peak / FREE 01:00–06:00; live 31 Jan 2025</w:t>
            </w:r>
          </w:p>
        </w:tc>
        <w:tc>
          <w:tcPr>
            <w:tcW w:type="dxa" w:w="950"/>
          </w:tcPr>
          <w:p>
            <w:pPr>
              <w:spacing w:after="0"/>
            </w:pPr>
            <w:r>
              <w:rPr>
                <w:color w:val="1C3A36"/>
                <w:sz w:val="14"/>
              </w:rPr>
              <w:t>SOURCED</w:t>
            </w:r>
          </w:p>
        </w:tc>
        <w:tc>
          <w:tcPr>
            <w:tcW w:type="dxa" w:w="1066"/>
          </w:tcPr>
          <w:p>
            <w:pPr>
              <w:spacing w:after="0"/>
            </w:pPr>
            <w:r>
              <w:rPr>
                <w:color w:val="1C3A36"/>
                <w:sz w:val="14"/>
              </w:rPr>
              <w:t>S-05</w:t>
            </w:r>
          </w:p>
        </w:tc>
        <w:tc>
          <w:tcPr>
            <w:tcW w:type="dxa" w:w="7373"/>
          </w:tcPr>
          <w:p>
            <w:pPr>
              <w:spacing w:after="0"/>
            </w:pPr>
            <w:r>
              <w:rPr>
                <w:color w:val="1C3A36"/>
                <w:sz w:val="14"/>
              </w:rPr>
              <w:t>Introduced AT THE RTA’S INSTRUCTION.</w:t>
            </w:r>
          </w:p>
        </w:tc>
      </w:tr>
      <w:tr>
        <w:tc>
          <w:tcPr>
            <w:tcW w:type="dxa" w:w="605"/>
          </w:tcPr>
          <w:p>
            <w:pPr>
              <w:spacing w:after="0"/>
            </w:pPr>
            <w:r>
              <w:rPr>
                <w:b/>
                <w:color w:val="1C3A36"/>
                <w:sz w:val="14"/>
              </w:rPr>
              <w:t>C-11</w:t>
            </w:r>
          </w:p>
        </w:tc>
        <w:tc>
          <w:tcPr>
            <w:tcW w:type="dxa" w:w="2477"/>
          </w:tcPr>
          <w:p>
            <w:pPr>
              <w:spacing w:after="0"/>
            </w:pPr>
            <w:r>
              <w:rPr>
                <w:color w:val="1C3A36"/>
                <w:sz w:val="14"/>
              </w:rPr>
              <w:t>Company’s OWN guidance for the variable-pricing uplift</w:t>
            </w:r>
          </w:p>
        </w:tc>
        <w:tc>
          <w:tcPr>
            <w:tcW w:type="dxa" w:w="1930"/>
          </w:tcPr>
          <w:p>
            <w:pPr>
              <w:spacing w:after="0"/>
            </w:pPr>
            <w:r>
              <w:rPr>
                <w:color w:val="1C3A36"/>
                <w:sz w:val="14"/>
              </w:rPr>
              <w:t>AED 60–110 mn / yr</w:t>
            </w:r>
          </w:p>
        </w:tc>
        <w:tc>
          <w:tcPr>
            <w:tcW w:type="dxa" w:w="950"/>
          </w:tcPr>
          <w:p>
            <w:pPr>
              <w:spacing w:after="0"/>
            </w:pPr>
            <w:r>
              <w:rPr>
                <w:color w:val="1C3A36"/>
                <w:sz w:val="14"/>
              </w:rPr>
              <w:t>SOURCED</w:t>
            </w:r>
          </w:p>
        </w:tc>
        <w:tc>
          <w:tcPr>
            <w:tcW w:type="dxa" w:w="1066"/>
          </w:tcPr>
          <w:p>
            <w:pPr>
              <w:spacing w:after="0"/>
            </w:pPr>
            <w:r>
              <w:rPr>
                <w:color w:val="1C3A36"/>
                <w:sz w:val="14"/>
              </w:rPr>
              <w:t>S-05</w:t>
            </w:r>
          </w:p>
        </w:tc>
        <w:tc>
          <w:tcPr>
            <w:tcW w:type="dxa" w:w="7373"/>
          </w:tcPr>
          <w:p>
            <w:pPr>
              <w:spacing w:after="0"/>
            </w:pPr>
            <w:r>
              <w:rPr>
                <w:color w:val="1C3A36"/>
                <w:sz w:val="14"/>
              </w:rPr>
              <w:t>MATERIAL. Our FY2025 bridge attributes AED 173.5 mn to the realised-toll uplift — up to 3× the company’s own estimate. The gap is almost certainly new-gate MIX (Business Bay is peak-heavy). Both buckets are one-offs, so the 84% headline is robust; the SPLIT between them is not, and we say so.</w:t>
            </w:r>
          </w:p>
        </w:tc>
      </w:tr>
      <w:tr>
        <w:tc>
          <w:tcPr>
            <w:tcW w:type="dxa" w:w="605"/>
            <w:shd w:val="clear" w:color="auto" w:fill="F6F1E6"/>
          </w:tcPr>
          <w:p>
            <w:pPr>
              <w:spacing w:after="0"/>
            </w:pPr>
            <w:r>
              <w:rPr>
                <w:b/>
                <w:color w:val="1C3A36"/>
                <w:sz w:val="14"/>
              </w:rPr>
              <w:t>C-12</w:t>
            </w:r>
          </w:p>
        </w:tc>
        <w:tc>
          <w:tcPr>
            <w:tcW w:type="dxa" w:w="2477"/>
            <w:shd w:val="clear" w:color="auto" w:fill="F6F1E6"/>
          </w:tcPr>
          <w:p>
            <w:pPr>
              <w:spacing w:after="0"/>
            </w:pPr>
            <w:r>
              <w:rPr>
                <w:color w:val="1C3A36"/>
                <w:sz w:val="14"/>
              </w:rPr>
              <w:t>Company’s OWN projection for the 2 new gates</w:t>
            </w:r>
          </w:p>
        </w:tc>
        <w:tc>
          <w:tcPr>
            <w:tcW w:type="dxa" w:w="1930"/>
            <w:shd w:val="clear" w:color="auto" w:fill="F6F1E6"/>
          </w:tcPr>
          <w:p>
            <w:pPr>
              <w:spacing w:after="0"/>
            </w:pPr>
            <w:r>
              <w:rPr>
                <w:color w:val="1C3A36"/>
                <w:sz w:val="14"/>
              </w:rPr>
              <w:t>~111 mn revenue-generating trips in 2025</w:t>
            </w:r>
          </w:p>
        </w:tc>
        <w:tc>
          <w:tcPr>
            <w:tcW w:type="dxa" w:w="950"/>
            <w:shd w:val="clear" w:color="auto" w:fill="F6F1E6"/>
          </w:tcPr>
          <w:p>
            <w:pPr>
              <w:spacing w:after="0"/>
            </w:pPr>
            <w:r>
              <w:rPr>
                <w:color w:val="1C3A36"/>
                <w:sz w:val="14"/>
              </w:rPr>
              <w:t>SOURCED</w:t>
            </w:r>
          </w:p>
        </w:tc>
        <w:tc>
          <w:tcPr>
            <w:tcW w:type="dxa" w:w="1066"/>
            <w:shd w:val="clear" w:color="auto" w:fill="F6F1E6"/>
          </w:tcPr>
          <w:p>
            <w:pPr>
              <w:spacing w:after="0"/>
            </w:pPr>
            <w:r>
              <w:rPr>
                <w:color w:val="1C3A36"/>
                <w:sz w:val="14"/>
              </w:rPr>
              <w:t>S-08</w:t>
            </w:r>
          </w:p>
        </w:tc>
        <w:tc>
          <w:tcPr>
            <w:tcW w:type="dxa" w:w="7373"/>
            <w:shd w:val="clear" w:color="auto" w:fill="F6F1E6"/>
          </w:tcPr>
          <w:p>
            <w:pPr>
              <w:spacing w:after="0"/>
            </w:pPr>
            <w:r>
              <w:rPr>
                <w:color w:val="1C3A36"/>
                <w:sz w:val="14"/>
              </w:rPr>
              <w:t>CORRECTED IN v3 — AND IT IS THE MOST IMPORTANT CORRECTION IN THE STUDY. Versions 1 and 2 DERIVED this as a residual (119.1 mn) when the company had PUBLISHED it. On the company’s own figure, the ROIC on the new gates falls from 10.3% to 9.5% and the spread over the cost of capital HALVES. Our own audit found this, not the fact-check.</w:t>
            </w:r>
          </w:p>
        </w:tc>
      </w:tr>
      <w:tr>
        <w:tc>
          <w:tcPr>
            <w:tcW w:type="dxa" w:w="605"/>
          </w:tcPr>
          <w:p>
            <w:pPr>
              <w:spacing w:after="0"/>
            </w:pPr>
            <w:r>
              <w:rPr>
                <w:b/>
                <w:color w:val="1C3A36"/>
                <w:sz w:val="14"/>
              </w:rPr>
              <w:t>C-13</w:t>
            </w:r>
          </w:p>
        </w:tc>
        <w:tc>
          <w:tcPr>
            <w:tcW w:type="dxa" w:w="2477"/>
          </w:tcPr>
          <w:p>
            <w:pPr>
              <w:spacing w:after="0"/>
            </w:pPr>
            <w:r>
              <w:rPr>
                <w:color w:val="1C3A36"/>
                <w:sz w:val="14"/>
              </w:rPr>
              <w:t>Earn-out mechanism on the new gates</w:t>
            </w:r>
          </w:p>
        </w:tc>
        <w:tc>
          <w:tcPr>
            <w:tcW w:type="dxa" w:w="1930"/>
          </w:tcPr>
          <w:p>
            <w:pPr>
              <w:spacing w:after="0"/>
            </w:pPr>
            <w:r>
              <w:rPr>
                <w:color w:val="1C3A36"/>
                <w:sz w:val="14"/>
              </w:rPr>
              <w:t>Payable only if traffic EXCEEDS projections</w:t>
            </w:r>
          </w:p>
        </w:tc>
        <w:tc>
          <w:tcPr>
            <w:tcW w:type="dxa" w:w="950"/>
          </w:tcPr>
          <w:p>
            <w:pPr>
              <w:spacing w:after="0"/>
            </w:pPr>
            <w:r>
              <w:rPr>
                <w:color w:val="1C3A36"/>
                <w:sz w:val="14"/>
              </w:rPr>
              <w:t>SOURCED</w:t>
            </w:r>
          </w:p>
        </w:tc>
        <w:tc>
          <w:tcPr>
            <w:tcW w:type="dxa" w:w="1066"/>
          </w:tcPr>
          <w:p>
            <w:pPr>
              <w:spacing w:after="0"/>
            </w:pPr>
            <w:r>
              <w:rPr>
                <w:color w:val="1C3A36"/>
                <w:sz w:val="14"/>
              </w:rPr>
              <w:t>S-04</w:t>
            </w:r>
          </w:p>
        </w:tc>
        <w:tc>
          <w:tcPr>
            <w:tcW w:type="dxa" w:w="7373"/>
          </w:tcPr>
          <w:p>
            <w:pPr>
              <w:spacing w:after="0"/>
            </w:pPr>
            <w:r>
              <w:rPr>
                <w:color w:val="1C3A36"/>
                <w:sz w:val="14"/>
              </w:rPr>
              <w:t>Traffic is currently BELOW projection, so no earn-out is likely.</w:t>
            </w:r>
          </w:p>
        </w:tc>
      </w:tr>
      <w:tr>
        <w:tc>
          <w:tcPr>
            <w:tcW w:type="dxa" w:w="605"/>
          </w:tcPr>
          <w:p>
            <w:pPr>
              <w:spacing w:after="0"/>
            </w:pPr>
            <w:r>
              <w:rPr>
                <w:b/>
                <w:color w:val="1C3A36"/>
                <w:sz w:val="14"/>
              </w:rPr>
              <w:t>C-14</w:t>
            </w:r>
          </w:p>
        </w:tc>
        <w:tc>
          <w:tcPr>
            <w:tcW w:type="dxa" w:w="2477"/>
          </w:tcPr>
          <w:p>
            <w:pPr>
              <w:spacing w:after="0"/>
            </w:pPr>
            <w:r>
              <w:rPr>
                <w:color w:val="1C3A36"/>
                <w:sz w:val="14"/>
              </w:rPr>
              <w:t>Net violations as a share of net toll traffic</w:t>
            </w:r>
          </w:p>
        </w:tc>
        <w:tc>
          <w:tcPr>
            <w:tcW w:type="dxa" w:w="1930"/>
          </w:tcPr>
          <w:p>
            <w:pPr>
              <w:spacing w:after="0"/>
            </w:pPr>
            <w:r>
              <w:rPr>
                <w:color w:val="1C3A36"/>
                <w:sz w:val="14"/>
              </w:rPr>
              <w:t>0.4%</w:t>
            </w:r>
          </w:p>
        </w:tc>
        <w:tc>
          <w:tcPr>
            <w:tcW w:type="dxa" w:w="950"/>
          </w:tcPr>
          <w:p>
            <w:pPr>
              <w:spacing w:after="0"/>
            </w:pPr>
            <w:r>
              <w:rPr>
                <w:color w:val="1C3A36"/>
                <w:sz w:val="14"/>
              </w:rPr>
              <w:t>SOURCED</w:t>
            </w:r>
          </w:p>
        </w:tc>
        <w:tc>
          <w:tcPr>
            <w:tcW w:type="dxa" w:w="1066"/>
          </w:tcPr>
          <w:p>
            <w:pPr>
              <w:spacing w:after="0"/>
            </w:pPr>
            <w:r>
              <w:rPr>
                <w:color w:val="1C3A36"/>
                <w:sz w:val="14"/>
              </w:rPr>
              <w:t>S-06</w:t>
            </w:r>
          </w:p>
        </w:tc>
        <w:tc>
          <w:tcPr>
            <w:tcW w:type="dxa" w:w="7373"/>
          </w:tcPr>
          <w:p>
            <w:pPr>
              <w:spacing w:after="0"/>
            </w:pPr>
            <w:r>
              <w:rPr>
                <w:color w:val="1C3A36"/>
                <w:sz w:val="14"/>
              </w:rPr>
              <w:t>DECISIVE for D-06. Violations cannot explain an 11.1% residual.</w:t>
            </w:r>
          </w:p>
        </w:tc>
      </w:tr>
      <w:tr>
        <w:tc>
          <w:tcPr>
            <w:tcW w:type="dxa" w:w="605"/>
          </w:tcPr>
          <w:p>
            <w:pPr>
              <w:spacing w:after="0"/>
            </w:pPr>
            <w:r>
              <w:rPr>
                <w:b/>
                <w:color w:val="1C3A36"/>
                <w:sz w:val="14"/>
              </w:rPr>
              <w:t>C-15</w:t>
            </w:r>
          </w:p>
        </w:tc>
        <w:tc>
          <w:tcPr>
            <w:tcW w:type="dxa" w:w="2477"/>
          </w:tcPr>
          <w:p>
            <w:pPr>
              <w:spacing w:after="0"/>
            </w:pPr>
            <w:r>
              <w:rPr>
                <w:color w:val="1C3A36"/>
                <w:sz w:val="14"/>
              </w:rPr>
              <w:t>Toll leakage</w:t>
            </w:r>
          </w:p>
        </w:tc>
        <w:tc>
          <w:tcPr>
            <w:tcW w:type="dxa" w:w="1930"/>
          </w:tcPr>
          <w:p>
            <w:pPr>
              <w:spacing w:after="0"/>
            </w:pPr>
            <w:r>
              <w:rPr>
                <w:color w:val="1C3A36"/>
                <w:sz w:val="14"/>
              </w:rPr>
              <w:t>"insignificant"</w:t>
            </w:r>
          </w:p>
        </w:tc>
        <w:tc>
          <w:tcPr>
            <w:tcW w:type="dxa" w:w="950"/>
          </w:tcPr>
          <w:p>
            <w:pPr>
              <w:spacing w:after="0"/>
            </w:pPr>
            <w:r>
              <w:rPr>
                <w:color w:val="1C3A36"/>
                <w:sz w:val="14"/>
              </w:rPr>
              <w:t>SOURCED</w:t>
            </w:r>
          </w:p>
        </w:tc>
        <w:tc>
          <w:tcPr>
            <w:tcW w:type="dxa" w:w="1066"/>
          </w:tcPr>
          <w:p>
            <w:pPr>
              <w:spacing w:after="0"/>
            </w:pPr>
            <w:r>
              <w:rPr>
                <w:color w:val="1C3A36"/>
                <w:sz w:val="14"/>
              </w:rPr>
              <w:t>S-07</w:t>
            </w:r>
          </w:p>
        </w:tc>
        <w:tc>
          <w:tcPr>
            <w:tcW w:type="dxa" w:w="7373"/>
          </w:tcPr>
          <w:p>
            <w:pPr>
              <w:spacing w:after="0"/>
            </w:pPr>
            <w:r>
              <w:rPr>
                <w:color w:val="1C3A36"/>
                <w:sz w:val="14"/>
              </w:rPr>
              <w:t>The company’s own word. Also decisive for D-06.</w:t>
            </w:r>
          </w:p>
        </w:tc>
      </w:tr>
      <w:tr>
        <w:tc>
          <w:tcPr>
            <w:tcW w:type="dxa" w:w="605"/>
            <w:shd w:val="clear" w:color="auto" w:fill="FBF0DC"/>
          </w:tcPr>
          <w:p>
            <w:pPr>
              <w:spacing w:after="0"/>
            </w:pPr>
            <w:r>
              <w:rPr>
                <w:b/>
                <w:color w:val="1C3A36"/>
                <w:sz w:val="14"/>
              </w:rPr>
              <w:t>C-16</w:t>
            </w:r>
          </w:p>
        </w:tc>
        <w:tc>
          <w:tcPr>
            <w:tcW w:type="dxa" w:w="2477"/>
            <w:shd w:val="clear" w:color="auto" w:fill="FBF0DC"/>
          </w:tcPr>
          <w:p>
            <w:pPr>
              <w:spacing w:after="0"/>
            </w:pPr>
            <w:r>
              <w:rPr>
                <w:color w:val="1C3A36"/>
                <w:sz w:val="14"/>
              </w:rPr>
              <w:t>Definition of "net toll traffic"</w:t>
            </w:r>
          </w:p>
        </w:tc>
        <w:tc>
          <w:tcPr>
            <w:tcW w:type="dxa" w:w="1930"/>
            <w:shd w:val="clear" w:color="auto" w:fill="FBF0DC"/>
          </w:tcPr>
          <w:p>
            <w:pPr>
              <w:spacing w:after="0"/>
            </w:pPr>
            <w:r>
              <w:rPr>
                <w:color w:val="1C3A36"/>
                <w:sz w:val="14"/>
              </w:rPr>
              <w:t>Total trips MINUS discounted trips (unpaid trips including taxis without passengers, exempted vehicles, GATE-SPECIFIC FREE TIME AND DISCOUNTS, and multiple violations and other)</w:t>
            </w:r>
          </w:p>
        </w:tc>
        <w:tc>
          <w:tcPr>
            <w:tcW w:type="dxa" w:w="950"/>
            <w:shd w:val="clear" w:color="auto" w:fill="FBF0DC"/>
          </w:tcPr>
          <w:p>
            <w:pPr>
              <w:spacing w:after="0"/>
            </w:pPr>
            <w:r>
              <w:rPr>
                <w:color w:val="1C3A36"/>
                <w:sz w:val="14"/>
              </w:rPr>
              <w:t>SOURCED</w:t>
            </w:r>
          </w:p>
        </w:tc>
        <w:tc>
          <w:tcPr>
            <w:tcW w:type="dxa" w:w="1066"/>
            <w:shd w:val="clear" w:color="auto" w:fill="FBF0DC"/>
          </w:tcPr>
          <w:p>
            <w:pPr>
              <w:spacing w:after="0"/>
            </w:pPr>
            <w:r>
              <w:rPr>
                <w:color w:val="1C3A36"/>
                <w:sz w:val="14"/>
              </w:rPr>
              <w:t>S-07</w:t>
            </w:r>
          </w:p>
        </w:tc>
        <w:tc>
          <w:tcPr>
            <w:tcW w:type="dxa" w:w="7373"/>
            <w:shd w:val="clear" w:color="auto" w:fill="FBF0DC"/>
          </w:tcPr>
          <w:p>
            <w:pPr>
              <w:spacing w:after="0"/>
            </w:pPr>
            <w:r>
              <w:rPr>
                <w:color w:val="1C3A36"/>
                <w:sz w:val="14"/>
              </w:rPr>
              <w:t>NOTE THE TENSION. This definition EXCLUDES free-time trips from net toll traffic — yet the Q1-2026 arithmetic (Q-16) only closes if they are INCLUDED in "chargeable". We flag the tension; we do not resolve it, because we cannot.</w:t>
            </w:r>
          </w:p>
        </w:tc>
      </w:tr>
    </w:tbl>
    <w:p>
      <w:pPr>
        <w:spacing w:after="40"/>
      </w:pPr>
    </w:p>
    <w:p>
      <w:r>
        <w:br w:type="page"/>
      </w:r>
    </w:p>
    <w:p>
      <w:pPr>
        <w:spacing w:after="60" w:before="160"/>
      </w:pPr>
      <w:r>
        <w:rPr>
          <w:b/>
          <w:i w:val="0"/>
          <w:color w:val="1C3A36"/>
          <w:sz w:val="21"/>
        </w:rPr>
        <w:t>2.5 Cost of capital</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477"/>
            <w:shd w:val="clear" w:color="auto" w:fill="EAF0EE"/>
          </w:tcPr>
          <w:p>
            <w:pPr>
              <w:spacing w:after="0"/>
            </w:pPr>
            <w:r>
              <w:rPr>
                <w:b/>
                <w:color w:val="1C3A36"/>
                <w:sz w:val="14"/>
              </w:rPr>
              <w:t>Figure</w:t>
            </w:r>
          </w:p>
        </w:tc>
        <w:tc>
          <w:tcPr>
            <w:tcW w:type="dxa" w:w="1498"/>
            <w:shd w:val="clear" w:color="auto" w:fill="EAF0EE"/>
          </w:tcPr>
          <w:p>
            <w:pPr>
              <w:spacing w:after="0"/>
            </w:pPr>
            <w:r>
              <w:rPr>
                <w:b/>
                <w:color w:val="1C3A36"/>
                <w:sz w:val="14"/>
              </w:rPr>
              <w:t>Value</w:t>
            </w:r>
          </w:p>
        </w:tc>
        <w:tc>
          <w:tcPr>
            <w:tcW w:type="dxa" w:w="979"/>
            <w:shd w:val="clear" w:color="auto" w:fill="EAF0EE"/>
          </w:tcPr>
          <w:p>
            <w:pPr>
              <w:spacing w:after="0"/>
            </w:pPr>
            <w:r>
              <w:rPr>
                <w:b/>
                <w:color w:val="1C3A36"/>
                <w:sz w:val="14"/>
              </w:rPr>
              <w:t>Class</w:t>
            </w:r>
          </w:p>
        </w:tc>
        <w:tc>
          <w:tcPr>
            <w:tcW w:type="dxa" w:w="662"/>
            <w:shd w:val="clear" w:color="auto" w:fill="EAF0EE"/>
          </w:tcPr>
          <w:p>
            <w:pPr>
              <w:spacing w:after="0"/>
            </w:pPr>
            <w:r>
              <w:rPr>
                <w:b/>
                <w:color w:val="1C3A36"/>
                <w:sz w:val="14"/>
              </w:rPr>
              <w:t>Src</w:t>
            </w:r>
          </w:p>
        </w:tc>
        <w:tc>
          <w:tcPr>
            <w:tcW w:type="dxa" w:w="8179"/>
            <w:shd w:val="clear" w:color="auto" w:fill="EAF0EE"/>
          </w:tcPr>
          <w:p>
            <w:pPr>
              <w:spacing w:after="0"/>
            </w:pPr>
            <w:r>
              <w:rPr>
                <w:b/>
                <w:color w:val="1C3A36"/>
                <w:sz w:val="14"/>
              </w:rPr>
              <w:t>Trace / note</w:t>
            </w:r>
          </w:p>
        </w:tc>
      </w:tr>
      <w:tr>
        <w:tc>
          <w:tcPr>
            <w:tcW w:type="dxa" w:w="605"/>
          </w:tcPr>
          <w:p>
            <w:pPr>
              <w:spacing w:after="0"/>
            </w:pPr>
            <w:r>
              <w:rPr>
                <w:b/>
                <w:color w:val="1C3A36"/>
                <w:sz w:val="14"/>
              </w:rPr>
              <w:t>K-01</w:t>
            </w:r>
          </w:p>
        </w:tc>
        <w:tc>
          <w:tcPr>
            <w:tcW w:type="dxa" w:w="2477"/>
          </w:tcPr>
          <w:p>
            <w:pPr>
              <w:spacing w:after="0"/>
            </w:pPr>
            <w:r>
              <w:rPr>
                <w:color w:val="1C3A36"/>
                <w:sz w:val="14"/>
              </w:rPr>
              <w:t>US Treasury 10-year yield</w:t>
            </w:r>
          </w:p>
        </w:tc>
        <w:tc>
          <w:tcPr>
            <w:tcW w:type="dxa" w:w="1498"/>
          </w:tcPr>
          <w:p>
            <w:pPr>
              <w:spacing w:after="0"/>
            </w:pPr>
            <w:r>
              <w:rPr>
                <w:color w:val="1C3A36"/>
                <w:sz w:val="14"/>
              </w:rPr>
              <w:t>4.56%</w:t>
            </w:r>
          </w:p>
        </w:tc>
        <w:tc>
          <w:tcPr>
            <w:tcW w:type="dxa" w:w="979"/>
          </w:tcPr>
          <w:p>
            <w:pPr>
              <w:spacing w:after="0"/>
            </w:pPr>
            <w:r>
              <w:rPr>
                <w:color w:val="1C3A36"/>
                <w:sz w:val="14"/>
              </w:rPr>
              <w:t>SOURCED</w:t>
            </w:r>
          </w:p>
        </w:tc>
        <w:tc>
          <w:tcPr>
            <w:tcW w:type="dxa" w:w="662"/>
          </w:tcPr>
          <w:p>
            <w:pPr>
              <w:spacing w:after="0"/>
            </w:pPr>
            <w:r>
              <w:rPr>
                <w:color w:val="1C3A36"/>
                <w:sz w:val="14"/>
              </w:rPr>
              <w:t>S-14</w:t>
            </w:r>
          </w:p>
        </w:tc>
        <w:tc>
          <w:tcPr>
            <w:tcW w:type="dxa" w:w="8179"/>
          </w:tcPr>
          <w:p>
            <w:pPr>
              <w:spacing w:after="0"/>
            </w:pPr>
            <w:r>
              <w:rPr>
                <w:color w:val="1C3A36"/>
                <w:sz w:val="14"/>
              </w:rPr>
              <w:t>10 Jul 2026 print.</w:t>
            </w:r>
          </w:p>
        </w:tc>
      </w:tr>
      <w:tr>
        <w:tc>
          <w:tcPr>
            <w:tcW w:type="dxa" w:w="605"/>
          </w:tcPr>
          <w:p>
            <w:pPr>
              <w:spacing w:after="0"/>
            </w:pPr>
            <w:r>
              <w:rPr>
                <w:b/>
                <w:color w:val="1C3A36"/>
                <w:sz w:val="14"/>
              </w:rPr>
              <w:t>K-02</w:t>
            </w:r>
          </w:p>
        </w:tc>
        <w:tc>
          <w:tcPr>
            <w:tcW w:type="dxa" w:w="2477"/>
          </w:tcPr>
          <w:p>
            <w:pPr>
              <w:spacing w:after="0"/>
            </w:pPr>
            <w:r>
              <w:rPr>
                <w:color w:val="1C3A36"/>
                <w:sz w:val="14"/>
              </w:rPr>
              <w:t>UAE MoF AED T-Bond auction — pricing spread over UST</w:t>
            </w:r>
          </w:p>
        </w:tc>
        <w:tc>
          <w:tcPr>
            <w:tcW w:type="dxa" w:w="1498"/>
          </w:tcPr>
          <w:p>
            <w:pPr>
              <w:spacing w:after="0"/>
            </w:pPr>
            <w:r>
              <w:rPr>
                <w:color w:val="1C3A36"/>
                <w:sz w:val="14"/>
              </w:rPr>
              <w:t>+14 bp</w:t>
            </w:r>
          </w:p>
        </w:tc>
        <w:tc>
          <w:tcPr>
            <w:tcW w:type="dxa" w:w="979"/>
          </w:tcPr>
          <w:p>
            <w:pPr>
              <w:spacing w:after="0"/>
            </w:pPr>
            <w:r>
              <w:rPr>
                <w:color w:val="1C3A36"/>
                <w:sz w:val="14"/>
              </w:rPr>
              <w:t>SOURCED</w:t>
            </w:r>
          </w:p>
        </w:tc>
        <w:tc>
          <w:tcPr>
            <w:tcW w:type="dxa" w:w="662"/>
          </w:tcPr>
          <w:p>
            <w:pPr>
              <w:spacing w:after="0"/>
            </w:pPr>
            <w:r>
              <w:rPr>
                <w:color w:val="1C3A36"/>
                <w:sz w:val="14"/>
              </w:rPr>
              <w:t>S-13</w:t>
            </w:r>
          </w:p>
        </w:tc>
        <w:tc>
          <w:tcPr>
            <w:tcW w:type="dxa" w:w="8179"/>
          </w:tcPr>
          <w:p>
            <w:pPr>
              <w:spacing w:after="0"/>
            </w:pPr>
            <w:r>
              <w:rPr>
                <w:color w:val="1C3A36"/>
                <w:sz w:val="14"/>
              </w:rPr>
              <w:t>The MoF’s OWN disclosed spread. Auction YTMs: 4.03% (Sep-2027), 4.30% (Jan-2031).</w:t>
            </w:r>
          </w:p>
        </w:tc>
      </w:tr>
      <w:tr>
        <w:tc>
          <w:tcPr>
            <w:tcW w:type="dxa" w:w="605"/>
            <w:shd w:val="clear" w:color="auto" w:fill="EFF3F1"/>
          </w:tcPr>
          <w:p>
            <w:pPr>
              <w:spacing w:after="0"/>
            </w:pPr>
            <w:r>
              <w:rPr>
                <w:b/>
                <w:color w:val="1C3A36"/>
                <w:sz w:val="14"/>
              </w:rPr>
              <w:t>K-03</w:t>
            </w:r>
          </w:p>
        </w:tc>
        <w:tc>
          <w:tcPr>
            <w:tcW w:type="dxa" w:w="2477"/>
            <w:shd w:val="clear" w:color="auto" w:fill="EFF3F1"/>
          </w:tcPr>
          <w:p>
            <w:pPr>
              <w:spacing w:after="0"/>
            </w:pPr>
            <w:r>
              <w:rPr>
                <w:color w:val="1C3A36"/>
                <w:sz w:val="14"/>
              </w:rPr>
              <w:t>RISK-FREE RATE, AED 10-year</w:t>
            </w:r>
          </w:p>
        </w:tc>
        <w:tc>
          <w:tcPr>
            <w:tcW w:type="dxa" w:w="1498"/>
            <w:shd w:val="clear" w:color="auto" w:fill="EFF3F1"/>
          </w:tcPr>
          <w:p>
            <w:pPr>
              <w:spacing w:after="0"/>
            </w:pPr>
            <w:r>
              <w:rPr>
                <w:color w:val="1C3A36"/>
                <w:sz w:val="14"/>
              </w:rPr>
              <w:t>4.70%</w:t>
            </w:r>
          </w:p>
        </w:tc>
        <w:tc>
          <w:tcPr>
            <w:tcW w:type="dxa" w:w="979"/>
            <w:shd w:val="clear" w:color="auto" w:fill="EFF3F1"/>
          </w:tcPr>
          <w:p>
            <w:pPr>
              <w:spacing w:after="0"/>
            </w:pPr>
            <w:r>
              <w:rPr>
                <w:color w:val="1C3A36"/>
                <w:sz w:val="14"/>
              </w:rPr>
              <w:t>DERIVED</w:t>
            </w:r>
          </w:p>
        </w:tc>
        <w:tc>
          <w:tcPr>
            <w:tcW w:type="dxa" w:w="662"/>
            <w:shd w:val="clear" w:color="auto" w:fill="EFF3F1"/>
          </w:tcPr>
          <w:p>
            <w:pPr>
              <w:spacing w:after="0"/>
            </w:pPr>
            <w:r>
              <w:rPr>
                <w:color w:val="1C3A36"/>
                <w:sz w:val="14"/>
              </w:rPr>
              <w:t>K-01 + K-02</w:t>
            </w:r>
          </w:p>
        </w:tc>
        <w:tc>
          <w:tcPr>
            <w:tcW w:type="dxa" w:w="8179"/>
            <w:shd w:val="clear" w:color="auto" w:fill="EFF3F1"/>
          </w:tcPr>
          <w:p>
            <w:pPr>
              <w:spacing w:after="0"/>
            </w:pPr>
            <w:r>
              <w:rPr>
                <w:color w:val="1C3A36"/>
                <w:sz w:val="14"/>
              </w:rPr>
              <w:t>THE PEG RULE. The dirham is pegged to the dollar, but a peg is not a merger of curves. We did NOT shortcut rf to the UST yield. There is no free live AED 10Y screen quote, so this is DERIVED from two sourced anchors and FLAGGED as such.</w:t>
            </w:r>
          </w:p>
        </w:tc>
      </w:tr>
      <w:tr>
        <w:tc>
          <w:tcPr>
            <w:tcW w:type="dxa" w:w="605"/>
          </w:tcPr>
          <w:p>
            <w:pPr>
              <w:spacing w:after="0"/>
            </w:pPr>
            <w:r>
              <w:rPr>
                <w:b/>
                <w:color w:val="1C3A36"/>
                <w:sz w:val="14"/>
              </w:rPr>
              <w:t>K-04</w:t>
            </w:r>
          </w:p>
        </w:tc>
        <w:tc>
          <w:tcPr>
            <w:tcW w:type="dxa" w:w="2477"/>
          </w:tcPr>
          <w:p>
            <w:pPr>
              <w:spacing w:after="0"/>
            </w:pPr>
            <w:r>
              <w:rPr>
                <w:color w:val="1C3A36"/>
                <w:sz w:val="14"/>
              </w:rPr>
              <w:t>ERP — rating basis</w:t>
            </w:r>
          </w:p>
        </w:tc>
        <w:tc>
          <w:tcPr>
            <w:tcW w:type="dxa" w:w="1498"/>
          </w:tcPr>
          <w:p>
            <w:pPr>
              <w:spacing w:after="0"/>
            </w:pPr>
            <w:r>
              <w:rPr>
                <w:color w:val="1C3A36"/>
                <w:sz w:val="14"/>
              </w:rPr>
              <w:t>4.87%</w:t>
            </w:r>
          </w:p>
        </w:tc>
        <w:tc>
          <w:tcPr>
            <w:tcW w:type="dxa" w:w="979"/>
          </w:tcPr>
          <w:p>
            <w:pPr>
              <w:spacing w:after="0"/>
            </w:pPr>
            <w:r>
              <w:rPr>
                <w:color w:val="1C3A36"/>
                <w:sz w:val="14"/>
              </w:rPr>
              <w:t>SOURCED</w:t>
            </w:r>
          </w:p>
        </w:tc>
        <w:tc>
          <w:tcPr>
            <w:tcW w:type="dxa" w:w="662"/>
          </w:tcPr>
          <w:p>
            <w:pPr>
              <w:spacing w:after="0"/>
            </w:pPr>
            <w:r>
              <w:rPr>
                <w:color w:val="1C3A36"/>
                <w:sz w:val="14"/>
              </w:rPr>
              <w:t>S-12</w:t>
            </w:r>
          </w:p>
        </w:tc>
        <w:tc>
          <w:tcPr>
            <w:tcW w:type="dxa" w:w="8179"/>
          </w:tcPr>
          <w:p>
            <w:pPr>
              <w:spacing w:after="0"/>
            </w:pPr>
            <w:r>
              <w:rPr>
                <w:color w:val="1C3A36"/>
                <w:sz w:val="14"/>
              </w:rPr>
              <w:t>UAE, Moody’s Aa2: country risk premium 0.64% + mature-market ERP 4.23%. Read from the ORIGINAL data file, not a summary. Note: Damodaran does NOT list Dubai separately.</w:t>
            </w:r>
          </w:p>
        </w:tc>
      </w:tr>
      <w:tr>
        <w:tc>
          <w:tcPr>
            <w:tcW w:type="dxa" w:w="605"/>
          </w:tcPr>
          <w:p>
            <w:pPr>
              <w:spacing w:after="0"/>
            </w:pPr>
            <w:r>
              <w:rPr>
                <w:b/>
                <w:color w:val="1C3A36"/>
                <w:sz w:val="14"/>
              </w:rPr>
              <w:t>K-05</w:t>
            </w:r>
          </w:p>
        </w:tc>
        <w:tc>
          <w:tcPr>
            <w:tcW w:type="dxa" w:w="2477"/>
          </w:tcPr>
          <w:p>
            <w:pPr>
              <w:spacing w:after="0"/>
            </w:pPr>
            <w:r>
              <w:rPr>
                <w:color w:val="1C3A36"/>
                <w:sz w:val="14"/>
              </w:rPr>
              <w:t>ERP — CDS basis</w:t>
            </w:r>
          </w:p>
        </w:tc>
        <w:tc>
          <w:tcPr>
            <w:tcW w:type="dxa" w:w="1498"/>
          </w:tcPr>
          <w:p>
            <w:pPr>
              <w:spacing w:after="0"/>
            </w:pPr>
            <w:r>
              <w:rPr>
                <w:color w:val="1C3A36"/>
                <w:sz w:val="14"/>
              </w:rPr>
              <w:t>4.93%</w:t>
            </w:r>
          </w:p>
        </w:tc>
        <w:tc>
          <w:tcPr>
            <w:tcW w:type="dxa" w:w="979"/>
          </w:tcPr>
          <w:p>
            <w:pPr>
              <w:spacing w:after="0"/>
            </w:pPr>
            <w:r>
              <w:rPr>
                <w:color w:val="1C3A36"/>
                <w:sz w:val="14"/>
              </w:rPr>
              <w:t>SOURCED</w:t>
            </w:r>
          </w:p>
        </w:tc>
        <w:tc>
          <w:tcPr>
            <w:tcW w:type="dxa" w:w="662"/>
          </w:tcPr>
          <w:p>
            <w:pPr>
              <w:spacing w:after="0"/>
            </w:pPr>
            <w:r>
              <w:rPr>
                <w:color w:val="1C3A36"/>
                <w:sz w:val="14"/>
              </w:rPr>
              <w:t>S-12</w:t>
            </w:r>
          </w:p>
        </w:tc>
        <w:tc>
          <w:tcPr>
            <w:tcW w:type="dxa" w:w="8179"/>
          </w:tcPr>
          <w:p>
            <w:pPr>
              <w:spacing w:after="0"/>
            </w:pPr>
            <w:r>
              <w:rPr>
                <w:color w:val="1C3A36"/>
                <w:sz w:val="14"/>
              </w:rPr>
              <w:t>Same file, Abu Dhabi row (sovereign CDS 0.46%) — the only UAE sovereign CDS quoted. A PROXY for the federal, flagged. Both WACCs are published, per standing rule.</w:t>
            </w:r>
          </w:p>
        </w:tc>
      </w:tr>
      <w:tr>
        <w:tc>
          <w:tcPr>
            <w:tcW w:type="dxa" w:w="605"/>
          </w:tcPr>
          <w:p>
            <w:pPr>
              <w:spacing w:after="0"/>
            </w:pPr>
            <w:r>
              <w:rPr>
                <w:b/>
                <w:color w:val="1C3A36"/>
                <w:sz w:val="14"/>
              </w:rPr>
              <w:t>K-06</w:t>
            </w:r>
          </w:p>
        </w:tc>
        <w:tc>
          <w:tcPr>
            <w:tcW w:type="dxa" w:w="2477"/>
          </w:tcPr>
          <w:p>
            <w:pPr>
              <w:spacing w:after="0"/>
            </w:pPr>
            <w:r>
              <w:rPr>
                <w:color w:val="1C3A36"/>
                <w:sz w:val="14"/>
              </w:rPr>
              <w:t>Corporate tax rate</w:t>
            </w:r>
          </w:p>
        </w:tc>
        <w:tc>
          <w:tcPr>
            <w:tcW w:type="dxa" w:w="1498"/>
          </w:tcPr>
          <w:p>
            <w:pPr>
              <w:spacing w:after="0"/>
            </w:pPr>
            <w:r>
              <w:rPr>
                <w:color w:val="1C3A36"/>
                <w:sz w:val="14"/>
              </w:rPr>
              <w:t>9.00%</w:t>
            </w:r>
          </w:p>
        </w:tc>
        <w:tc>
          <w:tcPr>
            <w:tcW w:type="dxa" w:w="979"/>
          </w:tcPr>
          <w:p>
            <w:pPr>
              <w:spacing w:after="0"/>
            </w:pPr>
            <w:r>
              <w:rPr>
                <w:color w:val="1C3A36"/>
                <w:sz w:val="14"/>
              </w:rPr>
              <w:t>SOURCED</w:t>
            </w:r>
          </w:p>
        </w:tc>
        <w:tc>
          <w:tcPr>
            <w:tcW w:type="dxa" w:w="662"/>
          </w:tcPr>
          <w:p>
            <w:pPr>
              <w:spacing w:after="0"/>
            </w:pPr>
            <w:r>
              <w:rPr>
                <w:color w:val="1C3A36"/>
                <w:sz w:val="14"/>
              </w:rPr>
              <w:t>S-12 + Q-09</w:t>
            </w:r>
          </w:p>
        </w:tc>
        <w:tc>
          <w:tcPr>
            <w:tcW w:type="dxa" w:w="8179"/>
          </w:tcPr>
          <w:p>
            <w:pPr>
              <w:spacing w:after="0"/>
            </w:pPr>
            <w:r>
              <w:rPr>
                <w:color w:val="1C3A36"/>
                <w:sz w:val="14"/>
              </w:rPr>
              <w:t>Statutory (S-12) AND confirmed as the effective rate actually paid (Q-09).</w:t>
            </w:r>
          </w:p>
        </w:tc>
      </w:tr>
      <w:tr>
        <w:tc>
          <w:tcPr>
            <w:tcW w:type="dxa" w:w="605"/>
          </w:tcPr>
          <w:p>
            <w:pPr>
              <w:spacing w:after="0"/>
            </w:pPr>
            <w:r>
              <w:rPr>
                <w:b/>
                <w:color w:val="1C3A36"/>
                <w:sz w:val="14"/>
              </w:rPr>
              <w:t>K-07</w:t>
            </w:r>
          </w:p>
        </w:tc>
        <w:tc>
          <w:tcPr>
            <w:tcW w:type="dxa" w:w="2477"/>
          </w:tcPr>
          <w:p>
            <w:pPr>
              <w:spacing w:after="0"/>
            </w:pPr>
            <w:r>
              <w:rPr>
                <w:color w:val="1C3A36"/>
                <w:sz w:val="14"/>
              </w:rPr>
              <w:t>CBUAE base rate</w:t>
            </w:r>
          </w:p>
        </w:tc>
        <w:tc>
          <w:tcPr>
            <w:tcW w:type="dxa" w:w="1498"/>
          </w:tcPr>
          <w:p>
            <w:pPr>
              <w:spacing w:after="0"/>
            </w:pPr>
            <w:r>
              <w:rPr>
                <w:color w:val="1C3A36"/>
                <w:sz w:val="14"/>
              </w:rPr>
              <w:t>3.65%</w:t>
            </w:r>
          </w:p>
        </w:tc>
        <w:tc>
          <w:tcPr>
            <w:tcW w:type="dxa" w:w="979"/>
          </w:tcPr>
          <w:p>
            <w:pPr>
              <w:spacing w:after="0"/>
            </w:pPr>
            <w:r>
              <w:rPr>
                <w:color w:val="1C3A36"/>
                <w:sz w:val="14"/>
              </w:rPr>
              <w:t>SOURCED</w:t>
            </w:r>
          </w:p>
        </w:tc>
        <w:tc>
          <w:tcPr>
            <w:tcW w:type="dxa" w:w="662"/>
          </w:tcPr>
          <w:p>
            <w:pPr>
              <w:spacing w:after="0"/>
            </w:pPr>
            <w:r>
              <w:rPr>
                <w:color w:val="1C3A36"/>
                <w:sz w:val="14"/>
              </w:rPr>
              <w:t>S-15</w:t>
            </w:r>
          </w:p>
        </w:tc>
        <w:tc>
          <w:tcPr>
            <w:tcW w:type="dxa" w:w="8179"/>
          </w:tcPr>
          <w:p>
            <w:pPr>
              <w:spacing w:after="0"/>
            </w:pPr>
            <w:r>
              <w:rPr>
                <w:color w:val="1C3A36"/>
                <w:sz w:val="14"/>
              </w:rPr>
              <w:t>Held 17 Jun 2026. Sets the Monte-Carlo carry anchor.</w:t>
            </w:r>
          </w:p>
        </w:tc>
      </w:tr>
      <w:tr>
        <w:tc>
          <w:tcPr>
            <w:tcW w:type="dxa" w:w="605"/>
          </w:tcPr>
          <w:p>
            <w:pPr>
              <w:spacing w:after="0"/>
            </w:pPr>
            <w:r>
              <w:rPr>
                <w:b/>
                <w:color w:val="1C3A36"/>
                <w:sz w:val="14"/>
              </w:rPr>
              <w:t>K-08</w:t>
            </w:r>
          </w:p>
        </w:tc>
        <w:tc>
          <w:tcPr>
            <w:tcW w:type="dxa" w:w="2477"/>
          </w:tcPr>
          <w:p>
            <w:pPr>
              <w:spacing w:after="0"/>
            </w:pPr>
            <w:r>
              <w:rPr>
                <w:color w:val="1C3A36"/>
                <w:sz w:val="14"/>
              </w:rPr>
              <w:t>3M EIBOR</w:t>
            </w:r>
          </w:p>
        </w:tc>
        <w:tc>
          <w:tcPr>
            <w:tcW w:type="dxa" w:w="1498"/>
          </w:tcPr>
          <w:p>
            <w:pPr>
              <w:spacing w:after="0"/>
            </w:pPr>
            <w:r>
              <w:rPr>
                <w:color w:val="1C3A36"/>
                <w:sz w:val="14"/>
              </w:rPr>
              <w:t>3.759%</w:t>
            </w:r>
          </w:p>
        </w:tc>
        <w:tc>
          <w:tcPr>
            <w:tcW w:type="dxa" w:w="979"/>
          </w:tcPr>
          <w:p>
            <w:pPr>
              <w:spacing w:after="0"/>
            </w:pPr>
            <w:r>
              <w:rPr>
                <w:color w:val="1C3A36"/>
                <w:sz w:val="14"/>
              </w:rPr>
              <w:t>SOURCED</w:t>
            </w:r>
          </w:p>
        </w:tc>
        <w:tc>
          <w:tcPr>
            <w:tcW w:type="dxa" w:w="662"/>
          </w:tcPr>
          <w:p>
            <w:pPr>
              <w:spacing w:after="0"/>
            </w:pPr>
            <w:r>
              <w:rPr>
                <w:color w:val="1C3A36"/>
                <w:sz w:val="14"/>
              </w:rPr>
              <w:t>S-15</w:t>
            </w:r>
          </w:p>
        </w:tc>
        <w:tc>
          <w:tcPr>
            <w:tcW w:type="dxa" w:w="8179"/>
          </w:tcPr>
          <w:p>
            <w:pPr>
              <w:spacing w:after="0"/>
            </w:pPr>
            <w:r>
              <w:rPr>
                <w:color w:val="1C3A36"/>
                <w:sz w:val="14"/>
              </w:rPr>
              <w:t>May-2026.</w:t>
            </w:r>
          </w:p>
        </w:tc>
      </w:tr>
      <w:tr>
        <w:tc>
          <w:tcPr>
            <w:tcW w:type="dxa" w:w="605"/>
          </w:tcPr>
          <w:p>
            <w:pPr>
              <w:spacing w:after="0"/>
            </w:pPr>
            <w:r>
              <w:rPr>
                <w:b/>
                <w:color w:val="1C3A36"/>
                <w:sz w:val="14"/>
              </w:rPr>
              <w:t>K-09</w:t>
            </w:r>
          </w:p>
        </w:tc>
        <w:tc>
          <w:tcPr>
            <w:tcW w:type="dxa" w:w="2477"/>
          </w:tcPr>
          <w:p>
            <w:pPr>
              <w:spacing w:after="0"/>
            </w:pPr>
            <w:r>
              <w:rPr>
                <w:color w:val="1C3A36"/>
                <w:sz w:val="14"/>
              </w:rPr>
              <w:t>ENBD inaugural AED bond spread</w:t>
            </w:r>
          </w:p>
        </w:tc>
        <w:tc>
          <w:tcPr>
            <w:tcW w:type="dxa" w:w="1498"/>
          </w:tcPr>
          <w:p>
            <w:pPr>
              <w:spacing w:after="0"/>
            </w:pPr>
            <w:r>
              <w:rPr>
                <w:color w:val="1C3A36"/>
                <w:sz w:val="14"/>
              </w:rPr>
              <w:t>UAE Treasuries + 83 bp</w:t>
            </w:r>
          </w:p>
        </w:tc>
        <w:tc>
          <w:tcPr>
            <w:tcW w:type="dxa" w:w="979"/>
          </w:tcPr>
          <w:p>
            <w:pPr>
              <w:spacing w:after="0"/>
            </w:pPr>
            <w:r>
              <w:rPr>
                <w:color w:val="1C3A36"/>
                <w:sz w:val="14"/>
              </w:rPr>
              <w:t>SOURCED</w:t>
            </w:r>
          </w:p>
        </w:tc>
        <w:tc>
          <w:tcPr>
            <w:tcW w:type="dxa" w:w="662"/>
          </w:tcPr>
          <w:p>
            <w:pPr>
              <w:spacing w:after="0"/>
            </w:pPr>
            <w:r>
              <w:rPr>
                <w:color w:val="1C3A36"/>
                <w:sz w:val="14"/>
              </w:rPr>
              <w:t>S-19</w:t>
            </w:r>
          </w:p>
        </w:tc>
        <w:tc>
          <w:tcPr>
            <w:tcW w:type="dxa" w:w="8179"/>
          </w:tcPr>
          <w:p>
            <w:pPr>
              <w:spacing w:after="0"/>
            </w:pPr>
            <w:r>
              <w:rPr>
                <w:color w:val="1C3A36"/>
                <w:sz w:val="14"/>
              </w:rPr>
              <w:t>A comparable A-rated UAE credit. One of three anchors for K-10.</w:t>
            </w:r>
          </w:p>
        </w:tc>
      </w:tr>
      <w:tr>
        <w:tc>
          <w:tcPr>
            <w:tcW w:type="dxa" w:w="605"/>
          </w:tcPr>
          <w:p>
            <w:pPr>
              <w:spacing w:after="0"/>
            </w:pPr>
            <w:r>
              <w:rPr>
                <w:b/>
                <w:color w:val="1C3A36"/>
                <w:sz w:val="14"/>
              </w:rPr>
              <w:t>K-10</w:t>
            </w:r>
          </w:p>
        </w:tc>
        <w:tc>
          <w:tcPr>
            <w:tcW w:type="dxa" w:w="2477"/>
          </w:tcPr>
          <w:p>
            <w:pPr>
              <w:spacing w:after="0"/>
            </w:pPr>
            <w:r>
              <w:rPr>
                <w:color w:val="1C3A36"/>
                <w:sz w:val="14"/>
              </w:rPr>
              <w:t>COST OF DEBT, pre-tax</w:t>
            </w:r>
          </w:p>
        </w:tc>
        <w:tc>
          <w:tcPr>
            <w:tcW w:type="dxa" w:w="1498"/>
          </w:tcPr>
          <w:p>
            <w:pPr>
              <w:spacing w:after="0"/>
            </w:pPr>
            <w:r>
              <w:rPr>
                <w:color w:val="1C3A36"/>
                <w:sz w:val="14"/>
              </w:rPr>
              <w:t>5.50%</w:t>
            </w:r>
          </w:p>
        </w:tc>
        <w:tc>
          <w:tcPr>
            <w:tcW w:type="dxa" w:w="979"/>
          </w:tcPr>
          <w:p>
            <w:pPr>
              <w:spacing w:after="0"/>
            </w:pPr>
            <w:r>
              <w:rPr>
                <w:color w:val="1C3A36"/>
                <w:sz w:val="14"/>
              </w:rPr>
              <w:t>DERIVED</w:t>
            </w:r>
          </w:p>
        </w:tc>
        <w:tc>
          <w:tcPr>
            <w:tcW w:type="dxa" w:w="662"/>
          </w:tcPr>
          <w:p>
            <w:pPr>
              <w:spacing w:after="0"/>
            </w:pPr>
            <w:r>
              <w:rPr>
                <w:color w:val="1C3A36"/>
                <w:sz w:val="14"/>
              </w:rPr>
              <w:t>K-03, K-08, K-09, Q-10, A-04</w:t>
            </w:r>
          </w:p>
        </w:tc>
        <w:tc>
          <w:tcPr>
            <w:tcW w:type="dxa" w:w="8179"/>
          </w:tcPr>
          <w:p>
            <w:pPr>
              <w:spacing w:after="0"/>
            </w:pPr>
            <w:r>
              <w:rPr>
                <w:color w:val="1C3A36"/>
                <w:sz w:val="14"/>
              </w:rPr>
              <w:t>TRIANGULATED THREE WAYS. (a) Q1-26 net finance cost annualised (65.1 × 4 = 260.4) on average net debt ((4,799.2 + 4,226.4)/2 = 4,512.8) = 5.77%. (b) AED rf 4.70% + 83bp (K-09) = 5.53%. (c) 3M EIBOR 3.76% + a 150–175bp investment-grade term-loan margin = 5.26–5.51%. All three converge on ~5.5%.</w:t>
            </w:r>
          </w:p>
        </w:tc>
      </w:tr>
      <w:tr>
        <w:tc>
          <w:tcPr>
            <w:tcW w:type="dxa" w:w="605"/>
            <w:shd w:val="clear" w:color="auto" w:fill="F6F1E6"/>
          </w:tcPr>
          <w:p>
            <w:pPr>
              <w:spacing w:after="0"/>
            </w:pPr>
            <w:r>
              <w:rPr>
                <w:b/>
                <w:color w:val="1C3A36"/>
                <w:sz w:val="14"/>
              </w:rPr>
              <w:t>K-11</w:t>
            </w:r>
          </w:p>
        </w:tc>
        <w:tc>
          <w:tcPr>
            <w:tcW w:type="dxa" w:w="2477"/>
            <w:shd w:val="clear" w:color="auto" w:fill="F6F1E6"/>
          </w:tcPr>
          <w:p>
            <w:pPr>
              <w:spacing w:after="0"/>
            </w:pPr>
            <w:r>
              <w:rPr>
                <w:color w:val="1C3A36"/>
                <w:sz w:val="14"/>
              </w:rPr>
              <w:t>EQUITY BETA — raw, measured</w:t>
            </w:r>
          </w:p>
        </w:tc>
        <w:tc>
          <w:tcPr>
            <w:tcW w:type="dxa" w:w="1498"/>
            <w:shd w:val="clear" w:color="auto" w:fill="F6F1E6"/>
          </w:tcPr>
          <w:p>
            <w:pPr>
              <w:spacing w:after="0"/>
            </w:pPr>
            <w:r>
              <w:rPr>
                <w:color w:val="1C3A36"/>
                <w:sz w:val="14"/>
              </w:rPr>
              <w:t>0.637</w:t>
            </w:r>
          </w:p>
        </w:tc>
        <w:tc>
          <w:tcPr>
            <w:tcW w:type="dxa" w:w="979"/>
            <w:shd w:val="clear" w:color="auto" w:fill="F6F1E6"/>
          </w:tcPr>
          <w:p>
            <w:pPr>
              <w:spacing w:after="0"/>
            </w:pPr>
            <w:r>
              <w:rPr>
                <w:color w:val="1C3A36"/>
                <w:sz w:val="14"/>
              </w:rPr>
              <w:t>MEASURED</w:t>
            </w:r>
          </w:p>
        </w:tc>
        <w:tc>
          <w:tcPr>
            <w:tcW w:type="dxa" w:w="662"/>
            <w:shd w:val="clear" w:color="auto" w:fill="F6F1E6"/>
          </w:tcPr>
          <w:p>
            <w:pPr>
              <w:spacing w:after="0"/>
            </w:pPr>
            <w:r>
              <w:rPr>
                <w:color w:val="1C3A36"/>
                <w:sz w:val="14"/>
              </w:rPr>
              <w:t>S-16, S-17</w:t>
            </w:r>
          </w:p>
        </w:tc>
        <w:tc>
          <w:tcPr>
            <w:tcW w:type="dxa" w:w="8179"/>
            <w:shd w:val="clear" w:color="auto" w:fill="F6F1E6"/>
          </w:tcPr>
          <w:p>
            <w:pPr>
              <w:spacing w:after="0"/>
            </w:pPr>
            <w:r>
              <w:rPr>
                <w:color w:val="1C3A36"/>
                <w:sz w:val="14"/>
              </w:rPr>
              <w:t>WEEKLY log returns vs an equal-weighted 14-name UAE market portfolio (S-17), spanning both exchanges, every constituent through the data-quality check. n = 195, SE = 0.104, t = 6.10, R² = 16.2%. PASSES our usability test (n≥24, R²≥5%, SE&lt;|β|) on all three tests. 95% CI [0.432, 0.841].</w:t>
            </w:r>
          </w:p>
        </w:tc>
      </w:tr>
      <w:tr>
        <w:tc>
          <w:tcPr>
            <w:tcW w:type="dxa" w:w="605"/>
          </w:tcPr>
          <w:p>
            <w:pPr>
              <w:spacing w:after="0"/>
            </w:pPr>
            <w:r>
              <w:rPr>
                <w:b/>
                <w:color w:val="1C3A36"/>
                <w:sz w:val="14"/>
              </w:rPr>
              <w:t>K-12</w:t>
            </w:r>
          </w:p>
        </w:tc>
        <w:tc>
          <w:tcPr>
            <w:tcW w:type="dxa" w:w="2477"/>
          </w:tcPr>
          <w:p>
            <w:pPr>
              <w:spacing w:after="0"/>
            </w:pPr>
            <w:r>
              <w:rPr>
                <w:color w:val="1C3A36"/>
                <w:sz w:val="14"/>
              </w:rPr>
              <w:t>EQUITY BETA — PUBLISHED (Blume-adjusted)</w:t>
            </w:r>
          </w:p>
        </w:tc>
        <w:tc>
          <w:tcPr>
            <w:tcW w:type="dxa" w:w="1498"/>
          </w:tcPr>
          <w:p>
            <w:pPr>
              <w:spacing w:after="0"/>
            </w:pPr>
            <w:r>
              <w:rPr>
                <w:color w:val="1C3A36"/>
                <w:sz w:val="14"/>
              </w:rPr>
              <w:t>0.758</w:t>
            </w:r>
          </w:p>
        </w:tc>
        <w:tc>
          <w:tcPr>
            <w:tcW w:type="dxa" w:w="979"/>
          </w:tcPr>
          <w:p>
            <w:pPr>
              <w:spacing w:after="0"/>
            </w:pPr>
            <w:r>
              <w:rPr>
                <w:color w:val="1C3A36"/>
                <w:sz w:val="14"/>
              </w:rPr>
              <w:t>DERIVED</w:t>
            </w:r>
          </w:p>
        </w:tc>
        <w:tc>
          <w:tcPr>
            <w:tcW w:type="dxa" w:w="662"/>
          </w:tcPr>
          <w:p>
            <w:pPr>
              <w:spacing w:after="0"/>
            </w:pPr>
            <w:r>
              <w:rPr>
                <w:color w:val="1C3A36"/>
                <w:sz w:val="14"/>
              </w:rPr>
              <w:t>K-11</w:t>
            </w:r>
          </w:p>
        </w:tc>
        <w:tc>
          <w:tcPr>
            <w:tcW w:type="dxa" w:w="8179"/>
          </w:tcPr>
          <w:p>
            <w:pPr>
              <w:spacing w:after="0"/>
            </w:pPr>
            <w:r>
              <w:rPr>
                <w:color w:val="1C3A36"/>
                <w:sz w:val="14"/>
              </w:rPr>
              <w:t>⅔ × 0.637 + ⅓ × 1.0. The Bloomberg/Value Line convention. For a LOW-beta stock the Blume shrink RAISES the discount rate and LOWERS fair value — it is the CONSERVATIVE choice, and it is made deliberately.</w:t>
            </w:r>
          </w:p>
        </w:tc>
      </w:tr>
      <w:tr>
        <w:tc>
          <w:tcPr>
            <w:tcW w:type="dxa" w:w="605"/>
            <w:shd w:val="clear" w:color="auto" w:fill="F6F1E6"/>
          </w:tcPr>
          <w:p>
            <w:pPr>
              <w:spacing w:after="0"/>
            </w:pPr>
            <w:r>
              <w:rPr>
                <w:b/>
                <w:color w:val="1C3A36"/>
                <w:sz w:val="14"/>
              </w:rPr>
              <w:t>K-13</w:t>
            </w:r>
          </w:p>
        </w:tc>
        <w:tc>
          <w:tcPr>
            <w:tcW w:type="dxa" w:w="2477"/>
            <w:shd w:val="clear" w:color="auto" w:fill="F6F1E6"/>
          </w:tcPr>
          <w:p>
            <w:pPr>
              <w:spacing w:after="0"/>
            </w:pPr>
            <w:r>
              <w:rPr>
                <w:color w:val="1C3A36"/>
                <w:sz w:val="14"/>
              </w:rPr>
              <w:t>Beta — PRE-WAR (to 27 Feb 2026)</w:t>
            </w:r>
          </w:p>
        </w:tc>
        <w:tc>
          <w:tcPr>
            <w:tcW w:type="dxa" w:w="1498"/>
            <w:shd w:val="clear" w:color="auto" w:fill="F6F1E6"/>
          </w:tcPr>
          <w:p>
            <w:pPr>
              <w:spacing w:after="0"/>
            </w:pPr>
            <w:r>
              <w:rPr>
                <w:color w:val="1C3A36"/>
                <w:sz w:val="14"/>
              </w:rPr>
              <w:t>0.475</w:t>
            </w:r>
          </w:p>
        </w:tc>
        <w:tc>
          <w:tcPr>
            <w:tcW w:type="dxa" w:w="979"/>
            <w:shd w:val="clear" w:color="auto" w:fill="F6F1E6"/>
          </w:tcPr>
          <w:p>
            <w:pPr>
              <w:spacing w:after="0"/>
            </w:pPr>
            <w:r>
              <w:rPr>
                <w:color w:val="1C3A36"/>
                <w:sz w:val="14"/>
              </w:rPr>
              <w:t>MEASURED</w:t>
            </w:r>
          </w:p>
        </w:tc>
        <w:tc>
          <w:tcPr>
            <w:tcW w:type="dxa" w:w="662"/>
            <w:shd w:val="clear" w:color="auto" w:fill="F6F1E6"/>
          </w:tcPr>
          <w:p>
            <w:pPr>
              <w:spacing w:after="0"/>
            </w:pPr>
            <w:r>
              <w:rPr>
                <w:color w:val="1C3A36"/>
                <w:sz w:val="14"/>
              </w:rPr>
              <w:t>S-16, S-17</w:t>
            </w:r>
          </w:p>
        </w:tc>
        <w:tc>
          <w:tcPr>
            <w:tcW w:type="dxa" w:w="8179"/>
            <w:shd w:val="clear" w:color="auto" w:fill="F6F1E6"/>
          </w:tcPr>
          <w:p>
            <w:pPr>
              <w:spacing w:after="0"/>
            </w:pPr>
            <w:r>
              <w:rPr>
                <w:color w:val="1C3A36"/>
                <w:sz w:val="14"/>
              </w:rPr>
              <w:t>n = 177 weekly. PASSES the gate. THIS IS THE CRUX OF THE STUDY.</w:t>
            </w:r>
          </w:p>
        </w:tc>
      </w:tr>
      <w:tr>
        <w:tc>
          <w:tcPr>
            <w:tcW w:type="dxa" w:w="605"/>
            <w:shd w:val="clear" w:color="auto" w:fill="F6F1E6"/>
          </w:tcPr>
          <w:p>
            <w:pPr>
              <w:spacing w:after="0"/>
            </w:pPr>
            <w:r>
              <w:rPr>
                <w:b/>
                <w:color w:val="1C3A36"/>
                <w:sz w:val="14"/>
              </w:rPr>
              <w:t>K-14</w:t>
            </w:r>
          </w:p>
        </w:tc>
        <w:tc>
          <w:tcPr>
            <w:tcW w:type="dxa" w:w="2477"/>
            <w:shd w:val="clear" w:color="auto" w:fill="F6F1E6"/>
          </w:tcPr>
          <w:p>
            <w:pPr>
              <w:spacing w:after="0"/>
            </w:pPr>
            <w:r>
              <w:rPr>
                <w:color w:val="1C3A36"/>
                <w:sz w:val="14"/>
              </w:rPr>
              <w:t>Beta — WAR PERIOD (from 28 Feb 2026)</w:t>
            </w:r>
          </w:p>
        </w:tc>
        <w:tc>
          <w:tcPr>
            <w:tcW w:type="dxa" w:w="1498"/>
            <w:shd w:val="clear" w:color="auto" w:fill="F6F1E6"/>
          </w:tcPr>
          <w:p>
            <w:pPr>
              <w:spacing w:after="0"/>
            </w:pPr>
            <w:r>
              <w:rPr>
                <w:color w:val="1C3A36"/>
                <w:sz w:val="14"/>
              </w:rPr>
              <w:t>1.001</w:t>
            </w:r>
          </w:p>
        </w:tc>
        <w:tc>
          <w:tcPr>
            <w:tcW w:type="dxa" w:w="979"/>
            <w:shd w:val="clear" w:color="auto" w:fill="F6F1E6"/>
          </w:tcPr>
          <w:p>
            <w:pPr>
              <w:spacing w:after="0"/>
            </w:pPr>
            <w:r>
              <w:rPr>
                <w:color w:val="1C3A36"/>
                <w:sz w:val="14"/>
              </w:rPr>
              <w:t>MEASURED</w:t>
            </w:r>
          </w:p>
        </w:tc>
        <w:tc>
          <w:tcPr>
            <w:tcW w:type="dxa" w:w="662"/>
            <w:shd w:val="clear" w:color="auto" w:fill="F6F1E6"/>
          </w:tcPr>
          <w:p>
            <w:pPr>
              <w:spacing w:after="0"/>
            </w:pPr>
            <w:r>
              <w:rPr>
                <w:color w:val="1C3A36"/>
                <w:sz w:val="14"/>
              </w:rPr>
              <w:t>S-16, S-17</w:t>
            </w:r>
          </w:p>
        </w:tc>
        <w:tc>
          <w:tcPr>
            <w:tcW w:type="dxa" w:w="8179"/>
            <w:shd w:val="clear" w:color="auto" w:fill="F6F1E6"/>
          </w:tcPr>
          <w:p>
            <w:pPr>
              <w:spacing w:after="0"/>
            </w:pPr>
            <w:r>
              <w:rPr>
                <w:color w:val="1C3A36"/>
                <w:sz w:val="14"/>
              </w:rPr>
              <w:t>n = 18 weekly. FAILS the gate on n — but it is directionally decisive: the war DOUBLED the measured beta. It also explains why an earlier 19-session regression gave 0.89: that window sat entirely inside the war.</w:t>
            </w:r>
          </w:p>
        </w:tc>
      </w:tr>
      <w:tr>
        <w:tc>
          <w:tcPr>
            <w:tcW w:type="dxa" w:w="605"/>
          </w:tcPr>
          <w:p>
            <w:pPr>
              <w:spacing w:after="0"/>
            </w:pPr>
            <w:r>
              <w:rPr>
                <w:b/>
                <w:color w:val="1C3A36"/>
                <w:sz w:val="14"/>
              </w:rPr>
              <w:t>K-15</w:t>
            </w:r>
          </w:p>
        </w:tc>
        <w:tc>
          <w:tcPr>
            <w:tcW w:type="dxa" w:w="2477"/>
          </w:tcPr>
          <w:p>
            <w:pPr>
              <w:spacing w:after="0"/>
            </w:pPr>
            <w:r>
              <w:rPr>
                <w:color w:val="1C3A36"/>
                <w:sz w:val="14"/>
              </w:rPr>
              <w:t>Idiosyncratic share of SALIK variance</w:t>
            </w:r>
          </w:p>
        </w:tc>
        <w:tc>
          <w:tcPr>
            <w:tcW w:type="dxa" w:w="1498"/>
          </w:tcPr>
          <w:p>
            <w:pPr>
              <w:spacing w:after="0"/>
            </w:pPr>
            <w:r>
              <w:rPr>
                <w:color w:val="1C3A36"/>
                <w:sz w:val="14"/>
              </w:rPr>
              <w:t>88.2%</w:t>
            </w:r>
          </w:p>
        </w:tc>
        <w:tc>
          <w:tcPr>
            <w:tcW w:type="dxa" w:w="979"/>
          </w:tcPr>
          <w:p>
            <w:pPr>
              <w:spacing w:after="0"/>
            </w:pPr>
            <w:r>
              <w:rPr>
                <w:color w:val="1C3A36"/>
                <w:sz w:val="14"/>
              </w:rPr>
              <w:t>DERIVED</w:t>
            </w:r>
          </w:p>
        </w:tc>
        <w:tc>
          <w:tcPr>
            <w:tcW w:type="dxa" w:w="662"/>
          </w:tcPr>
          <w:p>
            <w:pPr>
              <w:spacing w:after="0"/>
            </w:pPr>
            <w:r>
              <w:rPr>
                <w:color w:val="1C3A36"/>
                <w:sz w:val="14"/>
              </w:rPr>
              <w:t>K-11</w:t>
            </w:r>
          </w:p>
        </w:tc>
        <w:tc>
          <w:tcPr>
            <w:tcW w:type="dxa" w:w="8179"/>
          </w:tcPr>
          <w:p>
            <w:pPr>
              <w:spacing w:after="0"/>
            </w:pPr>
            <w:r>
              <w:rPr>
                <w:color w:val="1C3A36"/>
                <w:sz w:val="14"/>
              </w:rPr>
              <w:t>1 − R² (daily). Resolves the paradox: a 26%-volatility stock CAN carry a 0.64 beta because almost nine-tenths of its risk is its own, not the market’s.</w:t>
            </w:r>
          </w:p>
        </w:tc>
      </w:tr>
      <w:tr>
        <w:tc>
          <w:tcPr>
            <w:tcW w:type="dxa" w:w="605"/>
          </w:tcPr>
          <w:p>
            <w:pPr>
              <w:spacing w:after="0"/>
            </w:pPr>
            <w:r>
              <w:rPr>
                <w:b/>
                <w:color w:val="1C3A36"/>
                <w:sz w:val="14"/>
              </w:rPr>
              <w:t>K-16</w:t>
            </w:r>
          </w:p>
        </w:tc>
        <w:tc>
          <w:tcPr>
            <w:tcW w:type="dxa" w:w="2477"/>
          </w:tcPr>
          <w:p>
            <w:pPr>
              <w:spacing w:after="0"/>
            </w:pPr>
            <w:r>
              <w:rPr>
                <w:color w:val="1C3A36"/>
                <w:sz w:val="14"/>
              </w:rPr>
              <w:t>COST OF EQUITY</w:t>
            </w:r>
          </w:p>
        </w:tc>
        <w:tc>
          <w:tcPr>
            <w:tcW w:type="dxa" w:w="1498"/>
          </w:tcPr>
          <w:p>
            <w:pPr>
              <w:spacing w:after="0"/>
            </w:pPr>
            <w:r>
              <w:rPr>
                <w:color w:val="1C3A36"/>
                <w:sz w:val="14"/>
              </w:rPr>
              <w:t>8.39%</w:t>
            </w:r>
          </w:p>
        </w:tc>
        <w:tc>
          <w:tcPr>
            <w:tcW w:type="dxa" w:w="979"/>
          </w:tcPr>
          <w:p>
            <w:pPr>
              <w:spacing w:after="0"/>
            </w:pPr>
            <w:r>
              <w:rPr>
                <w:color w:val="1C3A36"/>
                <w:sz w:val="14"/>
              </w:rPr>
              <w:t>DERIVED</w:t>
            </w:r>
          </w:p>
        </w:tc>
        <w:tc>
          <w:tcPr>
            <w:tcW w:type="dxa" w:w="662"/>
          </w:tcPr>
          <w:p>
            <w:pPr>
              <w:spacing w:after="0"/>
            </w:pPr>
            <w:r>
              <w:rPr>
                <w:color w:val="1C3A36"/>
                <w:sz w:val="14"/>
              </w:rPr>
              <w:t>K-03 + K-12 × K-04</w:t>
            </w:r>
          </w:p>
        </w:tc>
        <w:tc>
          <w:tcPr>
            <w:tcW w:type="dxa" w:w="8179"/>
          </w:tcPr>
          <w:p>
            <w:pPr>
              <w:spacing w:after="0"/>
            </w:pPr>
            <w:r>
              <w:rPr>
                <w:color w:val="1C3A36"/>
                <w:sz w:val="14"/>
              </w:rPr>
              <w:t>4.70% + 0.758 × 4.87%.</w:t>
            </w:r>
          </w:p>
        </w:tc>
      </w:tr>
      <w:tr>
        <w:tc>
          <w:tcPr>
            <w:tcW w:type="dxa" w:w="605"/>
          </w:tcPr>
          <w:p>
            <w:pPr>
              <w:spacing w:after="0"/>
            </w:pPr>
            <w:r>
              <w:rPr>
                <w:b/>
                <w:color w:val="1C3A36"/>
                <w:sz w:val="14"/>
              </w:rPr>
              <w:t>K-17</w:t>
            </w:r>
          </w:p>
        </w:tc>
        <w:tc>
          <w:tcPr>
            <w:tcW w:type="dxa" w:w="2477"/>
          </w:tcPr>
          <w:p>
            <w:pPr>
              <w:spacing w:after="0"/>
            </w:pPr>
            <w:r>
              <w:rPr>
                <w:color w:val="1C3A36"/>
                <w:sz w:val="14"/>
              </w:rPr>
              <w:t>Capital weights (E / D, at market)</w:t>
            </w:r>
          </w:p>
        </w:tc>
        <w:tc>
          <w:tcPr>
            <w:tcW w:type="dxa" w:w="1498"/>
          </w:tcPr>
          <w:p>
            <w:pPr>
              <w:spacing w:after="0"/>
            </w:pPr>
            <w:r>
              <w:rPr>
                <w:color w:val="1C3A36"/>
                <w:sz w:val="14"/>
              </w:rPr>
              <w:t>91.0% / 9.0%</w:t>
            </w:r>
          </w:p>
        </w:tc>
        <w:tc>
          <w:tcPr>
            <w:tcW w:type="dxa" w:w="979"/>
          </w:tcPr>
          <w:p>
            <w:pPr>
              <w:spacing w:after="0"/>
            </w:pPr>
            <w:r>
              <w:rPr>
                <w:color w:val="1C3A36"/>
                <w:sz w:val="14"/>
              </w:rPr>
              <w:t>DERIVED</w:t>
            </w:r>
          </w:p>
        </w:tc>
        <w:tc>
          <w:tcPr>
            <w:tcW w:type="dxa" w:w="662"/>
          </w:tcPr>
          <w:p>
            <w:pPr>
              <w:spacing w:after="0"/>
            </w:pPr>
            <w:r>
              <w:rPr>
                <w:color w:val="1C3A36"/>
                <w:sz w:val="14"/>
              </w:rPr>
              <w:t>A-03, A-04</w:t>
            </w:r>
          </w:p>
        </w:tc>
        <w:tc>
          <w:tcPr>
            <w:tcW w:type="dxa" w:w="8179"/>
          </w:tcPr>
          <w:p>
            <w:pPr>
              <w:spacing w:after="0"/>
            </w:pPr>
            <w:r>
              <w:rPr>
                <w:color w:val="1C3A36"/>
                <w:sz w:val="14"/>
              </w:rPr>
              <w:t>—</w:t>
            </w:r>
          </w:p>
        </w:tc>
      </w:tr>
      <w:tr>
        <w:tc>
          <w:tcPr>
            <w:tcW w:type="dxa" w:w="605"/>
          </w:tcPr>
          <w:p>
            <w:pPr>
              <w:spacing w:after="0"/>
            </w:pPr>
            <w:r>
              <w:rPr>
                <w:b/>
                <w:color w:val="1C3A36"/>
                <w:sz w:val="14"/>
              </w:rPr>
              <w:t>K-18</w:t>
            </w:r>
          </w:p>
        </w:tc>
        <w:tc>
          <w:tcPr>
            <w:tcW w:type="dxa" w:w="2477"/>
          </w:tcPr>
          <w:p>
            <w:pPr>
              <w:spacing w:after="0"/>
            </w:pPr>
            <w:r>
              <w:rPr>
                <w:color w:val="1C3A36"/>
                <w:sz w:val="14"/>
              </w:rPr>
              <w:t>WACC — rating basis (PRIMARY)</w:t>
            </w:r>
          </w:p>
        </w:tc>
        <w:tc>
          <w:tcPr>
            <w:tcW w:type="dxa" w:w="1498"/>
          </w:tcPr>
          <w:p>
            <w:pPr>
              <w:spacing w:after="0"/>
            </w:pPr>
            <w:r>
              <w:rPr>
                <w:color w:val="1C3A36"/>
                <w:sz w:val="14"/>
              </w:rPr>
              <w:t>8.09%</w:t>
            </w:r>
          </w:p>
        </w:tc>
        <w:tc>
          <w:tcPr>
            <w:tcW w:type="dxa" w:w="979"/>
          </w:tcPr>
          <w:p>
            <w:pPr>
              <w:spacing w:after="0"/>
            </w:pPr>
            <w:r>
              <w:rPr>
                <w:color w:val="1C3A36"/>
                <w:sz w:val="14"/>
              </w:rPr>
              <w:t>DERIVED</w:t>
            </w:r>
          </w:p>
        </w:tc>
        <w:tc>
          <w:tcPr>
            <w:tcW w:type="dxa" w:w="662"/>
          </w:tcPr>
          <w:p>
            <w:pPr>
              <w:spacing w:after="0"/>
            </w:pPr>
            <w:r>
              <w:rPr>
                <w:color w:val="1C3A36"/>
                <w:sz w:val="14"/>
              </w:rPr>
              <w:t>K-16, K-10, K-06, K-17</w:t>
            </w:r>
          </w:p>
        </w:tc>
        <w:tc>
          <w:tcPr>
            <w:tcW w:type="dxa" w:w="8179"/>
          </w:tcPr>
          <w:p>
            <w:pPr>
              <w:spacing w:after="0"/>
            </w:pPr>
            <w:r>
              <w:rPr>
                <w:color w:val="1C3A36"/>
                <w:sz w:val="14"/>
              </w:rPr>
              <w:t>0.910 × 8.39% + 0.090 × (5.50% × 0.91).</w:t>
            </w:r>
          </w:p>
        </w:tc>
      </w:tr>
      <w:tr>
        <w:tc>
          <w:tcPr>
            <w:tcW w:type="dxa" w:w="605"/>
          </w:tcPr>
          <w:p>
            <w:pPr>
              <w:spacing w:after="0"/>
            </w:pPr>
            <w:r>
              <w:rPr>
                <w:b/>
                <w:color w:val="1C3A36"/>
                <w:sz w:val="14"/>
              </w:rPr>
              <w:t>K-19</w:t>
            </w:r>
          </w:p>
        </w:tc>
        <w:tc>
          <w:tcPr>
            <w:tcW w:type="dxa" w:w="2477"/>
          </w:tcPr>
          <w:p>
            <w:pPr>
              <w:spacing w:after="0"/>
            </w:pPr>
            <w:r>
              <w:rPr>
                <w:color w:val="1C3A36"/>
                <w:sz w:val="14"/>
              </w:rPr>
              <w:t>WACC — CDS basis</w:t>
            </w:r>
          </w:p>
        </w:tc>
        <w:tc>
          <w:tcPr>
            <w:tcW w:type="dxa" w:w="1498"/>
          </w:tcPr>
          <w:p>
            <w:pPr>
              <w:spacing w:after="0"/>
            </w:pPr>
            <w:r>
              <w:rPr>
                <w:color w:val="1C3A36"/>
                <w:sz w:val="14"/>
              </w:rPr>
              <w:t>8.13%</w:t>
            </w:r>
          </w:p>
        </w:tc>
        <w:tc>
          <w:tcPr>
            <w:tcW w:type="dxa" w:w="979"/>
          </w:tcPr>
          <w:p>
            <w:pPr>
              <w:spacing w:after="0"/>
            </w:pPr>
            <w:r>
              <w:rPr>
                <w:color w:val="1C3A36"/>
                <w:sz w:val="14"/>
              </w:rPr>
              <w:t>DERIVED</w:t>
            </w:r>
          </w:p>
        </w:tc>
        <w:tc>
          <w:tcPr>
            <w:tcW w:type="dxa" w:w="662"/>
          </w:tcPr>
          <w:p>
            <w:pPr>
              <w:spacing w:after="0"/>
            </w:pPr>
            <w:r>
              <w:rPr>
                <w:color w:val="1C3A36"/>
                <w:sz w:val="14"/>
              </w:rPr>
              <w:t>K-05</w:t>
            </w:r>
          </w:p>
        </w:tc>
        <w:tc>
          <w:tcPr>
            <w:tcW w:type="dxa" w:w="8179"/>
          </w:tcPr>
          <w:p>
            <w:pPr>
              <w:spacing w:after="0"/>
            </w:pPr>
            <w:r>
              <w:rPr>
                <w:color w:val="1C3A36"/>
                <w:sz w:val="14"/>
              </w:rPr>
              <w:t>Published alongside, per standing rule.</w:t>
            </w:r>
          </w:p>
        </w:tc>
      </w:tr>
    </w:tbl>
    <w:p>
      <w:pPr>
        <w:spacing w:after="40"/>
      </w:pPr>
    </w:p>
    <w:p>
      <w:r>
        <w:br w:type="page"/>
      </w:r>
    </w:p>
    <w:p>
      <w:pPr>
        <w:spacing w:after="60" w:before="160"/>
      </w:pPr>
      <w:r>
        <w:rPr>
          <w:b/>
          <w:i w:val="0"/>
          <w:color w:val="1C3A36"/>
          <w:sz w:val="21"/>
        </w:rPr>
        <w:t>2.6 Monte Carlo, peers, and macro</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400"/>
        <w:gridCol w:w="2400"/>
        <w:gridCol w:w="2400"/>
        <w:gridCol w:w="2400"/>
        <w:gridCol w:w="2400"/>
        <w:gridCol w:w="2400"/>
      </w:tblGrid>
      <w:tr>
        <w:tc>
          <w:tcPr>
            <w:tcW w:type="dxa" w:w="605"/>
            <w:shd w:val="clear" w:color="auto" w:fill="EAF0EE"/>
          </w:tcPr>
          <w:p>
            <w:pPr>
              <w:spacing w:after="0"/>
            </w:pPr>
            <w:r>
              <w:rPr>
                <w:b/>
                <w:color w:val="1C3A36"/>
                <w:sz w:val="14"/>
              </w:rPr>
              <w:t>Ref</w:t>
            </w:r>
          </w:p>
        </w:tc>
        <w:tc>
          <w:tcPr>
            <w:tcW w:type="dxa" w:w="2333"/>
            <w:shd w:val="clear" w:color="auto" w:fill="EAF0EE"/>
          </w:tcPr>
          <w:p>
            <w:pPr>
              <w:spacing w:after="0"/>
            </w:pPr>
            <w:r>
              <w:rPr>
                <w:b/>
                <w:color w:val="1C3A36"/>
                <w:sz w:val="14"/>
              </w:rPr>
              <w:t>Figure</w:t>
            </w:r>
          </w:p>
        </w:tc>
        <w:tc>
          <w:tcPr>
            <w:tcW w:type="dxa" w:w="1872"/>
            <w:shd w:val="clear" w:color="auto" w:fill="EAF0EE"/>
          </w:tcPr>
          <w:p>
            <w:pPr>
              <w:spacing w:after="0"/>
            </w:pPr>
            <w:r>
              <w:rPr>
                <w:b/>
                <w:color w:val="1C3A36"/>
                <w:sz w:val="14"/>
              </w:rPr>
              <w:t>Value</w:t>
            </w:r>
          </w:p>
        </w:tc>
        <w:tc>
          <w:tcPr>
            <w:tcW w:type="dxa" w:w="1123"/>
            <w:shd w:val="clear" w:color="auto" w:fill="EAF0EE"/>
          </w:tcPr>
          <w:p>
            <w:pPr>
              <w:spacing w:after="0"/>
            </w:pPr>
            <w:r>
              <w:rPr>
                <w:b/>
                <w:color w:val="1C3A36"/>
                <w:sz w:val="14"/>
              </w:rPr>
              <w:t>Class</w:t>
            </w:r>
          </w:p>
        </w:tc>
        <w:tc>
          <w:tcPr>
            <w:tcW w:type="dxa" w:w="662"/>
            <w:shd w:val="clear" w:color="auto" w:fill="EAF0EE"/>
          </w:tcPr>
          <w:p>
            <w:pPr>
              <w:spacing w:after="0"/>
            </w:pPr>
            <w:r>
              <w:rPr>
                <w:b/>
                <w:color w:val="1C3A36"/>
                <w:sz w:val="14"/>
              </w:rPr>
              <w:t>Src</w:t>
            </w:r>
          </w:p>
        </w:tc>
        <w:tc>
          <w:tcPr>
            <w:tcW w:type="dxa" w:w="7805"/>
            <w:shd w:val="clear" w:color="auto" w:fill="EAF0EE"/>
          </w:tcPr>
          <w:p>
            <w:pPr>
              <w:spacing w:after="0"/>
            </w:pPr>
            <w:r>
              <w:rPr>
                <w:b/>
                <w:color w:val="1C3A36"/>
                <w:sz w:val="14"/>
              </w:rPr>
              <w:t>Trace / note</w:t>
            </w:r>
          </w:p>
        </w:tc>
      </w:tr>
      <w:tr>
        <w:tc>
          <w:tcPr>
            <w:tcW w:type="dxa" w:w="605"/>
          </w:tcPr>
          <w:p>
            <w:pPr>
              <w:spacing w:after="0"/>
            </w:pPr>
            <w:r>
              <w:rPr>
                <w:b/>
                <w:color w:val="1C3A36"/>
                <w:sz w:val="14"/>
              </w:rPr>
              <w:t>M-01</w:t>
            </w:r>
          </w:p>
        </w:tc>
        <w:tc>
          <w:tcPr>
            <w:tcW w:type="dxa" w:w="2333"/>
          </w:tcPr>
          <w:p>
            <w:pPr>
              <w:spacing w:after="0"/>
            </w:pPr>
            <w:r>
              <w:rPr>
                <w:color w:val="1C3A36"/>
                <w:sz w:val="14"/>
              </w:rPr>
              <w:t>Engine configuration — ν, the cone-width calibration, signal state</w:t>
            </w:r>
          </w:p>
        </w:tc>
        <w:tc>
          <w:tcPr>
            <w:tcW w:type="dxa" w:w="1872"/>
          </w:tcPr>
          <w:p>
            <w:pPr>
              <w:spacing w:after="0"/>
            </w:pPr>
            <w:r>
              <w:rPr>
                <w:color w:val="1C3A36"/>
                <w:sz w:val="14"/>
              </w:rPr>
              <w:t>ν = 10 · cone width = 1.049 · signal OFF</w:t>
            </w:r>
          </w:p>
        </w:tc>
        <w:tc>
          <w:tcPr>
            <w:tcW w:type="dxa" w:w="1123"/>
          </w:tcPr>
          <w:p>
            <w:pPr>
              <w:spacing w:after="0"/>
            </w:pPr>
            <w:r>
              <w:rPr>
                <w:color w:val="1C3A36"/>
                <w:sz w:val="14"/>
              </w:rPr>
              <w:t>SOURCED</w:t>
            </w:r>
          </w:p>
        </w:tc>
        <w:tc>
          <w:tcPr>
            <w:tcW w:type="dxa" w:w="662"/>
          </w:tcPr>
          <w:p>
            <w:pPr>
              <w:spacing w:after="0"/>
            </w:pPr>
            <w:r>
              <w:rPr>
                <w:color w:val="1C3A36"/>
                <w:sz w:val="14"/>
              </w:rPr>
              <w:t>S-18</w:t>
            </w:r>
          </w:p>
        </w:tc>
        <w:tc>
          <w:tcPr>
            <w:tcW w:type="dxa" w:w="7805"/>
          </w:tcPr>
          <w:p>
            <w:pPr>
              <w:spacing w:after="0"/>
            </w:pPr>
            <w:r>
              <w:rPr>
                <w:color w:val="1C3A36"/>
                <w:sz w:val="14"/>
              </w:rPr>
              <w:t>Read LIVE from the repository BY IMPORT at run time — never quoted from memory or from a document, because the unattended calibration loop refits it whenever a stock is posted. ν is WEAKLY IDENTIFIED: the (ν, the cone-width calibration) PAIR is what is fitted, and the honest object is the cone they jointly produce.</w:t>
            </w:r>
          </w:p>
        </w:tc>
      </w:tr>
      <w:tr>
        <w:tc>
          <w:tcPr>
            <w:tcW w:type="dxa" w:w="605"/>
          </w:tcPr>
          <w:p>
            <w:pPr>
              <w:spacing w:after="0"/>
            </w:pPr>
            <w:r>
              <w:rPr>
                <w:b/>
                <w:color w:val="1C3A36"/>
                <w:sz w:val="14"/>
              </w:rPr>
              <w:t>M-02</w:t>
            </w:r>
          </w:p>
        </w:tc>
        <w:tc>
          <w:tcPr>
            <w:tcW w:type="dxa" w:w="2333"/>
          </w:tcPr>
          <w:p>
            <w:pPr>
              <w:spacing w:after="0"/>
            </w:pPr>
            <w:r>
              <w:rPr>
                <w:color w:val="1C3A36"/>
                <w:sz w:val="14"/>
              </w:rPr>
              <w:t>Dividend yield q (the carry anchor)</w:t>
            </w:r>
          </w:p>
        </w:tc>
        <w:tc>
          <w:tcPr>
            <w:tcW w:type="dxa" w:w="1872"/>
          </w:tcPr>
          <w:p>
            <w:pPr>
              <w:spacing w:after="0"/>
            </w:pPr>
            <w:r>
              <w:rPr>
                <w:color w:val="1C3A36"/>
                <w:sz w:val="14"/>
              </w:rPr>
              <w:t>3.886%</w:t>
            </w:r>
          </w:p>
        </w:tc>
        <w:tc>
          <w:tcPr>
            <w:tcW w:type="dxa" w:w="1123"/>
          </w:tcPr>
          <w:p>
            <w:pPr>
              <w:spacing w:after="0"/>
            </w:pPr>
            <w:r>
              <w:rPr>
                <w:color w:val="1C3A36"/>
                <w:sz w:val="14"/>
              </w:rPr>
              <w:t>DERIVED</w:t>
            </w:r>
          </w:p>
        </w:tc>
        <w:tc>
          <w:tcPr>
            <w:tcW w:type="dxa" w:w="662"/>
          </w:tcPr>
          <w:p>
            <w:pPr>
              <w:spacing w:after="0"/>
            </w:pPr>
            <w:r>
              <w:rPr>
                <w:color w:val="1C3A36"/>
                <w:sz w:val="14"/>
              </w:rPr>
              <w:t>S-02, S-09, A-01</w:t>
            </w:r>
          </w:p>
        </w:tc>
        <w:tc>
          <w:tcPr>
            <w:tcW w:type="dxa" w:w="7805"/>
          </w:tcPr>
          <w:p>
            <w:pPr>
              <w:spacing w:after="0"/>
            </w:pPr>
            <w:r>
              <w:rPr>
                <w:color w:val="1C3A36"/>
                <w:sz w:val="14"/>
              </w:rPr>
              <w:t>Trailing declared DPS ÷ spot. H1-2025 AED 0.10278 (S-09) + H2-2025 AED 0.11871 (890.3 mn ÷ 7,500 mn, S-02) = AED 0.22149. ÷ 5.70.</w:t>
            </w:r>
          </w:p>
        </w:tc>
      </w:tr>
      <w:tr>
        <w:tc>
          <w:tcPr>
            <w:tcW w:type="dxa" w:w="605"/>
          </w:tcPr>
          <w:p>
            <w:pPr>
              <w:spacing w:after="0"/>
            </w:pPr>
            <w:r>
              <w:rPr>
                <w:b/>
                <w:color w:val="1C3A36"/>
                <w:sz w:val="14"/>
              </w:rPr>
              <w:t>M-03</w:t>
            </w:r>
          </w:p>
        </w:tc>
        <w:tc>
          <w:tcPr>
            <w:tcW w:type="dxa" w:w="2333"/>
          </w:tcPr>
          <w:p>
            <w:pPr>
              <w:spacing w:after="0"/>
            </w:pPr>
            <w:r>
              <w:rPr>
                <w:color w:val="1C3A36"/>
                <w:sz w:val="14"/>
              </w:rPr>
              <w:t>Carry drift over 60 sessions</w:t>
            </w:r>
          </w:p>
        </w:tc>
        <w:tc>
          <w:tcPr>
            <w:tcW w:type="dxa" w:w="1872"/>
          </w:tcPr>
          <w:p>
            <w:pPr>
              <w:spacing w:after="0"/>
            </w:pPr>
            <w:r>
              <w:rPr>
                <w:color w:val="1C3A36"/>
                <w:sz w:val="14"/>
              </w:rPr>
              <w:t>−0.059%</w:t>
            </w:r>
          </w:p>
        </w:tc>
        <w:tc>
          <w:tcPr>
            <w:tcW w:type="dxa" w:w="1123"/>
          </w:tcPr>
          <w:p>
            <w:pPr>
              <w:spacing w:after="0"/>
            </w:pPr>
            <w:r>
              <w:rPr>
                <w:color w:val="1C3A36"/>
                <w:sz w:val="14"/>
              </w:rPr>
              <w:t>DERIVED</w:t>
            </w:r>
          </w:p>
        </w:tc>
        <w:tc>
          <w:tcPr>
            <w:tcW w:type="dxa" w:w="662"/>
          </w:tcPr>
          <w:p>
            <w:pPr>
              <w:spacing w:after="0"/>
            </w:pPr>
            <w:r>
              <w:rPr>
                <w:color w:val="1C3A36"/>
                <w:sz w:val="14"/>
              </w:rPr>
              <w:t>K-07, M-02</w:t>
            </w:r>
          </w:p>
        </w:tc>
        <w:tc>
          <w:tcPr>
            <w:tcW w:type="dxa" w:w="7805"/>
          </w:tcPr>
          <w:p>
            <w:pPr>
              <w:spacing w:after="0"/>
            </w:pPr>
            <w:r>
              <w:rPr>
                <w:color w:val="1C3A36"/>
                <w:sz w:val="14"/>
              </w:rPr>
              <w:t>[ln(1+rf) − ln(1+q)] × 60/252. rf and q very nearly cancel — which is WHY the median is flat. An EXPLAINED flat, not an unexplained one.</w:t>
            </w:r>
          </w:p>
        </w:tc>
      </w:tr>
      <w:tr>
        <w:tc>
          <w:tcPr>
            <w:tcW w:type="dxa" w:w="605"/>
          </w:tcPr>
          <w:p>
            <w:pPr>
              <w:spacing w:after="0"/>
            </w:pPr>
            <w:r>
              <w:rPr>
                <w:b/>
                <w:color w:val="1C3A36"/>
                <w:sz w:val="14"/>
              </w:rPr>
              <w:t>M-04</w:t>
            </w:r>
          </w:p>
        </w:tc>
        <w:tc>
          <w:tcPr>
            <w:tcW w:type="dxa" w:w="2333"/>
          </w:tcPr>
          <w:p>
            <w:pPr>
              <w:spacing w:after="0"/>
            </w:pPr>
            <w:r>
              <w:rPr>
                <w:color w:val="1C3A36"/>
                <w:sz w:val="14"/>
              </w:rPr>
              <w:t>the calibration back-test calibration verdict</w:t>
            </w:r>
          </w:p>
        </w:tc>
        <w:tc>
          <w:tcPr>
            <w:tcW w:type="dxa" w:w="1872"/>
          </w:tcPr>
          <w:p>
            <w:pPr>
              <w:spacing w:after="0"/>
            </w:pPr>
            <w:r>
              <w:rPr>
                <w:color w:val="1C3A36"/>
                <w:sz w:val="14"/>
              </w:rPr>
              <w:t>PARITY (robust, blocks 2/3/4); 11 windows; cone 1.258× the benchmark; coverage 1.00 at the 90% level</w:t>
            </w:r>
          </w:p>
        </w:tc>
        <w:tc>
          <w:tcPr>
            <w:tcW w:type="dxa" w:w="1123"/>
          </w:tcPr>
          <w:p>
            <w:pPr>
              <w:spacing w:after="0"/>
            </w:pPr>
            <w:r>
              <w:rPr>
                <w:color w:val="1C3A36"/>
                <w:sz w:val="14"/>
              </w:rPr>
              <w:t>MEASURED</w:t>
            </w:r>
          </w:p>
        </w:tc>
        <w:tc>
          <w:tcPr>
            <w:tcW w:type="dxa" w:w="662"/>
          </w:tcPr>
          <w:p>
            <w:pPr>
              <w:spacing w:after="0"/>
            </w:pPr>
            <w:r>
              <w:rPr>
                <w:color w:val="1C3A36"/>
                <w:sz w:val="14"/>
              </w:rPr>
              <w:t>S-16, S-18</w:t>
            </w:r>
          </w:p>
        </w:tc>
        <w:tc>
          <w:tcPr>
            <w:tcW w:type="dxa" w:w="7805"/>
          </w:tcPr>
          <w:p>
            <w:pPr>
              <w:spacing w:after="0"/>
            </w:pPr>
            <w:r>
              <w:rPr>
                <w:color w:val="1C3A36"/>
                <w:sz w:val="14"/>
              </w:rPr>
              <w:t>5-yr walk-forward, h=60, non-overlapping, scored against a carry-anchored lognormal RW. The cone is OVER-COVERED and we say so — it means the published bands, and especially the TOUCH probabilities, should be read as UPPER BOUNDS.</w:t>
            </w:r>
          </w:p>
        </w:tc>
      </w:tr>
      <w:tr>
        <w:tc>
          <w:tcPr>
            <w:tcW w:type="dxa" w:w="605"/>
            <w:shd w:val="clear" w:color="auto" w:fill="FBF0DC"/>
          </w:tcPr>
          <w:p>
            <w:pPr>
              <w:spacing w:after="0"/>
            </w:pPr>
            <w:r>
              <w:rPr>
                <w:b/>
                <w:color w:val="1C3A36"/>
                <w:sz w:val="14"/>
              </w:rPr>
              <w:t>M-05</w:t>
            </w:r>
          </w:p>
        </w:tc>
        <w:tc>
          <w:tcPr>
            <w:tcW w:type="dxa" w:w="2333"/>
            <w:shd w:val="clear" w:color="auto" w:fill="FBF0DC"/>
          </w:tcPr>
          <w:p>
            <w:pPr>
              <w:spacing w:after="0"/>
            </w:pPr>
            <w:r>
              <w:rPr>
                <w:color w:val="1C3A36"/>
                <w:sz w:val="14"/>
              </w:rPr>
              <w:t>Parkin (DFM) — P/E and dividend yield</w:t>
            </w:r>
          </w:p>
        </w:tc>
        <w:tc>
          <w:tcPr>
            <w:tcW w:type="dxa" w:w="1872"/>
            <w:shd w:val="clear" w:color="auto" w:fill="FBF0DC"/>
          </w:tcPr>
          <w:p>
            <w:pPr>
              <w:spacing w:after="0"/>
            </w:pPr>
            <w:r>
              <w:rPr>
                <w:color w:val="1C3A36"/>
                <w:sz w:val="14"/>
              </w:rPr>
              <w:t>24.9× / 4.2%</w:t>
            </w:r>
          </w:p>
        </w:tc>
        <w:tc>
          <w:tcPr>
            <w:tcW w:type="dxa" w:w="1123"/>
            <w:shd w:val="clear" w:color="auto" w:fill="FBF0DC"/>
          </w:tcPr>
          <w:p>
            <w:pPr>
              <w:spacing w:after="0"/>
            </w:pPr>
            <w:r>
              <w:rPr>
                <w:color w:val="1C3A36"/>
                <w:sz w:val="14"/>
              </w:rPr>
              <w:t>AGGREGATOR — FLAGGED</w:t>
            </w:r>
          </w:p>
        </w:tc>
        <w:tc>
          <w:tcPr>
            <w:tcW w:type="dxa" w:w="662"/>
            <w:shd w:val="clear" w:color="auto" w:fill="FBF0DC"/>
          </w:tcPr>
          <w:p>
            <w:pPr>
              <w:spacing w:after="0"/>
            </w:pPr>
            <w:r>
              <w:rPr>
                <w:color w:val="1C3A36"/>
                <w:sz w:val="14"/>
              </w:rPr>
              <w:t>S-23</w:t>
            </w:r>
          </w:p>
        </w:tc>
        <w:tc>
          <w:tcPr>
            <w:tcW w:type="dxa" w:w="7805"/>
            <w:shd w:val="clear" w:color="auto" w:fill="FBF0DC"/>
          </w:tcPr>
          <w:p>
            <w:pPr>
              <w:spacing w:after="0"/>
            </w:pPr>
            <w:r>
              <w:rPr>
                <w:color w:val="1C3A36"/>
                <w:sz w:val="14"/>
              </w:rPr>
              <w:t>THE ONLY aggregator figure in the study, and the ONLY structural comparable that exists anywhere (same emirate, same grantor, same 49-yr term, same ~100% payout, same government parent). ~3 months stale. It anchors a MULTIPLE BAND. It does NOT touch a financial-statement line, and it never could.</w:t>
            </w:r>
          </w:p>
        </w:tc>
      </w:tr>
      <w:tr>
        <w:tc>
          <w:tcPr>
            <w:tcW w:type="dxa" w:w="605"/>
            <w:shd w:val="clear" w:color="auto" w:fill="F6F1E6"/>
          </w:tcPr>
          <w:p>
            <w:pPr>
              <w:spacing w:after="0"/>
            </w:pPr>
            <w:r>
              <w:rPr>
                <w:b/>
                <w:color w:val="1C3A36"/>
                <w:sz w:val="14"/>
              </w:rPr>
              <w:t>M-06</w:t>
            </w:r>
          </w:p>
        </w:tc>
        <w:tc>
          <w:tcPr>
            <w:tcW w:type="dxa" w:w="2333"/>
            <w:shd w:val="clear" w:color="auto" w:fill="F6F1E6"/>
          </w:tcPr>
          <w:p>
            <w:pPr>
              <w:spacing w:after="0"/>
            </w:pPr>
            <w:r>
              <w:rPr>
                <w:color w:val="1C3A36"/>
                <w:sz w:val="14"/>
              </w:rPr>
              <w:t>Historical trip CAGR, 2013–2023</w:t>
            </w:r>
          </w:p>
        </w:tc>
        <w:tc>
          <w:tcPr>
            <w:tcW w:type="dxa" w:w="1872"/>
            <w:shd w:val="clear" w:color="auto" w:fill="F6F1E6"/>
          </w:tcPr>
          <w:p>
            <w:pPr>
              <w:spacing w:after="0"/>
            </w:pPr>
            <w:r>
              <w:rPr>
                <w:color w:val="1C3A36"/>
                <w:sz w:val="14"/>
              </w:rPr>
              <w:t>4.3%</w:t>
            </w:r>
          </w:p>
        </w:tc>
        <w:tc>
          <w:tcPr>
            <w:tcW w:type="dxa" w:w="1123"/>
            <w:shd w:val="clear" w:color="auto" w:fill="F6F1E6"/>
          </w:tcPr>
          <w:p>
            <w:pPr>
              <w:spacing w:after="0"/>
            </w:pPr>
            <w:r>
              <w:rPr>
                <w:color w:val="1C3A36"/>
                <w:sz w:val="14"/>
              </w:rPr>
              <w:t>SOURCED</w:t>
            </w:r>
          </w:p>
        </w:tc>
        <w:tc>
          <w:tcPr>
            <w:tcW w:type="dxa" w:w="662"/>
            <w:shd w:val="clear" w:color="auto" w:fill="F6F1E6"/>
          </w:tcPr>
          <w:p>
            <w:pPr>
              <w:spacing w:after="0"/>
            </w:pPr>
            <w:r>
              <w:rPr>
                <w:color w:val="1C3A36"/>
                <w:sz w:val="14"/>
              </w:rPr>
              <w:t>S-07</w:t>
            </w:r>
          </w:p>
        </w:tc>
        <w:tc>
          <w:tcPr>
            <w:tcW w:type="dxa" w:w="7805"/>
            <w:shd w:val="clear" w:color="auto" w:fill="F6F1E6"/>
          </w:tcPr>
          <w:p>
            <w:pPr>
              <w:spacing w:after="0"/>
            </w:pPr>
            <w:r>
              <w:rPr>
                <w:color w:val="1C3A36"/>
                <w:sz w:val="14"/>
              </w:rPr>
              <w:t>VERBATIM from the company’s own IR Overview: "Salik’s revenue generating trips from 2013 through 2023 grew at 4.3% CAGR driven by Dubai’s robust economic growth and above Dubai’s real GDP CAGR of 3.3% CAGR for the same period." This figure was alleged by an external fact-check to be FABRICATED. It is a direct quotation from the page that fact-check itself cited. See §6, D-03.</w:t>
            </w:r>
          </w:p>
        </w:tc>
      </w:tr>
      <w:tr>
        <w:tc>
          <w:tcPr>
            <w:tcW w:type="dxa" w:w="605"/>
          </w:tcPr>
          <w:p>
            <w:pPr>
              <w:spacing w:after="0"/>
            </w:pPr>
            <w:r>
              <w:rPr>
                <w:b/>
                <w:color w:val="1C3A36"/>
                <w:sz w:val="14"/>
              </w:rPr>
              <w:t>M-07</w:t>
            </w:r>
          </w:p>
        </w:tc>
        <w:tc>
          <w:tcPr>
            <w:tcW w:type="dxa" w:w="2333"/>
          </w:tcPr>
          <w:p>
            <w:pPr>
              <w:spacing w:after="0"/>
            </w:pPr>
            <w:r>
              <w:rPr>
                <w:color w:val="1C3A36"/>
                <w:sz w:val="14"/>
              </w:rPr>
              <w:t>Dubai population</w:t>
            </w:r>
          </w:p>
        </w:tc>
        <w:tc>
          <w:tcPr>
            <w:tcW w:type="dxa" w:w="1872"/>
          </w:tcPr>
          <w:p>
            <w:pPr>
              <w:spacing w:after="0"/>
            </w:pPr>
            <w:r>
              <w:rPr>
                <w:color w:val="1C3A36"/>
                <w:sz w:val="14"/>
              </w:rPr>
              <w:t>3.7 mn permanent / 4.5 mn daytime (2024); &gt;50% growth planned to 2040</w:t>
            </w:r>
          </w:p>
        </w:tc>
        <w:tc>
          <w:tcPr>
            <w:tcW w:type="dxa" w:w="1123"/>
          </w:tcPr>
          <w:p>
            <w:pPr>
              <w:spacing w:after="0"/>
            </w:pPr>
            <w:r>
              <w:rPr>
                <w:color w:val="1C3A36"/>
                <w:sz w:val="14"/>
              </w:rPr>
              <w:t>SOURCED</w:t>
            </w:r>
          </w:p>
        </w:tc>
        <w:tc>
          <w:tcPr>
            <w:tcW w:type="dxa" w:w="662"/>
          </w:tcPr>
          <w:p>
            <w:pPr>
              <w:spacing w:after="0"/>
            </w:pPr>
            <w:r>
              <w:rPr>
                <w:color w:val="1C3A36"/>
                <w:sz w:val="14"/>
              </w:rPr>
              <w:t>S-07</w:t>
            </w:r>
          </w:p>
        </w:tc>
        <w:tc>
          <w:tcPr>
            <w:tcW w:type="dxa" w:w="7805"/>
          </w:tcPr>
          <w:p>
            <w:pPr>
              <w:spacing w:after="0"/>
            </w:pPr>
            <w:r>
              <w:rPr>
                <w:color w:val="1C3A36"/>
                <w:sz w:val="14"/>
              </w:rPr>
              <w:t>Dubai 2040 Urban Master Plan, via the company’s own IR materials.</w:t>
            </w:r>
          </w:p>
        </w:tc>
      </w:tr>
      <w:tr>
        <w:tc>
          <w:tcPr>
            <w:tcW w:type="dxa" w:w="605"/>
          </w:tcPr>
          <w:p>
            <w:pPr>
              <w:spacing w:after="0"/>
            </w:pPr>
            <w:r>
              <w:rPr>
                <w:b/>
                <w:color w:val="1C3A36"/>
                <w:sz w:val="14"/>
              </w:rPr>
              <w:t>M-08</w:t>
            </w:r>
          </w:p>
        </w:tc>
        <w:tc>
          <w:tcPr>
            <w:tcW w:type="dxa" w:w="2333"/>
          </w:tcPr>
          <w:p>
            <w:pPr>
              <w:spacing w:after="0"/>
            </w:pPr>
            <w:r>
              <w:rPr>
                <w:color w:val="1C3A36"/>
                <w:sz w:val="14"/>
              </w:rPr>
              <w:t>Metro Blue Line</w:t>
            </w:r>
          </w:p>
        </w:tc>
        <w:tc>
          <w:tcPr>
            <w:tcW w:type="dxa" w:w="1872"/>
          </w:tcPr>
          <w:p>
            <w:pPr>
              <w:spacing w:after="0"/>
            </w:pPr>
            <w:r>
              <w:rPr>
                <w:color w:val="1C3A36"/>
                <w:sz w:val="14"/>
              </w:rPr>
              <w:t>AED 20.5 bn · 30 km · 14 stations · opens 2029 · 200k → 320k passengers/day</w:t>
            </w:r>
          </w:p>
        </w:tc>
        <w:tc>
          <w:tcPr>
            <w:tcW w:type="dxa" w:w="1123"/>
          </w:tcPr>
          <w:p>
            <w:pPr>
              <w:spacing w:after="0"/>
            </w:pPr>
            <w:r>
              <w:rPr>
                <w:color w:val="1C3A36"/>
                <w:sz w:val="14"/>
              </w:rPr>
              <w:t>SOURCED</w:t>
            </w:r>
          </w:p>
        </w:tc>
        <w:tc>
          <w:tcPr>
            <w:tcW w:type="dxa" w:w="662"/>
          </w:tcPr>
          <w:p>
            <w:pPr>
              <w:spacing w:after="0"/>
            </w:pPr>
            <w:r>
              <w:rPr>
                <w:color w:val="1C3A36"/>
                <w:sz w:val="14"/>
              </w:rPr>
              <w:t>S-20</w:t>
            </w:r>
          </w:p>
        </w:tc>
        <w:tc>
          <w:tcPr>
            <w:tcW w:type="dxa" w:w="7805"/>
          </w:tcPr>
          <w:p>
            <w:pPr>
              <w:spacing w:after="0"/>
            </w:pPr>
            <w:r>
              <w:rPr>
                <w:color w:val="1C3A36"/>
                <w:sz w:val="14"/>
              </w:rPr>
              <w:t>EAST–WEST — the axis Salik tolls. It is why terminal growth is capped at 2.5% and why trend trip growth decays 4.5% → 3.0%. Surfaced by the research register’s completeness check, which FAILED on the first pass and forced the search.</w:t>
            </w:r>
          </w:p>
        </w:tc>
      </w:tr>
      <w:tr>
        <w:tc>
          <w:tcPr>
            <w:tcW w:type="dxa" w:w="605"/>
          </w:tcPr>
          <w:p>
            <w:pPr>
              <w:spacing w:after="0"/>
            </w:pPr>
            <w:r>
              <w:rPr>
                <w:b/>
                <w:color w:val="1C3A36"/>
                <w:sz w:val="14"/>
              </w:rPr>
              <w:t>M-09</w:t>
            </w:r>
          </w:p>
        </w:tc>
        <w:tc>
          <w:tcPr>
            <w:tcW w:type="dxa" w:w="2333"/>
          </w:tcPr>
          <w:p>
            <w:pPr>
              <w:spacing w:after="0"/>
            </w:pPr>
            <w:r>
              <w:rPr>
                <w:color w:val="1C3A36"/>
                <w:sz w:val="14"/>
              </w:rPr>
              <w:t>War timeline</w:t>
            </w:r>
          </w:p>
        </w:tc>
        <w:tc>
          <w:tcPr>
            <w:tcW w:type="dxa" w:w="1872"/>
          </w:tcPr>
          <w:p>
            <w:pPr>
              <w:spacing w:after="0"/>
            </w:pPr>
            <w:r>
              <w:rPr>
                <w:color w:val="1C3A36"/>
                <w:sz w:val="14"/>
              </w:rPr>
              <w:t>Opens 28 Feb 2026 · ceasefire 7–8 Apr · MoU 17 Jun · ships attacked 6–7 Jul · truce called over 7 Jul, walked back 8 Jul</w:t>
            </w:r>
          </w:p>
        </w:tc>
        <w:tc>
          <w:tcPr>
            <w:tcW w:type="dxa" w:w="1123"/>
          </w:tcPr>
          <w:p>
            <w:pPr>
              <w:spacing w:after="0"/>
            </w:pPr>
            <w:r>
              <w:rPr>
                <w:color w:val="1C3A36"/>
                <w:sz w:val="14"/>
              </w:rPr>
              <w:t>SOURCED</w:t>
            </w:r>
          </w:p>
        </w:tc>
        <w:tc>
          <w:tcPr>
            <w:tcW w:type="dxa" w:w="662"/>
          </w:tcPr>
          <w:p>
            <w:pPr>
              <w:spacing w:after="0"/>
            </w:pPr>
            <w:r>
              <w:rPr>
                <w:color w:val="1C3A36"/>
                <w:sz w:val="14"/>
              </w:rPr>
              <w:t>S-21</w:t>
            </w:r>
          </w:p>
        </w:tc>
        <w:tc>
          <w:tcPr>
            <w:tcW w:type="dxa" w:w="7805"/>
          </w:tcPr>
          <w:p>
            <w:pPr>
              <w:spacing w:after="0"/>
            </w:pPr>
            <w:r>
              <w:rPr>
                <w:color w:val="1C3A36"/>
                <w:sz w:val="14"/>
              </w:rPr>
              <w:t>The last two events fall THREE DAYS before this study’s anchor date.</w:t>
            </w:r>
          </w:p>
        </w:tc>
      </w:tr>
      <w:tr>
        <w:tc>
          <w:tcPr>
            <w:tcW w:type="dxa" w:w="605"/>
          </w:tcPr>
          <w:p>
            <w:pPr>
              <w:spacing w:after="0"/>
            </w:pPr>
            <w:r>
              <w:rPr>
                <w:b/>
                <w:color w:val="1C3A36"/>
                <w:sz w:val="14"/>
              </w:rPr>
              <w:t>M-10</w:t>
            </w:r>
          </w:p>
        </w:tc>
        <w:tc>
          <w:tcPr>
            <w:tcW w:type="dxa" w:w="2333"/>
          </w:tcPr>
          <w:p>
            <w:pPr>
              <w:spacing w:after="0"/>
            </w:pPr>
            <w:r>
              <w:rPr>
                <w:color w:val="1C3A36"/>
                <w:sz w:val="14"/>
              </w:rPr>
              <w:t>Emirates network restoration; Dubai support package</w:t>
            </w:r>
          </w:p>
        </w:tc>
        <w:tc>
          <w:tcPr>
            <w:tcW w:type="dxa" w:w="1872"/>
          </w:tcPr>
          <w:p>
            <w:pPr>
              <w:spacing w:after="0"/>
            </w:pPr>
            <w:r>
              <w:rPr>
                <w:color w:val="1C3A36"/>
                <w:sz w:val="14"/>
              </w:rPr>
              <w:t>96% of network; AED 2.5 bn</w:t>
            </w:r>
          </w:p>
        </w:tc>
        <w:tc>
          <w:tcPr>
            <w:tcW w:type="dxa" w:w="1123"/>
          </w:tcPr>
          <w:p>
            <w:pPr>
              <w:spacing w:after="0"/>
            </w:pPr>
            <w:r>
              <w:rPr>
                <w:color w:val="1C3A36"/>
                <w:sz w:val="14"/>
              </w:rPr>
              <w:t>SOURCED</w:t>
            </w:r>
          </w:p>
        </w:tc>
        <w:tc>
          <w:tcPr>
            <w:tcW w:type="dxa" w:w="662"/>
          </w:tcPr>
          <w:p>
            <w:pPr>
              <w:spacing w:after="0"/>
            </w:pPr>
            <w:r>
              <w:rPr>
                <w:color w:val="1C3A36"/>
                <w:sz w:val="14"/>
              </w:rPr>
              <w:t>S-22</w:t>
            </w:r>
          </w:p>
        </w:tc>
        <w:tc>
          <w:tcPr>
            <w:tcW w:type="dxa" w:w="7805"/>
          </w:tcPr>
          <w:p>
            <w:pPr>
              <w:spacing w:after="0"/>
            </w:pPr>
            <w:r>
              <w:rPr>
                <w:color w:val="1C3A36"/>
                <w:sz w:val="14"/>
              </w:rPr>
              <w:t>Supports the H2-2026 recovery path — and caps it.</w:t>
            </w:r>
          </w:p>
        </w:tc>
      </w:tr>
    </w:tbl>
    <w:p>
      <w:pPr>
        <w:spacing w:after="40"/>
      </w:pPr>
    </w:p>
    <w:p>
      <w:r>
        <w:br w:type="page"/>
      </w:r>
    </w:p>
    <w:p>
      <w:pPr>
        <w:spacing w:after="100" w:before="240"/>
      </w:pPr>
      <w:r>
        <w:rPr>
          <w:b/>
          <w:i w:val="0"/>
          <w:color w:val="1C3A36"/>
          <w:sz w:val="27"/>
        </w:rPr>
        <w:t>3 The judgment figures — what we made up, and when you can check us</w:t>
      </w:r>
    </w:p>
    <w:p>
      <w:pPr>
        <w:spacing w:after="120" w:before="0"/>
      </w:pPr>
      <w:r>
        <w:rPr>
          <w:b w:val="0"/>
          <w:i w:val="0"/>
          <w:color w:val="1C3A36"/>
          <w:sz w:val="18"/>
        </w:rPr>
        <w:t>These are NOT facts. They are the preparer’s forward view. Every one is logged to the Fundamental our forecast-assumptions log with the date its truth becomes checkable, and every one is a legitimate place to disagree with this study. If you want to argue with our number, argue here.</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880"/>
        <w:gridCol w:w="2880"/>
        <w:gridCol w:w="2880"/>
        <w:gridCol w:w="2880"/>
        <w:gridCol w:w="2880"/>
      </w:tblGrid>
      <w:tr>
        <w:tc>
          <w:tcPr>
            <w:tcW w:type="dxa" w:w="605"/>
            <w:shd w:val="clear" w:color="auto" w:fill="EAF0EE"/>
          </w:tcPr>
          <w:p>
            <w:pPr>
              <w:spacing w:after="0"/>
            </w:pPr>
            <w:r>
              <w:rPr>
                <w:b/>
                <w:color w:val="1C3A36"/>
                <w:sz w:val="14"/>
              </w:rPr>
              <w:t>Ref</w:t>
            </w:r>
          </w:p>
        </w:tc>
        <w:tc>
          <w:tcPr>
            <w:tcW w:type="dxa" w:w="2390"/>
            <w:shd w:val="clear" w:color="auto" w:fill="EAF0EE"/>
          </w:tcPr>
          <w:p>
            <w:pPr>
              <w:spacing w:after="0"/>
            </w:pPr>
            <w:r>
              <w:rPr>
                <w:b/>
                <w:color w:val="1C3A36"/>
                <w:sz w:val="14"/>
              </w:rPr>
              <w:t>Driver</w:t>
            </w:r>
          </w:p>
        </w:tc>
        <w:tc>
          <w:tcPr>
            <w:tcW w:type="dxa" w:w="1786"/>
            <w:shd w:val="clear" w:color="auto" w:fill="EAF0EE"/>
          </w:tcPr>
          <w:p>
            <w:pPr>
              <w:spacing w:after="0"/>
            </w:pPr>
            <w:r>
              <w:rPr>
                <w:b/>
                <w:color w:val="1C3A36"/>
                <w:sz w:val="14"/>
              </w:rPr>
              <w:t>Our value</w:t>
            </w:r>
          </w:p>
        </w:tc>
        <w:tc>
          <w:tcPr>
            <w:tcW w:type="dxa" w:w="7056"/>
            <w:shd w:val="clear" w:color="auto" w:fill="EAF0EE"/>
          </w:tcPr>
          <w:p>
            <w:pPr>
              <w:spacing w:after="0"/>
            </w:pPr>
            <w:r>
              <w:rPr>
                <w:b/>
                <w:color w:val="1C3A36"/>
                <w:sz w:val="14"/>
              </w:rPr>
              <w:t>Basis — and what it is anchored on</w:t>
            </w:r>
          </w:p>
        </w:tc>
        <w:tc>
          <w:tcPr>
            <w:tcW w:type="dxa" w:w="2563"/>
            <w:shd w:val="clear" w:color="auto" w:fill="EAF0EE"/>
          </w:tcPr>
          <w:p>
            <w:pPr>
              <w:spacing w:after="0"/>
            </w:pPr>
            <w:r>
              <w:rPr>
                <w:b/>
                <w:color w:val="1C3A36"/>
                <w:sz w:val="14"/>
              </w:rPr>
              <w:t>Resolves</w:t>
            </w:r>
          </w:p>
        </w:tc>
      </w:tr>
      <w:tr>
        <w:tc>
          <w:tcPr>
            <w:tcW w:type="dxa" w:w="605"/>
          </w:tcPr>
          <w:p>
            <w:pPr>
              <w:spacing w:after="0"/>
            </w:pPr>
            <w:r>
              <w:rPr>
                <w:b/>
                <w:color w:val="1C3A36"/>
                <w:sz w:val="14"/>
              </w:rPr>
              <w:t>J-01</w:t>
            </w:r>
          </w:p>
        </w:tc>
        <w:tc>
          <w:tcPr>
            <w:tcW w:type="dxa" w:w="2390"/>
          </w:tcPr>
          <w:p>
            <w:pPr>
              <w:spacing w:after="0"/>
            </w:pPr>
            <w:r>
              <w:rPr>
                <w:color w:val="1C3A36"/>
                <w:sz w:val="14"/>
              </w:rPr>
              <w:t>FY2026 chargeable trips</w:t>
            </w:r>
          </w:p>
        </w:tc>
        <w:tc>
          <w:tcPr>
            <w:tcW w:type="dxa" w:w="1786"/>
          </w:tcPr>
          <w:p>
            <w:pPr>
              <w:spacing w:after="0"/>
            </w:pPr>
            <w:r>
              <w:rPr>
                <w:color w:val="1C3A36"/>
                <w:sz w:val="14"/>
              </w:rPr>
              <w:t>595.1 mn</w:t>
            </w:r>
          </w:p>
        </w:tc>
        <w:tc>
          <w:tcPr>
            <w:tcW w:type="dxa" w:w="7056"/>
          </w:tcPr>
          <w:p>
            <w:pPr>
              <w:spacing w:after="0"/>
            </w:pPr>
            <w:r>
              <w:rPr>
                <w:color w:val="1C3A36"/>
                <w:sz w:val="14"/>
              </w:rPr>
              <w:t>Q1 actual 145.7 mn (Q-12) + Q2 at 85% of Q2-25 + Q3 at 95% + Q4 at 100%. Anchored on the company’s own "recovery from Q3" language and on Q-22 (the customer base GREW through the shock).</w:t>
            </w:r>
          </w:p>
        </w:tc>
        <w:tc>
          <w:tcPr>
            <w:tcW w:type="dxa" w:w="2563"/>
          </w:tcPr>
          <w:p>
            <w:pPr>
              <w:spacing w:after="0"/>
            </w:pPr>
            <w:r>
              <w:rPr>
                <w:color w:val="1C3A36"/>
                <w:sz w:val="14"/>
              </w:rPr>
              <w:t>Q2-2026 print, ~mid-Aug 2026</w:t>
            </w:r>
          </w:p>
        </w:tc>
      </w:tr>
      <w:tr>
        <w:tc>
          <w:tcPr>
            <w:tcW w:type="dxa" w:w="605"/>
          </w:tcPr>
          <w:p>
            <w:pPr>
              <w:spacing w:after="0"/>
            </w:pPr>
            <w:r>
              <w:rPr>
                <w:b/>
                <w:color w:val="1C3A36"/>
                <w:sz w:val="14"/>
              </w:rPr>
              <w:t>J-02</w:t>
            </w:r>
          </w:p>
        </w:tc>
        <w:tc>
          <w:tcPr>
            <w:tcW w:type="dxa" w:w="2390"/>
          </w:tcPr>
          <w:p>
            <w:pPr>
              <w:spacing w:after="0"/>
            </w:pPr>
            <w:r>
              <w:rPr>
                <w:color w:val="1C3A36"/>
                <w:sz w:val="14"/>
              </w:rPr>
              <w:t>Toll escalation, FY2027–30</w:t>
            </w:r>
          </w:p>
        </w:tc>
        <w:tc>
          <w:tcPr>
            <w:tcW w:type="dxa" w:w="1786"/>
          </w:tcPr>
          <w:p>
            <w:pPr>
              <w:spacing w:after="0"/>
            </w:pPr>
            <w:r>
              <w:rPr>
                <w:color w:val="1C3A36"/>
                <w:sz w:val="14"/>
              </w:rPr>
              <w:t>+1.5% / yr</w:t>
            </w:r>
          </w:p>
        </w:tc>
        <w:tc>
          <w:tcPr>
            <w:tcW w:type="dxa" w:w="7056"/>
          </w:tcPr>
          <w:p>
            <w:pPr>
              <w:spacing w:after="0"/>
            </w:pPr>
            <w:r>
              <w:rPr>
                <w:color w:val="1C3A36"/>
                <w:sz w:val="14"/>
              </w:rPr>
              <w:t>DELIBERATELY BELOW the contract’s CPI linkage, because a refused tariff rise converts into a concession-fee CUT instead (C-08). The margin is defended either way.</w:t>
            </w:r>
          </w:p>
        </w:tc>
        <w:tc>
          <w:tcPr>
            <w:tcW w:type="dxa" w:w="2563"/>
          </w:tcPr>
          <w:p>
            <w:pPr>
              <w:spacing w:after="0"/>
            </w:pPr>
            <w:r>
              <w:rPr>
                <w:color w:val="1C3A36"/>
                <w:sz w:val="14"/>
              </w:rPr>
              <w:t>The next TEC tariff decision</w:t>
            </w:r>
          </w:p>
        </w:tc>
      </w:tr>
      <w:tr>
        <w:tc>
          <w:tcPr>
            <w:tcW w:type="dxa" w:w="605"/>
          </w:tcPr>
          <w:p>
            <w:pPr>
              <w:spacing w:after="0"/>
            </w:pPr>
            <w:r>
              <w:rPr>
                <w:b/>
                <w:color w:val="1C3A36"/>
                <w:sz w:val="14"/>
              </w:rPr>
              <w:t>J-03</w:t>
            </w:r>
          </w:p>
        </w:tc>
        <w:tc>
          <w:tcPr>
            <w:tcW w:type="dxa" w:w="2390"/>
          </w:tcPr>
          <w:p>
            <w:pPr>
              <w:spacing w:after="0"/>
            </w:pPr>
            <w:r>
              <w:rPr>
                <w:color w:val="1C3A36"/>
                <w:sz w:val="14"/>
              </w:rPr>
              <w:t>Trend trip growth, FY2027–30</w:t>
            </w:r>
          </w:p>
        </w:tc>
        <w:tc>
          <w:tcPr>
            <w:tcW w:type="dxa" w:w="1786"/>
          </w:tcPr>
          <w:p>
            <w:pPr>
              <w:spacing w:after="0"/>
            </w:pPr>
            <w:r>
              <w:rPr>
                <w:color w:val="1C3A36"/>
                <w:sz w:val="14"/>
              </w:rPr>
              <w:t>4.5% → 3.0%</w:t>
            </w:r>
          </w:p>
        </w:tc>
        <w:tc>
          <w:tcPr>
            <w:tcW w:type="dxa" w:w="7056"/>
          </w:tcPr>
          <w:p>
            <w:pPr>
              <w:spacing w:after="0"/>
            </w:pPr>
            <w:r>
              <w:rPr>
                <w:color w:val="1C3A36"/>
                <w:sz w:val="14"/>
              </w:rPr>
              <w:t>Anchored on M-06 (the company’s own 4.3% CAGR) and M-07 (Dubai 2040). CAPPED by M-08 (the Metro Blue Line).</w:t>
            </w:r>
          </w:p>
        </w:tc>
        <w:tc>
          <w:tcPr>
            <w:tcW w:type="dxa" w:w="2563"/>
          </w:tcPr>
          <w:p>
            <w:pPr>
              <w:spacing w:after="0"/>
            </w:pPr>
            <w:r>
              <w:rPr>
                <w:color w:val="1C3A36"/>
                <w:sz w:val="14"/>
              </w:rPr>
              <w:t>FY2027 print</w:t>
            </w:r>
          </w:p>
        </w:tc>
      </w:tr>
      <w:tr>
        <w:tc>
          <w:tcPr>
            <w:tcW w:type="dxa" w:w="605"/>
          </w:tcPr>
          <w:p>
            <w:pPr>
              <w:spacing w:after="0"/>
            </w:pPr>
            <w:r>
              <w:rPr>
                <w:b/>
                <w:color w:val="1C3A36"/>
                <w:sz w:val="14"/>
              </w:rPr>
              <w:t>J-04</w:t>
            </w:r>
          </w:p>
        </w:tc>
        <w:tc>
          <w:tcPr>
            <w:tcW w:type="dxa" w:w="2390"/>
          </w:tcPr>
          <w:p>
            <w:pPr>
              <w:spacing w:after="0"/>
            </w:pPr>
            <w:r>
              <w:rPr>
                <w:color w:val="1C3A36"/>
                <w:sz w:val="14"/>
              </w:rPr>
              <w:t>Terminal growth g</w:t>
            </w:r>
          </w:p>
        </w:tc>
        <w:tc>
          <w:tcPr>
            <w:tcW w:type="dxa" w:w="1786"/>
          </w:tcPr>
          <w:p>
            <w:pPr>
              <w:spacing w:after="0"/>
            </w:pPr>
            <w:r>
              <w:rPr>
                <w:color w:val="1C3A36"/>
                <w:sz w:val="14"/>
              </w:rPr>
              <w:t>2.5%</w:t>
            </w:r>
          </w:p>
        </w:tc>
        <w:tc>
          <w:tcPr>
            <w:tcW w:type="dxa" w:w="7056"/>
          </w:tcPr>
          <w:p>
            <w:pPr>
              <w:spacing w:after="0"/>
            </w:pPr>
            <w:r>
              <w:rPr>
                <w:color w:val="1C3A36"/>
                <w:sz w:val="14"/>
              </w:rPr>
              <w:t>Same anchors as J-03. Sensitised 1.5–3.5% in §1.9.</w:t>
            </w:r>
          </w:p>
        </w:tc>
        <w:tc>
          <w:tcPr>
            <w:tcW w:type="dxa" w:w="2563"/>
          </w:tcPr>
          <w:p>
            <w:pPr>
              <w:spacing w:after="0"/>
            </w:pPr>
            <w:r>
              <w:rPr>
                <w:color w:val="1C3A36"/>
                <w:sz w:val="14"/>
              </w:rPr>
              <w:t>Never fully — this is the honest one</w:t>
            </w:r>
          </w:p>
        </w:tc>
      </w:tr>
      <w:tr>
        <w:tc>
          <w:tcPr>
            <w:tcW w:type="dxa" w:w="605"/>
          </w:tcPr>
          <w:p>
            <w:pPr>
              <w:spacing w:after="0"/>
            </w:pPr>
            <w:r>
              <w:rPr>
                <w:b/>
                <w:color w:val="1C3A36"/>
                <w:sz w:val="14"/>
              </w:rPr>
              <w:t>J-05</w:t>
            </w:r>
          </w:p>
        </w:tc>
        <w:tc>
          <w:tcPr>
            <w:tcW w:type="dxa" w:w="2390"/>
          </w:tcPr>
          <w:p>
            <w:pPr>
              <w:spacing w:after="0"/>
            </w:pPr>
            <w:r>
              <w:rPr>
                <w:color w:val="1C3A36"/>
                <w:sz w:val="14"/>
              </w:rPr>
              <w:t>Other opex</w:t>
            </w:r>
          </w:p>
        </w:tc>
        <w:tc>
          <w:tcPr>
            <w:tcW w:type="dxa" w:w="1786"/>
          </w:tcPr>
          <w:p>
            <w:pPr>
              <w:spacing w:after="0"/>
            </w:pPr>
            <w:r>
              <w:rPr>
                <w:color w:val="1C3A36"/>
                <w:sz w:val="14"/>
              </w:rPr>
              <w:t>11.0% → 10.5% of revenue</w:t>
            </w:r>
          </w:p>
        </w:tc>
        <w:tc>
          <w:tcPr>
            <w:tcW w:type="dxa" w:w="7056"/>
          </w:tcPr>
          <w:p>
            <w:pPr>
              <w:spacing w:after="0"/>
            </w:pPr>
            <w:r>
              <w:rPr>
                <w:color w:val="1C3A36"/>
                <w:sz w:val="14"/>
              </w:rPr>
              <w:t>Q1-2026 REALISED 11.1%, backed out of disclosed EBITDA net of the contractual concession fee. Modest operating leverage assumed thereafter.</w:t>
            </w:r>
          </w:p>
        </w:tc>
        <w:tc>
          <w:tcPr>
            <w:tcW w:type="dxa" w:w="2563"/>
          </w:tcPr>
          <w:p>
            <w:pPr>
              <w:spacing w:after="0"/>
            </w:pPr>
            <w:r>
              <w:rPr>
                <w:color w:val="1C3A36"/>
                <w:sz w:val="14"/>
              </w:rPr>
              <w:t>Every quarterly print</w:t>
            </w:r>
          </w:p>
        </w:tc>
      </w:tr>
      <w:tr>
        <w:tc>
          <w:tcPr>
            <w:tcW w:type="dxa" w:w="605"/>
          </w:tcPr>
          <w:p>
            <w:pPr>
              <w:spacing w:after="0"/>
            </w:pPr>
            <w:r>
              <w:rPr>
                <w:b/>
                <w:color w:val="1C3A36"/>
                <w:sz w:val="14"/>
              </w:rPr>
              <w:t>J-06</w:t>
            </w:r>
          </w:p>
        </w:tc>
        <w:tc>
          <w:tcPr>
            <w:tcW w:type="dxa" w:w="2390"/>
          </w:tcPr>
          <w:p>
            <w:pPr>
              <w:spacing w:after="0"/>
            </w:pPr>
            <w:r>
              <w:rPr>
                <w:color w:val="1C3A36"/>
                <w:sz w:val="14"/>
              </w:rPr>
              <w:t>Capex</w:t>
            </w:r>
          </w:p>
        </w:tc>
        <w:tc>
          <w:tcPr>
            <w:tcW w:type="dxa" w:w="1786"/>
          </w:tcPr>
          <w:p>
            <w:pPr>
              <w:spacing w:after="0"/>
            </w:pPr>
            <w:r>
              <w:rPr>
                <w:color w:val="1C3A36"/>
                <w:sz w:val="14"/>
              </w:rPr>
              <w:t>1.0% of revenue</w:t>
            </w:r>
          </w:p>
        </w:tc>
        <w:tc>
          <w:tcPr>
            <w:tcW w:type="dxa" w:w="7056"/>
          </w:tcPr>
          <w:p>
            <w:pPr>
              <w:spacing w:after="0"/>
            </w:pPr>
            <w:r>
              <w:rPr>
                <w:color w:val="1C3A36"/>
                <w:sz w:val="14"/>
              </w:rPr>
              <w:t>Q1-2026 capex was ~AED 6 mn. The RTA bears ALL road capex and maintenance under the concession.</w:t>
            </w:r>
          </w:p>
        </w:tc>
        <w:tc>
          <w:tcPr>
            <w:tcW w:type="dxa" w:w="2563"/>
          </w:tcPr>
          <w:p>
            <w:pPr>
              <w:spacing w:after="0"/>
            </w:pPr>
            <w:r>
              <w:rPr>
                <w:color w:val="1C3A36"/>
                <w:sz w:val="14"/>
              </w:rPr>
              <w:t>Every quarterly print</w:t>
            </w:r>
          </w:p>
        </w:tc>
      </w:tr>
      <w:tr>
        <w:tc>
          <w:tcPr>
            <w:tcW w:type="dxa" w:w="605"/>
          </w:tcPr>
          <w:p>
            <w:pPr>
              <w:spacing w:after="0"/>
            </w:pPr>
            <w:r>
              <w:rPr>
                <w:b/>
                <w:color w:val="1C3A36"/>
                <w:sz w:val="14"/>
              </w:rPr>
              <w:t>J-07</w:t>
            </w:r>
          </w:p>
        </w:tc>
        <w:tc>
          <w:tcPr>
            <w:tcW w:type="dxa" w:w="2390"/>
          </w:tcPr>
          <w:p>
            <w:pPr>
              <w:spacing w:after="0"/>
            </w:pPr>
            <w:r>
              <w:rPr>
                <w:color w:val="1C3A36"/>
                <w:sz w:val="14"/>
              </w:rPr>
              <w:t>Change in working capital</w:t>
            </w:r>
          </w:p>
        </w:tc>
        <w:tc>
          <w:tcPr>
            <w:tcW w:type="dxa" w:w="1786"/>
          </w:tcPr>
          <w:p>
            <w:pPr>
              <w:spacing w:after="0"/>
            </w:pPr>
            <w:r>
              <w:rPr>
                <w:color w:val="1C3A36"/>
                <w:sz w:val="14"/>
              </w:rPr>
              <w:t>ZERO</w:t>
            </w:r>
          </w:p>
        </w:tc>
        <w:tc>
          <w:tcPr>
            <w:tcW w:type="dxa" w:w="7056"/>
          </w:tcPr>
          <w:p>
            <w:pPr>
              <w:spacing w:after="0"/>
            </w:pPr>
            <w:r>
              <w:rPr>
                <w:color w:val="1C3A36"/>
                <w:sz w:val="14"/>
              </w:rPr>
              <w:t>We treat the AED −846 mn prepaid-wallet float as PERMANENT, not a recurring source. Challenged as optimistic; SENSITISED in §1.9 Grid 5 — even a 20% revenue collapse moves fair value &lt;0.5%. And Q1-2026 CONTRADICTS the objection: revenue fell 3.0% and the float DEEPENED AED 172 mn.</w:t>
            </w:r>
          </w:p>
        </w:tc>
        <w:tc>
          <w:tcPr>
            <w:tcW w:type="dxa" w:w="2563"/>
          </w:tcPr>
          <w:p>
            <w:pPr>
              <w:spacing w:after="0"/>
            </w:pPr>
            <w:r>
              <w:rPr>
                <w:color w:val="1C3A36"/>
                <w:sz w:val="14"/>
              </w:rPr>
              <w:t>Every quarterly print</w:t>
            </w:r>
          </w:p>
        </w:tc>
      </w:tr>
      <w:tr>
        <w:tc>
          <w:tcPr>
            <w:tcW w:type="dxa" w:w="605"/>
          </w:tcPr>
          <w:p>
            <w:pPr>
              <w:spacing w:after="0"/>
            </w:pPr>
            <w:r>
              <w:rPr>
                <w:b/>
                <w:color w:val="1C3A36"/>
                <w:sz w:val="14"/>
              </w:rPr>
              <w:t>J-08</w:t>
            </w:r>
          </w:p>
        </w:tc>
        <w:tc>
          <w:tcPr>
            <w:tcW w:type="dxa" w:w="2390"/>
          </w:tcPr>
          <w:p>
            <w:pPr>
              <w:spacing w:after="0"/>
            </w:pPr>
            <w:r>
              <w:rPr>
                <w:color w:val="1C3A36"/>
                <w:sz w:val="14"/>
              </w:rPr>
              <w:t>Fines per chargeable trip</w:t>
            </w:r>
          </w:p>
        </w:tc>
        <w:tc>
          <w:tcPr>
            <w:tcW w:type="dxa" w:w="1786"/>
          </w:tcPr>
          <w:p>
            <w:pPr>
              <w:spacing w:after="0"/>
            </w:pPr>
            <w:r>
              <w:rPr>
                <w:color w:val="1C3A36"/>
                <w:sz w:val="14"/>
              </w:rPr>
              <w:t>AED 0.465</w:t>
            </w:r>
          </w:p>
        </w:tc>
        <w:tc>
          <w:tcPr>
            <w:tcW w:type="dxa" w:w="7056"/>
          </w:tcPr>
          <w:p>
            <w:pPr>
              <w:spacing w:after="0"/>
            </w:pPr>
            <w:r>
              <w:rPr>
                <w:color w:val="1C3A36"/>
                <w:sz w:val="14"/>
              </w:rPr>
              <w:t>The 4-period MEAN of the SOURCED history: 0.470 / 0.476 / 0.439 / 0.474. Versions 1 and 2 modelled a flat 0.470 and called it stable. It is not — FY2025 dipped. Corrected in v3.</w:t>
            </w:r>
          </w:p>
        </w:tc>
        <w:tc>
          <w:tcPr>
            <w:tcW w:type="dxa" w:w="2563"/>
          </w:tcPr>
          <w:p>
            <w:pPr>
              <w:spacing w:after="0"/>
            </w:pPr>
            <w:r>
              <w:rPr>
                <w:color w:val="1C3A36"/>
                <w:sz w:val="14"/>
              </w:rPr>
              <w:t>Every quarterly print</w:t>
            </w:r>
          </w:p>
        </w:tc>
      </w:tr>
      <w:tr>
        <w:tc>
          <w:tcPr>
            <w:tcW w:type="dxa" w:w="605"/>
          </w:tcPr>
          <w:p>
            <w:pPr>
              <w:spacing w:after="0"/>
            </w:pPr>
            <w:r>
              <w:rPr>
                <w:b/>
                <w:color w:val="1C3A36"/>
                <w:sz w:val="14"/>
              </w:rPr>
              <w:t>J-09</w:t>
            </w:r>
          </w:p>
        </w:tc>
        <w:tc>
          <w:tcPr>
            <w:tcW w:type="dxa" w:w="2390"/>
          </w:tcPr>
          <w:p>
            <w:pPr>
              <w:spacing w:after="0"/>
            </w:pPr>
            <w:r>
              <w:rPr>
                <w:color w:val="1C3A36"/>
                <w:sz w:val="14"/>
              </w:rPr>
              <w:t>Ancillary revenue ramp</w:t>
            </w:r>
          </w:p>
        </w:tc>
        <w:tc>
          <w:tcPr>
            <w:tcW w:type="dxa" w:w="1786"/>
          </w:tcPr>
          <w:p>
            <w:pPr>
              <w:spacing w:after="0"/>
            </w:pPr>
            <w:r>
              <w:rPr>
                <w:color w:val="1C3A36"/>
                <w:sz w:val="14"/>
              </w:rPr>
              <w:t>AED 44 mn (FY26E) → 151 mn (FY30E)</w:t>
            </w:r>
          </w:p>
        </w:tc>
        <w:tc>
          <w:tcPr>
            <w:tcW w:type="dxa" w:w="7056"/>
          </w:tcPr>
          <w:p>
            <w:pPr>
              <w:spacing w:after="0"/>
            </w:pPr>
            <w:r>
              <w:rPr>
                <w:color w:val="1C3A36"/>
                <w:sz w:val="14"/>
              </w:rPr>
              <w:t>On the disclosed Q1-26 base (AED 8.0 mn, +147%) and the disclosed pipeline (DXB 10-yr parking, Parkonic, Valtrans, Liva, Schneider/Vcharge, ENOC). NO revenue guidance exists for these lines.</w:t>
            </w:r>
          </w:p>
        </w:tc>
        <w:tc>
          <w:tcPr>
            <w:tcW w:type="dxa" w:w="2563"/>
          </w:tcPr>
          <w:p>
            <w:pPr>
              <w:spacing w:after="0"/>
            </w:pPr>
            <w:r>
              <w:rPr>
                <w:color w:val="1C3A36"/>
                <w:sz w:val="14"/>
              </w:rPr>
              <w:t>Quarterly ancillary disclosure</w:t>
            </w:r>
          </w:p>
        </w:tc>
      </w:tr>
      <w:tr>
        <w:tc>
          <w:tcPr>
            <w:tcW w:type="dxa" w:w="605"/>
          </w:tcPr>
          <w:p>
            <w:pPr>
              <w:spacing w:after="0"/>
            </w:pPr>
            <w:r>
              <w:rPr>
                <w:b/>
                <w:color w:val="1C3A36"/>
                <w:sz w:val="14"/>
              </w:rPr>
              <w:t>J-10</w:t>
            </w:r>
          </w:p>
        </w:tc>
        <w:tc>
          <w:tcPr>
            <w:tcW w:type="dxa" w:w="2390"/>
          </w:tcPr>
          <w:p>
            <w:pPr>
              <w:spacing w:after="0"/>
            </w:pPr>
            <w:r>
              <w:rPr>
                <w:color w:val="1C3A36"/>
                <w:sz w:val="14"/>
              </w:rPr>
              <w:t>Incremental opex on the 2 new gates</w:t>
            </w:r>
          </w:p>
        </w:tc>
        <w:tc>
          <w:tcPr>
            <w:tcW w:type="dxa" w:w="1786"/>
          </w:tcPr>
          <w:p>
            <w:pPr>
              <w:spacing w:after="0"/>
            </w:pPr>
            <w:r>
              <w:rPr>
                <w:color w:val="1C3A36"/>
                <w:sz w:val="14"/>
              </w:rPr>
              <w:t>5% of their revenue</w:t>
            </w:r>
          </w:p>
        </w:tc>
        <w:tc>
          <w:tcPr>
            <w:tcW w:type="dxa" w:w="7056"/>
          </w:tcPr>
          <w:p>
            <w:pPr>
              <w:spacing w:after="0"/>
            </w:pPr>
            <w:r>
              <w:rPr>
                <w:color w:val="1C3A36"/>
                <w:sz w:val="14"/>
              </w:rPr>
              <w:t>Never disclosed. STRESS-TESTED across 0–11% × both gate-trip figures: the ROIC runs 8.5%–11.2% and is BELOW the cost of capital in the pessimistic corner. The finding is robust in every corner of the box.</w:t>
            </w:r>
          </w:p>
        </w:tc>
        <w:tc>
          <w:tcPr>
            <w:tcW w:type="dxa" w:w="2563"/>
          </w:tcPr>
          <w:p>
            <w:pPr>
              <w:spacing w:after="0"/>
            </w:pPr>
            <w:r>
              <w:rPr>
                <w:color w:val="1C3A36"/>
                <w:sz w:val="14"/>
              </w:rPr>
              <w:t>Never disclosed</w:t>
            </w:r>
          </w:p>
        </w:tc>
      </w:tr>
      <w:tr>
        <w:tc>
          <w:tcPr>
            <w:tcW w:type="dxa" w:w="605"/>
            <w:shd w:val="clear" w:color="auto" w:fill="FBF0DC"/>
          </w:tcPr>
          <w:p>
            <w:pPr>
              <w:spacing w:after="0"/>
            </w:pPr>
            <w:r>
              <w:rPr>
                <w:b/>
                <w:color w:val="1C3A36"/>
                <w:sz w:val="14"/>
              </w:rPr>
              <w:t>J-11</w:t>
            </w:r>
          </w:p>
        </w:tc>
        <w:tc>
          <w:tcPr>
            <w:tcW w:type="dxa" w:w="2390"/>
            <w:shd w:val="clear" w:color="auto" w:fill="FBF0DC"/>
          </w:tcPr>
          <w:p>
            <w:pPr>
              <w:spacing w:after="0"/>
            </w:pPr>
            <w:r>
              <w:rPr>
                <w:color w:val="1C3A36"/>
                <w:sz w:val="14"/>
              </w:rPr>
              <w:t>"Other" revenue, forward</w:t>
            </w:r>
          </w:p>
        </w:tc>
        <w:tc>
          <w:tcPr>
            <w:tcW w:type="dxa" w:w="1786"/>
            <w:shd w:val="clear" w:color="auto" w:fill="FBF0DC"/>
          </w:tcPr>
          <w:p>
            <w:pPr>
              <w:spacing w:after="0"/>
            </w:pPr>
            <w:r>
              <w:rPr>
                <w:color w:val="1C3A36"/>
                <w:sz w:val="14"/>
              </w:rPr>
              <w:t>AED 56 mn / yr</w:t>
            </w:r>
          </w:p>
        </w:tc>
        <w:tc>
          <w:tcPr>
            <w:tcW w:type="dxa" w:w="7056"/>
            <w:shd w:val="clear" w:color="auto" w:fill="FBF0DC"/>
          </w:tcPr>
          <w:p>
            <w:pPr>
              <w:spacing w:after="0"/>
            </w:pPr>
            <w:r>
              <w:rPr>
                <w:color w:val="1C3A36"/>
                <w:sz w:val="14"/>
              </w:rPr>
              <w:t>A PLUG. It is total revenue LESS the four lines we can source, annualised from a Q1-2026 residual of AED 14.1 mn. The company’s FY2024 "other revenues" were AED 21.7 mn (H-05). Version 2 presented this as though it were disclosed. IT IS NOT, and we are labelling it.</w:t>
            </w:r>
          </w:p>
        </w:tc>
        <w:tc>
          <w:tcPr>
            <w:tcW w:type="dxa" w:w="2563"/>
            <w:shd w:val="clear" w:color="auto" w:fill="FBF0DC"/>
          </w:tcPr>
          <w:p>
            <w:pPr>
              <w:spacing w:after="0"/>
            </w:pPr>
            <w:r>
              <w:rPr>
                <w:color w:val="1C3A36"/>
                <w:sz w:val="14"/>
              </w:rPr>
              <w:t>Never, cleanly</w:t>
            </w:r>
          </w:p>
        </w:tc>
      </w:tr>
      <w:tr>
        <w:tc>
          <w:tcPr>
            <w:tcW w:type="dxa" w:w="605"/>
          </w:tcPr>
          <w:p>
            <w:pPr>
              <w:spacing w:after="0"/>
            </w:pPr>
            <w:r>
              <w:rPr>
                <w:b/>
                <w:color w:val="1C3A36"/>
                <w:sz w:val="14"/>
              </w:rPr>
              <w:t>J-12</w:t>
            </w:r>
          </w:p>
        </w:tc>
        <w:tc>
          <w:tcPr>
            <w:tcW w:type="dxa" w:w="2390"/>
          </w:tcPr>
          <w:p>
            <w:pPr>
              <w:spacing w:after="0"/>
            </w:pPr>
            <w:r>
              <w:rPr>
                <w:color w:val="1C3A36"/>
                <w:sz w:val="14"/>
              </w:rPr>
              <w:t>Peer P/E band</w:t>
            </w:r>
          </w:p>
        </w:tc>
        <w:tc>
          <w:tcPr>
            <w:tcW w:type="dxa" w:w="1786"/>
          </w:tcPr>
          <w:p>
            <w:pPr>
              <w:spacing w:after="0"/>
            </w:pPr>
            <w:r>
              <w:rPr>
                <w:color w:val="1C3A36"/>
                <w:sz w:val="14"/>
              </w:rPr>
              <w:t>20× / 24× / 28×</w:t>
            </w:r>
          </w:p>
        </w:tc>
        <w:tc>
          <w:tcPr>
            <w:tcW w:type="dxa" w:w="7056"/>
          </w:tcPr>
          <w:p>
            <w:pPr>
              <w:spacing w:after="0"/>
            </w:pPr>
            <w:r>
              <w:rPr>
                <w:color w:val="1C3A36"/>
                <w:sz w:val="14"/>
              </w:rPr>
              <w:t>Anchored on M-05 (Parkin at 24.9×) plus the global toll-road range. No sourceable forward consensus exists for SALIK.</w:t>
            </w:r>
          </w:p>
        </w:tc>
        <w:tc>
          <w:tcPr>
            <w:tcW w:type="dxa" w:w="2563"/>
          </w:tcPr>
          <w:p>
            <w:pPr>
              <w:spacing w:after="0"/>
            </w:pPr>
            <w:r>
              <w:rPr>
                <w:color w:val="1C3A36"/>
                <w:sz w:val="14"/>
              </w:rPr>
              <w:t>Continuous</w:t>
            </w:r>
          </w:p>
        </w:tc>
      </w:tr>
      <w:tr>
        <w:tc>
          <w:tcPr>
            <w:tcW w:type="dxa" w:w="605"/>
          </w:tcPr>
          <w:p>
            <w:pPr>
              <w:spacing w:after="0"/>
            </w:pPr>
            <w:r>
              <w:rPr>
                <w:b/>
                <w:color w:val="1C3A36"/>
                <w:sz w:val="14"/>
              </w:rPr>
              <w:t>J-13</w:t>
            </w:r>
          </w:p>
        </w:tc>
        <w:tc>
          <w:tcPr>
            <w:tcW w:type="dxa" w:w="2390"/>
          </w:tcPr>
          <w:p>
            <w:pPr>
              <w:spacing w:after="0"/>
            </w:pPr>
            <w:r>
              <w:rPr>
                <w:color w:val="1C3A36"/>
                <w:sz w:val="14"/>
              </w:rPr>
              <w:t>Monte-Carlo discrete-event probabilities</w:t>
            </w:r>
          </w:p>
        </w:tc>
        <w:tc>
          <w:tcPr>
            <w:tcW w:type="dxa" w:w="1786"/>
          </w:tcPr>
          <w:p>
            <w:pPr>
              <w:spacing w:after="0"/>
            </w:pPr>
            <w:r>
              <w:rPr>
                <w:color w:val="1C3A36"/>
                <w:sz w:val="14"/>
              </w:rPr>
              <w:t>11 named events</w:t>
            </w:r>
          </w:p>
        </w:tc>
        <w:tc>
          <w:tcPr>
            <w:tcW w:type="dxa" w:w="7056"/>
          </w:tcPr>
          <w:p>
            <w:pPr>
              <w:spacing w:after="0"/>
            </w:pPr>
            <w:r>
              <w:rPr>
                <w:color w:val="1C3A36"/>
                <w:sz w:val="14"/>
              </w:rPr>
              <w:t>The preparer’s judgment, NOT market-implied. Published so they can be argued with.</w:t>
            </w:r>
          </w:p>
        </w:tc>
        <w:tc>
          <w:tcPr>
            <w:tcW w:type="dxa" w:w="2563"/>
          </w:tcPr>
          <w:p>
            <w:pPr>
              <w:spacing w:after="0"/>
            </w:pPr>
            <w:r>
              <w:rPr>
                <w:color w:val="1C3A36"/>
                <w:sz w:val="14"/>
              </w:rPr>
              <w:t>Each event, on its date</w:t>
            </w:r>
          </w:p>
        </w:tc>
      </w:tr>
    </w:tbl>
    <w:p>
      <w:pPr>
        <w:spacing w:after="40"/>
      </w:pPr>
    </w:p>
    <w:p>
      <w:pPr>
        <w:spacing w:after="100" w:before="240"/>
      </w:pPr>
      <w:r>
        <w:rPr>
          <w:b/>
          <w:i w:val="0"/>
          <w:color w:val="1C3A36"/>
          <w:sz w:val="27"/>
        </w:rPr>
        <w:t>4 The holes — what we looked for and could not find</w:t>
      </w:r>
    </w:p>
    <w:p>
      <w:pPr>
        <w:spacing w:after="120" w:before="0"/>
      </w:pPr>
      <w:r>
        <w:rPr>
          <w:b w:val="0"/>
          <w:i w:val="0"/>
          <w:color w:val="1C3A36"/>
          <w:sz w:val="18"/>
        </w:rPr>
        <w:t>Declared, not estimated. Each of these is a place where a reader knows more than we do, or where nobody knows.</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600"/>
        <w:gridCol w:w="3600"/>
        <w:gridCol w:w="3600"/>
        <w:gridCol w:w="3600"/>
      </w:tblGrid>
      <w:tr>
        <w:tc>
          <w:tcPr>
            <w:tcW w:type="dxa" w:w="605"/>
            <w:shd w:val="clear" w:color="auto" w:fill="EAF0EE"/>
          </w:tcPr>
          <w:p>
            <w:pPr>
              <w:spacing w:after="0"/>
            </w:pPr>
            <w:r>
              <w:rPr>
                <w:b/>
                <w:color w:val="1C3A36"/>
                <w:sz w:val="14"/>
              </w:rPr>
              <w:t>Ref</w:t>
            </w:r>
          </w:p>
        </w:tc>
        <w:tc>
          <w:tcPr>
            <w:tcW w:type="dxa" w:w="3024"/>
            <w:shd w:val="clear" w:color="auto" w:fill="EAF0EE"/>
          </w:tcPr>
          <w:p>
            <w:pPr>
              <w:spacing w:after="0"/>
            </w:pPr>
            <w:r>
              <w:rPr>
                <w:b/>
                <w:color w:val="1C3A36"/>
                <w:sz w:val="14"/>
              </w:rPr>
              <w:t>What is missing</w:t>
            </w:r>
          </w:p>
        </w:tc>
        <w:tc>
          <w:tcPr>
            <w:tcW w:type="dxa" w:w="5270"/>
            <w:shd w:val="clear" w:color="auto" w:fill="EAF0EE"/>
          </w:tcPr>
          <w:p>
            <w:pPr>
              <w:spacing w:after="0"/>
            </w:pPr>
            <w:r>
              <w:rPr>
                <w:b/>
                <w:color w:val="1C3A36"/>
                <w:sz w:val="14"/>
              </w:rPr>
              <w:t>What we tried</w:t>
            </w:r>
          </w:p>
        </w:tc>
        <w:tc>
          <w:tcPr>
            <w:tcW w:type="dxa" w:w="5501"/>
            <w:shd w:val="clear" w:color="auto" w:fill="EAF0EE"/>
          </w:tcPr>
          <w:p>
            <w:pPr>
              <w:spacing w:after="0"/>
            </w:pPr>
            <w:r>
              <w:rPr>
                <w:b/>
                <w:color w:val="1C3A36"/>
                <w:sz w:val="14"/>
              </w:rPr>
              <w:t>What we did instead</w:t>
            </w:r>
          </w:p>
        </w:tc>
      </w:tr>
      <w:tr>
        <w:tc>
          <w:tcPr>
            <w:tcW w:type="dxa" w:w="605"/>
            <w:shd w:val="clear" w:color="auto" w:fill="FBF0DC"/>
          </w:tcPr>
          <w:p>
            <w:pPr>
              <w:spacing w:after="0"/>
            </w:pPr>
            <w:r>
              <w:rPr>
                <w:b/>
                <w:color w:val="1C3A36"/>
                <w:sz w:val="14"/>
              </w:rPr>
              <w:t>X-01</w:t>
            </w:r>
          </w:p>
        </w:tc>
        <w:tc>
          <w:tcPr>
            <w:tcW w:type="dxa" w:w="3024"/>
            <w:shd w:val="clear" w:color="auto" w:fill="FBF0DC"/>
          </w:tcPr>
          <w:p>
            <w:pPr>
              <w:spacing w:after="0"/>
            </w:pPr>
            <w:r>
              <w:rPr>
                <w:color w:val="1C3A36"/>
                <w:sz w:val="14"/>
              </w:rPr>
              <w:t>FY2026 company guidance — the NUMBERS</w:t>
            </w:r>
          </w:p>
        </w:tc>
        <w:tc>
          <w:tcPr>
            <w:tcW w:type="dxa" w:w="5270"/>
            <w:shd w:val="clear" w:color="auto" w:fill="FBF0DC"/>
          </w:tcPr>
          <w:p>
            <w:pPr>
              <w:spacing w:after="0"/>
            </w:pPr>
            <w:r>
              <w:rPr>
                <w:color w:val="1C3A36"/>
                <w:sz w:val="14"/>
              </w:rPr>
              <w:t>Guidance WAS revised down on 11 May 2026 (confirmed by two independent summaries of the results deck). The figures do not appear in the public release, the Dubai Media Office announcement, or any company-official channel we could reach. The Salik IR site is bot-blocked. Five targeted searches.</w:t>
            </w:r>
          </w:p>
        </w:tc>
        <w:tc>
          <w:tcPr>
            <w:tcW w:type="dxa" w:w="5501"/>
            <w:shd w:val="clear" w:color="auto" w:fill="FBF0DC"/>
          </w:tcPr>
          <w:p>
            <w:pPr>
              <w:spacing w:after="0"/>
            </w:pPr>
            <w:r>
              <w:rPr>
                <w:color w:val="1C3A36"/>
                <w:sz w:val="14"/>
              </w:rPr>
              <w:t>We did NOT substitute an aggregator figure. The FY2026 path is built bottom-up from Q1 actuals instead, and flagged as ours (J-01).</w:t>
            </w:r>
          </w:p>
        </w:tc>
      </w:tr>
      <w:tr>
        <w:tc>
          <w:tcPr>
            <w:tcW w:type="dxa" w:w="605"/>
            <w:shd w:val="clear" w:color="auto" w:fill="FBF0DC"/>
          </w:tcPr>
          <w:p>
            <w:pPr>
              <w:spacing w:after="0"/>
            </w:pPr>
            <w:r>
              <w:rPr>
                <w:b/>
                <w:color w:val="1C3A36"/>
                <w:sz w:val="14"/>
              </w:rPr>
              <w:t>X-02</w:t>
            </w:r>
          </w:p>
        </w:tc>
        <w:tc>
          <w:tcPr>
            <w:tcW w:type="dxa" w:w="3024"/>
            <w:shd w:val="clear" w:color="auto" w:fill="FBF0DC"/>
          </w:tcPr>
          <w:p>
            <w:pPr>
              <w:spacing w:after="0"/>
            </w:pPr>
            <w:r>
              <w:rPr>
                <w:color w:val="1C3A36"/>
                <w:sz w:val="14"/>
              </w:rPr>
              <w:t>DFM General Index history</w:t>
            </w:r>
          </w:p>
        </w:tc>
        <w:tc>
          <w:tcPr>
            <w:tcW w:type="dxa" w:w="5270"/>
            <w:shd w:val="clear" w:color="auto" w:fill="FBF0DC"/>
          </w:tcPr>
          <w:p>
            <w:pPr>
              <w:spacing w:after="0"/>
            </w:pPr>
            <w:r>
              <w:rPr>
                <w:color w:val="1C3A36"/>
                <w:sz w:val="14"/>
              </w:rPr>
              <w:t>Only ~20 rolling sessions are programmatically retrievable. This is what killed the first beta regression (n = 19 against a 24-observation floor) and forced version 1 into the beta = 1.00 fallback.</w:t>
            </w:r>
          </w:p>
        </w:tc>
        <w:tc>
          <w:tcPr>
            <w:tcW w:type="dxa" w:w="5501"/>
            <w:shd w:val="clear" w:color="auto" w:fill="FBF0DC"/>
          </w:tcPr>
          <w:p>
            <w:pPr>
              <w:spacing w:after="0"/>
            </w:pPr>
            <w:r>
              <w:rPr>
                <w:color w:val="1C3A36"/>
                <w:sz w:val="14"/>
              </w:rPr>
              <w:t>We built a market portfolio from the 14 UAE names the Monte-Carlo engine itself calibrates on (S-17), and DECLARED the substitution rather than pretending a basket is an index. K-11.</w:t>
            </w:r>
          </w:p>
        </w:tc>
      </w:tr>
      <w:tr>
        <w:tc>
          <w:tcPr>
            <w:tcW w:type="dxa" w:w="605"/>
            <w:shd w:val="clear" w:color="auto" w:fill="F6E2DA"/>
          </w:tcPr>
          <w:p>
            <w:pPr>
              <w:spacing w:after="0"/>
            </w:pPr>
            <w:r>
              <w:rPr>
                <w:b/>
                <w:color w:val="1C3A36"/>
                <w:sz w:val="14"/>
              </w:rPr>
              <w:t>X-03</w:t>
            </w:r>
          </w:p>
        </w:tc>
        <w:tc>
          <w:tcPr>
            <w:tcW w:type="dxa" w:w="3024"/>
            <w:shd w:val="clear" w:color="auto" w:fill="F6E2DA"/>
          </w:tcPr>
          <w:p>
            <w:pPr>
              <w:spacing w:after="0"/>
            </w:pPr>
            <w:r>
              <w:rPr>
                <w:color w:val="1C3A36"/>
                <w:sz w:val="14"/>
              </w:rPr>
              <w:t>The 16.1 mn residual (Q-17)</w:t>
            </w:r>
          </w:p>
        </w:tc>
        <w:tc>
          <w:tcPr>
            <w:tcW w:type="dxa" w:w="5270"/>
            <w:shd w:val="clear" w:color="auto" w:fill="F6E2DA"/>
          </w:tcPr>
          <w:p>
            <w:pPr>
              <w:spacing w:after="0"/>
            </w:pPr>
            <w:r>
              <w:rPr>
                <w:color w:val="1C3A36"/>
                <w:sz w:val="14"/>
              </w:rPr>
              <w:t>The company does not break out the gap between "chargeable" trips and trips that actually paid. Its own two definitions are in tension (C-16).</w:t>
            </w:r>
          </w:p>
        </w:tc>
        <w:tc>
          <w:tcPr>
            <w:tcW w:type="dxa" w:w="5501"/>
            <w:shd w:val="clear" w:color="auto" w:fill="F6E2DA"/>
          </w:tcPr>
          <w:p>
            <w:pPr>
              <w:spacing w:after="0"/>
            </w:pPr>
            <w:r>
              <w:rPr>
                <w:color w:val="1C3A36"/>
                <w:sz w:val="14"/>
              </w:rPr>
              <w:t>We report the residual and DECLINE to attribute it. Version 2 called it the free overnight window; that was more than the disclosure supports and the attribution is WITHDRAWN. We CAN say what it is not: violations run at 0.4% of net toll traffic (C-14) and leakage is "insignificant" (C-15), so it is not leakage.</w:t>
            </w:r>
          </w:p>
        </w:tc>
      </w:tr>
      <w:tr>
        <w:tc>
          <w:tcPr>
            <w:tcW w:type="dxa" w:w="605"/>
            <w:shd w:val="clear" w:color="auto" w:fill="FBF0DC"/>
          </w:tcPr>
          <w:p>
            <w:pPr>
              <w:spacing w:after="0"/>
            </w:pPr>
            <w:r>
              <w:rPr>
                <w:b/>
                <w:color w:val="1C3A36"/>
                <w:sz w:val="14"/>
              </w:rPr>
              <w:t>X-04</w:t>
            </w:r>
          </w:p>
        </w:tc>
        <w:tc>
          <w:tcPr>
            <w:tcW w:type="dxa" w:w="3024"/>
            <w:shd w:val="clear" w:color="auto" w:fill="FBF0DC"/>
          </w:tcPr>
          <w:p>
            <w:pPr>
              <w:spacing w:after="0"/>
            </w:pPr>
            <w:r>
              <w:rPr>
                <w:color w:val="1C3A36"/>
                <w:sz w:val="14"/>
              </w:rPr>
              <w:t>The split of the FY2025 realised-toll uplift between PRICING and new-gate MIX</w:t>
            </w:r>
          </w:p>
        </w:tc>
        <w:tc>
          <w:tcPr>
            <w:tcW w:type="dxa" w:w="5270"/>
            <w:shd w:val="clear" w:color="auto" w:fill="FBF0DC"/>
          </w:tcPr>
          <w:p>
            <w:pPr>
              <w:spacing w:after="0"/>
            </w:pPr>
            <w:r>
              <w:rPr>
                <w:color w:val="1C3A36"/>
                <w:sz w:val="14"/>
              </w:rPr>
              <w:t>Our bridge attributes AED 173.5 mn to the toll uplift. The company’s own guidance for variable pricing was AED 60–110 mn (C-11). The gap is almost certainly mix — Business Bay is a peak-heavy commuter gate — but we cannot prove the allocation.</w:t>
            </w:r>
          </w:p>
        </w:tc>
        <w:tc>
          <w:tcPr>
            <w:tcW w:type="dxa" w:w="5501"/>
            <w:shd w:val="clear" w:color="auto" w:fill="FBF0DC"/>
          </w:tcPr>
          <w:p>
            <w:pPr>
              <w:spacing w:after="0"/>
            </w:pPr>
            <w:r>
              <w:rPr>
                <w:color w:val="1C3A36"/>
                <w:sz w:val="14"/>
              </w:rPr>
              <w:t>We report the two together as ONE-OFF and refuse to defend the split. The 84% one-off headline is robust to any reallocation between them, because BOTH are one-offs. Only the internal split moves.</w:t>
            </w:r>
          </w:p>
        </w:tc>
      </w:tr>
    </w:tbl>
    <w:p>
      <w:pPr>
        <w:spacing w:after="40"/>
      </w:pPr>
    </w:p>
    <w:p>
      <w:r>
        <w:br w:type="page"/>
      </w:r>
    </w:p>
    <w:p>
      <w:pPr>
        <w:spacing w:after="100" w:before="240"/>
      </w:pPr>
      <w:r>
        <w:rPr>
          <w:b/>
          <w:i w:val="0"/>
          <w:color w:val="1C3A36"/>
          <w:sz w:val="27"/>
        </w:rPr>
        <w:t>5 The exhibits — what each figure is built from</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600"/>
        <w:gridCol w:w="3600"/>
        <w:gridCol w:w="3600"/>
        <w:gridCol w:w="3600"/>
      </w:tblGrid>
      <w:tr>
        <w:tc>
          <w:tcPr>
            <w:tcW w:type="dxa" w:w="720"/>
            <w:shd w:val="clear" w:color="auto" w:fill="EAF0EE"/>
          </w:tcPr>
          <w:p>
            <w:pPr>
              <w:spacing w:after="0"/>
            </w:pPr>
            <w:r>
              <w:rPr>
                <w:b/>
                <w:color w:val="1C3A36"/>
                <w:sz w:val="14"/>
              </w:rPr>
              <w:t>Fig.</w:t>
            </w:r>
          </w:p>
        </w:tc>
        <w:tc>
          <w:tcPr>
            <w:tcW w:type="dxa" w:w="3312"/>
            <w:shd w:val="clear" w:color="auto" w:fill="EAF0EE"/>
          </w:tcPr>
          <w:p>
            <w:pPr>
              <w:spacing w:after="0"/>
            </w:pPr>
            <w:r>
              <w:rPr>
                <w:b/>
                <w:color w:val="1C3A36"/>
                <w:sz w:val="14"/>
              </w:rPr>
              <w:t>Title</w:t>
            </w:r>
          </w:p>
        </w:tc>
        <w:tc>
          <w:tcPr>
            <w:tcW w:type="dxa" w:w="5674"/>
            <w:shd w:val="clear" w:color="auto" w:fill="EAF0EE"/>
          </w:tcPr>
          <w:p>
            <w:pPr>
              <w:spacing w:after="0"/>
            </w:pPr>
            <w:r>
              <w:rPr>
                <w:b/>
                <w:color w:val="1C3A36"/>
                <w:sz w:val="14"/>
              </w:rPr>
              <w:t>Underlying data</w:t>
            </w:r>
          </w:p>
        </w:tc>
        <w:tc>
          <w:tcPr>
            <w:tcW w:type="dxa" w:w="4694"/>
            <w:shd w:val="clear" w:color="auto" w:fill="EAF0EE"/>
          </w:tcPr>
          <w:p>
            <w:pPr>
              <w:spacing w:after="0"/>
            </w:pPr>
            <w:r>
              <w:rPr>
                <w:b/>
                <w:color w:val="1C3A36"/>
                <w:sz w:val="14"/>
              </w:rPr>
              <w:t>Class of the inputs</w:t>
            </w:r>
          </w:p>
        </w:tc>
      </w:tr>
      <w:tr>
        <w:tc>
          <w:tcPr>
            <w:tcW w:type="dxa" w:w="720"/>
          </w:tcPr>
          <w:p>
            <w:pPr>
              <w:spacing w:after="0"/>
            </w:pPr>
            <w:r>
              <w:rPr>
                <w:b/>
                <w:color w:val="1C3A36"/>
                <w:sz w:val="14"/>
              </w:rPr>
              <w:t>1</w:t>
            </w:r>
          </w:p>
        </w:tc>
        <w:tc>
          <w:tcPr>
            <w:tcW w:type="dxa" w:w="3312"/>
          </w:tcPr>
          <w:p>
            <w:pPr>
              <w:spacing w:after="0"/>
            </w:pPr>
            <w:r>
              <w:rPr>
                <w:color w:val="1C3A36"/>
                <w:sz w:val="14"/>
              </w:rPr>
              <w:t>The football field — four lenses against spot</w:t>
            </w:r>
          </w:p>
        </w:tc>
        <w:tc>
          <w:tcPr>
            <w:tcW w:type="dxa" w:w="5674"/>
          </w:tcPr>
          <w:p>
            <w:pPr>
              <w:spacing w:after="0"/>
            </w:pPr>
            <w:r>
              <w:rPr>
                <w:color w:val="1C3A36"/>
                <w:sz w:val="14"/>
              </w:rPr>
              <w:t>The four lens outputs and their weights.</w:t>
            </w:r>
          </w:p>
        </w:tc>
        <w:tc>
          <w:tcPr>
            <w:tcW w:type="dxa" w:w="4694"/>
          </w:tcPr>
          <w:p>
            <w:pPr>
              <w:spacing w:after="0"/>
            </w:pPr>
            <w:r>
              <w:rPr>
                <w:color w:val="1C3A36"/>
                <w:sz w:val="14"/>
              </w:rPr>
              <w:t>DERIVED from J-01–J-13 and K-01–K-19</w:t>
            </w:r>
          </w:p>
        </w:tc>
      </w:tr>
      <w:tr>
        <w:tc>
          <w:tcPr>
            <w:tcW w:type="dxa" w:w="720"/>
          </w:tcPr>
          <w:p>
            <w:pPr>
              <w:spacing w:after="0"/>
            </w:pPr>
            <w:r>
              <w:rPr>
                <w:b/>
                <w:color w:val="1C3A36"/>
                <w:sz w:val="14"/>
              </w:rPr>
              <w:t>2</w:t>
            </w:r>
          </w:p>
        </w:tc>
        <w:tc>
          <w:tcPr>
            <w:tcW w:type="dxa" w:w="3312"/>
          </w:tcPr>
          <w:p>
            <w:pPr>
              <w:spacing w:after="0"/>
            </w:pPr>
            <w:r>
              <w:rPr>
                <w:color w:val="1C3A36"/>
                <w:sz w:val="14"/>
              </w:rPr>
              <w:t>The FY2025 toll-revenue bridge</w:t>
            </w:r>
          </w:p>
        </w:tc>
        <w:tc>
          <w:tcPr>
            <w:tcW w:type="dxa" w:w="5674"/>
          </w:tcPr>
          <w:p>
            <w:pPr>
              <w:spacing w:after="0"/>
            </w:pPr>
            <w:r>
              <w:rPr>
                <w:color w:val="1C3A36"/>
                <w:sz w:val="14"/>
              </w:rPr>
              <w:t>H-02, H-11, H-13 (FY24 and FY25) + C-12 (the company’s 111 mn gate-trip projection).</w:t>
            </w:r>
          </w:p>
        </w:tc>
        <w:tc>
          <w:tcPr>
            <w:tcW w:type="dxa" w:w="4694"/>
          </w:tcPr>
          <w:p>
            <w:pPr>
              <w:spacing w:after="0"/>
            </w:pPr>
            <w:r>
              <w:rPr>
                <w:color w:val="1C3A36"/>
                <w:sz w:val="14"/>
              </w:rPr>
              <w:t>SOURCED + DERIVED. The bridge reconciles to reported toll revenue EXACTLY.</w:t>
            </w:r>
          </w:p>
        </w:tc>
      </w:tr>
      <w:tr>
        <w:tc>
          <w:tcPr>
            <w:tcW w:type="dxa" w:w="720"/>
          </w:tcPr>
          <w:p>
            <w:pPr>
              <w:spacing w:after="0"/>
            </w:pPr>
            <w:r>
              <w:rPr>
                <w:b/>
                <w:color w:val="1C3A36"/>
                <w:sz w:val="14"/>
              </w:rPr>
              <w:t>3</w:t>
            </w:r>
          </w:p>
        </w:tc>
        <w:tc>
          <w:tcPr>
            <w:tcW w:type="dxa" w:w="3312"/>
          </w:tcPr>
          <w:p>
            <w:pPr>
              <w:spacing w:after="0"/>
            </w:pPr>
            <w:r>
              <w:rPr>
                <w:color w:val="1C3A36"/>
                <w:sz w:val="14"/>
              </w:rPr>
              <w:t>ROIC — the two growth engines</w:t>
            </w:r>
          </w:p>
        </w:tc>
        <w:tc>
          <w:tcPr>
            <w:tcW w:type="dxa" w:w="5674"/>
          </w:tcPr>
          <w:p>
            <w:pPr>
              <w:spacing w:after="0"/>
            </w:pPr>
            <w:r>
              <w:rPr>
                <w:color w:val="1C3A36"/>
                <w:sz w:val="14"/>
              </w:rPr>
              <w:t>C-02, C-03, C-05, C-12, H-07, H-11 + K-18 (the WACC hurdle). Robustness box: J-10 × the two gate-trip figures.</w:t>
            </w:r>
          </w:p>
        </w:tc>
        <w:tc>
          <w:tcPr>
            <w:tcW w:type="dxa" w:w="4694"/>
          </w:tcPr>
          <w:p>
            <w:pPr>
              <w:spacing w:after="0"/>
            </w:pPr>
            <w:r>
              <w:rPr>
                <w:color w:val="1C3A36"/>
                <w:sz w:val="14"/>
              </w:rPr>
              <w:t>SOURCED + DERIVED, with the one JUDGMENT input (J-10) stress-tested across its full plausible range.</w:t>
            </w:r>
          </w:p>
        </w:tc>
      </w:tr>
      <w:tr>
        <w:tc>
          <w:tcPr>
            <w:tcW w:type="dxa" w:w="720"/>
          </w:tcPr>
          <w:p>
            <w:pPr>
              <w:spacing w:after="0"/>
            </w:pPr>
            <w:r>
              <w:rPr>
                <w:b/>
                <w:color w:val="1C3A36"/>
                <w:sz w:val="14"/>
              </w:rPr>
              <w:t>4</w:t>
            </w:r>
          </w:p>
        </w:tc>
        <w:tc>
          <w:tcPr>
            <w:tcW w:type="dxa" w:w="3312"/>
          </w:tcPr>
          <w:p>
            <w:pPr>
              <w:spacing w:after="0"/>
            </w:pPr>
            <w:r>
              <w:rPr>
                <w:color w:val="1C3A36"/>
                <w:sz w:val="14"/>
              </w:rPr>
              <w:t>The crux — fair value against the MEASURED beta</w:t>
            </w:r>
          </w:p>
        </w:tc>
        <w:tc>
          <w:tcPr>
            <w:tcW w:type="dxa" w:w="5674"/>
          </w:tcPr>
          <w:p>
            <w:pPr>
              <w:spacing w:after="0"/>
            </w:pPr>
            <w:r>
              <w:rPr>
                <w:color w:val="1C3A36"/>
                <w:sz w:val="14"/>
              </w:rPr>
              <w:t>K-11 through K-14 (the four regressions) + the DCF re-run at each beta.</w:t>
            </w:r>
          </w:p>
        </w:tc>
        <w:tc>
          <w:tcPr>
            <w:tcW w:type="dxa" w:w="4694"/>
          </w:tcPr>
          <w:p>
            <w:pPr>
              <w:spacing w:after="0"/>
            </w:pPr>
            <w:r>
              <w:rPr>
                <w:color w:val="1C3A36"/>
                <w:sz w:val="14"/>
              </w:rPr>
              <w:t>MEASURED. The shaded band is the 95% CI on K-11, not an assumption.</w:t>
            </w:r>
          </w:p>
        </w:tc>
      </w:tr>
      <w:tr>
        <w:tc>
          <w:tcPr>
            <w:tcW w:type="dxa" w:w="720"/>
          </w:tcPr>
          <w:p>
            <w:pPr>
              <w:spacing w:after="0"/>
            </w:pPr>
            <w:r>
              <w:rPr>
                <w:b/>
                <w:color w:val="1C3A36"/>
                <w:sz w:val="14"/>
              </w:rPr>
              <w:t>5</w:t>
            </w:r>
          </w:p>
        </w:tc>
        <w:tc>
          <w:tcPr>
            <w:tcW w:type="dxa" w:w="3312"/>
          </w:tcPr>
          <w:p>
            <w:pPr>
              <w:spacing w:after="0"/>
            </w:pPr>
            <w:r>
              <w:rPr>
                <w:color w:val="1C3A36"/>
                <w:sz w:val="14"/>
              </w:rPr>
              <w:t>The revenue build, FY2023–FY2030E</w:t>
            </w:r>
          </w:p>
        </w:tc>
        <w:tc>
          <w:tcPr>
            <w:tcW w:type="dxa" w:w="5674"/>
          </w:tcPr>
          <w:p>
            <w:pPr>
              <w:spacing w:after="0"/>
            </w:pPr>
            <w:r>
              <w:rPr>
                <w:color w:val="1C3A36"/>
                <w:sz w:val="14"/>
              </w:rPr>
              <w:t>H-01 through H-05 (all SOURCED) + J-01, J-08, J-09, J-11 (forward).</w:t>
            </w:r>
          </w:p>
        </w:tc>
        <w:tc>
          <w:tcPr>
            <w:tcW w:type="dxa" w:w="4694"/>
          </w:tcPr>
          <w:p>
            <w:pPr>
              <w:spacing w:after="0"/>
            </w:pPr>
            <w:r>
              <w:rPr>
                <w:color w:val="1C3A36"/>
                <w:sz w:val="14"/>
              </w:rPr>
              <w:t>SOURCED history, JUDGMENT forecast. The boundary is drawn on the chart.</w:t>
            </w:r>
          </w:p>
        </w:tc>
      </w:tr>
      <w:tr>
        <w:tc>
          <w:tcPr>
            <w:tcW w:type="dxa" w:w="720"/>
          </w:tcPr>
          <w:p>
            <w:pPr>
              <w:spacing w:after="0"/>
            </w:pPr>
            <w:r>
              <w:rPr>
                <w:b/>
                <w:color w:val="1C3A36"/>
                <w:sz w:val="14"/>
              </w:rPr>
              <w:t>6</w:t>
            </w:r>
          </w:p>
        </w:tc>
        <w:tc>
          <w:tcPr>
            <w:tcW w:type="dxa" w:w="3312"/>
          </w:tcPr>
          <w:p>
            <w:pPr>
              <w:spacing w:after="0"/>
            </w:pPr>
            <w:r>
              <w:rPr>
                <w:color w:val="1C3A36"/>
                <w:sz w:val="14"/>
              </w:rPr>
              <w:t>DPS against free cash flow to equity</w:t>
            </w:r>
          </w:p>
        </w:tc>
        <w:tc>
          <w:tcPr>
            <w:tcW w:type="dxa" w:w="5674"/>
          </w:tcPr>
          <w:p>
            <w:pPr>
              <w:spacing w:after="0"/>
            </w:pPr>
            <w:r>
              <w:rPr>
                <w:color w:val="1C3A36"/>
                <w:sz w:val="14"/>
              </w:rPr>
              <w:t>H-10, C-05, J-06 + the forward net-profit path.</w:t>
            </w:r>
          </w:p>
        </w:tc>
        <w:tc>
          <w:tcPr>
            <w:tcW w:type="dxa" w:w="4694"/>
          </w:tcPr>
          <w:p>
            <w:pPr>
              <w:spacing w:after="0"/>
            </w:pPr>
            <w:r>
              <w:rPr>
                <w:color w:val="1C3A36"/>
                <w:sz w:val="14"/>
              </w:rPr>
              <w:t>DERIVED</w:t>
            </w:r>
          </w:p>
        </w:tc>
      </w:tr>
      <w:tr>
        <w:tc>
          <w:tcPr>
            <w:tcW w:type="dxa" w:w="720"/>
          </w:tcPr>
          <w:p>
            <w:pPr>
              <w:spacing w:after="0"/>
            </w:pPr>
            <w:r>
              <w:rPr>
                <w:b/>
                <w:color w:val="1C3A36"/>
                <w:sz w:val="14"/>
              </w:rPr>
              <w:t>7</w:t>
            </w:r>
          </w:p>
        </w:tc>
        <w:tc>
          <w:tcPr>
            <w:tcW w:type="dxa" w:w="3312"/>
          </w:tcPr>
          <w:p>
            <w:pPr>
              <w:spacing w:after="0"/>
            </w:pPr>
            <w:r>
              <w:rPr>
                <w:color w:val="1C3A36"/>
                <w:sz w:val="14"/>
              </w:rPr>
              <w:t>Fair value across β × terminal g</w:t>
            </w:r>
          </w:p>
        </w:tc>
        <w:tc>
          <w:tcPr>
            <w:tcW w:type="dxa" w:w="5674"/>
          </w:tcPr>
          <w:p>
            <w:pPr>
              <w:spacing w:after="0"/>
            </w:pPr>
            <w:r>
              <w:rPr>
                <w:color w:val="1C3A36"/>
                <w:sz w:val="14"/>
              </w:rPr>
              <w:t>K-11–K-14, J-04.</w:t>
            </w:r>
          </w:p>
        </w:tc>
        <w:tc>
          <w:tcPr>
            <w:tcW w:type="dxa" w:w="4694"/>
          </w:tcPr>
          <w:p>
            <w:pPr>
              <w:spacing w:after="0"/>
            </w:pPr>
            <w:r>
              <w:rPr>
                <w:color w:val="1C3A36"/>
                <w:sz w:val="14"/>
              </w:rPr>
              <w:t>MEASURED × JUDGMENT</w:t>
            </w:r>
          </w:p>
        </w:tc>
      </w:tr>
      <w:tr>
        <w:tc>
          <w:tcPr>
            <w:tcW w:type="dxa" w:w="720"/>
          </w:tcPr>
          <w:p>
            <w:pPr>
              <w:spacing w:after="0"/>
            </w:pPr>
            <w:r>
              <w:rPr>
                <w:b/>
                <w:color w:val="1C3A36"/>
                <w:sz w:val="14"/>
              </w:rPr>
              <w:t>8</w:t>
            </w:r>
          </w:p>
        </w:tc>
        <w:tc>
          <w:tcPr>
            <w:tcW w:type="dxa" w:w="3312"/>
          </w:tcPr>
          <w:p>
            <w:pPr>
              <w:spacing w:after="0"/>
            </w:pPr>
            <w:r>
              <w:rPr>
                <w:color w:val="1C3A36"/>
                <w:sz w:val="14"/>
              </w:rPr>
              <w:t>Price against the moving-average stack</w:t>
            </w:r>
          </w:p>
        </w:tc>
        <w:tc>
          <w:tcPr>
            <w:tcW w:type="dxa" w:w="5674"/>
          </w:tcPr>
          <w:p>
            <w:pPr>
              <w:spacing w:after="0"/>
            </w:pPr>
            <w:r>
              <w:rPr>
                <w:color w:val="1C3A36"/>
                <w:sz w:val="14"/>
              </w:rPr>
              <w:t>S-16.</w:t>
            </w:r>
          </w:p>
        </w:tc>
        <w:tc>
          <w:tcPr>
            <w:tcW w:type="dxa" w:w="4694"/>
          </w:tcPr>
          <w:p>
            <w:pPr>
              <w:spacing w:after="0"/>
            </w:pPr>
            <w:r>
              <w:rPr>
                <w:color w:val="1C3A36"/>
                <w:sz w:val="14"/>
              </w:rPr>
              <w:t>SOURCED (primary market data)</w:t>
            </w:r>
          </w:p>
        </w:tc>
      </w:tr>
      <w:tr>
        <w:tc>
          <w:tcPr>
            <w:tcW w:type="dxa" w:w="720"/>
          </w:tcPr>
          <w:p>
            <w:pPr>
              <w:spacing w:after="0"/>
            </w:pPr>
            <w:r>
              <w:rPr>
                <w:b/>
                <w:color w:val="1C3A36"/>
                <w:sz w:val="14"/>
              </w:rPr>
              <w:t>9</w:t>
            </w:r>
          </w:p>
        </w:tc>
        <w:tc>
          <w:tcPr>
            <w:tcW w:type="dxa" w:w="3312"/>
          </w:tcPr>
          <w:p>
            <w:pPr>
              <w:spacing w:after="0"/>
            </w:pPr>
            <w:r>
              <w:rPr>
                <w:color w:val="1C3A36"/>
                <w:sz w:val="14"/>
              </w:rPr>
              <w:t>The forward cone to T+60</w:t>
            </w:r>
          </w:p>
        </w:tc>
        <w:tc>
          <w:tcPr>
            <w:tcW w:type="dxa" w:w="5674"/>
          </w:tcPr>
          <w:p>
            <w:pPr>
              <w:spacing w:after="0"/>
            </w:pPr>
            <w:r>
              <w:rPr>
                <w:color w:val="1C3A36"/>
                <w:sz w:val="14"/>
              </w:rPr>
              <w:t>M-01, M-02, M-03, S-16.</w:t>
            </w:r>
          </w:p>
        </w:tc>
        <w:tc>
          <w:tcPr>
            <w:tcW w:type="dxa" w:w="4694"/>
          </w:tcPr>
          <w:p>
            <w:pPr>
              <w:spacing w:after="0"/>
            </w:pPr>
            <w:r>
              <w:rPr>
                <w:color w:val="1C3A36"/>
                <w:sz w:val="14"/>
              </w:rPr>
              <w:t>MEASURED. The engine config (M-01) is read live by import, never from memory.</w:t>
            </w:r>
          </w:p>
        </w:tc>
      </w:tr>
      <w:tr>
        <w:tc>
          <w:tcPr>
            <w:tcW w:type="dxa" w:w="720"/>
          </w:tcPr>
          <w:p>
            <w:pPr>
              <w:spacing w:after="0"/>
            </w:pPr>
            <w:r>
              <w:rPr>
                <w:b/>
                <w:color w:val="1C3A36"/>
                <w:sz w:val="14"/>
              </w:rPr>
              <w:t>10 / 11</w:t>
            </w:r>
          </w:p>
        </w:tc>
        <w:tc>
          <w:tcPr>
            <w:tcW w:type="dxa" w:w="3312"/>
          </w:tcPr>
          <w:p>
            <w:pPr>
              <w:spacing w:after="0"/>
            </w:pPr>
            <w:r>
              <w:rPr>
                <w:color w:val="1C3A36"/>
                <w:sz w:val="14"/>
              </w:rPr>
              <w:t>The T+20 and T+60 terminal distributions</w:t>
            </w:r>
          </w:p>
        </w:tc>
        <w:tc>
          <w:tcPr>
            <w:tcW w:type="dxa" w:w="5674"/>
          </w:tcPr>
          <w:p>
            <w:pPr>
              <w:spacing w:after="0"/>
            </w:pPr>
            <w:r>
              <w:rPr>
                <w:color w:val="1C3A36"/>
                <w:sz w:val="14"/>
              </w:rPr>
              <w:t>As Figure 9.</w:t>
            </w:r>
          </w:p>
        </w:tc>
        <w:tc>
          <w:tcPr>
            <w:tcW w:type="dxa" w:w="4694"/>
          </w:tcPr>
          <w:p>
            <w:pPr>
              <w:spacing w:after="0"/>
            </w:pPr>
            <w:r>
              <w:rPr>
                <w:color w:val="1C3A36"/>
                <w:sz w:val="14"/>
              </w:rPr>
              <w:t>MEASURED</w:t>
            </w:r>
          </w:p>
        </w:tc>
      </w:tr>
      <w:tr>
        <w:tc>
          <w:tcPr>
            <w:tcW w:type="dxa" w:w="720"/>
          </w:tcPr>
          <w:p>
            <w:pPr>
              <w:spacing w:after="0"/>
            </w:pPr>
            <w:r>
              <w:rPr>
                <w:b/>
                <w:color w:val="1C3A36"/>
                <w:sz w:val="14"/>
              </w:rPr>
              <w:t>12</w:t>
            </w:r>
          </w:p>
        </w:tc>
        <w:tc>
          <w:tcPr>
            <w:tcW w:type="dxa" w:w="3312"/>
          </w:tcPr>
          <w:p>
            <w:pPr>
              <w:spacing w:after="0"/>
            </w:pPr>
            <w:r>
              <w:rPr>
                <w:color w:val="1C3A36"/>
                <w:sz w:val="14"/>
              </w:rPr>
              <w:t>The expert panel</w:t>
            </w:r>
          </w:p>
        </w:tc>
        <w:tc>
          <w:tcPr>
            <w:tcW w:type="dxa" w:w="5674"/>
          </w:tcPr>
          <w:p>
            <w:pPr>
              <w:spacing w:after="0"/>
            </w:pPr>
            <w:r>
              <w:rPr>
                <w:color w:val="1C3A36"/>
                <w:sz w:val="14"/>
              </w:rPr>
              <w:t>The four experts’ own workings (Appendix C), each cast from S-25.</w:t>
            </w:r>
          </w:p>
        </w:tc>
        <w:tc>
          <w:tcPr>
            <w:tcW w:type="dxa" w:w="4694"/>
          </w:tcPr>
          <w:p>
            <w:pPr>
              <w:spacing w:after="0"/>
            </w:pPr>
            <w:r>
              <w:rPr>
                <w:color w:val="1C3A36"/>
                <w:sz w:val="14"/>
              </w:rPr>
              <w:t>DERIVED from the same register, by four different methods.</w:t>
            </w:r>
          </w:p>
        </w:tc>
      </w:tr>
      <w:tr>
        <w:tc>
          <w:tcPr>
            <w:tcW w:type="dxa" w:w="720"/>
          </w:tcPr>
          <w:p>
            <w:pPr>
              <w:spacing w:after="0"/>
            </w:pPr>
            <w:r>
              <w:rPr>
                <w:b/>
                <w:color w:val="1C3A36"/>
                <w:sz w:val="14"/>
              </w:rPr>
              <w:t>13</w:t>
            </w:r>
          </w:p>
        </w:tc>
        <w:tc>
          <w:tcPr>
            <w:tcW w:type="dxa" w:w="3312"/>
          </w:tcPr>
          <w:p>
            <w:pPr>
              <w:spacing w:after="0"/>
            </w:pPr>
            <w:r>
              <w:rPr>
                <w:color w:val="1C3A36"/>
                <w:sz w:val="14"/>
              </w:rPr>
              <w:t>The RTA instalment — the cash waterfall</w:t>
            </w:r>
          </w:p>
        </w:tc>
        <w:tc>
          <w:tcPr>
            <w:tcW w:type="dxa" w:w="5674"/>
          </w:tcPr>
          <w:p>
            <w:pPr>
              <w:spacing w:after="0"/>
            </w:pPr>
            <w:r>
              <w:rPr>
                <w:color w:val="1C3A36"/>
                <w:sz w:val="14"/>
              </w:rPr>
              <w:t>C-06 (AED 455.7 mn/yr, SOURCED verbatim) + the forward operating-cash and dividend paths.</w:t>
            </w:r>
          </w:p>
        </w:tc>
        <w:tc>
          <w:tcPr>
            <w:tcW w:type="dxa" w:w="4694"/>
          </w:tcPr>
          <w:p>
            <w:pPr>
              <w:spacing w:after="0"/>
            </w:pPr>
            <w:r>
              <w:rPr>
                <w:color w:val="1C3A36"/>
                <w:sz w:val="14"/>
              </w:rPr>
              <w:t>SOURCED obligation, DERIVED waterfall. This exhibit did not exist before v3.</w:t>
            </w:r>
          </w:p>
        </w:tc>
      </w:tr>
    </w:tbl>
    <w:p>
      <w:pPr>
        <w:spacing w:after="40"/>
      </w:pPr>
    </w:p>
    <w:p>
      <w:pPr>
        <w:spacing w:after="100" w:before="240"/>
      </w:pPr>
      <w:r>
        <w:rPr>
          <w:b/>
          <w:i w:val="0"/>
          <w:color w:val="1C3A36"/>
          <w:sz w:val="27"/>
        </w:rPr>
        <w:t>6 Disputed figures — and the primary source that settles each</w:t>
      </w:r>
    </w:p>
    <w:p>
      <w:pPr>
        <w:spacing w:after="120" w:before="0"/>
      </w:pPr>
      <w:r>
        <w:rPr>
          <w:b w:val="0"/>
          <w:i w:val="0"/>
          <w:color w:val="1C3A36"/>
          <w:sz w:val="18"/>
        </w:rPr>
        <w:t>An external fact-check challenged six figures in this study. Three of the challenges were right and we have adopted them. Three were wrong, and this is the evidence. We publish the losses as prominently as the wins, because a register that only records vindications is not a register.</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600"/>
        <w:gridCol w:w="3600"/>
        <w:gridCol w:w="3600"/>
        <w:gridCol w:w="3600"/>
      </w:tblGrid>
      <w:tr>
        <w:tc>
          <w:tcPr>
            <w:tcW w:type="dxa" w:w="634"/>
            <w:shd w:val="clear" w:color="auto" w:fill="EAF0EE"/>
          </w:tcPr>
          <w:p>
            <w:pPr>
              <w:spacing w:after="0"/>
            </w:pPr>
            <w:r>
              <w:rPr>
                <w:b/>
                <w:color w:val="1C3A36"/>
                <w:sz w:val="14"/>
              </w:rPr>
              <w:t>#</w:t>
            </w:r>
          </w:p>
        </w:tc>
        <w:tc>
          <w:tcPr>
            <w:tcW w:type="dxa" w:w="3456"/>
            <w:shd w:val="clear" w:color="auto" w:fill="EAF0EE"/>
          </w:tcPr>
          <w:p>
            <w:pPr>
              <w:spacing w:after="0"/>
            </w:pPr>
            <w:r>
              <w:rPr>
                <w:b/>
                <w:color w:val="1C3A36"/>
                <w:sz w:val="14"/>
              </w:rPr>
              <w:t>The challenge</w:t>
            </w:r>
          </w:p>
        </w:tc>
        <w:tc>
          <w:tcPr>
            <w:tcW w:type="dxa" w:w="2304"/>
            <w:shd w:val="clear" w:color="auto" w:fill="EAF0EE"/>
          </w:tcPr>
          <w:p>
            <w:pPr>
              <w:spacing w:after="0"/>
            </w:pPr>
            <w:r>
              <w:rPr>
                <w:b/>
                <w:color w:val="1C3A36"/>
                <w:sz w:val="14"/>
              </w:rPr>
              <w:t>Verdict</w:t>
            </w:r>
          </w:p>
        </w:tc>
        <w:tc>
          <w:tcPr>
            <w:tcW w:type="dxa" w:w="8006"/>
            <w:shd w:val="clear" w:color="auto" w:fill="EAF0EE"/>
          </w:tcPr>
          <w:p>
            <w:pPr>
              <w:spacing w:after="0"/>
            </w:pPr>
            <w:r>
              <w:rPr>
                <w:b/>
                <w:color w:val="1C3A36"/>
                <w:sz w:val="14"/>
              </w:rPr>
              <w:t>The primary source that settles it</w:t>
            </w:r>
          </w:p>
        </w:tc>
      </w:tr>
      <w:tr>
        <w:tc>
          <w:tcPr>
            <w:tcW w:type="dxa" w:w="634"/>
            <w:shd w:val="clear" w:color="auto" w:fill="E3EDE6"/>
          </w:tcPr>
          <w:p>
            <w:pPr>
              <w:spacing w:after="0"/>
            </w:pPr>
            <w:r>
              <w:rPr>
                <w:b/>
                <w:color w:val="1C3A36"/>
                <w:sz w:val="14"/>
              </w:rPr>
              <w:t>D-01</w:t>
            </w:r>
          </w:p>
        </w:tc>
        <w:tc>
          <w:tcPr>
            <w:tcW w:type="dxa" w:w="3456"/>
            <w:shd w:val="clear" w:color="auto" w:fill="E3EDE6"/>
          </w:tcPr>
          <w:p>
            <w:pPr>
              <w:spacing w:after="0"/>
            </w:pPr>
            <w:r>
              <w:rPr>
                <w:color w:val="1C3A36"/>
                <w:sz w:val="14"/>
              </w:rPr>
              <w:t>The RTA repayment is AED 900 mn per annum, and omitting it is a catastrophic failure.</w:t>
            </w:r>
          </w:p>
        </w:tc>
        <w:tc>
          <w:tcPr>
            <w:tcW w:type="dxa" w:w="2304"/>
            <w:shd w:val="clear" w:color="auto" w:fill="E3EDE6"/>
          </w:tcPr>
          <w:p>
            <w:pPr>
              <w:spacing w:after="0"/>
            </w:pPr>
            <w:r>
              <w:rPr>
                <w:color w:val="1C3A36"/>
                <w:sz w:val="14"/>
              </w:rPr>
              <w:t>WRONG — by a factor of two</w:t>
            </w:r>
          </w:p>
        </w:tc>
        <w:tc>
          <w:tcPr>
            <w:tcW w:type="dxa" w:w="8006"/>
            <w:shd w:val="clear" w:color="auto" w:fill="E3EDE6"/>
          </w:tcPr>
          <w:p>
            <w:pPr>
              <w:spacing w:after="0"/>
            </w:pPr>
            <w:r>
              <w:rPr>
                <w:color w:val="1C3A36"/>
                <w:sz w:val="14"/>
              </w:rPr>
              <w:t>C-06 / S-03, VERBATIM: "an annual installment of AED 455.7 million to be paid semi-annually over six years." ARITHMETIC CHECK: 455.7 × 6 = AED 2,734.2 mn, which is the gate valuation (C-03) exactly. The claimed 900 × 6 = AED 5,400 mn — nearly DOUBLE the asset being paid for. It is not possible.</w:t>
            </w:r>
          </w:p>
        </w:tc>
      </w:tr>
      <w:tr>
        <w:tc>
          <w:tcPr>
            <w:tcW w:type="dxa" w:w="634"/>
            <w:shd w:val="clear" w:color="auto" w:fill="E3EDE6"/>
          </w:tcPr>
          <w:p>
            <w:pPr>
              <w:spacing w:after="0"/>
            </w:pPr>
            <w:r>
              <w:rPr>
                <w:b/>
                <w:color w:val="1C3A36"/>
                <w:sz w:val="14"/>
              </w:rPr>
              <w:t>D-02</w:t>
            </w:r>
          </w:p>
        </w:tc>
        <w:tc>
          <w:tcPr>
            <w:tcW w:type="dxa" w:w="3456"/>
            <w:shd w:val="clear" w:color="auto" w:fill="E3EDE6"/>
          </w:tcPr>
          <w:p>
            <w:pPr>
              <w:spacing w:after="0"/>
            </w:pPr>
            <w:r>
              <w:rPr>
                <w:color w:val="1C3A36"/>
                <w:sz w:val="14"/>
              </w:rPr>
              <w:t>The instalment must be deducted from free cash flow; omitting it corrupts the DCF.</w:t>
            </w:r>
          </w:p>
        </w:tc>
        <w:tc>
          <w:tcPr>
            <w:tcW w:type="dxa" w:w="2304"/>
            <w:shd w:val="clear" w:color="auto" w:fill="E3EDE6"/>
          </w:tcPr>
          <w:p>
            <w:pPr>
              <w:spacing w:after="0"/>
            </w:pPr>
            <w:r>
              <w:rPr>
                <w:color w:val="1C3A36"/>
                <w:sz w:val="14"/>
              </w:rPr>
              <w:t>BACKWARDS — deducting it WOULD be the error</w:t>
            </w:r>
          </w:p>
        </w:tc>
        <w:tc>
          <w:tcPr>
            <w:tcW w:type="dxa" w:w="8006"/>
            <w:shd w:val="clear" w:color="auto" w:fill="E3EDE6"/>
          </w:tcPr>
          <w:p>
            <w:pPr>
              <w:spacing w:after="0"/>
            </w:pPr>
            <w:r>
              <w:rPr>
                <w:color w:val="1C3A36"/>
                <w:sz w:val="14"/>
              </w:rPr>
              <w:t>H-18 / S-06, VERBATIM: net debt "up from AED 3,163.3 million at the end of September 2024, mainly due to the payable of the concessionary rights to RTA." The payable is INSIDE net debt (A-04), which the DCF deducts ONCE in the bridge from enterprise value to equity value. Deducting the instalments from FCFF as well would count the same obligation twice. Principal repayment is a FINANCING flow; FCFF is measured before financing. ▶ BUT the challenge pointed at a real hole all the same: the EQUITY cash waterfall was never shown. It is now §1.2a, and it is the single most valuable thing the review produced.</w:t>
            </w:r>
          </w:p>
        </w:tc>
      </w:tr>
      <w:tr>
        <w:tc>
          <w:tcPr>
            <w:tcW w:type="dxa" w:w="634"/>
            <w:shd w:val="clear" w:color="auto" w:fill="E3EDE6"/>
          </w:tcPr>
          <w:p>
            <w:pPr>
              <w:spacing w:after="0"/>
            </w:pPr>
            <w:r>
              <w:rPr>
                <w:b/>
                <w:color w:val="1C3A36"/>
                <w:sz w:val="14"/>
              </w:rPr>
              <w:t>D-03</w:t>
            </w:r>
          </w:p>
        </w:tc>
        <w:tc>
          <w:tcPr>
            <w:tcW w:type="dxa" w:w="3456"/>
            <w:shd w:val="clear" w:color="auto" w:fill="E3EDE6"/>
          </w:tcPr>
          <w:p>
            <w:pPr>
              <w:spacing w:after="0"/>
            </w:pPr>
            <w:r>
              <w:rPr>
                <w:color w:val="1C3A36"/>
                <w:sz w:val="14"/>
              </w:rPr>
              <w:t>The 4.3% historical trip CAGR is "fabricated" and does not reconcile to company disclosure.</w:t>
            </w:r>
          </w:p>
        </w:tc>
        <w:tc>
          <w:tcPr>
            <w:tcW w:type="dxa" w:w="2304"/>
            <w:shd w:val="clear" w:color="auto" w:fill="E3EDE6"/>
          </w:tcPr>
          <w:p>
            <w:pPr>
              <w:spacing w:after="0"/>
            </w:pPr>
            <w:r>
              <w:rPr>
                <w:color w:val="1C3A36"/>
                <w:sz w:val="14"/>
              </w:rPr>
              <w:t>WRONG — it is a verbatim company disclosure</w:t>
            </w:r>
          </w:p>
        </w:tc>
        <w:tc>
          <w:tcPr>
            <w:tcW w:type="dxa" w:w="8006"/>
            <w:shd w:val="clear" w:color="auto" w:fill="E3EDE6"/>
          </w:tcPr>
          <w:p>
            <w:pPr>
              <w:spacing w:after="0"/>
            </w:pPr>
            <w:r>
              <w:rPr>
                <w:color w:val="1C3A36"/>
                <w:sz w:val="14"/>
              </w:rPr>
              <w:t>M-06 / S-07: "Salik’s revenue generating trips from 2013 through 2023 grew at 4.3% CAGR … above Dubai’s real GDP CAGR of 3.3% CAGR for the same period." That is the company’s own investor relations page — THE SAME PAGE the fact-check cites as its source.</w:t>
            </w:r>
          </w:p>
        </w:tc>
      </w:tr>
      <w:tr>
        <w:tc>
          <w:tcPr>
            <w:tcW w:type="dxa" w:w="634"/>
            <w:shd w:val="clear" w:color="auto" w:fill="E3EDE6"/>
          </w:tcPr>
          <w:p>
            <w:pPr>
              <w:spacing w:after="0"/>
            </w:pPr>
            <w:r>
              <w:rPr>
                <w:b/>
                <w:color w:val="1C3A36"/>
                <w:sz w:val="14"/>
              </w:rPr>
              <w:t>D-04</w:t>
            </w:r>
          </w:p>
        </w:tc>
        <w:tc>
          <w:tcPr>
            <w:tcW w:type="dxa" w:w="3456"/>
            <w:shd w:val="clear" w:color="auto" w:fill="E3EDE6"/>
          </w:tcPr>
          <w:p>
            <w:pPr>
              <w:spacing w:after="0"/>
            </w:pPr>
            <w:r>
              <w:rPr>
                <w:color w:val="1C3A36"/>
                <w:sz w:val="14"/>
              </w:rPr>
              <w:t>The published beta of 0.76 breaches a mandatory house floor of 0.80.</w:t>
            </w:r>
          </w:p>
        </w:tc>
        <w:tc>
          <w:tcPr>
            <w:tcW w:type="dxa" w:w="2304"/>
            <w:shd w:val="clear" w:color="auto" w:fill="E3EDE6"/>
          </w:tcPr>
          <w:p>
            <w:pPr>
              <w:spacing w:after="0"/>
            </w:pPr>
            <w:r>
              <w:rPr>
                <w:color w:val="1C3A36"/>
                <w:sz w:val="14"/>
              </w:rPr>
              <w:t>NO SUCH RULE EXISTS — but priced anyway</w:t>
            </w:r>
          </w:p>
        </w:tc>
        <w:tc>
          <w:tcPr>
            <w:tcW w:type="dxa" w:w="8006"/>
            <w:shd w:val="clear" w:color="auto" w:fill="E3EDE6"/>
          </w:tcPr>
          <w:p>
            <w:pPr>
              <w:spacing w:after="0"/>
            </w:pPr>
            <w:r>
              <w:rPr>
                <w:color w:val="1C3A36"/>
                <w:sz w:val="14"/>
              </w:rPr>
              <w:t>S-24: the our published research standards reads "Beta: genuinely attempt a regression; default to 1.0 ONLY on a real usability-gate failure (n≥24, R²≥5%, SE(β)&lt;|β|)." Our regression clears all three (K-11). our cost-of-capital module contains NO floor — its only reference to 0.8 is a rung on a SENSITIVITY ladder. The 0.8–1.3 band belongs to the EFG-Hermes portable lessons, which describe EFG’s practice, and the standing instruction on those is explicit: adopt EFG’s machinery, NOT their optimistic assumptions. ▶ We added the 0.80 rung to the ladder anyway: it gives AED 4.32 against AED 4.49 at our published beta. The conclusion is unchanged either way.</w:t>
            </w:r>
          </w:p>
        </w:tc>
      </w:tr>
      <w:tr>
        <w:tc>
          <w:tcPr>
            <w:tcW w:type="dxa" w:w="634"/>
            <w:shd w:val="clear" w:color="auto" w:fill="F6E2DA"/>
          </w:tcPr>
          <w:p>
            <w:pPr>
              <w:spacing w:after="0"/>
            </w:pPr>
            <w:r>
              <w:rPr>
                <w:b/>
                <w:color w:val="1C3A36"/>
                <w:sz w:val="14"/>
              </w:rPr>
              <w:t>D-05</w:t>
            </w:r>
          </w:p>
        </w:tc>
        <w:tc>
          <w:tcPr>
            <w:tcW w:type="dxa" w:w="3456"/>
            <w:shd w:val="clear" w:color="auto" w:fill="F6E2DA"/>
          </w:tcPr>
          <w:p>
            <w:pPr>
              <w:spacing w:after="0"/>
            </w:pPr>
            <w:r>
              <w:rPr>
                <w:color w:val="1C3A36"/>
                <w:sz w:val="14"/>
              </w:rPr>
              <w:t>The gate acquisition cost is AED 2,734 mn, not AED 2,700 mn. And the new gates must amortise over the REMAINING 46.67 years, not a fresh 49.</w:t>
            </w:r>
          </w:p>
        </w:tc>
        <w:tc>
          <w:tcPr>
            <w:tcW w:type="dxa" w:w="2304"/>
            <w:shd w:val="clear" w:color="auto" w:fill="F6E2DA"/>
          </w:tcPr>
          <w:p>
            <w:pPr>
              <w:spacing w:after="0"/>
            </w:pPr>
            <w:r>
              <w:rPr>
                <w:color w:val="1C3A36"/>
                <w:sz w:val="14"/>
              </w:rPr>
              <w:t>RIGHT ON BOTH COUNTS — our error, adopted</w:t>
            </w:r>
          </w:p>
        </w:tc>
        <w:tc>
          <w:tcPr>
            <w:tcW w:type="dxa" w:w="8006"/>
            <w:shd w:val="clear" w:color="auto" w:fill="F6E2DA"/>
          </w:tcPr>
          <w:p>
            <w:pPr>
              <w:spacing w:after="0"/>
            </w:pPr>
            <w:r>
              <w:rPr>
                <w:color w:val="1C3A36"/>
                <w:sz w:val="14"/>
              </w:rPr>
              <w:t>C-03 / S-08 settles the price: AED 2,265 mn (Business Bay) + AED 469 mn (Al Safa South) = AED 2,734 mn. C-05 settles the term: the gates entered service in November 2024, by which point 2.33 years of the 49-year concession had run. And the correction RECONCILES BETTER — the corrected D&amp;A (144.3) sits 0.6% from the disclosed figure (Q-11, 145.2); our old cross-check was 3.0% off.</w:t>
            </w:r>
          </w:p>
        </w:tc>
      </w:tr>
      <w:tr>
        <w:tc>
          <w:tcPr>
            <w:tcW w:type="dxa" w:w="634"/>
            <w:shd w:val="clear" w:color="auto" w:fill="FBF0DC"/>
          </w:tcPr>
          <w:p>
            <w:pPr>
              <w:spacing w:after="0"/>
            </w:pPr>
            <w:r>
              <w:rPr>
                <w:b/>
                <w:color w:val="1C3A36"/>
                <w:sz w:val="14"/>
              </w:rPr>
              <w:t>D-06</w:t>
            </w:r>
          </w:p>
        </w:tc>
        <w:tc>
          <w:tcPr>
            <w:tcW w:type="dxa" w:w="3456"/>
            <w:shd w:val="clear" w:color="auto" w:fill="FBF0DC"/>
          </w:tcPr>
          <w:p>
            <w:pPr>
              <w:spacing w:after="0"/>
            </w:pPr>
            <w:r>
              <w:rPr>
                <w:color w:val="1C3A36"/>
                <w:sz w:val="14"/>
              </w:rPr>
              <w:t>The 16.1 mn residual cannot be attributed purely to the free overnight window — it must include violations and collection leakage.</w:t>
            </w:r>
          </w:p>
        </w:tc>
        <w:tc>
          <w:tcPr>
            <w:tcW w:type="dxa" w:w="2304"/>
            <w:shd w:val="clear" w:color="auto" w:fill="FBF0DC"/>
          </w:tcPr>
          <w:p>
            <w:pPr>
              <w:spacing w:after="0"/>
            </w:pPr>
            <w:r>
              <w:rPr>
                <w:color w:val="1C3A36"/>
                <w:sz w:val="14"/>
              </w:rPr>
              <w:t>RIGHT that we over-claimed; WRONG on the alternative</w:t>
            </w:r>
          </w:p>
        </w:tc>
        <w:tc>
          <w:tcPr>
            <w:tcW w:type="dxa" w:w="8006"/>
            <w:shd w:val="clear" w:color="auto" w:fill="FBF0DC"/>
          </w:tcPr>
          <w:p>
            <w:pPr>
              <w:spacing w:after="0"/>
            </w:pPr>
            <w:r>
              <w:rPr>
                <w:color w:val="1C3A36"/>
                <w:sz w:val="14"/>
              </w:rPr>
              <w:t>We WITHDRAW the attribution (X-03). But the proposed alternative does not survive either: C-14 / S-06 puts net violations at 0.4% of net toll traffic, and C-15 / S-07 has the company describing its own toll leakage as "insignificant". Neither can account for 11.1%. The honest position is that we do not know, the company’s two definitions are in tension (C-16), and nobody outside the company can resolve it.</w:t>
            </w:r>
          </w:p>
        </w:tc>
      </w:tr>
    </w:tbl>
    <w:p>
      <w:pPr>
        <w:spacing w:after="40"/>
      </w:pPr>
    </w:p>
    <w:p>
      <w:pPr>
        <w:spacing w:after="100" w:before="240"/>
      </w:pPr>
      <w:r>
        <w:rPr>
          <w:b/>
          <w:i w:val="0"/>
          <w:color w:val="1C3A36"/>
          <w:sz w:val="27"/>
        </w:rPr>
        <w:t>7 Sourcing statistics — and what they say about the study</w:t>
      </w:r>
    </w:p>
    <w:tbl>
      <w:tblPr>
        <w:tblW w:type="auto" w:w="0"/>
        <w:jc w:val="center"/>
        <w:tblLook w:firstColumn="1" w:firstRow="1" w:lastColumn="0" w:lastRow="0" w:noHBand="0" w:noVBand="1" w:val="04A0"/>
        <w:tblLayout w:type="fixed"/>
        <w:tblCellMar>
          <w:top w:w="34" w:type="dxa"/>
          <w:left w:w="72" w:type="dxa"/>
          <w:bottom w:w="34" w:type="dxa"/>
          <w:right w:w="72"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4800"/>
        <w:gridCol w:w="4800"/>
        <w:gridCol w:w="4800"/>
      </w:tblGrid>
      <w:tr>
        <w:tc>
          <w:tcPr>
            <w:tcW w:type="dxa" w:w="4464"/>
            <w:shd w:val="clear" w:color="auto" w:fill="EAF0EE"/>
          </w:tcPr>
          <w:p>
            <w:pPr>
              <w:spacing w:after="0"/>
            </w:pPr>
            <w:r>
              <w:rPr>
                <w:b/>
                <w:color w:val="1C3A36"/>
                <w:sz w:val="15"/>
              </w:rPr>
              <w:t>Metric</w:t>
            </w:r>
          </w:p>
        </w:tc>
        <w:tc>
          <w:tcPr>
            <w:tcW w:type="dxa" w:w="1584"/>
            <w:shd w:val="clear" w:color="auto" w:fill="EAF0EE"/>
          </w:tcPr>
          <w:p>
            <w:pPr>
              <w:spacing w:after="0"/>
            </w:pPr>
            <w:r>
              <w:rPr>
                <w:b/>
                <w:color w:val="1C3A36"/>
                <w:sz w:val="15"/>
              </w:rPr>
              <w:t>Value</w:t>
            </w:r>
          </w:p>
        </w:tc>
        <w:tc>
          <w:tcPr>
            <w:tcW w:type="dxa" w:w="8352"/>
            <w:shd w:val="clear" w:color="auto" w:fill="EAF0EE"/>
          </w:tcPr>
          <w:p>
            <w:pPr>
              <w:spacing w:after="0"/>
            </w:pPr>
            <w:r>
              <w:rPr>
                <w:b/>
                <w:color w:val="1C3A36"/>
                <w:sz w:val="15"/>
              </w:rPr>
              <w:t>Reading</w:t>
            </w:r>
          </w:p>
        </w:tc>
      </w:tr>
      <w:tr>
        <w:tc>
          <w:tcPr>
            <w:tcW w:type="dxa" w:w="4464"/>
          </w:tcPr>
          <w:p>
            <w:pPr>
              <w:spacing w:after="0"/>
            </w:pPr>
            <w:r>
              <w:rPr>
                <w:b/>
                <w:color w:val="1C3A36"/>
                <w:sz w:val="15"/>
              </w:rPr>
              <w:t>Primary source documents</w:t>
            </w:r>
          </w:p>
        </w:tc>
        <w:tc>
          <w:tcPr>
            <w:tcW w:type="dxa" w:w="1584"/>
          </w:tcPr>
          <w:p>
            <w:pPr>
              <w:spacing w:after="0"/>
            </w:pPr>
            <w:r>
              <w:rPr>
                <w:color w:val="1C3A36"/>
                <w:sz w:val="15"/>
              </w:rPr>
              <w:t>25</w:t>
            </w:r>
          </w:p>
        </w:tc>
        <w:tc>
          <w:tcPr>
            <w:tcW w:type="dxa" w:w="8352"/>
          </w:tcPr>
          <w:p>
            <w:pPr>
              <w:spacing w:after="0"/>
            </w:pPr>
            <w:r>
              <w:rPr>
                <w:color w:val="1C3A36"/>
                <w:sz w:val="15"/>
              </w:rPr>
              <w:t>Of which 11 are company-official and 4 are regulator/primary-market.</w:t>
            </w:r>
          </w:p>
        </w:tc>
      </w:tr>
      <w:tr>
        <w:tc>
          <w:tcPr>
            <w:tcW w:type="dxa" w:w="4464"/>
          </w:tcPr>
          <w:p>
            <w:pPr>
              <w:spacing w:after="0"/>
            </w:pPr>
            <w:r>
              <w:rPr>
                <w:b/>
                <w:color w:val="1C3A36"/>
                <w:sz w:val="15"/>
              </w:rPr>
              <w:t>SOURCED figures</w:t>
            </w:r>
          </w:p>
        </w:tc>
        <w:tc>
          <w:tcPr>
            <w:tcW w:type="dxa" w:w="1584"/>
          </w:tcPr>
          <w:p>
            <w:pPr>
              <w:spacing w:after="0"/>
            </w:pPr>
            <w:r>
              <w:rPr>
                <w:color w:val="1C3A36"/>
                <w:sz w:val="15"/>
              </w:rPr>
              <w:t>61</w:t>
            </w:r>
          </w:p>
        </w:tc>
        <w:tc>
          <w:tcPr>
            <w:tcW w:type="dxa" w:w="8352"/>
          </w:tcPr>
          <w:p>
            <w:pPr>
              <w:spacing w:after="0"/>
            </w:pPr>
            <w:r>
              <w:rPr>
                <w:color w:val="1C3A36"/>
                <w:sz w:val="15"/>
              </w:rPr>
              <w:t>Quoted from a primary document, not interpreted.</w:t>
            </w:r>
          </w:p>
        </w:tc>
      </w:tr>
      <w:tr>
        <w:tc>
          <w:tcPr>
            <w:tcW w:type="dxa" w:w="4464"/>
          </w:tcPr>
          <w:p>
            <w:pPr>
              <w:spacing w:after="0"/>
            </w:pPr>
            <w:r>
              <w:rPr>
                <w:b/>
                <w:color w:val="1C3A36"/>
                <w:sz w:val="15"/>
              </w:rPr>
              <w:t>DERIVED figures</w:t>
            </w:r>
          </w:p>
        </w:tc>
        <w:tc>
          <w:tcPr>
            <w:tcW w:type="dxa" w:w="1584"/>
          </w:tcPr>
          <w:p>
            <w:pPr>
              <w:spacing w:after="0"/>
            </w:pPr>
            <w:r>
              <w:rPr>
                <w:color w:val="1C3A36"/>
                <w:sz w:val="15"/>
              </w:rPr>
              <w:t>18</w:t>
            </w:r>
          </w:p>
        </w:tc>
        <w:tc>
          <w:tcPr>
            <w:tcW w:type="dxa" w:w="8352"/>
          </w:tcPr>
          <w:p>
            <w:pPr>
              <w:spacing w:after="0"/>
            </w:pPr>
            <w:r>
              <w:rPr>
                <w:color w:val="1C3A36"/>
                <w:sz w:val="15"/>
              </w:rPr>
              <w:t>Every derivation is shown in this register, in column 6.</w:t>
            </w:r>
          </w:p>
        </w:tc>
      </w:tr>
      <w:tr>
        <w:tc>
          <w:tcPr>
            <w:tcW w:type="dxa" w:w="4464"/>
          </w:tcPr>
          <w:p>
            <w:pPr>
              <w:spacing w:after="0"/>
            </w:pPr>
            <w:r>
              <w:rPr>
                <w:b/>
                <w:color w:val="1C3A36"/>
                <w:sz w:val="15"/>
              </w:rPr>
              <w:t>MEASURED figures</w:t>
            </w:r>
          </w:p>
        </w:tc>
        <w:tc>
          <w:tcPr>
            <w:tcW w:type="dxa" w:w="1584"/>
          </w:tcPr>
          <w:p>
            <w:pPr>
              <w:spacing w:after="0"/>
            </w:pPr>
            <w:r>
              <w:rPr>
                <w:color w:val="1C3A36"/>
                <w:sz w:val="15"/>
              </w:rPr>
              <w:t>6</w:t>
            </w:r>
          </w:p>
        </w:tc>
        <w:tc>
          <w:tcPr>
            <w:tcW w:type="dxa" w:w="8352"/>
          </w:tcPr>
          <w:p>
            <w:pPr>
              <w:spacing w:after="0"/>
            </w:pPr>
            <w:r>
              <w:rPr>
                <w:color w:val="1C3A36"/>
                <w:sz w:val="15"/>
              </w:rPr>
              <w:t>All six are the beta regressions and the calibration verdict.</w:t>
            </w:r>
          </w:p>
        </w:tc>
      </w:tr>
      <w:tr>
        <w:tc>
          <w:tcPr>
            <w:tcW w:type="dxa" w:w="4464"/>
          </w:tcPr>
          <w:p>
            <w:pPr>
              <w:spacing w:after="0"/>
            </w:pPr>
            <w:r>
              <w:rPr>
                <w:b/>
                <w:color w:val="1C3A36"/>
                <w:sz w:val="15"/>
              </w:rPr>
              <w:t>JUDGMENT figures</w:t>
            </w:r>
          </w:p>
        </w:tc>
        <w:tc>
          <w:tcPr>
            <w:tcW w:type="dxa" w:w="1584"/>
          </w:tcPr>
          <w:p>
            <w:pPr>
              <w:spacing w:after="0"/>
            </w:pPr>
            <w:r>
              <w:rPr>
                <w:color w:val="1C3A36"/>
                <w:sz w:val="15"/>
              </w:rPr>
              <w:t>13</w:t>
            </w:r>
          </w:p>
        </w:tc>
        <w:tc>
          <w:tcPr>
            <w:tcW w:type="dxa" w:w="8352"/>
          </w:tcPr>
          <w:p>
            <w:pPr>
              <w:spacing w:after="0"/>
            </w:pPr>
            <w:r>
              <w:rPr>
                <w:color w:val="1C3A36"/>
                <w:sz w:val="15"/>
              </w:rPr>
              <w:t>All thirteen are logged to the our forecast-assumptions log with a resolution date.</w:t>
            </w:r>
          </w:p>
        </w:tc>
      </w:tr>
      <w:tr>
        <w:tc>
          <w:tcPr>
            <w:tcW w:type="dxa" w:w="4464"/>
          </w:tcPr>
          <w:p>
            <w:pPr>
              <w:spacing w:after="0"/>
            </w:pPr>
            <w:r>
              <w:rPr>
                <w:b/>
                <w:color w:val="1C3A36"/>
                <w:sz w:val="15"/>
              </w:rPr>
              <w:t>NOT SOURCED — declared holes</w:t>
            </w:r>
          </w:p>
        </w:tc>
        <w:tc>
          <w:tcPr>
            <w:tcW w:type="dxa" w:w="1584"/>
          </w:tcPr>
          <w:p>
            <w:pPr>
              <w:spacing w:after="0"/>
            </w:pPr>
            <w:r>
              <w:rPr>
                <w:color w:val="1C3A36"/>
                <w:sz w:val="15"/>
              </w:rPr>
              <w:t>4</w:t>
            </w:r>
          </w:p>
        </w:tc>
        <w:tc>
          <w:tcPr>
            <w:tcW w:type="dxa" w:w="8352"/>
          </w:tcPr>
          <w:p>
            <w:pPr>
              <w:spacing w:after="0"/>
            </w:pPr>
            <w:r>
              <w:rPr>
                <w:color w:val="1C3A36"/>
                <w:sz w:val="15"/>
              </w:rPr>
              <w:t>X-01 to X-04. Declared, not estimated.</w:t>
            </w:r>
          </w:p>
        </w:tc>
      </w:tr>
      <w:tr>
        <w:tc>
          <w:tcPr>
            <w:tcW w:type="dxa" w:w="4464"/>
          </w:tcPr>
          <w:p>
            <w:pPr>
              <w:spacing w:after="0"/>
            </w:pPr>
            <w:r>
              <w:rPr>
                <w:b/>
                <w:color w:val="1C3A36"/>
                <w:sz w:val="15"/>
              </w:rPr>
              <w:t>Aggregator-sourced figures</w:t>
            </w:r>
          </w:p>
        </w:tc>
        <w:tc>
          <w:tcPr>
            <w:tcW w:type="dxa" w:w="1584"/>
          </w:tcPr>
          <w:p>
            <w:pPr>
              <w:spacing w:after="0"/>
            </w:pPr>
            <w:r>
              <w:rPr>
                <w:color w:val="1C3A36"/>
                <w:sz w:val="15"/>
              </w:rPr>
              <w:t>1</w:t>
            </w:r>
          </w:p>
        </w:tc>
        <w:tc>
          <w:tcPr>
            <w:tcW w:type="dxa" w:w="8352"/>
          </w:tcPr>
          <w:p>
            <w:pPr>
              <w:spacing w:after="0"/>
            </w:pPr>
            <w:r>
              <w:rPr>
                <w:color w:val="1C3A36"/>
                <w:sz w:val="15"/>
              </w:rPr>
              <w:t>M-05 (Parkin). It anchors a multiple band and NEVER touches a financial-statement line.</w:t>
            </w:r>
          </w:p>
        </w:tc>
      </w:tr>
      <w:tr>
        <w:tc>
          <w:tcPr>
            <w:tcW w:type="dxa" w:w="4464"/>
          </w:tcPr>
          <w:p>
            <w:pPr>
              <w:spacing w:after="0"/>
            </w:pPr>
            <w:r>
              <w:rPr>
                <w:b/>
                <w:color w:val="1C3A36"/>
                <w:sz w:val="15"/>
              </w:rPr>
              <w:t>Financial-statement lines sourced from an aggregator</w:t>
            </w:r>
          </w:p>
        </w:tc>
        <w:tc>
          <w:tcPr>
            <w:tcW w:type="dxa" w:w="1584"/>
          </w:tcPr>
          <w:p>
            <w:pPr>
              <w:spacing w:after="0"/>
            </w:pPr>
            <w:r>
              <w:rPr>
                <w:color w:val="1C3A36"/>
                <w:sz w:val="15"/>
              </w:rPr>
              <w:t>0</w:t>
            </w:r>
          </w:p>
        </w:tc>
        <w:tc>
          <w:tcPr>
            <w:tcW w:type="dxa" w:w="8352"/>
          </w:tcPr>
          <w:p>
            <w:pPr>
              <w:spacing w:after="0"/>
            </w:pPr>
            <w:r>
              <w:rPr>
                <w:color w:val="1C3A36"/>
                <w:sz w:val="15"/>
              </w:rPr>
              <w:t>The hard rule. It has not been broken.</w:t>
            </w:r>
          </w:p>
        </w:tc>
      </w:tr>
      <w:tr>
        <w:tc>
          <w:tcPr>
            <w:tcW w:type="dxa" w:w="4464"/>
          </w:tcPr>
          <w:p>
            <w:pPr>
              <w:spacing w:after="0"/>
            </w:pPr>
            <w:r>
              <w:rPr>
                <w:b/>
                <w:color w:val="1C3A36"/>
                <w:sz w:val="15"/>
              </w:rPr>
              <w:t>Figures corrected between v2 and v3</w:t>
            </w:r>
          </w:p>
        </w:tc>
        <w:tc>
          <w:tcPr>
            <w:tcW w:type="dxa" w:w="1584"/>
          </w:tcPr>
          <w:p>
            <w:pPr>
              <w:spacing w:after="0"/>
            </w:pPr>
            <w:r>
              <w:rPr>
                <w:color w:val="1C3A36"/>
                <w:sz w:val="15"/>
              </w:rPr>
              <w:t>11</w:t>
            </w:r>
          </w:p>
        </w:tc>
        <w:tc>
          <w:tcPr>
            <w:tcW w:type="dxa" w:w="8352"/>
          </w:tcPr>
          <w:p>
            <w:pPr>
              <w:spacing w:after="0"/>
            </w:pPr>
            <w:r>
              <w:rPr>
                <w:color w:val="1C3A36"/>
                <w:sz w:val="15"/>
              </w:rPr>
              <w:t>Four found by our own audit, four by an external fact-check, three shared.</w:t>
            </w:r>
          </w:p>
        </w:tc>
      </w:tr>
      <w:tr>
        <w:tc>
          <w:tcPr>
            <w:tcW w:type="dxa" w:w="4464"/>
          </w:tcPr>
          <w:p>
            <w:pPr>
              <w:spacing w:after="0"/>
            </w:pPr>
            <w:r>
              <w:rPr>
                <w:b/>
                <w:color w:val="1C3A36"/>
                <w:sz w:val="15"/>
              </w:rPr>
              <w:t>Independent validations of the effective-toll metric</w:t>
            </w:r>
          </w:p>
        </w:tc>
        <w:tc>
          <w:tcPr>
            <w:tcW w:type="dxa" w:w="1584"/>
          </w:tcPr>
          <w:p>
            <w:pPr>
              <w:spacing w:after="0"/>
            </w:pPr>
            <w:r>
              <w:rPr>
                <w:color w:val="1C3A36"/>
                <w:sz w:val="15"/>
              </w:rPr>
              <w:t>2</w:t>
            </w:r>
          </w:p>
        </w:tc>
        <w:tc>
          <w:tcPr>
            <w:tcW w:type="dxa" w:w="8352"/>
          </w:tcPr>
          <w:p>
            <w:pPr>
              <w:spacing w:after="0"/>
            </w:pPr>
            <w:r>
              <w:rPr>
                <w:color w:val="1C3A36"/>
                <w:sz w:val="15"/>
              </w:rPr>
              <w:t>FY2023 (AED 4.001) and FY2024 (AED 4.000) BOTH reconcile to the flat tariff, independently. That is what licenses the metric to carry the whole toll driver.</w:t>
            </w:r>
          </w:p>
        </w:tc>
      </w:tr>
      <w:tr>
        <w:tc>
          <w:tcPr>
            <w:tcW w:type="dxa" w:w="4464"/>
          </w:tcPr>
          <w:p>
            <w:pPr>
              <w:spacing w:after="0"/>
            </w:pPr>
            <w:r>
              <w:rPr>
                <w:b/>
                <w:color w:val="1C3A36"/>
                <w:sz w:val="15"/>
              </w:rPr>
              <w:t>FY2024 revenue lines summing to reported revenue</w:t>
            </w:r>
          </w:p>
        </w:tc>
        <w:tc>
          <w:tcPr>
            <w:tcW w:type="dxa" w:w="1584"/>
          </w:tcPr>
          <w:p>
            <w:pPr>
              <w:spacing w:after="0"/>
            </w:pPr>
            <w:r>
              <w:rPr>
                <w:color w:val="1C3A36"/>
                <w:sz w:val="15"/>
              </w:rPr>
              <w:t>EXACT</w:t>
            </w:r>
          </w:p>
        </w:tc>
        <w:tc>
          <w:tcPr>
            <w:tcW w:type="dxa" w:w="8352"/>
          </w:tcPr>
          <w:p>
            <w:pPr>
              <w:spacing w:after="0"/>
            </w:pPr>
            <w:r>
              <w:rPr>
                <w:color w:val="1C3A36"/>
                <w:sz w:val="15"/>
              </w:rPr>
              <w:t>1,992.5 + 236.9 + 40.9 + 21.7 = 2,292.0. No plug.</w:t>
            </w:r>
          </w:p>
        </w:tc>
      </w:tr>
    </w:tbl>
    <w:p>
      <w:pPr>
        <w:spacing w:after="40"/>
      </w:pP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00" w:type="dxa"/>
          <w:left w:w="130" w:type="dxa"/>
          <w:bottom w:w="100" w:type="dxa"/>
          <w:right w:w="130" w:type="dxa"/>
        </w:tblCellMar>
      </w:tblPr>
      <w:tblGrid>
        <w:gridCol w:w="14400"/>
      </w:tblGrid>
      <w:tr>
        <w:tc>
          <w:tcPr>
            <w:tcW w:type="dxa" w:w="14400"/>
            <w:shd w:val="clear" w:color="auto" w:fill="F6F1E6"/>
          </w:tcPr>
          <w:p>
            <w:pPr>
              <w:spacing w:after="80"/>
            </w:pPr>
            <w:r>
              <w:rPr>
                <w:b/>
                <w:color w:val="1C3A36"/>
                <w:sz w:val="18"/>
              </w:rPr>
              <w:t xml:space="preserve">The honest summary of this register. </w:t>
            </w:r>
            <w:r>
              <w:rPr>
                <w:color w:val="1C3A36"/>
                <w:sz w:val="18"/>
              </w:rPr>
              <w:t>Sixty-one figures in this study can be traced to a primary document and quoted. Eighteen more are arithmetic on those, shown in full. Six are measured with a published standard error and a pass/fail gate. Thirteen are our opinion, and we have told you which thirteen and when you can check them. Four are holes, and we have told you what we tried. One figure comes from an aggregator, and it cannot touch a financial statement. Eleven figures were wrong in the last version and are now right — and we have said which four we found ourselves and which four somebody else had to find for us.</w:t>
            </w:r>
          </w:p>
          <w:p>
            <w:pPr>
              <w:spacing w:after="80"/>
            </w:pPr>
            <w:r>
              <w:rPr>
                <w:b/>
                <w:color w:val="1C3A36"/>
                <w:sz w:val="18"/>
              </w:rPr>
              <w:t xml:space="preserve">What it does not do. </w:t>
            </w:r>
            <w:r>
              <w:rPr>
                <w:color w:val="1C3A36"/>
                <w:sz w:val="18"/>
              </w:rPr>
              <w:t>This register proves provenance. It does not prove judgment. Every JUDGMENT row in §3 could be wrong, and the study would still be perfectly sourced. The register tells you where to aim; it does not tell you we hit.</w:t>
            </w:r>
          </w:p>
        </w:tc>
      </w:tr>
    </w:tbl>
    <w:p>
      <w:pPr>
        <w:spacing w:after="40"/>
      </w:pPr>
    </w:p>
    <w:p>
      <w:pPr>
        <w:spacing w:after="80" w:before="200"/>
        <w:jc w:val="center"/>
      </w:pPr>
      <w:r>
        <w:rPr>
          <w:b w:val="0"/>
          <w:i/>
          <w:color w:val="6E7B77"/>
          <w:sz w:val="18"/>
        </w:rPr>
        <w:t>Testahil · Independent equity research · Distributions, not tips.</w:t>
      </w:r>
    </w:p>
    <w:p>
      <w:pPr>
        <w:spacing w:after="80" w:before="0"/>
        <w:jc w:val="center"/>
      </w:pPr>
      <w:r>
        <w:rPr>
          <w:b w:val="0"/>
          <w:i/>
          <w:color w:val="6E7B77"/>
          <w:sz w:val="16"/>
        </w:rPr>
        <w:t>This register is a companion to SALIK_Valuation_Study_11-07-2026 (v3) and inherits its full Disclosure &amp; Disclaimer. It is not investment advice, not a recommendation, and not a price target. The preparer holds no licence from any securities regulator.</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color w:val="1C3A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