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80" w:type="dxa"/>
          <w:left w:w="150" w:type="dxa"/>
          <w:bottom w:w="80" w:type="dxa"/>
          <w:right w:w="150" w:type="dxa"/>
        </w:tblCellMar>
      </w:tblPr>
      <w:tblGrid>
        <w:gridCol w:w="10224"/>
      </w:tblGrid>
      <w:tr>
        <w:tc>
          <w:tcPr>
            <w:tcW w:type="dxa" w:w="10224"/>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40"/>
      </w:pPr>
      <w:r>
        <w:rPr>
          <w:b/>
          <w:i w:val="0"/>
          <w:color w:val="1C3A36"/>
          <w:sz w:val="26"/>
        </w:rPr>
        <w:t>Elsewedy Electric Company S.A.E. (EGX: SWDY) — Bibliography and Source Register</w:t>
      </w:r>
    </w:p>
    <w:p>
      <w:pPr>
        <w:spacing w:after="100" w:before="0"/>
      </w:pPr>
      <w:r>
        <w:rPr>
          <w:b w:val="0"/>
          <w:i w:val="0"/>
          <w:color w:val="6E7B77"/>
          <w:sz w:val="19"/>
        </w:rPr>
        <w:t>Companion document to the valuation study dated 5 August 2026. It records where every number in that study came from.</w:t>
      </w:r>
    </w:p>
    <w:p>
      <w:pPr>
        <w:spacing w:after="60" w:before="160"/>
      </w:pPr>
      <w:r>
        <w:rPr>
          <w:b/>
          <w:i w:val="0"/>
          <w:color w:val="1C3A36"/>
          <w:sz w:val="22"/>
        </w:rPr>
        <w:t>READ FIRST</w:t>
      </w:r>
    </w:p>
    <w:p>
      <w:pPr>
        <w:spacing w:after="100" w:before="0"/>
      </w:pPr>
      <w:r>
        <w:rPr>
          <w:b w:val="0"/>
          <w:i w:val="0"/>
          <w:color w:val="1C3A36"/>
          <w:sz w:val="20"/>
        </w:rPr>
        <w:t>This document exists so that a reader can check the study rather than trust it. It lists every input the valuation model uses, together with the value, the source, the date of that source, and the research layer it belongs to. Nothing in the study is computed from a figure that does not appear here.</w:t>
      </w:r>
    </w:p>
    <w:p>
      <w:pPr>
        <w:spacing w:after="100" w:before="0"/>
      </w:pPr>
      <w:r>
        <w:rPr>
          <w:b w:val="0"/>
          <w:i w:val="0"/>
          <w:color w:val="1C3A36"/>
          <w:sz w:val="20"/>
        </w:rPr>
        <w:t>Two things are worth knowing before reading the tables. First, inputs marked "House" are judgements or derivations made by the analyst, not disclosures by the company — each carries the reasoning that produced it, and the reader is free to disagree with it and re-run the model. Second, where a company disclosure could not be reached, that is recorded as a negative result at the end of this document rather than quietly filled in.</w:t>
      </w:r>
    </w:p>
    <w:p>
      <w:pPr>
        <w:spacing w:after="60" w:before="160"/>
      </w:pPr>
      <w:r>
        <w:rPr>
          <w:b/>
          <w:i w:val="0"/>
          <w:color w:val="1C3A36"/>
          <w:sz w:val="22"/>
        </w:rPr>
        <w:t>The research layers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8568"/>
      </w:tblGrid>
      <w:tr>
        <w:tc>
          <w:tcPr>
            <w:tcW w:type="dxa" w:w="1512"/>
            <w:shd w:val="clear" w:color="auto" w:fill="EAF0EE"/>
          </w:tcPr>
          <w:p>
            <w:pPr>
              <w:spacing w:after="20"/>
            </w:pPr>
            <w:r>
              <w:rPr>
                <w:b/>
                <w:color w:val="1C3A36"/>
                <w:sz w:val="17"/>
              </w:rPr>
              <w:t>Layer</w:t>
            </w:r>
          </w:p>
        </w:tc>
        <w:tc>
          <w:tcPr>
            <w:tcW w:type="dxa" w:w="8568"/>
            <w:shd w:val="clear" w:color="auto" w:fill="EAF0EE"/>
          </w:tcPr>
          <w:p>
            <w:pPr>
              <w:spacing w:after="20"/>
            </w:pPr>
            <w:r>
              <w:rPr>
                <w:b/>
                <w:color w:val="1C3A36"/>
                <w:sz w:val="17"/>
              </w:rPr>
              <w:t>What it covers</w:t>
            </w:r>
          </w:p>
        </w:tc>
      </w:tr>
      <w:tr>
        <w:tc>
          <w:tcPr>
            <w:tcW w:type="dxa" w:w="1512"/>
          </w:tcPr>
          <w:p>
            <w:pPr>
              <w:spacing w:after="20"/>
            </w:pPr>
            <w:r>
              <w:rPr>
                <w:color w:val="1C3A36"/>
                <w:sz w:val="17"/>
              </w:rPr>
              <w:t>Market</w:t>
            </w:r>
          </w:p>
        </w:tc>
        <w:tc>
          <w:tcPr>
            <w:tcW w:type="dxa" w:w="8568"/>
          </w:tcPr>
          <w:p>
            <w:pPr>
              <w:spacing w:after="20"/>
            </w:pPr>
            <w:r>
              <w:rPr>
                <w:color w:val="1C3A36"/>
                <w:sz w:val="17"/>
              </w:rPr>
              <w:t>Prices, volumes and market-observable data for the security itself</w:t>
            </w:r>
          </w:p>
        </w:tc>
      </w:tr>
      <w:tr>
        <w:tc>
          <w:tcPr>
            <w:tcW w:type="dxa" w:w="1512"/>
          </w:tcPr>
          <w:p>
            <w:pPr>
              <w:spacing w:after="20"/>
            </w:pPr>
            <w:r>
              <w:rPr>
                <w:color w:val="1C3A36"/>
                <w:sz w:val="17"/>
              </w:rPr>
              <w:t>Country</w:t>
            </w:r>
          </w:p>
        </w:tc>
        <w:tc>
          <w:tcPr>
            <w:tcW w:type="dxa" w:w="8568"/>
          </w:tcPr>
          <w:p>
            <w:pPr>
              <w:spacing w:after="20"/>
            </w:pPr>
            <w:r>
              <w:rPr>
                <w:color w:val="1C3A36"/>
                <w:sz w:val="17"/>
              </w:rPr>
              <w:t>Egyptian macroeconomic and sovereign data: policy rates, government bond yields, sovereign spreads, the exchange rate, the tax regime, the country equity risk premium</w:t>
            </w:r>
          </w:p>
        </w:tc>
      </w:tr>
      <w:tr>
        <w:tc>
          <w:tcPr>
            <w:tcW w:type="dxa" w:w="1512"/>
          </w:tcPr>
          <w:p>
            <w:pPr>
              <w:spacing w:after="20"/>
            </w:pPr>
            <w:r>
              <w:rPr>
                <w:color w:val="1C3A36"/>
                <w:sz w:val="17"/>
              </w:rPr>
              <w:t>Industry</w:t>
            </w:r>
          </w:p>
        </w:tc>
        <w:tc>
          <w:tcPr>
            <w:tcW w:type="dxa" w:w="8568"/>
          </w:tcPr>
          <w:p>
            <w:pPr>
              <w:spacing w:after="20"/>
            </w:pPr>
            <w:r>
              <w:rPr>
                <w:color w:val="1C3A36"/>
                <w:sz w:val="17"/>
              </w:rPr>
              <w:t>The wires and cables sector, engineering and construction, input costs and the competitive frame</w:t>
            </w:r>
          </w:p>
        </w:tc>
      </w:tr>
      <w:tr>
        <w:tc>
          <w:tcPr>
            <w:tcW w:type="dxa" w:w="1512"/>
          </w:tcPr>
          <w:p>
            <w:pPr>
              <w:spacing w:after="20"/>
            </w:pPr>
            <w:r>
              <w:rPr>
                <w:color w:val="1C3A36"/>
                <w:sz w:val="17"/>
              </w:rPr>
              <w:t>Company</w:t>
            </w:r>
          </w:p>
        </w:tc>
        <w:tc>
          <w:tcPr>
            <w:tcW w:type="dxa" w:w="8568"/>
          </w:tcPr>
          <w:p>
            <w:pPr>
              <w:spacing w:after="20"/>
            </w:pPr>
            <w:r>
              <w:rPr>
                <w:color w:val="1C3A36"/>
                <w:sz w:val="17"/>
              </w:rPr>
              <w:t>Elsewedy Electric's own audited and interim financial statements, earnings releases, exchange filings and disclosures</w:t>
            </w:r>
          </w:p>
        </w:tc>
      </w:tr>
      <w:tr>
        <w:tc>
          <w:tcPr>
            <w:tcW w:type="dxa" w:w="1512"/>
          </w:tcPr>
          <w:p>
            <w:pPr>
              <w:spacing w:after="20"/>
            </w:pPr>
            <w:r>
              <w:rPr>
                <w:color w:val="1C3A36"/>
                <w:sz w:val="17"/>
              </w:rPr>
              <w:t>House</w:t>
            </w:r>
          </w:p>
        </w:tc>
        <w:tc>
          <w:tcPr>
            <w:tcW w:type="dxa" w:w="8568"/>
          </w:tcPr>
          <w:p>
            <w:pPr>
              <w:spacing w:after="20"/>
            </w:pPr>
            <w:r>
              <w:rPr>
                <w:color w:val="1C3A36"/>
                <w:sz w:val="17"/>
              </w:rPr>
              <w:t>Analyst judgement — forecast drivers, normalisation choices and cost-of-capital construction. Each is argued in place rather than asserted</w:t>
            </w:r>
          </w:p>
        </w:tc>
      </w:tr>
    </w:tbl>
    <w:p>
      <w:pPr>
        <w:spacing w:after="40"/>
      </w:pPr>
    </w:p>
    <w:p>
      <w:pPr>
        <w:spacing w:after="60" w:before="160"/>
      </w:pPr>
      <w:r>
        <w:rPr>
          <w:b/>
          <w:i w:val="0"/>
          <w:color w:val="1C3A36"/>
          <w:sz w:val="22"/>
        </w:rPr>
        <w:t>Primary documents relied upon</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800"/>
        <w:gridCol w:w="1368"/>
        <w:gridCol w:w="4680"/>
      </w:tblGrid>
      <w:tr>
        <w:tc>
          <w:tcPr>
            <w:tcW w:type="dxa" w:w="2232"/>
            <w:shd w:val="clear" w:color="auto" w:fill="EAF0EE"/>
          </w:tcPr>
          <w:p>
            <w:pPr>
              <w:spacing w:after="20"/>
            </w:pPr>
            <w:r>
              <w:rPr>
                <w:b/>
                <w:color w:val="1C3A36"/>
                <w:sz w:val="16"/>
              </w:rPr>
              <w:t>Document</w:t>
            </w:r>
          </w:p>
        </w:tc>
        <w:tc>
          <w:tcPr>
            <w:tcW w:type="dxa" w:w="1800"/>
            <w:shd w:val="clear" w:color="auto" w:fill="EAF0EE"/>
          </w:tcPr>
          <w:p>
            <w:pPr>
              <w:spacing w:after="20"/>
            </w:pPr>
            <w:r>
              <w:rPr>
                <w:b/>
                <w:color w:val="1C3A36"/>
                <w:sz w:val="16"/>
              </w:rPr>
              <w:t>Publisher</w:t>
            </w:r>
          </w:p>
        </w:tc>
        <w:tc>
          <w:tcPr>
            <w:tcW w:type="dxa" w:w="1368"/>
            <w:shd w:val="clear" w:color="auto" w:fill="EAF0EE"/>
          </w:tcPr>
          <w:p>
            <w:pPr>
              <w:spacing w:after="20"/>
            </w:pPr>
            <w:r>
              <w:rPr>
                <w:b/>
                <w:color w:val="1C3A36"/>
                <w:sz w:val="16"/>
              </w:rPr>
              <w:t>Date</w:t>
            </w:r>
          </w:p>
        </w:tc>
        <w:tc>
          <w:tcPr>
            <w:tcW w:type="dxa" w:w="4680"/>
            <w:shd w:val="clear" w:color="auto" w:fill="EAF0EE"/>
          </w:tcPr>
          <w:p>
            <w:pPr>
              <w:spacing w:after="20"/>
            </w:pPr>
            <w:r>
              <w:rPr>
                <w:b/>
                <w:color w:val="1C3A36"/>
                <w:sz w:val="16"/>
              </w:rPr>
              <w:t>What was taken from it</w:t>
            </w:r>
          </w:p>
        </w:tc>
      </w:tr>
      <w:tr>
        <w:tc>
          <w:tcPr>
            <w:tcW w:type="dxa" w:w="2232"/>
          </w:tcPr>
          <w:p>
            <w:pPr>
              <w:spacing w:after="20"/>
            </w:pPr>
            <w:r>
              <w:rPr>
                <w:color w:val="1C3A36"/>
                <w:sz w:val="16"/>
              </w:rPr>
              <w:t>Consolidated financial statements for the year ended 31 December 2023 (audited, translated from Arabic), KPMG Hazem Hassan, unqualified opinion</w:t>
            </w:r>
          </w:p>
        </w:tc>
        <w:tc>
          <w:tcPr>
            <w:tcW w:type="dxa" w:w="1800"/>
          </w:tcPr>
          <w:p>
            <w:pPr>
              <w:spacing w:after="20"/>
            </w:pPr>
            <w:r>
              <w:rPr>
                <w:color w:val="1C3A36"/>
                <w:sz w:val="16"/>
              </w:rPr>
              <w:t>Elsewedy Electric Company</w:t>
            </w:r>
          </w:p>
        </w:tc>
        <w:tc>
          <w:tcPr>
            <w:tcW w:type="dxa" w:w="1368"/>
          </w:tcPr>
          <w:p>
            <w:pPr>
              <w:spacing w:after="20"/>
            </w:pPr>
            <w:r>
              <w:rPr>
                <w:color w:val="1C3A36"/>
                <w:sz w:val="16"/>
              </w:rPr>
              <w:t>13 March 2024</w:t>
            </w:r>
          </w:p>
        </w:tc>
        <w:tc>
          <w:tcPr>
            <w:tcW w:type="dxa" w:w="4680"/>
          </w:tcPr>
          <w:p>
            <w:pPr>
              <w:spacing w:after="20"/>
            </w:pPr>
            <w:r>
              <w:rPr>
                <w:color w:val="1C3A36"/>
                <w:sz w:val="16"/>
              </w:rPr>
              <w:t>Full consolidated income statement, balance sheet and cash flow statement for FY2023 with FY2022 comparatives; three-segment revenue and profit note; loans and borrowings note with average rates by currency; shareholder structure; exchange-rate disclosure note and the March-2024 devaluation subsequent event</w:t>
            </w:r>
          </w:p>
        </w:tc>
      </w:tr>
      <w:tr>
        <w:tc>
          <w:tcPr>
            <w:tcW w:type="dxa" w:w="2232"/>
          </w:tcPr>
          <w:p>
            <w:pPr>
              <w:spacing w:after="20"/>
            </w:pPr>
            <w:r>
              <w:rPr>
                <w:color w:val="1C3A36"/>
                <w:sz w:val="16"/>
              </w:rPr>
              <w:t>Consolidated financial statements for the year ended 31 December 2024 (audited, translated from Arabic), KPMG Hazem Hassan, unqualified opinion</w:t>
            </w:r>
          </w:p>
        </w:tc>
        <w:tc>
          <w:tcPr>
            <w:tcW w:type="dxa" w:w="1800"/>
          </w:tcPr>
          <w:p>
            <w:pPr>
              <w:spacing w:after="20"/>
            </w:pPr>
            <w:r>
              <w:rPr>
                <w:color w:val="1C3A36"/>
                <w:sz w:val="16"/>
              </w:rPr>
              <w:t>Elsewedy Electric Company</w:t>
            </w:r>
          </w:p>
        </w:tc>
        <w:tc>
          <w:tcPr>
            <w:tcW w:type="dxa" w:w="1368"/>
          </w:tcPr>
          <w:p>
            <w:pPr>
              <w:spacing w:after="20"/>
            </w:pPr>
            <w:r>
              <w:rPr>
                <w:color w:val="1C3A36"/>
                <w:sz w:val="16"/>
              </w:rPr>
              <w:t>13 March 2025</w:t>
            </w:r>
          </w:p>
        </w:tc>
        <w:tc>
          <w:tcPr>
            <w:tcW w:type="dxa" w:w="4680"/>
          </w:tcPr>
          <w:p>
            <w:pPr>
              <w:spacing w:after="20"/>
            </w:pPr>
            <w:r>
              <w:rPr>
                <w:color w:val="1C3A36"/>
                <w:sz w:val="16"/>
              </w:rPr>
              <w:t>Full consolidated income statement, balance sheet and cash flow statement for FY2024 with FY2023 comparatives; three-segment revenue and profit note; loans and borrowings note including the financing-liability reconciliation; interest-rate risk note with average rates by currency; currency risk note; shareholder structure</w:t>
            </w:r>
          </w:p>
        </w:tc>
      </w:tr>
      <w:tr>
        <w:tc>
          <w:tcPr>
            <w:tcW w:type="dxa" w:w="2232"/>
          </w:tcPr>
          <w:p>
            <w:pPr>
              <w:spacing w:after="20"/>
            </w:pPr>
            <w:r>
              <w:rPr>
                <w:color w:val="1C3A36"/>
                <w:sz w:val="16"/>
              </w:rPr>
              <w:t>Consolidated financial statements for the year ended 31 December 2025 (audited, translated from Arabic), KPMG Hazem Hassan, unqualified opinion</w:t>
            </w:r>
          </w:p>
        </w:tc>
        <w:tc>
          <w:tcPr>
            <w:tcW w:type="dxa" w:w="1800"/>
          </w:tcPr>
          <w:p>
            <w:pPr>
              <w:spacing w:after="20"/>
            </w:pPr>
            <w:r>
              <w:rPr>
                <w:color w:val="1C3A36"/>
                <w:sz w:val="16"/>
              </w:rPr>
              <w:t>Elsewedy Electric Company</w:t>
            </w:r>
          </w:p>
        </w:tc>
        <w:tc>
          <w:tcPr>
            <w:tcW w:type="dxa" w:w="1368"/>
          </w:tcPr>
          <w:p>
            <w:pPr>
              <w:spacing w:after="20"/>
            </w:pPr>
            <w:r>
              <w:rPr>
                <w:color w:val="1C3A36"/>
                <w:sz w:val="16"/>
              </w:rPr>
              <w:t>15 March 2026</w:t>
            </w:r>
          </w:p>
        </w:tc>
        <w:tc>
          <w:tcPr>
            <w:tcW w:type="dxa" w:w="4680"/>
          </w:tcPr>
          <w:p>
            <w:pPr>
              <w:spacing w:after="20"/>
            </w:pPr>
            <w:r>
              <w:rPr>
                <w:color w:val="1C3A36"/>
                <w:sz w:val="16"/>
              </w:rPr>
              <w:t>Full consolidated income statement, balance sheet and cash flow statement for FY2025 with FY2024 comparatives; three-segment revenue (Note 5-3) and profit (Note 16) note, each reconciling exactly to consolidated revenue and to operating profit through the corporate cost load; capital-management note (Note 29-1) with the company's own "net debt" definition; loans and borrowings note including the financing-liability reconciliation and average rates by currency; equity-accounted investees note; shareholder structure</w:t>
            </w:r>
          </w:p>
        </w:tc>
      </w:tr>
      <w:tr>
        <w:tc>
          <w:tcPr>
            <w:tcW w:type="dxa" w:w="2232"/>
          </w:tcPr>
          <w:p>
            <w:pPr>
              <w:spacing w:after="20"/>
            </w:pPr>
            <w:r>
              <w:rPr>
                <w:color w:val="1C3A36"/>
                <w:sz w:val="16"/>
              </w:rPr>
              <w:t>Condensed interim consolidated financial statements for the three months ended 31 March 2026 (limited review), KPMG Hazem Hassan</w:t>
            </w:r>
          </w:p>
        </w:tc>
        <w:tc>
          <w:tcPr>
            <w:tcW w:type="dxa" w:w="1800"/>
          </w:tcPr>
          <w:p>
            <w:pPr>
              <w:spacing w:after="20"/>
            </w:pPr>
            <w:r>
              <w:rPr>
                <w:color w:val="1C3A36"/>
                <w:sz w:val="16"/>
              </w:rPr>
              <w:t>Elsewedy Electric Company</w:t>
            </w:r>
          </w:p>
        </w:tc>
        <w:tc>
          <w:tcPr>
            <w:tcW w:type="dxa" w:w="1368"/>
          </w:tcPr>
          <w:p>
            <w:pPr>
              <w:spacing w:after="20"/>
            </w:pPr>
            <w:r>
              <w:rPr>
                <w:color w:val="1C3A36"/>
                <w:sz w:val="16"/>
              </w:rPr>
              <w:t>13 May 2026</w:t>
            </w:r>
          </w:p>
        </w:tc>
        <w:tc>
          <w:tcPr>
            <w:tcW w:type="dxa" w:w="4680"/>
          </w:tcPr>
          <w:p>
            <w:pPr>
              <w:spacing w:after="20"/>
            </w:pPr>
            <w:r>
              <w:rPr>
                <w:color w:val="1C3A36"/>
                <w:sz w:val="16"/>
              </w:rPr>
              <w:t>Q1-2026 income statement with Q1-2025 comparatives; balance sheet at 31 March 2026; three-segment revenue note reconciling exactly to Q1-2026 revenue; loans and borrowings note with average rates by currency; cash-flow statement; confirmation that no FY2025 dividend had been declared, proposed or approved as at the report date</w:t>
            </w:r>
          </w:p>
        </w:tc>
      </w:tr>
      <w:tr>
        <w:tc>
          <w:tcPr>
            <w:tcW w:type="dxa" w:w="2232"/>
          </w:tcPr>
          <w:p>
            <w:pPr>
              <w:spacing w:after="20"/>
            </w:pPr>
            <w:r>
              <w:rPr>
                <w:color w:val="1C3A36"/>
                <w:sz w:val="16"/>
              </w:rPr>
              <w:t>Country risk premium and default spread file</w:t>
            </w:r>
          </w:p>
        </w:tc>
        <w:tc>
          <w:tcPr>
            <w:tcW w:type="dxa" w:w="1800"/>
          </w:tcPr>
          <w:p>
            <w:pPr>
              <w:spacing w:after="20"/>
            </w:pPr>
            <w:r>
              <w:rPr>
                <w:color w:val="1C3A36"/>
                <w:sz w:val="16"/>
              </w:rPr>
              <w:t>Damodaran, NYU Stern</w:t>
            </w:r>
          </w:p>
        </w:tc>
        <w:tc>
          <w:tcPr>
            <w:tcW w:type="dxa" w:w="1368"/>
          </w:tcPr>
          <w:p>
            <w:pPr>
              <w:spacing w:after="20"/>
            </w:pPr>
            <w:r>
              <w:rPr>
                <w:color w:val="1C3A36"/>
                <w:sz w:val="16"/>
              </w:rPr>
              <w:t>5 January 2026</w:t>
            </w:r>
          </w:p>
        </w:tc>
        <w:tc>
          <w:tcPr>
            <w:tcW w:type="dxa" w:w="4680"/>
          </w:tcPr>
          <w:p>
            <w:pPr>
              <w:spacing w:after="20"/>
            </w:pPr>
            <w:r>
              <w:rPr>
                <w:color w:val="1C3A36"/>
                <w:sz w:val="16"/>
              </w:rPr>
              <w:t>Egypt equity risk premium and sovereign default spread, credit-default-swap basis and rating basis</w:t>
            </w:r>
          </w:p>
        </w:tc>
      </w:tr>
      <w:tr>
        <w:tc>
          <w:tcPr>
            <w:tcW w:type="dxa" w:w="2232"/>
          </w:tcPr>
          <w:p>
            <w:pPr>
              <w:spacing w:after="20"/>
            </w:pPr>
            <w:r>
              <w:rPr>
                <w:color w:val="1C3A36"/>
                <w:sz w:val="16"/>
              </w:rPr>
              <w:t>Egypt 10-year local-currency government bond yield</w:t>
            </w:r>
          </w:p>
        </w:tc>
        <w:tc>
          <w:tcPr>
            <w:tcW w:type="dxa" w:w="1800"/>
          </w:tcPr>
          <w:p>
            <w:pPr>
              <w:spacing w:after="20"/>
            </w:pPr>
            <w:r>
              <w:rPr>
                <w:color w:val="1C3A36"/>
                <w:sz w:val="16"/>
              </w:rPr>
              <w:t>Market data, house cost-of-capital reference</w:t>
            </w:r>
          </w:p>
        </w:tc>
        <w:tc>
          <w:tcPr>
            <w:tcW w:type="dxa" w:w="1368"/>
          </w:tcPr>
          <w:p>
            <w:pPr>
              <w:spacing w:after="20"/>
            </w:pPr>
            <w:r>
              <w:rPr>
                <w:color w:val="1C3A36"/>
                <w:sz w:val="16"/>
              </w:rPr>
              <w:t>21 July 2026, re-verified 5 August 2026</w:t>
            </w:r>
          </w:p>
        </w:tc>
        <w:tc>
          <w:tcPr>
            <w:tcW w:type="dxa" w:w="4680"/>
          </w:tcPr>
          <w:p>
            <w:pPr>
              <w:spacing w:after="20"/>
            </w:pPr>
            <w:r>
              <w:rPr>
                <w:color w:val="1C3A36"/>
                <w:sz w:val="16"/>
              </w:rPr>
              <w:t>The risk-free rate anchor</w:t>
            </w:r>
          </w:p>
        </w:tc>
      </w:tr>
      <w:tr>
        <w:tc>
          <w:tcPr>
            <w:tcW w:type="dxa" w:w="2232"/>
          </w:tcPr>
          <w:p>
            <w:pPr>
              <w:spacing w:after="20"/>
            </w:pPr>
            <w:r>
              <w:rPr>
                <w:color w:val="1C3A36"/>
                <w:sz w:val="16"/>
              </w:rPr>
              <w:t>Worldwide Tax Summaries — Egypt</w:t>
            </w:r>
          </w:p>
        </w:tc>
        <w:tc>
          <w:tcPr>
            <w:tcW w:type="dxa" w:w="1800"/>
          </w:tcPr>
          <w:p>
            <w:pPr>
              <w:spacing w:after="20"/>
            </w:pPr>
            <w:r>
              <w:rPr>
                <w:color w:val="1C3A36"/>
                <w:sz w:val="16"/>
              </w:rPr>
              <w:t>PwC</w:t>
            </w:r>
          </w:p>
        </w:tc>
        <w:tc>
          <w:tcPr>
            <w:tcW w:type="dxa" w:w="1368"/>
          </w:tcPr>
          <w:p>
            <w:pPr>
              <w:spacing w:after="20"/>
            </w:pPr>
            <w:r>
              <w:rPr>
                <w:color w:val="1C3A36"/>
                <w:sz w:val="16"/>
              </w:rPr>
              <w:t>2026</w:t>
            </w:r>
          </w:p>
        </w:tc>
        <w:tc>
          <w:tcPr>
            <w:tcW w:type="dxa" w:w="4680"/>
          </w:tcPr>
          <w:p>
            <w:pPr>
              <w:spacing w:after="20"/>
            </w:pPr>
            <w:r>
              <w:rPr>
                <w:color w:val="1C3A36"/>
                <w:sz w:val="16"/>
              </w:rPr>
              <w:t>Corporate income tax rate</w:t>
            </w:r>
          </w:p>
        </w:tc>
      </w:tr>
      <w:tr>
        <w:tc>
          <w:tcPr>
            <w:tcW w:type="dxa" w:w="2232"/>
          </w:tcPr>
          <w:p>
            <w:pPr>
              <w:spacing w:after="20"/>
            </w:pPr>
            <w:r>
              <w:rPr>
                <w:color w:val="1C3A36"/>
                <w:sz w:val="16"/>
              </w:rPr>
              <w:t>Daily price history for SWDY on the Egyptian Exchange</w:t>
            </w:r>
          </w:p>
        </w:tc>
        <w:tc>
          <w:tcPr>
            <w:tcW w:type="dxa" w:w="1800"/>
          </w:tcPr>
          <w:p>
            <w:pPr>
              <w:spacing w:after="20"/>
            </w:pPr>
            <w:r>
              <w:rPr>
                <w:color w:val="1C3A36"/>
                <w:sz w:val="16"/>
              </w:rPr>
              <w:t>Supplied price series</w:t>
            </w:r>
          </w:p>
        </w:tc>
        <w:tc>
          <w:tcPr>
            <w:tcW w:type="dxa" w:w="1368"/>
          </w:tcPr>
          <w:p>
            <w:pPr>
              <w:spacing w:after="20"/>
            </w:pPr>
            <w:r>
              <w:rPr>
                <w:color w:val="1C3A36"/>
                <w:sz w:val="16"/>
              </w:rPr>
              <w:t>to 5 August 2026</w:t>
            </w:r>
          </w:p>
        </w:tc>
        <w:tc>
          <w:tcPr>
            <w:tcW w:type="dxa" w:w="4680"/>
          </w:tcPr>
          <w:p>
            <w:pPr>
              <w:spacing w:after="20"/>
            </w:pPr>
            <w:r>
              <w:rPr>
                <w:color w:val="1C3A36"/>
                <w:sz w:val="16"/>
              </w:rPr>
              <w:t>The anchor price, the volatility estimate, the moving-average structure, the beta regression and the price distributions</w:t>
            </w:r>
          </w:p>
        </w:tc>
      </w:tr>
      <w:tr>
        <w:tc>
          <w:tcPr>
            <w:tcW w:type="dxa" w:w="2232"/>
          </w:tcPr>
          <w:p>
            <w:pPr>
              <w:spacing w:after="20"/>
            </w:pPr>
            <w:r>
              <w:rPr>
                <w:color w:val="1C3A36"/>
                <w:sz w:val="16"/>
              </w:rPr>
              <w:t>Daily price history for the covered Egyptian equity library</w:t>
            </w:r>
          </w:p>
        </w:tc>
        <w:tc>
          <w:tcPr>
            <w:tcW w:type="dxa" w:w="1800"/>
          </w:tcPr>
          <w:p>
            <w:pPr>
              <w:spacing w:after="20"/>
            </w:pPr>
            <w:r>
              <w:rPr>
                <w:color w:val="1C3A36"/>
                <w:sz w:val="16"/>
              </w:rPr>
              <w:t>House data library</w:t>
            </w:r>
          </w:p>
        </w:tc>
        <w:tc>
          <w:tcPr>
            <w:tcW w:type="dxa" w:w="1368"/>
          </w:tcPr>
          <w:p>
            <w:pPr>
              <w:spacing w:after="20"/>
            </w:pPr>
            <w:r>
              <w:rPr>
                <w:color w:val="1C3A36"/>
                <w:sz w:val="16"/>
              </w:rPr>
              <w:t>to August 2026</w:t>
            </w:r>
          </w:p>
        </w:tc>
        <w:tc>
          <w:tcPr>
            <w:tcW w:type="dxa" w:w="4680"/>
          </w:tcPr>
          <w:p>
            <w:pPr>
              <w:spacing w:after="20"/>
            </w:pPr>
            <w:r>
              <w:rPr>
                <w:color w:val="1C3A36"/>
                <w:sz w:val="16"/>
              </w:rPr>
              <w:t>The 31-name equal-weight composite used as the market proxy in the beta regression</w:t>
            </w:r>
          </w:p>
        </w:tc>
      </w:tr>
    </w:tbl>
    <w:p>
      <w:pPr>
        <w:spacing w:after="40"/>
      </w:pPr>
    </w:p>
    <w:p>
      <w:pPr>
        <w:spacing w:after="80" w:before="240"/>
      </w:pPr>
      <w:r>
        <w:rPr>
          <w:b/>
          <w:i w:val="0"/>
          <w:color w:val="1C3A36"/>
          <w:sz w:val="26"/>
        </w:rPr>
        <w:t>The full input register</w:t>
      </w:r>
    </w:p>
    <w:p>
      <w:pPr>
        <w:spacing w:after="100" w:before="0"/>
      </w:pPr>
      <w:r>
        <w:rPr>
          <w:b w:val="0"/>
          <w:i w:val="0"/>
          <w:color w:val="6E7B77"/>
          <w:sz w:val="19"/>
        </w:rPr>
        <w:t>Every input to the valuation model, in the order the model declares them. The "Layer" column is the research layer defined above. Values are shown as the model holds them: EGP millions for financial-statement lines, decimals for rates and shares.</w:t>
      </w:r>
    </w:p>
    <w:p>
      <w:pPr>
        <w:spacing w:after="60" w:before="160"/>
      </w:pPr>
      <w:r>
        <w:rPr>
          <w:b/>
          <w:i w:val="0"/>
          <w:color w:val="1C3A36"/>
          <w:sz w:val="22"/>
        </w:rPr>
        <w:t>Market layer — 1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037"/>
        <w:gridCol w:w="6019"/>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6019"/>
            <w:shd w:val="clear" w:color="auto" w:fill="EAF0EE"/>
          </w:tcPr>
          <w:p>
            <w:pPr>
              <w:spacing w:after="20"/>
            </w:pPr>
            <w:r>
              <w:rPr>
                <w:b/>
                <w:color w:val="1C3A36"/>
                <w:sz w:val="15"/>
              </w:rPr>
              <w:t>Source and construction</w:t>
            </w:r>
          </w:p>
        </w:tc>
      </w:tr>
      <w:tr>
        <w:tc>
          <w:tcPr>
            <w:tcW w:type="dxa" w:w="1656"/>
          </w:tcPr>
          <w:p>
            <w:pPr>
              <w:spacing w:after="20"/>
            </w:pPr>
            <w:r>
              <w:rPr>
                <w:color w:val="1C3A36"/>
                <w:sz w:val="15"/>
              </w:rPr>
              <w:t>spot</w:t>
            </w:r>
          </w:p>
        </w:tc>
        <w:tc>
          <w:tcPr>
            <w:tcW w:type="dxa" w:w="1368"/>
          </w:tcPr>
          <w:p>
            <w:pPr>
              <w:spacing w:after="20"/>
            </w:pPr>
            <w:r>
              <w:rPr>
                <w:color w:val="1C3A36"/>
                <w:sz w:val="15"/>
              </w:rPr>
              <w:t>105.2</w:t>
            </w:r>
          </w:p>
        </w:tc>
        <w:tc>
          <w:tcPr>
            <w:tcW w:type="dxa" w:w="1037"/>
          </w:tcPr>
          <w:p>
            <w:pPr>
              <w:spacing w:after="20"/>
            </w:pPr>
            <w:r>
              <w:rPr>
                <w:color w:val="1C3A36"/>
                <w:sz w:val="15"/>
              </w:rPr>
              <w:t>2026-08-05</w:t>
            </w:r>
          </w:p>
        </w:tc>
        <w:tc>
          <w:tcPr>
            <w:tcW w:type="dxa" w:w="6019"/>
          </w:tcPr>
          <w:p>
            <w:pPr>
              <w:spacing w:after="20"/>
            </w:pPr>
            <w:r>
              <w:rPr>
                <w:color w:val="1C3A36"/>
                <w:sz w:val="15"/>
              </w:rPr>
              <w:t>Uploaded EGX daily price history, last close</w:t>
            </w:r>
          </w:p>
        </w:tc>
      </w:tr>
    </w:tbl>
    <w:p>
      <w:pPr>
        <w:spacing w:after="40"/>
      </w:pPr>
    </w:p>
    <w:p>
      <w:pPr>
        <w:spacing w:after="60" w:before="160"/>
      </w:pPr>
      <w:r>
        <w:rPr>
          <w:b/>
          <w:i w:val="0"/>
          <w:color w:val="1C3A36"/>
          <w:sz w:val="22"/>
        </w:rPr>
        <w:t>Company layer — 102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037"/>
        <w:gridCol w:w="6019"/>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6019"/>
            <w:shd w:val="clear" w:color="auto" w:fill="EAF0EE"/>
          </w:tcPr>
          <w:p>
            <w:pPr>
              <w:spacing w:after="20"/>
            </w:pPr>
            <w:r>
              <w:rPr>
                <w:b/>
                <w:color w:val="1C3A36"/>
                <w:sz w:val="15"/>
              </w:rPr>
              <w:t>Source and construction</w:t>
            </w:r>
          </w:p>
        </w:tc>
      </w:tr>
      <w:tr>
        <w:tc>
          <w:tcPr>
            <w:tcW w:type="dxa" w:w="1656"/>
          </w:tcPr>
          <w:p>
            <w:pPr>
              <w:spacing w:after="20"/>
            </w:pPr>
            <w:r>
              <w:rPr>
                <w:color w:val="1C3A36"/>
                <w:sz w:val="15"/>
              </w:rPr>
              <w:t>shares mn</w:t>
            </w:r>
          </w:p>
        </w:tc>
        <w:tc>
          <w:tcPr>
            <w:tcW w:type="dxa" w:w="1368"/>
          </w:tcPr>
          <w:p>
            <w:pPr>
              <w:spacing w:after="20"/>
            </w:pPr>
            <w:r>
              <w:rPr>
                <w:color w:val="1C3A36"/>
                <w:sz w:val="15"/>
              </w:rPr>
              <w:t>2,140.8</w:t>
            </w:r>
          </w:p>
        </w:tc>
        <w:tc>
          <w:tcPr>
            <w:tcW w:type="dxa" w:w="1037"/>
          </w:tcPr>
          <w:p>
            <w:pPr>
              <w:spacing w:after="20"/>
            </w:pPr>
            <w:r>
              <w:rPr>
                <w:color w:val="1C3A36"/>
                <w:sz w:val="15"/>
              </w:rPr>
              <w:t>2026-05-13</w:t>
            </w:r>
          </w:p>
        </w:tc>
        <w:tc>
          <w:tcPr>
            <w:tcW w:type="dxa" w:w="6019"/>
          </w:tcPr>
          <w:p>
            <w:pPr>
              <w:spacing w:after="20"/>
            </w:pPr>
            <w:r>
              <w:rPr>
                <w:color w:val="1C3A36"/>
                <w:sz w:val="15"/>
              </w:rPr>
              <w:t>Issued and paid-up capital note (29), audited FY2025 consolidated financial statements and the Q1-2026 condensed interim statements: 2,140,777,876 shares of EGP 1 par value, unchanged across both filings</w:t>
            </w:r>
          </w:p>
        </w:tc>
      </w:tr>
      <w:tr>
        <w:tc>
          <w:tcPr>
            <w:tcW w:type="dxa" w:w="1656"/>
          </w:tcPr>
          <w:p>
            <w:pPr>
              <w:spacing w:after="20"/>
            </w:pPr>
            <w:r>
              <w:rPr>
                <w:color w:val="1C3A36"/>
                <w:sz w:val="15"/>
              </w:rPr>
              <w:t>rev fy23</w:t>
            </w:r>
          </w:p>
        </w:tc>
        <w:tc>
          <w:tcPr>
            <w:tcW w:type="dxa" w:w="1368"/>
          </w:tcPr>
          <w:p>
            <w:pPr>
              <w:spacing w:after="20"/>
            </w:pPr>
            <w:r>
              <w:rPr>
                <w:color w:val="1C3A36"/>
                <w:sz w:val="15"/>
              </w:rPr>
              <w:t>152,186.2</w:t>
            </w:r>
          </w:p>
        </w:tc>
        <w:tc>
          <w:tcPr>
            <w:tcW w:type="dxa" w:w="1037"/>
          </w:tcPr>
          <w:p>
            <w:pPr>
              <w:spacing w:after="20"/>
            </w:pPr>
            <w:r>
              <w:rPr>
                <w:color w:val="1C3A36"/>
                <w:sz w:val="15"/>
              </w:rPr>
              <w:t>2024-03-13</w:t>
            </w:r>
          </w:p>
        </w:tc>
        <w:tc>
          <w:tcPr>
            <w:tcW w:type="dxa" w:w="6019"/>
          </w:tcPr>
          <w:p>
            <w:pPr>
              <w:spacing w:after="20"/>
            </w:pPr>
            <w:r>
              <w:rPr>
                <w:color w:val="1C3A36"/>
                <w:sz w:val="15"/>
              </w:rPr>
              <w:t>Consolidated statement of profit or loss, FY2023 audited financial statements (confirmed by the FY2024 filing's comparative column)</w:t>
            </w:r>
          </w:p>
        </w:tc>
      </w:tr>
      <w:tr>
        <w:tc>
          <w:tcPr>
            <w:tcW w:type="dxa" w:w="1656"/>
          </w:tcPr>
          <w:p>
            <w:pPr>
              <w:spacing w:after="20"/>
            </w:pPr>
            <w:r>
              <w:rPr>
                <w:color w:val="1C3A36"/>
                <w:sz w:val="15"/>
              </w:rPr>
              <w:t>rev fy24</w:t>
            </w:r>
          </w:p>
        </w:tc>
        <w:tc>
          <w:tcPr>
            <w:tcW w:type="dxa" w:w="1368"/>
          </w:tcPr>
          <w:p>
            <w:pPr>
              <w:spacing w:after="20"/>
            </w:pPr>
            <w:r>
              <w:rPr>
                <w:color w:val="1C3A36"/>
                <w:sz w:val="15"/>
              </w:rPr>
              <w:t>231,981.8</w:t>
            </w:r>
          </w:p>
        </w:tc>
        <w:tc>
          <w:tcPr>
            <w:tcW w:type="dxa" w:w="1037"/>
          </w:tcPr>
          <w:p>
            <w:pPr>
              <w:spacing w:after="20"/>
            </w:pPr>
            <w:r>
              <w:rPr>
                <w:color w:val="1C3A36"/>
                <w:sz w:val="15"/>
              </w:rPr>
              <w:t>2025-03-13</w:t>
            </w:r>
          </w:p>
        </w:tc>
        <w:tc>
          <w:tcPr>
            <w:tcW w:type="dxa" w:w="6019"/>
          </w:tcPr>
          <w:p>
            <w:pPr>
              <w:spacing w:after="20"/>
            </w:pPr>
            <w:r>
              <w:rPr>
                <w:color w:val="1C3A36"/>
                <w:sz w:val="15"/>
              </w:rPr>
              <w:t>Consolidated statement of profit or loss, FY2024 audited financial statements (confirmed by the FY2025 filing's comparative column)</w:t>
            </w:r>
          </w:p>
        </w:tc>
      </w:tr>
      <w:tr>
        <w:tc>
          <w:tcPr>
            <w:tcW w:type="dxa" w:w="1656"/>
          </w:tcPr>
          <w:p>
            <w:pPr>
              <w:spacing w:after="20"/>
            </w:pPr>
            <w:r>
              <w:rPr>
                <w:color w:val="1C3A36"/>
                <w:sz w:val="15"/>
              </w:rPr>
              <w:t>rev fy25</w:t>
            </w:r>
          </w:p>
        </w:tc>
        <w:tc>
          <w:tcPr>
            <w:tcW w:type="dxa" w:w="1368"/>
          </w:tcPr>
          <w:p>
            <w:pPr>
              <w:spacing w:after="20"/>
            </w:pPr>
            <w:r>
              <w:rPr>
                <w:color w:val="1C3A36"/>
                <w:sz w:val="15"/>
              </w:rPr>
              <w:t>281,049.1</w:t>
            </w:r>
          </w:p>
        </w:tc>
        <w:tc>
          <w:tcPr>
            <w:tcW w:type="dxa" w:w="1037"/>
          </w:tcPr>
          <w:p>
            <w:pPr>
              <w:spacing w:after="20"/>
            </w:pPr>
            <w:r>
              <w:rPr>
                <w:color w:val="1C3A36"/>
                <w:sz w:val="15"/>
              </w:rPr>
              <w:t>2026-03-15</w:t>
            </w:r>
          </w:p>
        </w:tc>
        <w:tc>
          <w:tcPr>
            <w:tcW w:type="dxa" w:w="6019"/>
          </w:tcPr>
          <w:p>
            <w:pPr>
              <w:spacing w:after="20"/>
            </w:pPr>
            <w:r>
              <w:rPr>
                <w:color w:val="1C3A36"/>
                <w:sz w:val="15"/>
              </w:rPr>
              <w:t>Consolidated statement of profit or loss, FY2025 audited financial statements</w:t>
            </w:r>
          </w:p>
        </w:tc>
      </w:tr>
      <w:tr>
        <w:tc>
          <w:tcPr>
            <w:tcW w:type="dxa" w:w="1656"/>
          </w:tcPr>
          <w:p>
            <w:pPr>
              <w:spacing w:after="20"/>
            </w:pPr>
            <w:r>
              <w:rPr>
                <w:color w:val="1C3A36"/>
                <w:sz w:val="15"/>
              </w:rPr>
              <w:t>gp fy23</w:t>
            </w:r>
          </w:p>
        </w:tc>
        <w:tc>
          <w:tcPr>
            <w:tcW w:type="dxa" w:w="1368"/>
          </w:tcPr>
          <w:p>
            <w:pPr>
              <w:spacing w:after="20"/>
            </w:pPr>
            <w:r>
              <w:rPr>
                <w:color w:val="1C3A36"/>
                <w:sz w:val="15"/>
              </w:rPr>
              <w:t>29,077.3</w:t>
            </w:r>
          </w:p>
        </w:tc>
        <w:tc>
          <w:tcPr>
            <w:tcW w:type="dxa" w:w="1037"/>
          </w:tcPr>
          <w:p>
            <w:pPr>
              <w:spacing w:after="20"/>
            </w:pPr>
            <w:r>
              <w:rPr>
                <w:color w:val="1C3A36"/>
                <w:sz w:val="15"/>
              </w:rPr>
              <w:t>2024-03-13</w:t>
            </w:r>
          </w:p>
        </w:tc>
        <w:tc>
          <w:tcPr>
            <w:tcW w:type="dxa" w:w="6019"/>
          </w:tcPr>
          <w:p>
            <w:pPr>
              <w:spacing w:after="20"/>
            </w:pPr>
            <w:r>
              <w:rPr>
                <w:color w:val="1C3A36"/>
                <w:sz w:val="15"/>
              </w:rPr>
              <w:t>Consolidated statement of profit or loss, FY2023 audited financial statements</w:t>
            </w:r>
          </w:p>
        </w:tc>
      </w:tr>
      <w:tr>
        <w:tc>
          <w:tcPr>
            <w:tcW w:type="dxa" w:w="1656"/>
          </w:tcPr>
          <w:p>
            <w:pPr>
              <w:spacing w:after="20"/>
            </w:pPr>
            <w:r>
              <w:rPr>
                <w:color w:val="1C3A36"/>
                <w:sz w:val="15"/>
              </w:rPr>
              <w:t>gp fy24</w:t>
            </w:r>
          </w:p>
        </w:tc>
        <w:tc>
          <w:tcPr>
            <w:tcW w:type="dxa" w:w="1368"/>
          </w:tcPr>
          <w:p>
            <w:pPr>
              <w:spacing w:after="20"/>
            </w:pPr>
            <w:r>
              <w:rPr>
                <w:color w:val="1C3A36"/>
                <w:sz w:val="15"/>
              </w:rPr>
              <w:t>43,898.5</w:t>
            </w:r>
          </w:p>
        </w:tc>
        <w:tc>
          <w:tcPr>
            <w:tcW w:type="dxa" w:w="1037"/>
          </w:tcPr>
          <w:p>
            <w:pPr>
              <w:spacing w:after="20"/>
            </w:pPr>
            <w:r>
              <w:rPr>
                <w:color w:val="1C3A36"/>
                <w:sz w:val="15"/>
              </w:rPr>
              <w:t>2025-03-13</w:t>
            </w:r>
          </w:p>
        </w:tc>
        <w:tc>
          <w:tcPr>
            <w:tcW w:type="dxa" w:w="6019"/>
          </w:tcPr>
          <w:p>
            <w:pPr>
              <w:spacing w:after="20"/>
            </w:pPr>
            <w:r>
              <w:rPr>
                <w:color w:val="1C3A36"/>
                <w:sz w:val="15"/>
              </w:rPr>
              <w:t>Consolidated statement of profit or loss, FY2024 audited financial statements</w:t>
            </w:r>
          </w:p>
        </w:tc>
      </w:tr>
      <w:tr>
        <w:tc>
          <w:tcPr>
            <w:tcW w:type="dxa" w:w="1656"/>
          </w:tcPr>
          <w:p>
            <w:pPr>
              <w:spacing w:after="20"/>
            </w:pPr>
            <w:r>
              <w:rPr>
                <w:color w:val="1C3A36"/>
                <w:sz w:val="15"/>
              </w:rPr>
              <w:t>gp fy25</w:t>
            </w:r>
          </w:p>
        </w:tc>
        <w:tc>
          <w:tcPr>
            <w:tcW w:type="dxa" w:w="1368"/>
          </w:tcPr>
          <w:p>
            <w:pPr>
              <w:spacing w:after="20"/>
            </w:pPr>
            <w:r>
              <w:rPr>
                <w:color w:val="1C3A36"/>
                <w:sz w:val="15"/>
              </w:rPr>
              <w:t>40,762.1</w:t>
            </w:r>
          </w:p>
        </w:tc>
        <w:tc>
          <w:tcPr>
            <w:tcW w:type="dxa" w:w="1037"/>
          </w:tcPr>
          <w:p>
            <w:pPr>
              <w:spacing w:after="20"/>
            </w:pPr>
            <w:r>
              <w:rPr>
                <w:color w:val="1C3A36"/>
                <w:sz w:val="15"/>
              </w:rPr>
              <w:t>2026-03-15</w:t>
            </w:r>
          </w:p>
        </w:tc>
        <w:tc>
          <w:tcPr>
            <w:tcW w:type="dxa" w:w="6019"/>
          </w:tcPr>
          <w:p>
            <w:pPr>
              <w:spacing w:after="20"/>
            </w:pPr>
            <w:r>
              <w:rPr>
                <w:color w:val="1C3A36"/>
                <w:sz w:val="15"/>
              </w:rPr>
              <w:t>Consolidated statement of profit or loss, FY2025 audited financial statements</w:t>
            </w:r>
          </w:p>
        </w:tc>
      </w:tr>
      <w:tr>
        <w:tc>
          <w:tcPr>
            <w:tcW w:type="dxa" w:w="1656"/>
          </w:tcPr>
          <w:p>
            <w:pPr>
              <w:spacing w:after="20"/>
            </w:pPr>
            <w:r>
              <w:rPr>
                <w:color w:val="1C3A36"/>
                <w:sz w:val="15"/>
              </w:rPr>
              <w:t>op fy23</w:t>
            </w:r>
          </w:p>
        </w:tc>
        <w:tc>
          <w:tcPr>
            <w:tcW w:type="dxa" w:w="1368"/>
          </w:tcPr>
          <w:p>
            <w:pPr>
              <w:spacing w:after="20"/>
            </w:pPr>
            <w:r>
              <w:rPr>
                <w:color w:val="1C3A36"/>
                <w:sz w:val="15"/>
              </w:rPr>
              <w:t>17,739.1</w:t>
            </w:r>
          </w:p>
        </w:tc>
        <w:tc>
          <w:tcPr>
            <w:tcW w:type="dxa" w:w="1037"/>
          </w:tcPr>
          <w:p>
            <w:pPr>
              <w:spacing w:after="20"/>
            </w:pPr>
            <w:r>
              <w:rPr>
                <w:color w:val="1C3A36"/>
                <w:sz w:val="15"/>
              </w:rPr>
              <w:t>2024-03-13</w:t>
            </w:r>
          </w:p>
        </w:tc>
        <w:tc>
          <w:tcPr>
            <w:tcW w:type="dxa" w:w="6019"/>
          </w:tcPr>
          <w:p>
            <w:pPr>
              <w:spacing w:after="20"/>
            </w:pPr>
            <w:r>
              <w:rPr>
                <w:color w:val="1C3A36"/>
                <w:sz w:val="15"/>
              </w:rPr>
              <w:t>Operating profit, FY2023 audited financial statements</w:t>
            </w:r>
          </w:p>
        </w:tc>
      </w:tr>
      <w:tr>
        <w:tc>
          <w:tcPr>
            <w:tcW w:type="dxa" w:w="1656"/>
          </w:tcPr>
          <w:p>
            <w:pPr>
              <w:spacing w:after="20"/>
            </w:pPr>
            <w:r>
              <w:rPr>
                <w:color w:val="1C3A36"/>
                <w:sz w:val="15"/>
              </w:rPr>
              <w:t>op fy24</w:t>
            </w:r>
          </w:p>
        </w:tc>
        <w:tc>
          <w:tcPr>
            <w:tcW w:type="dxa" w:w="1368"/>
          </w:tcPr>
          <w:p>
            <w:pPr>
              <w:spacing w:after="20"/>
            </w:pPr>
            <w:r>
              <w:rPr>
                <w:color w:val="1C3A36"/>
                <w:sz w:val="15"/>
              </w:rPr>
              <w:t>29,341.7</w:t>
            </w:r>
          </w:p>
        </w:tc>
        <w:tc>
          <w:tcPr>
            <w:tcW w:type="dxa" w:w="1037"/>
          </w:tcPr>
          <w:p>
            <w:pPr>
              <w:spacing w:after="20"/>
            </w:pPr>
            <w:r>
              <w:rPr>
                <w:color w:val="1C3A36"/>
                <w:sz w:val="15"/>
              </w:rPr>
              <w:t>2025-03-13</w:t>
            </w:r>
          </w:p>
        </w:tc>
        <w:tc>
          <w:tcPr>
            <w:tcW w:type="dxa" w:w="6019"/>
          </w:tcPr>
          <w:p>
            <w:pPr>
              <w:spacing w:after="20"/>
            </w:pPr>
            <w:r>
              <w:rPr>
                <w:color w:val="1C3A36"/>
                <w:sz w:val="15"/>
              </w:rPr>
              <w:t>Operating profit, FY2024 audited financial statements</w:t>
            </w:r>
          </w:p>
        </w:tc>
      </w:tr>
      <w:tr>
        <w:tc>
          <w:tcPr>
            <w:tcW w:type="dxa" w:w="1656"/>
          </w:tcPr>
          <w:p>
            <w:pPr>
              <w:spacing w:after="20"/>
            </w:pPr>
            <w:r>
              <w:rPr>
                <w:color w:val="1C3A36"/>
                <w:sz w:val="15"/>
              </w:rPr>
              <w:t>op fy25</w:t>
            </w:r>
          </w:p>
        </w:tc>
        <w:tc>
          <w:tcPr>
            <w:tcW w:type="dxa" w:w="1368"/>
          </w:tcPr>
          <w:p>
            <w:pPr>
              <w:spacing w:after="20"/>
            </w:pPr>
            <w:r>
              <w:rPr>
                <w:color w:val="1C3A36"/>
                <w:sz w:val="15"/>
              </w:rPr>
              <w:t>25,354.2</w:t>
            </w:r>
          </w:p>
        </w:tc>
        <w:tc>
          <w:tcPr>
            <w:tcW w:type="dxa" w:w="1037"/>
          </w:tcPr>
          <w:p>
            <w:pPr>
              <w:spacing w:after="20"/>
            </w:pPr>
            <w:r>
              <w:rPr>
                <w:color w:val="1C3A36"/>
                <w:sz w:val="15"/>
              </w:rPr>
              <w:t>2026-03-15</w:t>
            </w:r>
          </w:p>
        </w:tc>
        <w:tc>
          <w:tcPr>
            <w:tcW w:type="dxa" w:w="6019"/>
          </w:tcPr>
          <w:p>
            <w:pPr>
              <w:spacing w:after="20"/>
            </w:pPr>
            <w:r>
              <w:rPr>
                <w:color w:val="1C3A36"/>
                <w:sz w:val="15"/>
              </w:rPr>
              <w:t>Operating profit, FY2025 audited financial statements</w:t>
            </w:r>
          </w:p>
        </w:tc>
      </w:tr>
      <w:tr>
        <w:tc>
          <w:tcPr>
            <w:tcW w:type="dxa" w:w="1656"/>
          </w:tcPr>
          <w:p>
            <w:pPr>
              <w:spacing w:after="20"/>
            </w:pPr>
            <w:r>
              <w:rPr>
                <w:color w:val="1C3A36"/>
                <w:sz w:val="15"/>
              </w:rPr>
              <w:t>dna fy23</w:t>
            </w:r>
          </w:p>
        </w:tc>
        <w:tc>
          <w:tcPr>
            <w:tcW w:type="dxa" w:w="1368"/>
          </w:tcPr>
          <w:p>
            <w:pPr>
              <w:spacing w:after="20"/>
            </w:pPr>
            <w:r>
              <w:rPr>
                <w:color w:val="1C3A36"/>
                <w:sz w:val="15"/>
              </w:rPr>
              <w:t>2,296.0</w:t>
            </w:r>
          </w:p>
        </w:tc>
        <w:tc>
          <w:tcPr>
            <w:tcW w:type="dxa" w:w="1037"/>
          </w:tcPr>
          <w:p>
            <w:pPr>
              <w:spacing w:after="20"/>
            </w:pPr>
            <w:r>
              <w:rPr>
                <w:color w:val="1C3A36"/>
                <w:sz w:val="15"/>
              </w:rPr>
              <w:t>2024-03-13</w:t>
            </w:r>
          </w:p>
        </w:tc>
        <w:tc>
          <w:tcPr>
            <w:tcW w:type="dxa" w:w="6019"/>
          </w:tcPr>
          <w:p>
            <w:pPr>
              <w:spacing w:after="20"/>
            </w:pPr>
            <w:r>
              <w:rPr>
                <w:color w:val="1C3A36"/>
                <w:sz w:val="15"/>
              </w:rPr>
              <w:t>Audited FY2023 consolidated statement of cash flows: PP&amp;E depreciation 2,120.789808 + investment property 6.388342 + intangibles amortisation 53.947575 + right-of-use assets 114.861231</w:t>
            </w:r>
          </w:p>
        </w:tc>
      </w:tr>
      <w:tr>
        <w:tc>
          <w:tcPr>
            <w:tcW w:type="dxa" w:w="1656"/>
          </w:tcPr>
          <w:p>
            <w:pPr>
              <w:spacing w:after="20"/>
            </w:pPr>
            <w:r>
              <w:rPr>
                <w:color w:val="1C3A36"/>
                <w:sz w:val="15"/>
              </w:rPr>
              <w:t>dna fy24</w:t>
            </w:r>
          </w:p>
        </w:tc>
        <w:tc>
          <w:tcPr>
            <w:tcW w:type="dxa" w:w="1368"/>
          </w:tcPr>
          <w:p>
            <w:pPr>
              <w:spacing w:after="20"/>
            </w:pPr>
            <w:r>
              <w:rPr>
                <w:color w:val="1C3A36"/>
                <w:sz w:val="15"/>
              </w:rPr>
              <w:t>2,259.7</w:t>
            </w:r>
          </w:p>
        </w:tc>
        <w:tc>
          <w:tcPr>
            <w:tcW w:type="dxa" w:w="1037"/>
          </w:tcPr>
          <w:p>
            <w:pPr>
              <w:spacing w:after="20"/>
            </w:pPr>
            <w:r>
              <w:rPr>
                <w:color w:val="1C3A36"/>
                <w:sz w:val="15"/>
              </w:rPr>
              <w:t>2025-03-13</w:t>
            </w:r>
          </w:p>
        </w:tc>
        <w:tc>
          <w:tcPr>
            <w:tcW w:type="dxa" w:w="6019"/>
          </w:tcPr>
          <w:p>
            <w:pPr>
              <w:spacing w:after="20"/>
            </w:pPr>
            <w:r>
              <w:rPr>
                <w:color w:val="1C3A36"/>
                <w:sz w:val="15"/>
              </w:rPr>
              <w:t>Audited FY2024 consolidated statement of cash flows: PP&amp;E depreciation 2,019.646871 + investment property 1.472753 + intangibles amortisation 80.726323 + right-of-use assets 157.899859</w:t>
            </w:r>
          </w:p>
        </w:tc>
      </w:tr>
      <w:tr>
        <w:tc>
          <w:tcPr>
            <w:tcW w:type="dxa" w:w="1656"/>
          </w:tcPr>
          <w:p>
            <w:pPr>
              <w:spacing w:after="20"/>
            </w:pPr>
            <w:r>
              <w:rPr>
                <w:color w:val="1C3A36"/>
                <w:sz w:val="15"/>
              </w:rPr>
              <w:t>dna fy25</w:t>
            </w:r>
          </w:p>
        </w:tc>
        <w:tc>
          <w:tcPr>
            <w:tcW w:type="dxa" w:w="1368"/>
          </w:tcPr>
          <w:p>
            <w:pPr>
              <w:spacing w:after="20"/>
            </w:pPr>
            <w:r>
              <w:rPr>
                <w:color w:val="1C3A36"/>
                <w:sz w:val="15"/>
              </w:rPr>
              <w:t>3,009.0</w:t>
            </w:r>
          </w:p>
        </w:tc>
        <w:tc>
          <w:tcPr>
            <w:tcW w:type="dxa" w:w="1037"/>
          </w:tcPr>
          <w:p>
            <w:pPr>
              <w:spacing w:after="20"/>
            </w:pPr>
            <w:r>
              <w:rPr>
                <w:color w:val="1C3A36"/>
                <w:sz w:val="15"/>
              </w:rPr>
              <w:t>2026-03-15</w:t>
            </w:r>
          </w:p>
        </w:tc>
        <w:tc>
          <w:tcPr>
            <w:tcW w:type="dxa" w:w="6019"/>
          </w:tcPr>
          <w:p>
            <w:pPr>
              <w:spacing w:after="20"/>
            </w:pPr>
            <w:r>
              <w:rPr>
                <w:color w:val="1C3A36"/>
                <w:sz w:val="15"/>
              </w:rPr>
              <w:t>Audited FY2025 consolidated statement of cash flows: PP&amp;E depreciation 2,733.671862 + investment property 1.687166 + intangibles amortisation 78.072847 + right-of-use assets 195.545752 — the depreciable base stepped up with the FY2025 capex ramp</w:t>
            </w:r>
          </w:p>
        </w:tc>
      </w:tr>
      <w:tr>
        <w:tc>
          <w:tcPr>
            <w:tcW w:type="dxa" w:w="1656"/>
          </w:tcPr>
          <w:p>
            <w:pPr>
              <w:spacing w:after="20"/>
            </w:pPr>
            <w:r>
              <w:rPr>
                <w:color w:val="1C3A36"/>
                <w:sz w:val="15"/>
              </w:rPr>
              <w:t>netfin fy23</w:t>
            </w:r>
          </w:p>
        </w:tc>
        <w:tc>
          <w:tcPr>
            <w:tcW w:type="dxa" w:w="1368"/>
          </w:tcPr>
          <w:p>
            <w:pPr>
              <w:spacing w:after="20"/>
            </w:pPr>
            <w:r>
              <w:rPr>
                <w:color w:val="1C3A36"/>
                <w:sz w:val="15"/>
              </w:rPr>
              <w:t>-2,124.4</w:t>
            </w:r>
          </w:p>
        </w:tc>
        <w:tc>
          <w:tcPr>
            <w:tcW w:type="dxa" w:w="1037"/>
          </w:tcPr>
          <w:p>
            <w:pPr>
              <w:spacing w:after="20"/>
            </w:pPr>
            <w:r>
              <w:rPr>
                <w:color w:val="1C3A36"/>
                <w:sz w:val="15"/>
              </w:rPr>
              <w:t>2024-03-13</w:t>
            </w:r>
          </w:p>
        </w:tc>
        <w:tc>
          <w:tcPr>
            <w:tcW w:type="dxa" w:w="6019"/>
          </w:tcPr>
          <w:p>
            <w:pPr>
              <w:spacing w:after="20"/>
            </w:pPr>
            <w:r>
              <w:rPr>
                <w:color w:val="1C3A36"/>
                <w:sz w:val="15"/>
              </w:rPr>
              <w:t>Net finance costs, FY2023 audited financial statements: finance income 2,818.868796 less finance costs 4,943.231073</w:t>
            </w:r>
          </w:p>
        </w:tc>
      </w:tr>
      <w:tr>
        <w:tc>
          <w:tcPr>
            <w:tcW w:type="dxa" w:w="1656"/>
          </w:tcPr>
          <w:p>
            <w:pPr>
              <w:spacing w:after="20"/>
            </w:pPr>
            <w:r>
              <w:rPr>
                <w:color w:val="1C3A36"/>
                <w:sz w:val="15"/>
              </w:rPr>
              <w:t>netfin fy24</w:t>
            </w:r>
          </w:p>
        </w:tc>
        <w:tc>
          <w:tcPr>
            <w:tcW w:type="dxa" w:w="1368"/>
          </w:tcPr>
          <w:p>
            <w:pPr>
              <w:spacing w:after="20"/>
            </w:pPr>
            <w:r>
              <w:rPr>
                <w:color w:val="1C3A36"/>
                <w:sz w:val="15"/>
              </w:rPr>
              <w:t>-3,515.4</w:t>
            </w:r>
          </w:p>
        </w:tc>
        <w:tc>
          <w:tcPr>
            <w:tcW w:type="dxa" w:w="1037"/>
          </w:tcPr>
          <w:p>
            <w:pPr>
              <w:spacing w:after="20"/>
            </w:pPr>
            <w:r>
              <w:rPr>
                <w:color w:val="1C3A36"/>
                <w:sz w:val="15"/>
              </w:rPr>
              <w:t>2025-03-13</w:t>
            </w:r>
          </w:p>
        </w:tc>
        <w:tc>
          <w:tcPr>
            <w:tcW w:type="dxa" w:w="6019"/>
          </w:tcPr>
          <w:p>
            <w:pPr>
              <w:spacing w:after="20"/>
            </w:pPr>
            <w:r>
              <w:rPr>
                <w:color w:val="1C3A36"/>
                <w:sz w:val="15"/>
              </w:rPr>
              <w:t>Net finance costs, FY2024 audited financial statements: finance income 4,247.625658 less finance costs 7,762.991604</w:t>
            </w:r>
          </w:p>
        </w:tc>
      </w:tr>
      <w:tr>
        <w:tc>
          <w:tcPr>
            <w:tcW w:type="dxa" w:w="1656"/>
          </w:tcPr>
          <w:p>
            <w:pPr>
              <w:spacing w:after="20"/>
            </w:pPr>
            <w:r>
              <w:rPr>
                <w:color w:val="1C3A36"/>
                <w:sz w:val="15"/>
              </w:rPr>
              <w:t>netfin fy25</w:t>
            </w:r>
          </w:p>
        </w:tc>
        <w:tc>
          <w:tcPr>
            <w:tcW w:type="dxa" w:w="1368"/>
          </w:tcPr>
          <w:p>
            <w:pPr>
              <w:spacing w:after="20"/>
            </w:pPr>
            <w:r>
              <w:rPr>
                <w:color w:val="1C3A36"/>
                <w:sz w:val="15"/>
              </w:rPr>
              <w:t>-2,145.4</w:t>
            </w:r>
          </w:p>
        </w:tc>
        <w:tc>
          <w:tcPr>
            <w:tcW w:type="dxa" w:w="1037"/>
          </w:tcPr>
          <w:p>
            <w:pPr>
              <w:spacing w:after="20"/>
            </w:pPr>
            <w:r>
              <w:rPr>
                <w:color w:val="1C3A36"/>
                <w:sz w:val="15"/>
              </w:rPr>
              <w:t>2026-03-15</w:t>
            </w:r>
          </w:p>
        </w:tc>
        <w:tc>
          <w:tcPr>
            <w:tcW w:type="dxa" w:w="6019"/>
          </w:tcPr>
          <w:p>
            <w:pPr>
              <w:spacing w:after="20"/>
            </w:pPr>
            <w:r>
              <w:rPr>
                <w:color w:val="1C3A36"/>
                <w:sz w:val="15"/>
              </w:rPr>
              <w:t>Net finance costs, FY2025 audited financial statements: finance income 3,713.003271 less finance costs 5,858.442026. REPLACES a previous estimate of -3,400 struck when the filing was not reachable — this is the exact audited figure and it is materially smaller (net finance improved even as gross debt grew, because the CBE's easing cycle and a larger cash pile both cut the net charge)</w:t>
            </w:r>
          </w:p>
        </w:tc>
      </w:tr>
      <w:tr>
        <w:tc>
          <w:tcPr>
            <w:tcW w:type="dxa" w:w="1656"/>
          </w:tcPr>
          <w:p>
            <w:pPr>
              <w:spacing w:after="20"/>
            </w:pPr>
            <w:r>
              <w:rPr>
                <w:color w:val="1C3A36"/>
                <w:sz w:val="15"/>
              </w:rPr>
              <w:t>assoc fy23</w:t>
            </w:r>
          </w:p>
        </w:tc>
        <w:tc>
          <w:tcPr>
            <w:tcW w:type="dxa" w:w="1368"/>
          </w:tcPr>
          <w:p>
            <w:pPr>
              <w:spacing w:after="20"/>
            </w:pPr>
            <w:r>
              <w:rPr>
                <w:color w:val="1C3A36"/>
                <w:sz w:val="15"/>
              </w:rPr>
              <w:t>603.6</w:t>
            </w:r>
          </w:p>
        </w:tc>
        <w:tc>
          <w:tcPr>
            <w:tcW w:type="dxa" w:w="1037"/>
          </w:tcPr>
          <w:p>
            <w:pPr>
              <w:spacing w:after="20"/>
            </w:pPr>
            <w:r>
              <w:rPr>
                <w:color w:val="1C3A36"/>
                <w:sz w:val="15"/>
              </w:rPr>
              <w:t>2024-03-13</w:t>
            </w:r>
          </w:p>
        </w:tc>
        <w:tc>
          <w:tcPr>
            <w:tcW w:type="dxa" w:w="6019"/>
          </w:tcPr>
          <w:p>
            <w:pPr>
              <w:spacing w:after="20"/>
            </w:pPr>
            <w:r>
              <w:rPr>
                <w:color w:val="1C3A36"/>
                <w:sz w:val="15"/>
              </w:rPr>
              <w:t>Group's share of profit of equity-accounted investees, FY2023 audited financial statements</w:t>
            </w:r>
          </w:p>
        </w:tc>
      </w:tr>
      <w:tr>
        <w:tc>
          <w:tcPr>
            <w:tcW w:type="dxa" w:w="1656"/>
          </w:tcPr>
          <w:p>
            <w:pPr>
              <w:spacing w:after="20"/>
            </w:pPr>
            <w:r>
              <w:rPr>
                <w:color w:val="1C3A36"/>
                <w:sz w:val="15"/>
              </w:rPr>
              <w:t>assoc fy24</w:t>
            </w:r>
          </w:p>
        </w:tc>
        <w:tc>
          <w:tcPr>
            <w:tcW w:type="dxa" w:w="1368"/>
          </w:tcPr>
          <w:p>
            <w:pPr>
              <w:spacing w:after="20"/>
            </w:pPr>
            <w:r>
              <w:rPr>
                <w:color w:val="1C3A36"/>
                <w:sz w:val="15"/>
              </w:rPr>
              <w:t>1,132.4</w:t>
            </w:r>
          </w:p>
        </w:tc>
        <w:tc>
          <w:tcPr>
            <w:tcW w:type="dxa" w:w="1037"/>
          </w:tcPr>
          <w:p>
            <w:pPr>
              <w:spacing w:after="20"/>
            </w:pPr>
            <w:r>
              <w:rPr>
                <w:color w:val="1C3A36"/>
                <w:sz w:val="15"/>
              </w:rPr>
              <w:t>2025-03-13</w:t>
            </w:r>
          </w:p>
        </w:tc>
        <w:tc>
          <w:tcPr>
            <w:tcW w:type="dxa" w:w="6019"/>
          </w:tcPr>
          <w:p>
            <w:pPr>
              <w:spacing w:after="20"/>
            </w:pPr>
            <w:r>
              <w:rPr>
                <w:color w:val="1C3A36"/>
                <w:sz w:val="15"/>
              </w:rPr>
              <w:t>Group's share of profit of equity-accounted investees, FY2024 audited financial statements</w:t>
            </w:r>
          </w:p>
        </w:tc>
      </w:tr>
      <w:tr>
        <w:tc>
          <w:tcPr>
            <w:tcW w:type="dxa" w:w="1656"/>
          </w:tcPr>
          <w:p>
            <w:pPr>
              <w:spacing w:after="20"/>
            </w:pPr>
            <w:r>
              <w:rPr>
                <w:color w:val="1C3A36"/>
                <w:sz w:val="15"/>
              </w:rPr>
              <w:t>assoc fy25</w:t>
            </w:r>
          </w:p>
        </w:tc>
        <w:tc>
          <w:tcPr>
            <w:tcW w:type="dxa" w:w="1368"/>
          </w:tcPr>
          <w:p>
            <w:pPr>
              <w:spacing w:after="20"/>
            </w:pPr>
            <w:r>
              <w:rPr>
                <w:color w:val="1C3A36"/>
                <w:sz w:val="15"/>
              </w:rPr>
              <w:t>1,568.9</w:t>
            </w:r>
          </w:p>
        </w:tc>
        <w:tc>
          <w:tcPr>
            <w:tcW w:type="dxa" w:w="1037"/>
          </w:tcPr>
          <w:p>
            <w:pPr>
              <w:spacing w:after="20"/>
            </w:pPr>
            <w:r>
              <w:rPr>
                <w:color w:val="1C3A36"/>
                <w:sz w:val="15"/>
              </w:rPr>
              <w:t>2026-03-15</w:t>
            </w:r>
          </w:p>
        </w:tc>
        <w:tc>
          <w:tcPr>
            <w:tcW w:type="dxa" w:w="6019"/>
          </w:tcPr>
          <w:p>
            <w:pPr>
              <w:spacing w:after="20"/>
            </w:pPr>
            <w:r>
              <w:rPr>
                <w:color w:val="1C3A36"/>
                <w:sz w:val="15"/>
              </w:rPr>
              <w:t>Group's share of profit of equity-accounted investees, FY2025 audited financial statements — reconciles exactly to the sum of the per-investee shares in Note 20 (Doha Cables 940.3, Elsewedy Cables-Qatar 259.2, SC Zone Utilities 255.5, SWIEP 73.4, Aloula 96.9, Raneen 15.5, Senyar -71.9). REPLACES a previous 1.15x uplift on the FY2024 figure, no longer needed now the actual number is disclosed</w:t>
            </w:r>
          </w:p>
        </w:tc>
      </w:tr>
      <w:tr>
        <w:tc>
          <w:tcPr>
            <w:tcW w:type="dxa" w:w="1656"/>
          </w:tcPr>
          <w:p>
            <w:pPr>
              <w:spacing w:after="20"/>
            </w:pPr>
            <w:r>
              <w:rPr>
                <w:color w:val="1C3A36"/>
                <w:sz w:val="15"/>
              </w:rPr>
              <w:t>tax fy23</w:t>
            </w:r>
          </w:p>
        </w:tc>
        <w:tc>
          <w:tcPr>
            <w:tcW w:type="dxa" w:w="1368"/>
          </w:tcPr>
          <w:p>
            <w:pPr>
              <w:spacing w:after="20"/>
            </w:pPr>
            <w:r>
              <w:rPr>
                <w:color w:val="1C3A36"/>
                <w:sz w:val="15"/>
              </w:rPr>
              <w:t>-5,080.4</w:t>
            </w:r>
          </w:p>
        </w:tc>
        <w:tc>
          <w:tcPr>
            <w:tcW w:type="dxa" w:w="1037"/>
          </w:tcPr>
          <w:p>
            <w:pPr>
              <w:spacing w:after="20"/>
            </w:pPr>
            <w:r>
              <w:rPr>
                <w:color w:val="1C3A36"/>
                <w:sz w:val="15"/>
              </w:rPr>
              <w:t>2024-03-13</w:t>
            </w:r>
          </w:p>
        </w:tc>
        <w:tc>
          <w:tcPr>
            <w:tcW w:type="dxa" w:w="6019"/>
          </w:tcPr>
          <w:p>
            <w:pPr>
              <w:spacing w:after="20"/>
            </w:pPr>
            <w:r>
              <w:rPr>
                <w:color w:val="1C3A36"/>
                <w:sz w:val="15"/>
              </w:rPr>
              <w:t>Income tax expense, FY2023 audited financial statements</w:t>
            </w:r>
          </w:p>
        </w:tc>
      </w:tr>
      <w:tr>
        <w:tc>
          <w:tcPr>
            <w:tcW w:type="dxa" w:w="1656"/>
          </w:tcPr>
          <w:p>
            <w:pPr>
              <w:spacing w:after="20"/>
            </w:pPr>
            <w:r>
              <w:rPr>
                <w:color w:val="1C3A36"/>
                <w:sz w:val="15"/>
              </w:rPr>
              <w:t>tax fy24</w:t>
            </w:r>
          </w:p>
        </w:tc>
        <w:tc>
          <w:tcPr>
            <w:tcW w:type="dxa" w:w="1368"/>
          </w:tcPr>
          <w:p>
            <w:pPr>
              <w:spacing w:after="20"/>
            </w:pPr>
            <w:r>
              <w:rPr>
                <w:color w:val="1C3A36"/>
                <w:sz w:val="15"/>
              </w:rPr>
              <w:t>-8,121.5</w:t>
            </w:r>
          </w:p>
        </w:tc>
        <w:tc>
          <w:tcPr>
            <w:tcW w:type="dxa" w:w="1037"/>
          </w:tcPr>
          <w:p>
            <w:pPr>
              <w:spacing w:after="20"/>
            </w:pPr>
            <w:r>
              <w:rPr>
                <w:color w:val="1C3A36"/>
                <w:sz w:val="15"/>
              </w:rPr>
              <w:t>2025-03-13</w:t>
            </w:r>
          </w:p>
        </w:tc>
        <w:tc>
          <w:tcPr>
            <w:tcW w:type="dxa" w:w="6019"/>
          </w:tcPr>
          <w:p>
            <w:pPr>
              <w:spacing w:after="20"/>
            </w:pPr>
            <w:r>
              <w:rPr>
                <w:color w:val="1C3A36"/>
                <w:sz w:val="15"/>
              </w:rPr>
              <w:t>Income tax expense, FY2024 audited financial statements</w:t>
            </w:r>
          </w:p>
        </w:tc>
      </w:tr>
      <w:tr>
        <w:tc>
          <w:tcPr>
            <w:tcW w:type="dxa" w:w="1656"/>
          </w:tcPr>
          <w:p>
            <w:pPr>
              <w:spacing w:after="20"/>
            </w:pPr>
            <w:r>
              <w:rPr>
                <w:color w:val="1C3A36"/>
                <w:sz w:val="15"/>
              </w:rPr>
              <w:t>tax fy25</w:t>
            </w:r>
          </w:p>
        </w:tc>
        <w:tc>
          <w:tcPr>
            <w:tcW w:type="dxa" w:w="1368"/>
          </w:tcPr>
          <w:p>
            <w:pPr>
              <w:spacing w:after="20"/>
            </w:pPr>
            <w:r>
              <w:rPr>
                <w:color w:val="1C3A36"/>
                <w:sz w:val="15"/>
              </w:rPr>
              <w:t>-5,591.1</w:t>
            </w:r>
          </w:p>
        </w:tc>
        <w:tc>
          <w:tcPr>
            <w:tcW w:type="dxa" w:w="1037"/>
          </w:tcPr>
          <w:p>
            <w:pPr>
              <w:spacing w:after="20"/>
            </w:pPr>
            <w:r>
              <w:rPr>
                <w:color w:val="1C3A36"/>
                <w:sz w:val="15"/>
              </w:rPr>
              <w:t>2026-03-15</w:t>
            </w:r>
          </w:p>
        </w:tc>
        <w:tc>
          <w:tcPr>
            <w:tcW w:type="dxa" w:w="6019"/>
          </w:tcPr>
          <w:p>
            <w:pPr>
              <w:spacing w:after="20"/>
            </w:pPr>
            <w:r>
              <w:rPr>
                <w:color w:val="1C3A36"/>
                <w:sz w:val="15"/>
              </w:rPr>
              <w:t>Income tax expense, FY2025 audited financial statements: current tax 6,312.161650 less deferred tax credit 721.021868. Effective rate 22.57% against 24,777.689839 pre-tax profit — REPLACES a previous house assumption of 25.9%</w:t>
            </w:r>
          </w:p>
        </w:tc>
      </w:tr>
      <w:tr>
        <w:tc>
          <w:tcPr>
            <w:tcW w:type="dxa" w:w="1656"/>
          </w:tcPr>
          <w:p>
            <w:pPr>
              <w:spacing w:after="20"/>
            </w:pPr>
            <w:r>
              <w:rPr>
                <w:color w:val="1C3A36"/>
                <w:sz w:val="15"/>
              </w:rPr>
              <w:t>pat fy23</w:t>
            </w:r>
          </w:p>
        </w:tc>
        <w:tc>
          <w:tcPr>
            <w:tcW w:type="dxa" w:w="1368"/>
          </w:tcPr>
          <w:p>
            <w:pPr>
              <w:spacing w:after="20"/>
            </w:pPr>
            <w:r>
              <w:rPr>
                <w:color w:val="1C3A36"/>
                <w:sz w:val="15"/>
              </w:rPr>
              <w:t>11,138.0</w:t>
            </w:r>
          </w:p>
        </w:tc>
        <w:tc>
          <w:tcPr>
            <w:tcW w:type="dxa" w:w="1037"/>
          </w:tcPr>
          <w:p>
            <w:pPr>
              <w:spacing w:after="20"/>
            </w:pPr>
            <w:r>
              <w:rPr>
                <w:color w:val="1C3A36"/>
                <w:sz w:val="15"/>
              </w:rPr>
              <w:t>2024-03-13</w:t>
            </w:r>
          </w:p>
        </w:tc>
        <w:tc>
          <w:tcPr>
            <w:tcW w:type="dxa" w:w="6019"/>
          </w:tcPr>
          <w:p>
            <w:pPr>
              <w:spacing w:after="20"/>
            </w:pPr>
            <w:r>
              <w:rPr>
                <w:color w:val="1C3A36"/>
                <w:sz w:val="15"/>
              </w:rPr>
              <w:t>Profit for the year, FY2023 audited financial statements</w:t>
            </w:r>
          </w:p>
        </w:tc>
      </w:tr>
      <w:tr>
        <w:tc>
          <w:tcPr>
            <w:tcW w:type="dxa" w:w="1656"/>
          </w:tcPr>
          <w:p>
            <w:pPr>
              <w:spacing w:after="20"/>
            </w:pPr>
            <w:r>
              <w:rPr>
                <w:color w:val="1C3A36"/>
                <w:sz w:val="15"/>
              </w:rPr>
              <w:t>pat fy24</w:t>
            </w:r>
          </w:p>
        </w:tc>
        <w:tc>
          <w:tcPr>
            <w:tcW w:type="dxa" w:w="1368"/>
          </w:tcPr>
          <w:p>
            <w:pPr>
              <w:spacing w:after="20"/>
            </w:pPr>
            <w:r>
              <w:rPr>
                <w:color w:val="1C3A36"/>
                <w:sz w:val="15"/>
              </w:rPr>
              <w:t>18,837.2</w:t>
            </w:r>
          </w:p>
        </w:tc>
        <w:tc>
          <w:tcPr>
            <w:tcW w:type="dxa" w:w="1037"/>
          </w:tcPr>
          <w:p>
            <w:pPr>
              <w:spacing w:after="20"/>
            </w:pPr>
            <w:r>
              <w:rPr>
                <w:color w:val="1C3A36"/>
                <w:sz w:val="15"/>
              </w:rPr>
              <w:t>2025-03-13</w:t>
            </w:r>
          </w:p>
        </w:tc>
        <w:tc>
          <w:tcPr>
            <w:tcW w:type="dxa" w:w="6019"/>
          </w:tcPr>
          <w:p>
            <w:pPr>
              <w:spacing w:after="20"/>
            </w:pPr>
            <w:r>
              <w:rPr>
                <w:color w:val="1C3A36"/>
                <w:sz w:val="15"/>
              </w:rPr>
              <w:t>Profit for the year, FY2024 audited financial statements</w:t>
            </w:r>
          </w:p>
        </w:tc>
      </w:tr>
      <w:tr>
        <w:tc>
          <w:tcPr>
            <w:tcW w:type="dxa" w:w="1656"/>
          </w:tcPr>
          <w:p>
            <w:pPr>
              <w:spacing w:after="20"/>
            </w:pPr>
            <w:r>
              <w:rPr>
                <w:color w:val="1C3A36"/>
                <w:sz w:val="15"/>
              </w:rPr>
              <w:t>pat fy25</w:t>
            </w:r>
          </w:p>
        </w:tc>
        <w:tc>
          <w:tcPr>
            <w:tcW w:type="dxa" w:w="1368"/>
          </w:tcPr>
          <w:p>
            <w:pPr>
              <w:spacing w:after="20"/>
            </w:pPr>
            <w:r>
              <w:rPr>
                <w:color w:val="1C3A36"/>
                <w:sz w:val="15"/>
              </w:rPr>
              <w:t>19,186.6</w:t>
            </w:r>
          </w:p>
        </w:tc>
        <w:tc>
          <w:tcPr>
            <w:tcW w:type="dxa" w:w="1037"/>
          </w:tcPr>
          <w:p>
            <w:pPr>
              <w:spacing w:after="20"/>
            </w:pPr>
            <w:r>
              <w:rPr>
                <w:color w:val="1C3A36"/>
                <w:sz w:val="15"/>
              </w:rPr>
              <w:t>2026-03-15</w:t>
            </w:r>
          </w:p>
        </w:tc>
        <w:tc>
          <w:tcPr>
            <w:tcW w:type="dxa" w:w="6019"/>
          </w:tcPr>
          <w:p>
            <w:pPr>
              <w:spacing w:after="20"/>
            </w:pPr>
            <w:r>
              <w:rPr>
                <w:color w:val="1C3A36"/>
                <w:sz w:val="15"/>
              </w:rPr>
              <w:t>Profit for the year, FY2025 audited financial statements</w:t>
            </w:r>
          </w:p>
        </w:tc>
      </w:tr>
      <w:tr>
        <w:tc>
          <w:tcPr>
            <w:tcW w:type="dxa" w:w="1656"/>
          </w:tcPr>
          <w:p>
            <w:pPr>
              <w:spacing w:after="20"/>
            </w:pPr>
            <w:r>
              <w:rPr>
                <w:color w:val="1C3A36"/>
                <w:sz w:val="15"/>
              </w:rPr>
              <w:t>npa fy23</w:t>
            </w:r>
          </w:p>
        </w:tc>
        <w:tc>
          <w:tcPr>
            <w:tcW w:type="dxa" w:w="1368"/>
          </w:tcPr>
          <w:p>
            <w:pPr>
              <w:spacing w:after="20"/>
            </w:pPr>
            <w:r>
              <w:rPr>
                <w:color w:val="1C3A36"/>
                <w:sz w:val="15"/>
              </w:rPr>
              <w:t>10,115.7</w:t>
            </w:r>
          </w:p>
        </w:tc>
        <w:tc>
          <w:tcPr>
            <w:tcW w:type="dxa" w:w="1037"/>
          </w:tcPr>
          <w:p>
            <w:pPr>
              <w:spacing w:after="20"/>
            </w:pPr>
            <w:r>
              <w:rPr>
                <w:color w:val="1C3A36"/>
                <w:sz w:val="15"/>
              </w:rPr>
              <w:t>2024-03-13</w:t>
            </w:r>
          </w:p>
        </w:tc>
        <w:tc>
          <w:tcPr>
            <w:tcW w:type="dxa" w:w="6019"/>
          </w:tcPr>
          <w:p>
            <w:pPr>
              <w:spacing w:after="20"/>
            </w:pPr>
            <w:r>
              <w:rPr>
                <w:color w:val="1C3A36"/>
                <w:sz w:val="15"/>
              </w:rPr>
              <w:t>Profit attributable to owners of the parent, FY2023 audited financial statements. Basic EPS 4.26, diluted 4.25</w:t>
            </w:r>
          </w:p>
        </w:tc>
      </w:tr>
      <w:tr>
        <w:tc>
          <w:tcPr>
            <w:tcW w:type="dxa" w:w="1656"/>
          </w:tcPr>
          <w:p>
            <w:pPr>
              <w:spacing w:after="20"/>
            </w:pPr>
            <w:r>
              <w:rPr>
                <w:color w:val="1C3A36"/>
                <w:sz w:val="15"/>
              </w:rPr>
              <w:t>npa fy24</w:t>
            </w:r>
          </w:p>
        </w:tc>
        <w:tc>
          <w:tcPr>
            <w:tcW w:type="dxa" w:w="1368"/>
          </w:tcPr>
          <w:p>
            <w:pPr>
              <w:spacing w:after="20"/>
            </w:pPr>
            <w:r>
              <w:rPr>
                <w:color w:val="1C3A36"/>
                <w:sz w:val="15"/>
              </w:rPr>
              <w:t>17,461.4</w:t>
            </w:r>
          </w:p>
        </w:tc>
        <w:tc>
          <w:tcPr>
            <w:tcW w:type="dxa" w:w="1037"/>
          </w:tcPr>
          <w:p>
            <w:pPr>
              <w:spacing w:after="20"/>
            </w:pPr>
            <w:r>
              <w:rPr>
                <w:color w:val="1C3A36"/>
                <w:sz w:val="15"/>
              </w:rPr>
              <w:t>2025-03-13</w:t>
            </w:r>
          </w:p>
        </w:tc>
        <w:tc>
          <w:tcPr>
            <w:tcW w:type="dxa" w:w="6019"/>
          </w:tcPr>
          <w:p>
            <w:pPr>
              <w:spacing w:after="20"/>
            </w:pPr>
            <w:r>
              <w:rPr>
                <w:color w:val="1C3A36"/>
                <w:sz w:val="15"/>
              </w:rPr>
              <w:t>Profit attributable to owners of the parent, FY2024 audited financial statements. Basic EPS 7.22, diluted 7.21</w:t>
            </w:r>
          </w:p>
        </w:tc>
      </w:tr>
      <w:tr>
        <w:tc>
          <w:tcPr>
            <w:tcW w:type="dxa" w:w="1656"/>
          </w:tcPr>
          <w:p>
            <w:pPr>
              <w:spacing w:after="20"/>
            </w:pPr>
            <w:r>
              <w:rPr>
                <w:color w:val="1C3A36"/>
                <w:sz w:val="15"/>
              </w:rPr>
              <w:t>npa fy25</w:t>
            </w:r>
          </w:p>
        </w:tc>
        <w:tc>
          <w:tcPr>
            <w:tcW w:type="dxa" w:w="1368"/>
          </w:tcPr>
          <w:p>
            <w:pPr>
              <w:spacing w:after="20"/>
            </w:pPr>
            <w:r>
              <w:rPr>
                <w:color w:val="1C3A36"/>
                <w:sz w:val="15"/>
              </w:rPr>
              <w:t>17,330.2</w:t>
            </w:r>
          </w:p>
        </w:tc>
        <w:tc>
          <w:tcPr>
            <w:tcW w:type="dxa" w:w="1037"/>
          </w:tcPr>
          <w:p>
            <w:pPr>
              <w:spacing w:after="20"/>
            </w:pPr>
            <w:r>
              <w:rPr>
                <w:color w:val="1C3A36"/>
                <w:sz w:val="15"/>
              </w:rPr>
              <w:t>2026-03-15</w:t>
            </w:r>
          </w:p>
        </w:tc>
        <w:tc>
          <w:tcPr>
            <w:tcW w:type="dxa" w:w="6019"/>
          </w:tcPr>
          <w:p>
            <w:pPr>
              <w:spacing w:after="20"/>
            </w:pPr>
            <w:r>
              <w:rPr>
                <w:color w:val="1C3A36"/>
                <w:sz w:val="15"/>
              </w:rPr>
              <w:t>Profit attributable to owners of the parent, FY2025 audited financial statements. Basic and diluted EPS both 7.13 (no dilutive instruments beyond the already-deducted ESOP shares)</w:t>
            </w:r>
          </w:p>
        </w:tc>
      </w:tr>
      <w:tr>
        <w:tc>
          <w:tcPr>
            <w:tcW w:type="dxa" w:w="1656"/>
          </w:tcPr>
          <w:p>
            <w:pPr>
              <w:spacing w:after="20"/>
            </w:pPr>
            <w:r>
              <w:rPr>
                <w:color w:val="1C3A36"/>
                <w:sz w:val="15"/>
              </w:rPr>
              <w:t>ppe fy23</w:t>
            </w:r>
          </w:p>
        </w:tc>
        <w:tc>
          <w:tcPr>
            <w:tcW w:type="dxa" w:w="1368"/>
          </w:tcPr>
          <w:p>
            <w:pPr>
              <w:spacing w:after="20"/>
            </w:pPr>
            <w:r>
              <w:rPr>
                <w:color w:val="1C3A36"/>
                <w:sz w:val="15"/>
              </w:rPr>
              <w:t>18,009.2</w:t>
            </w:r>
          </w:p>
        </w:tc>
        <w:tc>
          <w:tcPr>
            <w:tcW w:type="dxa" w:w="1037"/>
          </w:tcPr>
          <w:p>
            <w:pPr>
              <w:spacing w:after="20"/>
            </w:pPr>
            <w:r>
              <w:rPr>
                <w:color w:val="1C3A36"/>
                <w:sz w:val="15"/>
              </w:rPr>
              <w:t>2024-03-13</w:t>
            </w:r>
          </w:p>
        </w:tc>
        <w:tc>
          <w:tcPr>
            <w:tcW w:type="dxa" w:w="6019"/>
          </w:tcPr>
          <w:p>
            <w:pPr>
              <w:spacing w:after="20"/>
            </w:pPr>
            <w:r>
              <w:rPr>
                <w:color w:val="1C3A36"/>
                <w:sz w:val="15"/>
              </w:rPr>
              <w:t>Consolidated statement of financial position, 31 Dec 2023</w:t>
            </w:r>
          </w:p>
        </w:tc>
      </w:tr>
      <w:tr>
        <w:tc>
          <w:tcPr>
            <w:tcW w:type="dxa" w:w="1656"/>
          </w:tcPr>
          <w:p>
            <w:pPr>
              <w:spacing w:after="20"/>
            </w:pPr>
            <w:r>
              <w:rPr>
                <w:color w:val="1C3A36"/>
                <w:sz w:val="15"/>
              </w:rPr>
              <w:t>ppe fy24</w:t>
            </w:r>
          </w:p>
        </w:tc>
        <w:tc>
          <w:tcPr>
            <w:tcW w:type="dxa" w:w="1368"/>
          </w:tcPr>
          <w:p>
            <w:pPr>
              <w:spacing w:after="20"/>
            </w:pPr>
            <w:r>
              <w:rPr>
                <w:color w:val="1C3A36"/>
                <w:sz w:val="15"/>
              </w:rPr>
              <w:t>27,543.8</w:t>
            </w:r>
          </w:p>
        </w:tc>
        <w:tc>
          <w:tcPr>
            <w:tcW w:type="dxa" w:w="1037"/>
          </w:tcPr>
          <w:p>
            <w:pPr>
              <w:spacing w:after="20"/>
            </w:pPr>
            <w:r>
              <w:rPr>
                <w:color w:val="1C3A36"/>
                <w:sz w:val="15"/>
              </w:rPr>
              <w:t>2025-03-13</w:t>
            </w:r>
          </w:p>
        </w:tc>
        <w:tc>
          <w:tcPr>
            <w:tcW w:type="dxa" w:w="6019"/>
          </w:tcPr>
          <w:p>
            <w:pPr>
              <w:spacing w:after="20"/>
            </w:pPr>
            <w:r>
              <w:rPr>
                <w:color w:val="1C3A36"/>
                <w:sz w:val="15"/>
              </w:rPr>
              <w:t>Consolidated statement of financial position, 31 Dec 2024</w:t>
            </w:r>
          </w:p>
        </w:tc>
      </w:tr>
      <w:tr>
        <w:tc>
          <w:tcPr>
            <w:tcW w:type="dxa" w:w="1656"/>
          </w:tcPr>
          <w:p>
            <w:pPr>
              <w:spacing w:after="20"/>
            </w:pPr>
            <w:r>
              <w:rPr>
                <w:color w:val="1C3A36"/>
                <w:sz w:val="15"/>
              </w:rPr>
              <w:t>ppe fy25</w:t>
            </w:r>
          </w:p>
        </w:tc>
        <w:tc>
          <w:tcPr>
            <w:tcW w:type="dxa" w:w="1368"/>
          </w:tcPr>
          <w:p>
            <w:pPr>
              <w:spacing w:after="20"/>
            </w:pPr>
            <w:r>
              <w:rPr>
                <w:color w:val="1C3A36"/>
                <w:sz w:val="15"/>
              </w:rPr>
              <w:t>35,961.1</w:t>
            </w:r>
          </w:p>
        </w:tc>
        <w:tc>
          <w:tcPr>
            <w:tcW w:type="dxa" w:w="1037"/>
          </w:tcPr>
          <w:p>
            <w:pPr>
              <w:spacing w:after="20"/>
            </w:pPr>
            <w:r>
              <w:rPr>
                <w:color w:val="1C3A36"/>
                <w:sz w:val="15"/>
              </w:rPr>
              <w:t>2026-03-15</w:t>
            </w:r>
          </w:p>
        </w:tc>
        <w:tc>
          <w:tcPr>
            <w:tcW w:type="dxa" w:w="6019"/>
          </w:tcPr>
          <w:p>
            <w:pPr>
              <w:spacing w:after="20"/>
            </w:pPr>
            <w:r>
              <w:rPr>
                <w:color w:val="1C3A36"/>
                <w:sz w:val="15"/>
              </w:rPr>
              <w:t>Consolidated statement of financial position, 31 Dec 2025</w:t>
            </w:r>
          </w:p>
        </w:tc>
      </w:tr>
      <w:tr>
        <w:tc>
          <w:tcPr>
            <w:tcW w:type="dxa" w:w="1656"/>
          </w:tcPr>
          <w:p>
            <w:pPr>
              <w:spacing w:after="20"/>
            </w:pPr>
            <w:r>
              <w:rPr>
                <w:color w:val="1C3A36"/>
                <w:sz w:val="15"/>
              </w:rPr>
              <w:t>inv fy23</w:t>
            </w:r>
          </w:p>
        </w:tc>
        <w:tc>
          <w:tcPr>
            <w:tcW w:type="dxa" w:w="1368"/>
          </w:tcPr>
          <w:p>
            <w:pPr>
              <w:spacing w:after="20"/>
            </w:pPr>
            <w:r>
              <w:rPr>
                <w:color w:val="1C3A36"/>
                <w:sz w:val="15"/>
              </w:rPr>
              <w:t>30,881.8</w:t>
            </w:r>
          </w:p>
        </w:tc>
        <w:tc>
          <w:tcPr>
            <w:tcW w:type="dxa" w:w="1037"/>
          </w:tcPr>
          <w:p>
            <w:pPr>
              <w:spacing w:after="20"/>
            </w:pPr>
            <w:r>
              <w:rPr>
                <w:color w:val="1C3A36"/>
                <w:sz w:val="15"/>
              </w:rPr>
              <w:t>2024-03-13</w:t>
            </w:r>
          </w:p>
        </w:tc>
        <w:tc>
          <w:tcPr>
            <w:tcW w:type="dxa" w:w="6019"/>
          </w:tcPr>
          <w:p>
            <w:pPr>
              <w:spacing w:after="20"/>
            </w:pPr>
            <w:r>
              <w:rPr>
                <w:color w:val="1C3A36"/>
                <w:sz w:val="15"/>
              </w:rPr>
              <w:t>Inventories, 31 Dec 2023 (net of write-down)</w:t>
            </w:r>
          </w:p>
        </w:tc>
      </w:tr>
      <w:tr>
        <w:tc>
          <w:tcPr>
            <w:tcW w:type="dxa" w:w="1656"/>
          </w:tcPr>
          <w:p>
            <w:pPr>
              <w:spacing w:after="20"/>
            </w:pPr>
            <w:r>
              <w:rPr>
                <w:color w:val="1C3A36"/>
                <w:sz w:val="15"/>
              </w:rPr>
              <w:t>inv fy24</w:t>
            </w:r>
          </w:p>
        </w:tc>
        <w:tc>
          <w:tcPr>
            <w:tcW w:type="dxa" w:w="1368"/>
          </w:tcPr>
          <w:p>
            <w:pPr>
              <w:spacing w:after="20"/>
            </w:pPr>
            <w:r>
              <w:rPr>
                <w:color w:val="1C3A36"/>
                <w:sz w:val="15"/>
              </w:rPr>
              <w:t>56,795.9</w:t>
            </w:r>
          </w:p>
        </w:tc>
        <w:tc>
          <w:tcPr>
            <w:tcW w:type="dxa" w:w="1037"/>
          </w:tcPr>
          <w:p>
            <w:pPr>
              <w:spacing w:after="20"/>
            </w:pPr>
            <w:r>
              <w:rPr>
                <w:color w:val="1C3A36"/>
                <w:sz w:val="15"/>
              </w:rPr>
              <w:t>2025-03-13</w:t>
            </w:r>
          </w:p>
        </w:tc>
        <w:tc>
          <w:tcPr>
            <w:tcW w:type="dxa" w:w="6019"/>
          </w:tcPr>
          <w:p>
            <w:pPr>
              <w:spacing w:after="20"/>
            </w:pPr>
            <w:r>
              <w:rPr>
                <w:color w:val="1C3A36"/>
                <w:sz w:val="15"/>
              </w:rPr>
              <w:t>Inventories, 31 Dec 2024 (net of write-down)</w:t>
            </w:r>
          </w:p>
        </w:tc>
      </w:tr>
      <w:tr>
        <w:tc>
          <w:tcPr>
            <w:tcW w:type="dxa" w:w="1656"/>
          </w:tcPr>
          <w:p>
            <w:pPr>
              <w:spacing w:after="20"/>
            </w:pPr>
            <w:r>
              <w:rPr>
                <w:color w:val="1C3A36"/>
                <w:sz w:val="15"/>
              </w:rPr>
              <w:t>inv fy25</w:t>
            </w:r>
          </w:p>
        </w:tc>
        <w:tc>
          <w:tcPr>
            <w:tcW w:type="dxa" w:w="1368"/>
          </w:tcPr>
          <w:p>
            <w:pPr>
              <w:spacing w:after="20"/>
            </w:pPr>
            <w:r>
              <w:rPr>
                <w:color w:val="1C3A36"/>
                <w:sz w:val="15"/>
              </w:rPr>
              <w:t>59,860.0</w:t>
            </w:r>
          </w:p>
        </w:tc>
        <w:tc>
          <w:tcPr>
            <w:tcW w:type="dxa" w:w="1037"/>
          </w:tcPr>
          <w:p>
            <w:pPr>
              <w:spacing w:after="20"/>
            </w:pPr>
            <w:r>
              <w:rPr>
                <w:color w:val="1C3A36"/>
                <w:sz w:val="15"/>
              </w:rPr>
              <w:t>2026-03-15</w:t>
            </w:r>
          </w:p>
        </w:tc>
        <w:tc>
          <w:tcPr>
            <w:tcW w:type="dxa" w:w="6019"/>
          </w:tcPr>
          <w:p>
            <w:pPr>
              <w:spacing w:after="20"/>
            </w:pPr>
            <w:r>
              <w:rPr>
                <w:color w:val="1C3A36"/>
                <w:sz w:val="15"/>
              </w:rPr>
              <w:t>Inventories, 31 Dec 2025 (net of write-down)</w:t>
            </w:r>
          </w:p>
        </w:tc>
      </w:tr>
      <w:tr>
        <w:tc>
          <w:tcPr>
            <w:tcW w:type="dxa" w:w="1656"/>
          </w:tcPr>
          <w:p>
            <w:pPr>
              <w:spacing w:after="20"/>
            </w:pPr>
            <w:r>
              <w:rPr>
                <w:color w:val="1C3A36"/>
                <w:sz w:val="15"/>
              </w:rPr>
              <w:t>ca fy23</w:t>
            </w:r>
          </w:p>
        </w:tc>
        <w:tc>
          <w:tcPr>
            <w:tcW w:type="dxa" w:w="1368"/>
          </w:tcPr>
          <w:p>
            <w:pPr>
              <w:spacing w:after="20"/>
            </w:pPr>
            <w:r>
              <w:rPr>
                <w:color w:val="1C3A36"/>
                <w:sz w:val="15"/>
              </w:rPr>
              <w:t>16,179.6</w:t>
            </w:r>
          </w:p>
        </w:tc>
        <w:tc>
          <w:tcPr>
            <w:tcW w:type="dxa" w:w="1037"/>
          </w:tcPr>
          <w:p>
            <w:pPr>
              <w:spacing w:after="20"/>
            </w:pPr>
            <w:r>
              <w:rPr>
                <w:color w:val="1C3A36"/>
                <w:sz w:val="15"/>
              </w:rPr>
              <w:t>2024-03-13</w:t>
            </w:r>
          </w:p>
        </w:tc>
        <w:tc>
          <w:tcPr>
            <w:tcW w:type="dxa" w:w="6019"/>
          </w:tcPr>
          <w:p>
            <w:pPr>
              <w:spacing w:after="20"/>
            </w:pPr>
            <w:r>
              <w:rPr>
                <w:color w:val="1C3A36"/>
                <w:sz w:val="15"/>
              </w:rPr>
              <w:t>Contract assets, 31 Dec 2023</w:t>
            </w:r>
          </w:p>
        </w:tc>
      </w:tr>
      <w:tr>
        <w:tc>
          <w:tcPr>
            <w:tcW w:type="dxa" w:w="1656"/>
          </w:tcPr>
          <w:p>
            <w:pPr>
              <w:spacing w:after="20"/>
            </w:pPr>
            <w:r>
              <w:rPr>
                <w:color w:val="1C3A36"/>
                <w:sz w:val="15"/>
              </w:rPr>
              <w:t>ca fy24</w:t>
            </w:r>
          </w:p>
        </w:tc>
        <w:tc>
          <w:tcPr>
            <w:tcW w:type="dxa" w:w="1368"/>
          </w:tcPr>
          <w:p>
            <w:pPr>
              <w:spacing w:after="20"/>
            </w:pPr>
            <w:r>
              <w:rPr>
                <w:color w:val="1C3A36"/>
                <w:sz w:val="15"/>
              </w:rPr>
              <w:t>18,052.0</w:t>
            </w:r>
          </w:p>
        </w:tc>
        <w:tc>
          <w:tcPr>
            <w:tcW w:type="dxa" w:w="1037"/>
          </w:tcPr>
          <w:p>
            <w:pPr>
              <w:spacing w:after="20"/>
            </w:pPr>
            <w:r>
              <w:rPr>
                <w:color w:val="1C3A36"/>
                <w:sz w:val="15"/>
              </w:rPr>
              <w:t>2025-03-13</w:t>
            </w:r>
          </w:p>
        </w:tc>
        <w:tc>
          <w:tcPr>
            <w:tcW w:type="dxa" w:w="6019"/>
          </w:tcPr>
          <w:p>
            <w:pPr>
              <w:spacing w:after="20"/>
            </w:pPr>
            <w:r>
              <w:rPr>
                <w:color w:val="1C3A36"/>
                <w:sz w:val="15"/>
              </w:rPr>
              <w:t>Contract assets, 31 Dec 2024</w:t>
            </w:r>
          </w:p>
        </w:tc>
      </w:tr>
      <w:tr>
        <w:tc>
          <w:tcPr>
            <w:tcW w:type="dxa" w:w="1656"/>
          </w:tcPr>
          <w:p>
            <w:pPr>
              <w:spacing w:after="20"/>
            </w:pPr>
            <w:r>
              <w:rPr>
                <w:color w:val="1C3A36"/>
                <w:sz w:val="15"/>
              </w:rPr>
              <w:t>ca fy25</w:t>
            </w:r>
          </w:p>
        </w:tc>
        <w:tc>
          <w:tcPr>
            <w:tcW w:type="dxa" w:w="1368"/>
          </w:tcPr>
          <w:p>
            <w:pPr>
              <w:spacing w:after="20"/>
            </w:pPr>
            <w:r>
              <w:rPr>
                <w:color w:val="1C3A36"/>
                <w:sz w:val="15"/>
              </w:rPr>
              <w:t>29,894.6</w:t>
            </w:r>
          </w:p>
        </w:tc>
        <w:tc>
          <w:tcPr>
            <w:tcW w:type="dxa" w:w="1037"/>
          </w:tcPr>
          <w:p>
            <w:pPr>
              <w:spacing w:after="20"/>
            </w:pPr>
            <w:r>
              <w:rPr>
                <w:color w:val="1C3A36"/>
                <w:sz w:val="15"/>
              </w:rPr>
              <w:t>2026-03-15</w:t>
            </w:r>
          </w:p>
        </w:tc>
        <w:tc>
          <w:tcPr>
            <w:tcW w:type="dxa" w:w="6019"/>
          </w:tcPr>
          <w:p>
            <w:pPr>
              <w:spacing w:after="20"/>
            </w:pPr>
            <w:r>
              <w:rPr>
                <w:color w:val="1C3A36"/>
                <w:sz w:val="15"/>
              </w:rPr>
              <w:t>Contract assets, 31 Dec 2025</w:t>
            </w:r>
          </w:p>
        </w:tc>
      </w:tr>
      <w:tr>
        <w:tc>
          <w:tcPr>
            <w:tcW w:type="dxa" w:w="1656"/>
          </w:tcPr>
          <w:p>
            <w:pPr>
              <w:spacing w:after="20"/>
            </w:pPr>
            <w:r>
              <w:rPr>
                <w:color w:val="1C3A36"/>
                <w:sz w:val="15"/>
              </w:rPr>
              <w:t>recv fy23</w:t>
            </w:r>
          </w:p>
        </w:tc>
        <w:tc>
          <w:tcPr>
            <w:tcW w:type="dxa" w:w="1368"/>
          </w:tcPr>
          <w:p>
            <w:pPr>
              <w:spacing w:after="20"/>
            </w:pPr>
            <w:r>
              <w:rPr>
                <w:color w:val="1C3A36"/>
                <w:sz w:val="15"/>
              </w:rPr>
              <w:t>46,591.9</w:t>
            </w:r>
          </w:p>
        </w:tc>
        <w:tc>
          <w:tcPr>
            <w:tcW w:type="dxa" w:w="1037"/>
          </w:tcPr>
          <w:p>
            <w:pPr>
              <w:spacing w:after="20"/>
            </w:pPr>
            <w:r>
              <w:rPr>
                <w:color w:val="1C3A36"/>
                <w:sz w:val="15"/>
              </w:rPr>
              <w:t>2024-03-13</w:t>
            </w:r>
          </w:p>
        </w:tc>
        <w:tc>
          <w:tcPr>
            <w:tcW w:type="dxa" w:w="6019"/>
          </w:tcPr>
          <w:p>
            <w:pPr>
              <w:spacing w:after="20"/>
            </w:pPr>
            <w:r>
              <w:rPr>
                <w:color w:val="1C3A36"/>
                <w:sz w:val="15"/>
              </w:rPr>
              <w:t>Trade and other receivables (current), 31 Dec 2023</w:t>
            </w:r>
          </w:p>
        </w:tc>
      </w:tr>
      <w:tr>
        <w:tc>
          <w:tcPr>
            <w:tcW w:type="dxa" w:w="1656"/>
          </w:tcPr>
          <w:p>
            <w:pPr>
              <w:spacing w:after="20"/>
            </w:pPr>
            <w:r>
              <w:rPr>
                <w:color w:val="1C3A36"/>
                <w:sz w:val="15"/>
              </w:rPr>
              <w:t>recv fy24</w:t>
            </w:r>
          </w:p>
        </w:tc>
        <w:tc>
          <w:tcPr>
            <w:tcW w:type="dxa" w:w="1368"/>
          </w:tcPr>
          <w:p>
            <w:pPr>
              <w:spacing w:after="20"/>
            </w:pPr>
            <w:r>
              <w:rPr>
                <w:color w:val="1C3A36"/>
                <w:sz w:val="15"/>
              </w:rPr>
              <w:t>86,736.3</w:t>
            </w:r>
          </w:p>
        </w:tc>
        <w:tc>
          <w:tcPr>
            <w:tcW w:type="dxa" w:w="1037"/>
          </w:tcPr>
          <w:p>
            <w:pPr>
              <w:spacing w:after="20"/>
            </w:pPr>
            <w:r>
              <w:rPr>
                <w:color w:val="1C3A36"/>
                <w:sz w:val="15"/>
              </w:rPr>
              <w:t>2025-03-13</w:t>
            </w:r>
          </w:p>
        </w:tc>
        <w:tc>
          <w:tcPr>
            <w:tcW w:type="dxa" w:w="6019"/>
          </w:tcPr>
          <w:p>
            <w:pPr>
              <w:spacing w:after="20"/>
            </w:pPr>
            <w:r>
              <w:rPr>
                <w:color w:val="1C3A36"/>
                <w:sz w:val="15"/>
              </w:rPr>
              <w:t>Trade and other receivables (current), 31 Dec 2024</w:t>
            </w:r>
          </w:p>
        </w:tc>
      </w:tr>
      <w:tr>
        <w:tc>
          <w:tcPr>
            <w:tcW w:type="dxa" w:w="1656"/>
          </w:tcPr>
          <w:p>
            <w:pPr>
              <w:spacing w:after="20"/>
            </w:pPr>
            <w:r>
              <w:rPr>
                <w:color w:val="1C3A36"/>
                <w:sz w:val="15"/>
              </w:rPr>
              <w:t>recv fy25</w:t>
            </w:r>
          </w:p>
        </w:tc>
        <w:tc>
          <w:tcPr>
            <w:tcW w:type="dxa" w:w="1368"/>
          </w:tcPr>
          <w:p>
            <w:pPr>
              <w:spacing w:after="20"/>
            </w:pPr>
            <w:r>
              <w:rPr>
                <w:color w:val="1C3A36"/>
                <w:sz w:val="15"/>
              </w:rPr>
              <w:t>116,259.8</w:t>
            </w:r>
          </w:p>
        </w:tc>
        <w:tc>
          <w:tcPr>
            <w:tcW w:type="dxa" w:w="1037"/>
          </w:tcPr>
          <w:p>
            <w:pPr>
              <w:spacing w:after="20"/>
            </w:pPr>
            <w:r>
              <w:rPr>
                <w:color w:val="1C3A36"/>
                <w:sz w:val="15"/>
              </w:rPr>
              <w:t>2026-03-15</w:t>
            </w:r>
          </w:p>
        </w:tc>
        <w:tc>
          <w:tcPr>
            <w:tcW w:type="dxa" w:w="6019"/>
          </w:tcPr>
          <w:p>
            <w:pPr>
              <w:spacing w:after="20"/>
            </w:pPr>
            <w:r>
              <w:rPr>
                <w:color w:val="1C3A36"/>
                <w:sz w:val="15"/>
              </w:rPr>
              <w:t>Trade and other receivables (current), 31 Dec 2025</w:t>
            </w:r>
          </w:p>
        </w:tc>
      </w:tr>
      <w:tr>
        <w:tc>
          <w:tcPr>
            <w:tcW w:type="dxa" w:w="1656"/>
          </w:tcPr>
          <w:p>
            <w:pPr>
              <w:spacing w:after="20"/>
            </w:pPr>
            <w:r>
              <w:rPr>
                <w:color w:val="1C3A36"/>
                <w:sz w:val="15"/>
              </w:rPr>
              <w:t>pay fy23</w:t>
            </w:r>
          </w:p>
        </w:tc>
        <w:tc>
          <w:tcPr>
            <w:tcW w:type="dxa" w:w="1368"/>
          </w:tcPr>
          <w:p>
            <w:pPr>
              <w:spacing w:after="20"/>
            </w:pPr>
            <w:r>
              <w:rPr>
                <w:color w:val="1C3A36"/>
                <w:sz w:val="15"/>
              </w:rPr>
              <w:t>31,938.1</w:t>
            </w:r>
          </w:p>
        </w:tc>
        <w:tc>
          <w:tcPr>
            <w:tcW w:type="dxa" w:w="1037"/>
          </w:tcPr>
          <w:p>
            <w:pPr>
              <w:spacing w:after="20"/>
            </w:pPr>
            <w:r>
              <w:rPr>
                <w:color w:val="1C3A36"/>
                <w:sz w:val="15"/>
              </w:rPr>
              <w:t>2024-03-13</w:t>
            </w:r>
          </w:p>
        </w:tc>
        <w:tc>
          <w:tcPr>
            <w:tcW w:type="dxa" w:w="6019"/>
          </w:tcPr>
          <w:p>
            <w:pPr>
              <w:spacing w:after="20"/>
            </w:pPr>
            <w:r>
              <w:rPr>
                <w:color w:val="1C3A36"/>
                <w:sz w:val="15"/>
              </w:rPr>
              <w:t>Trade and other payables, 31 Dec 2023</w:t>
            </w:r>
          </w:p>
        </w:tc>
      </w:tr>
      <w:tr>
        <w:tc>
          <w:tcPr>
            <w:tcW w:type="dxa" w:w="1656"/>
          </w:tcPr>
          <w:p>
            <w:pPr>
              <w:spacing w:after="20"/>
            </w:pPr>
            <w:r>
              <w:rPr>
                <w:color w:val="1C3A36"/>
                <w:sz w:val="15"/>
              </w:rPr>
              <w:t>pay fy24</w:t>
            </w:r>
          </w:p>
        </w:tc>
        <w:tc>
          <w:tcPr>
            <w:tcW w:type="dxa" w:w="1368"/>
          </w:tcPr>
          <w:p>
            <w:pPr>
              <w:spacing w:after="20"/>
            </w:pPr>
            <w:r>
              <w:rPr>
                <w:color w:val="1C3A36"/>
                <w:sz w:val="15"/>
              </w:rPr>
              <w:t>54,808.2</w:t>
            </w:r>
          </w:p>
        </w:tc>
        <w:tc>
          <w:tcPr>
            <w:tcW w:type="dxa" w:w="1037"/>
          </w:tcPr>
          <w:p>
            <w:pPr>
              <w:spacing w:after="20"/>
            </w:pPr>
            <w:r>
              <w:rPr>
                <w:color w:val="1C3A36"/>
                <w:sz w:val="15"/>
              </w:rPr>
              <w:t>2025-03-13</w:t>
            </w:r>
          </w:p>
        </w:tc>
        <w:tc>
          <w:tcPr>
            <w:tcW w:type="dxa" w:w="6019"/>
          </w:tcPr>
          <w:p>
            <w:pPr>
              <w:spacing w:after="20"/>
            </w:pPr>
            <w:r>
              <w:rPr>
                <w:color w:val="1C3A36"/>
                <w:sz w:val="15"/>
              </w:rPr>
              <w:t>Trade and other payables, 31 Dec 2024</w:t>
            </w:r>
          </w:p>
        </w:tc>
      </w:tr>
      <w:tr>
        <w:tc>
          <w:tcPr>
            <w:tcW w:type="dxa" w:w="1656"/>
          </w:tcPr>
          <w:p>
            <w:pPr>
              <w:spacing w:after="20"/>
            </w:pPr>
            <w:r>
              <w:rPr>
                <w:color w:val="1C3A36"/>
                <w:sz w:val="15"/>
              </w:rPr>
              <w:t>pay fy25</w:t>
            </w:r>
          </w:p>
        </w:tc>
        <w:tc>
          <w:tcPr>
            <w:tcW w:type="dxa" w:w="1368"/>
          </w:tcPr>
          <w:p>
            <w:pPr>
              <w:spacing w:after="20"/>
            </w:pPr>
            <w:r>
              <w:rPr>
                <w:color w:val="1C3A36"/>
                <w:sz w:val="15"/>
              </w:rPr>
              <w:t>68,895.7</w:t>
            </w:r>
          </w:p>
        </w:tc>
        <w:tc>
          <w:tcPr>
            <w:tcW w:type="dxa" w:w="1037"/>
          </w:tcPr>
          <w:p>
            <w:pPr>
              <w:spacing w:after="20"/>
            </w:pPr>
            <w:r>
              <w:rPr>
                <w:color w:val="1C3A36"/>
                <w:sz w:val="15"/>
              </w:rPr>
              <w:t>2026-03-15</w:t>
            </w:r>
          </w:p>
        </w:tc>
        <w:tc>
          <w:tcPr>
            <w:tcW w:type="dxa" w:w="6019"/>
          </w:tcPr>
          <w:p>
            <w:pPr>
              <w:spacing w:after="20"/>
            </w:pPr>
            <w:r>
              <w:rPr>
                <w:color w:val="1C3A36"/>
                <w:sz w:val="15"/>
              </w:rPr>
              <w:t>Trade and other payables, 31 Dec 2025</w:t>
            </w:r>
          </w:p>
        </w:tc>
      </w:tr>
      <w:tr>
        <w:tc>
          <w:tcPr>
            <w:tcW w:type="dxa" w:w="1656"/>
          </w:tcPr>
          <w:p>
            <w:pPr>
              <w:spacing w:after="20"/>
            </w:pPr>
            <w:r>
              <w:rPr>
                <w:color w:val="1C3A36"/>
                <w:sz w:val="15"/>
              </w:rPr>
              <w:t>cl fy23</w:t>
            </w:r>
          </w:p>
        </w:tc>
        <w:tc>
          <w:tcPr>
            <w:tcW w:type="dxa" w:w="1368"/>
          </w:tcPr>
          <w:p>
            <w:pPr>
              <w:spacing w:after="20"/>
            </w:pPr>
            <w:r>
              <w:rPr>
                <w:color w:val="1C3A36"/>
                <w:sz w:val="15"/>
              </w:rPr>
              <w:t>25,060.3</w:t>
            </w:r>
          </w:p>
        </w:tc>
        <w:tc>
          <w:tcPr>
            <w:tcW w:type="dxa" w:w="1037"/>
          </w:tcPr>
          <w:p>
            <w:pPr>
              <w:spacing w:after="20"/>
            </w:pPr>
            <w:r>
              <w:rPr>
                <w:color w:val="1C3A36"/>
                <w:sz w:val="15"/>
              </w:rPr>
              <w:t>2024-03-13</w:t>
            </w:r>
          </w:p>
        </w:tc>
        <w:tc>
          <w:tcPr>
            <w:tcW w:type="dxa" w:w="6019"/>
          </w:tcPr>
          <w:p>
            <w:pPr>
              <w:spacing w:after="20"/>
            </w:pPr>
            <w:r>
              <w:rPr>
                <w:color w:val="1C3A36"/>
                <w:sz w:val="15"/>
              </w:rPr>
              <w:t>Contract liabilities, 31 Dec 2023</w:t>
            </w:r>
          </w:p>
        </w:tc>
      </w:tr>
      <w:tr>
        <w:tc>
          <w:tcPr>
            <w:tcW w:type="dxa" w:w="1656"/>
          </w:tcPr>
          <w:p>
            <w:pPr>
              <w:spacing w:after="20"/>
            </w:pPr>
            <w:r>
              <w:rPr>
                <w:color w:val="1C3A36"/>
                <w:sz w:val="15"/>
              </w:rPr>
              <w:t>cl fy24</w:t>
            </w:r>
          </w:p>
        </w:tc>
        <w:tc>
          <w:tcPr>
            <w:tcW w:type="dxa" w:w="1368"/>
          </w:tcPr>
          <w:p>
            <w:pPr>
              <w:spacing w:after="20"/>
            </w:pPr>
            <w:r>
              <w:rPr>
                <w:color w:val="1C3A36"/>
                <w:sz w:val="15"/>
              </w:rPr>
              <w:t>53,281.1</w:t>
            </w:r>
          </w:p>
        </w:tc>
        <w:tc>
          <w:tcPr>
            <w:tcW w:type="dxa" w:w="1037"/>
          </w:tcPr>
          <w:p>
            <w:pPr>
              <w:spacing w:after="20"/>
            </w:pPr>
            <w:r>
              <w:rPr>
                <w:color w:val="1C3A36"/>
                <w:sz w:val="15"/>
              </w:rPr>
              <w:t>2025-03-13</w:t>
            </w:r>
          </w:p>
        </w:tc>
        <w:tc>
          <w:tcPr>
            <w:tcW w:type="dxa" w:w="6019"/>
          </w:tcPr>
          <w:p>
            <w:pPr>
              <w:spacing w:after="20"/>
            </w:pPr>
            <w:r>
              <w:rPr>
                <w:color w:val="1C3A36"/>
                <w:sz w:val="15"/>
              </w:rPr>
              <w:t>Contract liabilities, 31 Dec 2024</w:t>
            </w:r>
          </w:p>
        </w:tc>
      </w:tr>
      <w:tr>
        <w:tc>
          <w:tcPr>
            <w:tcW w:type="dxa" w:w="1656"/>
          </w:tcPr>
          <w:p>
            <w:pPr>
              <w:spacing w:after="20"/>
            </w:pPr>
            <w:r>
              <w:rPr>
                <w:color w:val="1C3A36"/>
                <w:sz w:val="15"/>
              </w:rPr>
              <w:t>cl fy25</w:t>
            </w:r>
          </w:p>
        </w:tc>
        <w:tc>
          <w:tcPr>
            <w:tcW w:type="dxa" w:w="1368"/>
          </w:tcPr>
          <w:p>
            <w:pPr>
              <w:spacing w:after="20"/>
            </w:pPr>
            <w:r>
              <w:rPr>
                <w:color w:val="1C3A36"/>
                <w:sz w:val="15"/>
              </w:rPr>
              <w:t>81,266.2</w:t>
            </w:r>
          </w:p>
        </w:tc>
        <w:tc>
          <w:tcPr>
            <w:tcW w:type="dxa" w:w="1037"/>
          </w:tcPr>
          <w:p>
            <w:pPr>
              <w:spacing w:after="20"/>
            </w:pPr>
            <w:r>
              <w:rPr>
                <w:color w:val="1C3A36"/>
                <w:sz w:val="15"/>
              </w:rPr>
              <w:t>2026-03-15</w:t>
            </w:r>
          </w:p>
        </w:tc>
        <w:tc>
          <w:tcPr>
            <w:tcW w:type="dxa" w:w="6019"/>
          </w:tcPr>
          <w:p>
            <w:pPr>
              <w:spacing w:after="20"/>
            </w:pPr>
            <w:r>
              <w:rPr>
                <w:color w:val="1C3A36"/>
                <w:sz w:val="15"/>
              </w:rPr>
              <w:t>Contract liabilities, 31 Dec 2025</w:t>
            </w:r>
          </w:p>
        </w:tc>
      </w:tr>
      <w:tr>
        <w:tc>
          <w:tcPr>
            <w:tcW w:type="dxa" w:w="1656"/>
          </w:tcPr>
          <w:p>
            <w:pPr>
              <w:spacing w:after="20"/>
            </w:pPr>
            <w:r>
              <w:rPr>
                <w:color w:val="1C3A36"/>
                <w:sz w:val="15"/>
              </w:rPr>
              <w:t>cash fy23</w:t>
            </w:r>
          </w:p>
        </w:tc>
        <w:tc>
          <w:tcPr>
            <w:tcW w:type="dxa" w:w="1368"/>
          </w:tcPr>
          <w:p>
            <w:pPr>
              <w:spacing w:after="20"/>
            </w:pPr>
            <w:r>
              <w:rPr>
                <w:color w:val="1C3A36"/>
                <w:sz w:val="15"/>
              </w:rPr>
              <w:t>25,552.0</w:t>
            </w:r>
          </w:p>
        </w:tc>
        <w:tc>
          <w:tcPr>
            <w:tcW w:type="dxa" w:w="1037"/>
          </w:tcPr>
          <w:p>
            <w:pPr>
              <w:spacing w:after="20"/>
            </w:pPr>
            <w:r>
              <w:rPr>
                <w:color w:val="1C3A36"/>
                <w:sz w:val="15"/>
              </w:rPr>
              <w:t>2024-03-13</w:t>
            </w:r>
          </w:p>
        </w:tc>
        <w:tc>
          <w:tcPr>
            <w:tcW w:type="dxa" w:w="6019"/>
          </w:tcPr>
          <w:p>
            <w:pPr>
              <w:spacing w:after="20"/>
            </w:pPr>
            <w:r>
              <w:rPr>
                <w:color w:val="1C3A36"/>
                <w:sz w:val="15"/>
              </w:rPr>
              <w:t>Cash and cash equivalents, 31 Dec 2023</w:t>
            </w:r>
          </w:p>
        </w:tc>
      </w:tr>
      <w:tr>
        <w:tc>
          <w:tcPr>
            <w:tcW w:type="dxa" w:w="1656"/>
          </w:tcPr>
          <w:p>
            <w:pPr>
              <w:spacing w:after="20"/>
            </w:pPr>
            <w:r>
              <w:rPr>
                <w:color w:val="1C3A36"/>
                <w:sz w:val="15"/>
              </w:rPr>
              <w:t>cash fy24</w:t>
            </w:r>
          </w:p>
        </w:tc>
        <w:tc>
          <w:tcPr>
            <w:tcW w:type="dxa" w:w="1368"/>
          </w:tcPr>
          <w:p>
            <w:pPr>
              <w:spacing w:after="20"/>
            </w:pPr>
            <w:r>
              <w:rPr>
                <w:color w:val="1C3A36"/>
                <w:sz w:val="15"/>
              </w:rPr>
              <w:t>38,180.0</w:t>
            </w:r>
          </w:p>
        </w:tc>
        <w:tc>
          <w:tcPr>
            <w:tcW w:type="dxa" w:w="1037"/>
          </w:tcPr>
          <w:p>
            <w:pPr>
              <w:spacing w:after="20"/>
            </w:pPr>
            <w:r>
              <w:rPr>
                <w:color w:val="1C3A36"/>
                <w:sz w:val="15"/>
              </w:rPr>
              <w:t>2025-03-13</w:t>
            </w:r>
          </w:p>
        </w:tc>
        <w:tc>
          <w:tcPr>
            <w:tcW w:type="dxa" w:w="6019"/>
          </w:tcPr>
          <w:p>
            <w:pPr>
              <w:spacing w:after="20"/>
            </w:pPr>
            <w:r>
              <w:rPr>
                <w:color w:val="1C3A36"/>
                <w:sz w:val="15"/>
              </w:rPr>
              <w:t>Cash and cash equivalents, 31 Dec 2024</w:t>
            </w:r>
          </w:p>
        </w:tc>
      </w:tr>
      <w:tr>
        <w:tc>
          <w:tcPr>
            <w:tcW w:type="dxa" w:w="1656"/>
          </w:tcPr>
          <w:p>
            <w:pPr>
              <w:spacing w:after="20"/>
            </w:pPr>
            <w:r>
              <w:rPr>
                <w:color w:val="1C3A36"/>
                <w:sz w:val="15"/>
              </w:rPr>
              <w:t>cash fy25</w:t>
            </w:r>
          </w:p>
        </w:tc>
        <w:tc>
          <w:tcPr>
            <w:tcW w:type="dxa" w:w="1368"/>
          </w:tcPr>
          <w:p>
            <w:pPr>
              <w:spacing w:after="20"/>
            </w:pPr>
            <w:r>
              <w:rPr>
                <w:color w:val="1C3A36"/>
                <w:sz w:val="15"/>
              </w:rPr>
              <w:t>41,949.2</w:t>
            </w:r>
          </w:p>
        </w:tc>
        <w:tc>
          <w:tcPr>
            <w:tcW w:type="dxa" w:w="1037"/>
          </w:tcPr>
          <w:p>
            <w:pPr>
              <w:spacing w:after="20"/>
            </w:pPr>
            <w:r>
              <w:rPr>
                <w:color w:val="1C3A36"/>
                <w:sz w:val="15"/>
              </w:rPr>
              <w:t>2026-03-15</w:t>
            </w:r>
          </w:p>
        </w:tc>
        <w:tc>
          <w:tcPr>
            <w:tcW w:type="dxa" w:w="6019"/>
          </w:tcPr>
          <w:p>
            <w:pPr>
              <w:spacing w:after="20"/>
            </w:pPr>
            <w:r>
              <w:rPr>
                <w:color w:val="1C3A36"/>
                <w:sz w:val="15"/>
              </w:rPr>
              <w:t>Cash and cash equivalents, 31 Dec 2025: bank time deposits 9,689.1, bank current accounts 32,157.7, cash on hand 102.4</w:t>
            </w:r>
          </w:p>
        </w:tc>
      </w:tr>
      <w:tr>
        <w:tc>
          <w:tcPr>
            <w:tcW w:type="dxa" w:w="1656"/>
          </w:tcPr>
          <w:p>
            <w:pPr>
              <w:spacing w:after="20"/>
            </w:pPr>
            <w:r>
              <w:rPr>
                <w:color w:val="1C3A36"/>
                <w:sz w:val="15"/>
              </w:rPr>
              <w:t>assets fy23</w:t>
            </w:r>
          </w:p>
        </w:tc>
        <w:tc>
          <w:tcPr>
            <w:tcW w:type="dxa" w:w="1368"/>
          </w:tcPr>
          <w:p>
            <w:pPr>
              <w:spacing w:after="20"/>
            </w:pPr>
            <w:r>
              <w:rPr>
                <w:color w:val="1C3A36"/>
                <w:sz w:val="15"/>
              </w:rPr>
              <w:t>151,448.7</w:t>
            </w:r>
          </w:p>
        </w:tc>
        <w:tc>
          <w:tcPr>
            <w:tcW w:type="dxa" w:w="1037"/>
          </w:tcPr>
          <w:p>
            <w:pPr>
              <w:spacing w:after="20"/>
            </w:pPr>
            <w:r>
              <w:rPr>
                <w:color w:val="1C3A36"/>
                <w:sz w:val="15"/>
              </w:rPr>
              <w:t>2024-03-13</w:t>
            </w:r>
          </w:p>
        </w:tc>
        <w:tc>
          <w:tcPr>
            <w:tcW w:type="dxa" w:w="6019"/>
          </w:tcPr>
          <w:p>
            <w:pPr>
              <w:spacing w:after="20"/>
            </w:pPr>
            <w:r>
              <w:rPr>
                <w:color w:val="1C3A36"/>
                <w:sz w:val="15"/>
              </w:rPr>
              <w:t>Total assets, 31 Dec 2023</w:t>
            </w:r>
          </w:p>
        </w:tc>
      </w:tr>
      <w:tr>
        <w:tc>
          <w:tcPr>
            <w:tcW w:type="dxa" w:w="1656"/>
          </w:tcPr>
          <w:p>
            <w:pPr>
              <w:spacing w:after="20"/>
            </w:pPr>
            <w:r>
              <w:rPr>
                <w:color w:val="1C3A36"/>
                <w:sz w:val="15"/>
              </w:rPr>
              <w:t>assets fy24</w:t>
            </w:r>
          </w:p>
        </w:tc>
        <w:tc>
          <w:tcPr>
            <w:tcW w:type="dxa" w:w="1368"/>
          </w:tcPr>
          <w:p>
            <w:pPr>
              <w:spacing w:after="20"/>
            </w:pPr>
            <w:r>
              <w:rPr>
                <w:color w:val="1C3A36"/>
                <w:sz w:val="15"/>
              </w:rPr>
              <w:t>249,527.1</w:t>
            </w:r>
          </w:p>
        </w:tc>
        <w:tc>
          <w:tcPr>
            <w:tcW w:type="dxa" w:w="1037"/>
          </w:tcPr>
          <w:p>
            <w:pPr>
              <w:spacing w:after="20"/>
            </w:pPr>
            <w:r>
              <w:rPr>
                <w:color w:val="1C3A36"/>
                <w:sz w:val="15"/>
              </w:rPr>
              <w:t>2025-03-13</w:t>
            </w:r>
          </w:p>
        </w:tc>
        <w:tc>
          <w:tcPr>
            <w:tcW w:type="dxa" w:w="6019"/>
          </w:tcPr>
          <w:p>
            <w:pPr>
              <w:spacing w:after="20"/>
            </w:pPr>
            <w:r>
              <w:rPr>
                <w:color w:val="1C3A36"/>
                <w:sz w:val="15"/>
              </w:rPr>
              <w:t>Total assets, 31 Dec 2024</w:t>
            </w:r>
          </w:p>
        </w:tc>
      </w:tr>
      <w:tr>
        <w:tc>
          <w:tcPr>
            <w:tcW w:type="dxa" w:w="1656"/>
          </w:tcPr>
          <w:p>
            <w:pPr>
              <w:spacing w:after="20"/>
            </w:pPr>
            <w:r>
              <w:rPr>
                <w:color w:val="1C3A36"/>
                <w:sz w:val="15"/>
              </w:rPr>
              <w:t>assets fy25</w:t>
            </w:r>
          </w:p>
        </w:tc>
        <w:tc>
          <w:tcPr>
            <w:tcW w:type="dxa" w:w="1368"/>
          </w:tcPr>
          <w:p>
            <w:pPr>
              <w:spacing w:after="20"/>
            </w:pPr>
            <w:r>
              <w:rPr>
                <w:color w:val="1C3A36"/>
                <w:sz w:val="15"/>
              </w:rPr>
              <w:t>311,099.1</w:t>
            </w:r>
          </w:p>
        </w:tc>
        <w:tc>
          <w:tcPr>
            <w:tcW w:type="dxa" w:w="1037"/>
          </w:tcPr>
          <w:p>
            <w:pPr>
              <w:spacing w:after="20"/>
            </w:pPr>
            <w:r>
              <w:rPr>
                <w:color w:val="1C3A36"/>
                <w:sz w:val="15"/>
              </w:rPr>
              <w:t>2026-03-15</w:t>
            </w:r>
          </w:p>
        </w:tc>
        <w:tc>
          <w:tcPr>
            <w:tcW w:type="dxa" w:w="6019"/>
          </w:tcPr>
          <w:p>
            <w:pPr>
              <w:spacing w:after="20"/>
            </w:pPr>
            <w:r>
              <w:rPr>
                <w:color w:val="1C3A36"/>
                <w:sz w:val="15"/>
              </w:rPr>
              <w:t>Total assets, 31 Dec 2025</w:t>
            </w:r>
          </w:p>
        </w:tc>
      </w:tr>
      <w:tr>
        <w:tc>
          <w:tcPr>
            <w:tcW w:type="dxa" w:w="1656"/>
          </w:tcPr>
          <w:p>
            <w:pPr>
              <w:spacing w:after="20"/>
            </w:pPr>
            <w:r>
              <w:rPr>
                <w:color w:val="1C3A36"/>
                <w:sz w:val="15"/>
              </w:rPr>
              <w:t>debt fy23</w:t>
            </w:r>
          </w:p>
        </w:tc>
        <w:tc>
          <w:tcPr>
            <w:tcW w:type="dxa" w:w="1368"/>
          </w:tcPr>
          <w:p>
            <w:pPr>
              <w:spacing w:after="20"/>
            </w:pPr>
            <w:r>
              <w:rPr>
                <w:color w:val="1C3A36"/>
                <w:sz w:val="15"/>
              </w:rPr>
              <w:t>41,766.5</w:t>
            </w:r>
          </w:p>
        </w:tc>
        <w:tc>
          <w:tcPr>
            <w:tcW w:type="dxa" w:w="1037"/>
          </w:tcPr>
          <w:p>
            <w:pPr>
              <w:spacing w:after="20"/>
            </w:pPr>
            <w:r>
              <w:rPr>
                <w:color w:val="1C3A36"/>
                <w:sz w:val="15"/>
              </w:rPr>
              <w:t>2024-03-13</w:t>
            </w:r>
          </w:p>
        </w:tc>
        <w:tc>
          <w:tcPr>
            <w:tcW w:type="dxa" w:w="6019"/>
          </w:tcPr>
          <w:p>
            <w:pPr>
              <w:spacing w:after="20"/>
            </w:pPr>
            <w:r>
              <w:rPr>
                <w:color w:val="1C3A36"/>
                <w:sz w:val="15"/>
              </w:rPr>
              <w:t>Loans and borrowings including lease liabilities, 31 Dec 2023: current 34,950.810105 (loans 7,401.079843 + bank facilities 27,530.523733 + leases 19.206529) + non-current 6,815.681966 (loans 6,235.939701 + leases 579.742265)</w:t>
            </w:r>
          </w:p>
        </w:tc>
      </w:tr>
      <w:tr>
        <w:tc>
          <w:tcPr>
            <w:tcW w:type="dxa" w:w="1656"/>
          </w:tcPr>
          <w:p>
            <w:pPr>
              <w:spacing w:after="20"/>
            </w:pPr>
            <w:r>
              <w:rPr>
                <w:color w:val="1C3A36"/>
                <w:sz w:val="15"/>
              </w:rPr>
              <w:t>debt fy24</w:t>
            </w:r>
          </w:p>
        </w:tc>
        <w:tc>
          <w:tcPr>
            <w:tcW w:type="dxa" w:w="1368"/>
          </w:tcPr>
          <w:p>
            <w:pPr>
              <w:spacing w:after="20"/>
            </w:pPr>
            <w:r>
              <w:rPr>
                <w:color w:val="1C3A36"/>
                <w:sz w:val="15"/>
              </w:rPr>
              <w:t>59,082.9</w:t>
            </w:r>
          </w:p>
        </w:tc>
        <w:tc>
          <w:tcPr>
            <w:tcW w:type="dxa" w:w="1037"/>
          </w:tcPr>
          <w:p>
            <w:pPr>
              <w:spacing w:after="20"/>
            </w:pPr>
            <w:r>
              <w:rPr>
                <w:color w:val="1C3A36"/>
                <w:sz w:val="15"/>
              </w:rPr>
              <w:t>2025-03-13</w:t>
            </w:r>
          </w:p>
        </w:tc>
        <w:tc>
          <w:tcPr>
            <w:tcW w:type="dxa" w:w="6019"/>
          </w:tcPr>
          <w:p>
            <w:pPr>
              <w:spacing w:after="20"/>
            </w:pPr>
            <w:r>
              <w:rPr>
                <w:color w:val="1C3A36"/>
                <w:sz w:val="15"/>
              </w:rPr>
              <w:t>Loans and borrowings including lease liabilities, 31 Dec 2024: current 52,733.931099 (loans 12,580.708167 + bank facilities 40,049.471127 + leases 103.751805) + non-current 6,349.010708 (loans 6,166.616210 + leases 182.394498)</w:t>
            </w:r>
          </w:p>
        </w:tc>
      </w:tr>
      <w:tr>
        <w:tc>
          <w:tcPr>
            <w:tcW w:type="dxa" w:w="1656"/>
          </w:tcPr>
          <w:p>
            <w:pPr>
              <w:spacing w:after="20"/>
            </w:pPr>
            <w:r>
              <w:rPr>
                <w:color w:val="1C3A36"/>
                <w:sz w:val="15"/>
              </w:rPr>
              <w:t>debt fy25</w:t>
            </w:r>
          </w:p>
        </w:tc>
        <w:tc>
          <w:tcPr>
            <w:tcW w:type="dxa" w:w="1368"/>
          </w:tcPr>
          <w:p>
            <w:pPr>
              <w:spacing w:after="20"/>
            </w:pPr>
            <w:r>
              <w:rPr>
                <w:color w:val="1C3A36"/>
                <w:sz w:val="15"/>
              </w:rPr>
              <w:t>62,509.2</w:t>
            </w:r>
          </w:p>
        </w:tc>
        <w:tc>
          <w:tcPr>
            <w:tcW w:type="dxa" w:w="1037"/>
          </w:tcPr>
          <w:p>
            <w:pPr>
              <w:spacing w:after="20"/>
            </w:pPr>
            <w:r>
              <w:rPr>
                <w:color w:val="1C3A36"/>
                <w:sz w:val="15"/>
              </w:rPr>
              <w:t>2026-03-15</w:t>
            </w:r>
          </w:p>
        </w:tc>
        <w:tc>
          <w:tcPr>
            <w:tcW w:type="dxa" w:w="6019"/>
          </w:tcPr>
          <w:p>
            <w:pPr>
              <w:spacing w:after="20"/>
            </w:pPr>
            <w:r>
              <w:rPr>
                <w:color w:val="1C3A36"/>
                <w:sz w:val="15"/>
              </w:rPr>
              <w:t>Loans and borrowings including lease liabilities, 31 Dec 2025: current 53,888.496799 (loans 26,673.246745 + bank facilities 27,183.559774 + leases 31.690280) + non-current 8,620.714998 (loans 8,605.301580 + leases 15.413418)</w:t>
            </w:r>
          </w:p>
        </w:tc>
      </w:tr>
      <w:tr>
        <w:tc>
          <w:tcPr>
            <w:tcW w:type="dxa" w:w="1656"/>
          </w:tcPr>
          <w:p>
            <w:pPr>
              <w:spacing w:after="20"/>
            </w:pPr>
            <w:r>
              <w:rPr>
                <w:color w:val="1C3A36"/>
                <w:sz w:val="15"/>
              </w:rPr>
              <w:t>nd fy23</w:t>
            </w:r>
          </w:p>
        </w:tc>
        <w:tc>
          <w:tcPr>
            <w:tcW w:type="dxa" w:w="1368"/>
          </w:tcPr>
          <w:p>
            <w:pPr>
              <w:spacing w:after="20"/>
            </w:pPr>
            <w:r>
              <w:rPr>
                <w:color w:val="1C3A36"/>
                <w:sz w:val="15"/>
              </w:rPr>
              <w:t>16,214.4</w:t>
            </w:r>
          </w:p>
        </w:tc>
        <w:tc>
          <w:tcPr>
            <w:tcW w:type="dxa" w:w="1037"/>
          </w:tcPr>
          <w:p>
            <w:pPr>
              <w:spacing w:after="20"/>
            </w:pPr>
            <w:r>
              <w:rPr>
                <w:color w:val="1C3A36"/>
                <w:sz w:val="15"/>
              </w:rPr>
              <w:t>2024-03-13</w:t>
            </w:r>
          </w:p>
        </w:tc>
        <w:tc>
          <w:tcPr>
            <w:tcW w:type="dxa" w:w="6019"/>
          </w:tcPr>
          <w:p>
            <w:pPr>
              <w:spacing w:after="20"/>
            </w:pPr>
            <w:r>
              <w:rPr>
                <w:color w:val="1C3A36"/>
                <w:sz w:val="15"/>
              </w:rPr>
              <w:t>Net financial debt, 31 Dec 2023: total loans and borrowings including leases 41,766.492071 less cash and cash equivalents 25,552.044800. NOTE: this is the interest-bearing-debt definition used for the equity bridge, not the company's own 'net debt' capital-management ratio (Note 29-1), which nets a much broader liability base (total liabilities less deferred tax and provisions) against cash and is a leverage-monitoring metric, not a valuation-bridge quantity</w:t>
            </w:r>
          </w:p>
        </w:tc>
      </w:tr>
      <w:tr>
        <w:tc>
          <w:tcPr>
            <w:tcW w:type="dxa" w:w="1656"/>
          </w:tcPr>
          <w:p>
            <w:pPr>
              <w:spacing w:after="20"/>
            </w:pPr>
            <w:r>
              <w:rPr>
                <w:color w:val="1C3A36"/>
                <w:sz w:val="15"/>
              </w:rPr>
              <w:t>nd fy24</w:t>
            </w:r>
          </w:p>
        </w:tc>
        <w:tc>
          <w:tcPr>
            <w:tcW w:type="dxa" w:w="1368"/>
          </w:tcPr>
          <w:p>
            <w:pPr>
              <w:spacing w:after="20"/>
            </w:pPr>
            <w:r>
              <w:rPr>
                <w:color w:val="1C3A36"/>
                <w:sz w:val="15"/>
              </w:rPr>
              <w:t>20,902.9</w:t>
            </w:r>
          </w:p>
        </w:tc>
        <w:tc>
          <w:tcPr>
            <w:tcW w:type="dxa" w:w="1037"/>
          </w:tcPr>
          <w:p>
            <w:pPr>
              <w:spacing w:after="20"/>
            </w:pPr>
            <w:r>
              <w:rPr>
                <w:color w:val="1C3A36"/>
                <w:sz w:val="15"/>
              </w:rPr>
              <w:t>2025-03-13</w:t>
            </w:r>
          </w:p>
        </w:tc>
        <w:tc>
          <w:tcPr>
            <w:tcW w:type="dxa" w:w="6019"/>
          </w:tcPr>
          <w:p>
            <w:pPr>
              <w:spacing w:after="20"/>
            </w:pPr>
            <w:r>
              <w:rPr>
                <w:color w:val="1C3A36"/>
                <w:sz w:val="15"/>
              </w:rPr>
              <w:t>Net financial debt, 31 Dec 2024: total loans and borrowings including leases 59,082.941807 less cash 38,180.002322</w:t>
            </w:r>
          </w:p>
        </w:tc>
      </w:tr>
      <w:tr>
        <w:tc>
          <w:tcPr>
            <w:tcW w:type="dxa" w:w="1656"/>
          </w:tcPr>
          <w:p>
            <w:pPr>
              <w:spacing w:after="20"/>
            </w:pPr>
            <w:r>
              <w:rPr>
                <w:color w:val="1C3A36"/>
                <w:sz w:val="15"/>
              </w:rPr>
              <w:t>nd fy25</w:t>
            </w:r>
          </w:p>
        </w:tc>
        <w:tc>
          <w:tcPr>
            <w:tcW w:type="dxa" w:w="1368"/>
          </w:tcPr>
          <w:p>
            <w:pPr>
              <w:spacing w:after="20"/>
            </w:pPr>
            <w:r>
              <w:rPr>
                <w:color w:val="1C3A36"/>
                <w:sz w:val="15"/>
              </w:rPr>
              <w:t>20,560.0</w:t>
            </w:r>
          </w:p>
        </w:tc>
        <w:tc>
          <w:tcPr>
            <w:tcW w:type="dxa" w:w="1037"/>
          </w:tcPr>
          <w:p>
            <w:pPr>
              <w:spacing w:after="20"/>
            </w:pPr>
            <w:r>
              <w:rPr>
                <w:color w:val="1C3A36"/>
                <w:sz w:val="15"/>
              </w:rPr>
              <w:t>2026-03-15</w:t>
            </w:r>
          </w:p>
        </w:tc>
        <w:tc>
          <w:tcPr>
            <w:tcW w:type="dxa" w:w="6019"/>
          </w:tcPr>
          <w:p>
            <w:pPr>
              <w:spacing w:after="20"/>
            </w:pPr>
            <w:r>
              <w:rPr>
                <w:color w:val="1C3A36"/>
                <w:sz w:val="15"/>
              </w:rPr>
              <w:t>Net financial debt, 31 Dec 2025: total loans and borrowings including leases 62,509.211797 less cash 41,949.208624. The company's OWN 'net debt' figure (Note 29-1) is EGP 180,102.969196 — total liabilities LESS deferred tax and provisions, less cash — a capital-structure leverage ratio (net debt/equity 2.50x) that nets trade payables and contract liabilities against cash. Using it in an EV-to-equity bridge would double-count operating liabilities already reflected in working capital; the interest-bearing figure above is the correct bridge quantity and is used throughout</w:t>
            </w:r>
          </w:p>
        </w:tc>
      </w:tr>
      <w:tr>
        <w:tc>
          <w:tcPr>
            <w:tcW w:type="dxa" w:w="1656"/>
          </w:tcPr>
          <w:p>
            <w:pPr>
              <w:spacing w:after="20"/>
            </w:pPr>
            <w:r>
              <w:rPr>
                <w:color w:val="1C3A36"/>
                <w:sz w:val="15"/>
              </w:rPr>
              <w:t>eqp fy23</w:t>
            </w:r>
          </w:p>
        </w:tc>
        <w:tc>
          <w:tcPr>
            <w:tcW w:type="dxa" w:w="1368"/>
          </w:tcPr>
          <w:p>
            <w:pPr>
              <w:spacing w:after="20"/>
            </w:pPr>
            <w:r>
              <w:rPr>
                <w:color w:val="1C3A36"/>
                <w:sz w:val="15"/>
              </w:rPr>
              <w:t>35,724.5</w:t>
            </w:r>
          </w:p>
        </w:tc>
        <w:tc>
          <w:tcPr>
            <w:tcW w:type="dxa" w:w="1037"/>
          </w:tcPr>
          <w:p>
            <w:pPr>
              <w:spacing w:after="20"/>
            </w:pPr>
            <w:r>
              <w:rPr>
                <w:color w:val="1C3A36"/>
                <w:sz w:val="15"/>
              </w:rPr>
              <w:t>2024-03-13</w:t>
            </w:r>
          </w:p>
        </w:tc>
        <w:tc>
          <w:tcPr>
            <w:tcW w:type="dxa" w:w="6019"/>
          </w:tcPr>
          <w:p>
            <w:pPr>
              <w:spacing w:after="20"/>
            </w:pPr>
            <w:r>
              <w:rPr>
                <w:color w:val="1C3A36"/>
                <w:sz w:val="15"/>
              </w:rPr>
              <w:t>Equity attributable to owners of the parent, 31 Dec 2023</w:t>
            </w:r>
          </w:p>
        </w:tc>
      </w:tr>
      <w:tr>
        <w:tc>
          <w:tcPr>
            <w:tcW w:type="dxa" w:w="1656"/>
          </w:tcPr>
          <w:p>
            <w:pPr>
              <w:spacing w:after="20"/>
            </w:pPr>
            <w:r>
              <w:rPr>
                <w:color w:val="1C3A36"/>
                <w:sz w:val="15"/>
              </w:rPr>
              <w:t>eqp fy24</w:t>
            </w:r>
          </w:p>
        </w:tc>
        <w:tc>
          <w:tcPr>
            <w:tcW w:type="dxa" w:w="1368"/>
          </w:tcPr>
          <w:p>
            <w:pPr>
              <w:spacing w:after="20"/>
            </w:pPr>
            <w:r>
              <w:rPr>
                <w:color w:val="1C3A36"/>
                <w:sz w:val="15"/>
              </w:rPr>
              <w:t>55,274.9</w:t>
            </w:r>
          </w:p>
        </w:tc>
        <w:tc>
          <w:tcPr>
            <w:tcW w:type="dxa" w:w="1037"/>
          </w:tcPr>
          <w:p>
            <w:pPr>
              <w:spacing w:after="20"/>
            </w:pPr>
            <w:r>
              <w:rPr>
                <w:color w:val="1C3A36"/>
                <w:sz w:val="15"/>
              </w:rPr>
              <w:t>2025-03-13</w:t>
            </w:r>
          </w:p>
        </w:tc>
        <w:tc>
          <w:tcPr>
            <w:tcW w:type="dxa" w:w="6019"/>
          </w:tcPr>
          <w:p>
            <w:pPr>
              <w:spacing w:after="20"/>
            </w:pPr>
            <w:r>
              <w:rPr>
                <w:color w:val="1C3A36"/>
                <w:sz w:val="15"/>
              </w:rPr>
              <w:t>Equity attributable to owners of the parent, 31 Dec 2024</w:t>
            </w:r>
          </w:p>
        </w:tc>
      </w:tr>
      <w:tr>
        <w:tc>
          <w:tcPr>
            <w:tcW w:type="dxa" w:w="1656"/>
          </w:tcPr>
          <w:p>
            <w:pPr>
              <w:spacing w:after="20"/>
            </w:pPr>
            <w:r>
              <w:rPr>
                <w:color w:val="1C3A36"/>
                <w:sz w:val="15"/>
              </w:rPr>
              <w:t>eqp fy25</w:t>
            </w:r>
          </w:p>
        </w:tc>
        <w:tc>
          <w:tcPr>
            <w:tcW w:type="dxa" w:w="1368"/>
          </w:tcPr>
          <w:p>
            <w:pPr>
              <w:spacing w:after="20"/>
            </w:pPr>
            <w:r>
              <w:rPr>
                <w:color w:val="1C3A36"/>
                <w:sz w:val="15"/>
              </w:rPr>
              <w:t>66,870.9</w:t>
            </w:r>
          </w:p>
        </w:tc>
        <w:tc>
          <w:tcPr>
            <w:tcW w:type="dxa" w:w="1037"/>
          </w:tcPr>
          <w:p>
            <w:pPr>
              <w:spacing w:after="20"/>
            </w:pPr>
            <w:r>
              <w:rPr>
                <w:color w:val="1C3A36"/>
                <w:sz w:val="15"/>
              </w:rPr>
              <w:t>2026-03-15</w:t>
            </w:r>
          </w:p>
        </w:tc>
        <w:tc>
          <w:tcPr>
            <w:tcW w:type="dxa" w:w="6019"/>
          </w:tcPr>
          <w:p>
            <w:pPr>
              <w:spacing w:after="20"/>
            </w:pPr>
            <w:r>
              <w:rPr>
                <w:color w:val="1C3A36"/>
                <w:sz w:val="15"/>
              </w:rPr>
              <w:t>Equity attributable to owners of the parent, 31 Dec 2025 — now the audited closing figure, not derived from the prior year plus profit less an assumed dividend</w:t>
            </w:r>
          </w:p>
        </w:tc>
      </w:tr>
      <w:tr>
        <w:tc>
          <w:tcPr>
            <w:tcW w:type="dxa" w:w="1656"/>
          </w:tcPr>
          <w:p>
            <w:pPr>
              <w:spacing w:after="20"/>
            </w:pPr>
            <w:r>
              <w:rPr>
                <w:color w:val="1C3A36"/>
                <w:sz w:val="15"/>
              </w:rPr>
              <w:t>nci fy23</w:t>
            </w:r>
          </w:p>
        </w:tc>
        <w:tc>
          <w:tcPr>
            <w:tcW w:type="dxa" w:w="1368"/>
          </w:tcPr>
          <w:p>
            <w:pPr>
              <w:spacing w:after="20"/>
            </w:pPr>
            <w:r>
              <w:rPr>
                <w:color w:val="1C3A36"/>
                <w:sz w:val="15"/>
              </w:rPr>
              <w:t>2,384.0</w:t>
            </w:r>
          </w:p>
        </w:tc>
        <w:tc>
          <w:tcPr>
            <w:tcW w:type="dxa" w:w="1037"/>
          </w:tcPr>
          <w:p>
            <w:pPr>
              <w:spacing w:after="20"/>
            </w:pPr>
            <w:r>
              <w:rPr>
                <w:color w:val="1C3A36"/>
                <w:sz w:val="15"/>
              </w:rPr>
              <w:t>2024-03-13</w:t>
            </w:r>
          </w:p>
        </w:tc>
        <w:tc>
          <w:tcPr>
            <w:tcW w:type="dxa" w:w="6019"/>
          </w:tcPr>
          <w:p>
            <w:pPr>
              <w:spacing w:after="20"/>
            </w:pPr>
            <w:r>
              <w:rPr>
                <w:color w:val="1C3A36"/>
                <w:sz w:val="15"/>
              </w:rPr>
              <w:t>Non-controlling interests, 31 Dec 2023</w:t>
            </w:r>
          </w:p>
        </w:tc>
      </w:tr>
      <w:tr>
        <w:tc>
          <w:tcPr>
            <w:tcW w:type="dxa" w:w="1656"/>
          </w:tcPr>
          <w:p>
            <w:pPr>
              <w:spacing w:after="20"/>
            </w:pPr>
            <w:r>
              <w:rPr>
                <w:color w:val="1C3A36"/>
                <w:sz w:val="15"/>
              </w:rPr>
              <w:t>nci fy24</w:t>
            </w:r>
          </w:p>
        </w:tc>
        <w:tc>
          <w:tcPr>
            <w:tcW w:type="dxa" w:w="1368"/>
          </w:tcPr>
          <w:p>
            <w:pPr>
              <w:spacing w:after="20"/>
            </w:pPr>
            <w:r>
              <w:rPr>
                <w:color w:val="1C3A36"/>
                <w:sz w:val="15"/>
              </w:rPr>
              <w:t>4,251.8</w:t>
            </w:r>
          </w:p>
        </w:tc>
        <w:tc>
          <w:tcPr>
            <w:tcW w:type="dxa" w:w="1037"/>
          </w:tcPr>
          <w:p>
            <w:pPr>
              <w:spacing w:after="20"/>
            </w:pPr>
            <w:r>
              <w:rPr>
                <w:color w:val="1C3A36"/>
                <w:sz w:val="15"/>
              </w:rPr>
              <w:t>2025-03-13</w:t>
            </w:r>
          </w:p>
        </w:tc>
        <w:tc>
          <w:tcPr>
            <w:tcW w:type="dxa" w:w="6019"/>
          </w:tcPr>
          <w:p>
            <w:pPr>
              <w:spacing w:after="20"/>
            </w:pPr>
            <w:r>
              <w:rPr>
                <w:color w:val="1C3A36"/>
                <w:sz w:val="15"/>
              </w:rPr>
              <w:t>Non-controlling interests, 31 Dec 2024</w:t>
            </w:r>
          </w:p>
        </w:tc>
      </w:tr>
      <w:tr>
        <w:tc>
          <w:tcPr>
            <w:tcW w:type="dxa" w:w="1656"/>
          </w:tcPr>
          <w:p>
            <w:pPr>
              <w:spacing w:after="20"/>
            </w:pPr>
            <w:r>
              <w:rPr>
                <w:color w:val="1C3A36"/>
                <w:sz w:val="15"/>
              </w:rPr>
              <w:t>nci fy25</w:t>
            </w:r>
          </w:p>
        </w:tc>
        <w:tc>
          <w:tcPr>
            <w:tcW w:type="dxa" w:w="1368"/>
          </w:tcPr>
          <w:p>
            <w:pPr>
              <w:spacing w:after="20"/>
            </w:pPr>
            <w:r>
              <w:rPr>
                <w:color w:val="1C3A36"/>
                <w:sz w:val="15"/>
              </w:rPr>
              <w:t>5,119.0</w:t>
            </w:r>
          </w:p>
        </w:tc>
        <w:tc>
          <w:tcPr>
            <w:tcW w:type="dxa" w:w="1037"/>
          </w:tcPr>
          <w:p>
            <w:pPr>
              <w:spacing w:after="20"/>
            </w:pPr>
            <w:r>
              <w:rPr>
                <w:color w:val="1C3A36"/>
                <w:sz w:val="15"/>
              </w:rPr>
              <w:t>2026-03-15</w:t>
            </w:r>
          </w:p>
        </w:tc>
        <w:tc>
          <w:tcPr>
            <w:tcW w:type="dxa" w:w="6019"/>
          </w:tcPr>
          <w:p>
            <w:pPr>
              <w:spacing w:after="20"/>
            </w:pPr>
            <w:r>
              <w:rPr>
                <w:color w:val="1C3A36"/>
                <w:sz w:val="15"/>
              </w:rPr>
              <w:t>Non-controlling interests, 31 Dec 2025: Rowad for Modern Engineering (49%) 1,429.7, Elsewedy Cables-KSA (40%) 2,546.8, Egyptian Co. for Solar Energy (49%) 297.5, Elsewedy Electric Zambia (40%) 453.2, Egyptian Co. for Electrical Insulators (25.17%) 76.1, Pyramids Zona Franca (5%) 17.9, others 297.7</w:t>
            </w:r>
          </w:p>
        </w:tc>
      </w:tr>
      <w:tr>
        <w:tc>
          <w:tcPr>
            <w:tcW w:type="dxa" w:w="1656"/>
          </w:tcPr>
          <w:p>
            <w:pPr>
              <w:spacing w:after="20"/>
            </w:pPr>
            <w:r>
              <w:rPr>
                <w:color w:val="1C3A36"/>
                <w:sz w:val="15"/>
              </w:rPr>
              <w:t>assoc bv fy24</w:t>
            </w:r>
          </w:p>
        </w:tc>
        <w:tc>
          <w:tcPr>
            <w:tcW w:type="dxa" w:w="1368"/>
          </w:tcPr>
          <w:p>
            <w:pPr>
              <w:spacing w:after="20"/>
            </w:pPr>
            <w:r>
              <w:rPr>
                <w:color w:val="1C3A36"/>
                <w:sz w:val="15"/>
              </w:rPr>
              <w:t>6,474.0</w:t>
            </w:r>
          </w:p>
        </w:tc>
        <w:tc>
          <w:tcPr>
            <w:tcW w:type="dxa" w:w="1037"/>
          </w:tcPr>
          <w:p>
            <w:pPr>
              <w:spacing w:after="20"/>
            </w:pPr>
            <w:r>
              <w:rPr>
                <w:color w:val="1C3A36"/>
                <w:sz w:val="15"/>
              </w:rPr>
              <w:t>2025-03-13</w:t>
            </w:r>
          </w:p>
        </w:tc>
        <w:tc>
          <w:tcPr>
            <w:tcW w:type="dxa" w:w="6019"/>
          </w:tcPr>
          <w:p>
            <w:pPr>
              <w:spacing w:after="20"/>
            </w:pPr>
            <w:r>
              <w:rPr>
                <w:color w:val="1C3A36"/>
                <w:sz w:val="15"/>
              </w:rPr>
              <w:t>Equity-accounted investees, carrying value, 31 Dec 2024</w:t>
            </w:r>
          </w:p>
        </w:tc>
      </w:tr>
      <w:tr>
        <w:tc>
          <w:tcPr>
            <w:tcW w:type="dxa" w:w="1656"/>
          </w:tcPr>
          <w:p>
            <w:pPr>
              <w:spacing w:after="20"/>
            </w:pPr>
            <w:r>
              <w:rPr>
                <w:color w:val="1C3A36"/>
                <w:sz w:val="15"/>
              </w:rPr>
              <w:t>assoc bv fy25</w:t>
            </w:r>
          </w:p>
        </w:tc>
        <w:tc>
          <w:tcPr>
            <w:tcW w:type="dxa" w:w="1368"/>
          </w:tcPr>
          <w:p>
            <w:pPr>
              <w:spacing w:after="20"/>
            </w:pPr>
            <w:r>
              <w:rPr>
                <w:color w:val="1C3A36"/>
                <w:sz w:val="15"/>
              </w:rPr>
              <w:t>6,757.7</w:t>
            </w:r>
          </w:p>
        </w:tc>
        <w:tc>
          <w:tcPr>
            <w:tcW w:type="dxa" w:w="1037"/>
          </w:tcPr>
          <w:p>
            <w:pPr>
              <w:spacing w:after="20"/>
            </w:pPr>
            <w:r>
              <w:rPr>
                <w:color w:val="1C3A36"/>
                <w:sz w:val="15"/>
              </w:rPr>
              <w:t>2026-03-15</w:t>
            </w:r>
          </w:p>
        </w:tc>
        <w:tc>
          <w:tcPr>
            <w:tcW w:type="dxa" w:w="6019"/>
          </w:tcPr>
          <w:p>
            <w:pPr>
              <w:spacing w:after="20"/>
            </w:pPr>
            <w:r>
              <w:rPr>
                <w:color w:val="1C3A36"/>
                <w:sz w:val="15"/>
              </w:rPr>
              <w:t>Equity-accounted investees, carrying value, 31 Dec 2025 — the closing balance used in the valuation bridge (the anchor date is Aug-2026, so the FY2025 close is the most recent audited figure, not FY2024's)</w:t>
            </w:r>
          </w:p>
        </w:tc>
      </w:tr>
      <w:tr>
        <w:tc>
          <w:tcPr>
            <w:tcW w:type="dxa" w:w="1656"/>
          </w:tcPr>
          <w:p>
            <w:pPr>
              <w:spacing w:after="20"/>
            </w:pPr>
            <w:r>
              <w:rPr>
                <w:color w:val="1C3A36"/>
                <w:sz w:val="15"/>
              </w:rPr>
              <w:t>intang fy24</w:t>
            </w:r>
          </w:p>
        </w:tc>
        <w:tc>
          <w:tcPr>
            <w:tcW w:type="dxa" w:w="1368"/>
          </w:tcPr>
          <w:p>
            <w:pPr>
              <w:spacing w:after="20"/>
            </w:pPr>
            <w:r>
              <w:rPr>
                <w:color w:val="1C3A36"/>
                <w:sz w:val="15"/>
              </w:rPr>
              <w:t>1,459.2</w:t>
            </w:r>
          </w:p>
        </w:tc>
        <w:tc>
          <w:tcPr>
            <w:tcW w:type="dxa" w:w="1037"/>
          </w:tcPr>
          <w:p>
            <w:pPr>
              <w:spacing w:after="20"/>
            </w:pPr>
            <w:r>
              <w:rPr>
                <w:color w:val="1C3A36"/>
                <w:sz w:val="15"/>
              </w:rPr>
              <w:t>2025-03-13</w:t>
            </w:r>
          </w:p>
        </w:tc>
        <w:tc>
          <w:tcPr>
            <w:tcW w:type="dxa" w:w="6019"/>
          </w:tcPr>
          <w:p>
            <w:pPr>
              <w:spacing w:after="20"/>
            </w:pPr>
            <w:r>
              <w:rPr>
                <w:color w:val="1C3A36"/>
                <w:sz w:val="15"/>
              </w:rPr>
              <w:t>Intangible assets and goodwill, 31 Dec 2024</w:t>
            </w:r>
          </w:p>
        </w:tc>
      </w:tr>
      <w:tr>
        <w:tc>
          <w:tcPr>
            <w:tcW w:type="dxa" w:w="1656"/>
          </w:tcPr>
          <w:p>
            <w:pPr>
              <w:spacing w:after="20"/>
            </w:pPr>
            <w:r>
              <w:rPr>
                <w:color w:val="1C3A36"/>
                <w:sz w:val="15"/>
              </w:rPr>
              <w:t>intang fy25</w:t>
            </w:r>
          </w:p>
        </w:tc>
        <w:tc>
          <w:tcPr>
            <w:tcW w:type="dxa" w:w="1368"/>
          </w:tcPr>
          <w:p>
            <w:pPr>
              <w:spacing w:after="20"/>
            </w:pPr>
            <w:r>
              <w:rPr>
                <w:color w:val="1C3A36"/>
                <w:sz w:val="15"/>
              </w:rPr>
              <w:t>1,748.8</w:t>
            </w:r>
          </w:p>
        </w:tc>
        <w:tc>
          <w:tcPr>
            <w:tcW w:type="dxa" w:w="1037"/>
          </w:tcPr>
          <w:p>
            <w:pPr>
              <w:spacing w:after="20"/>
            </w:pPr>
            <w:r>
              <w:rPr>
                <w:color w:val="1C3A36"/>
                <w:sz w:val="15"/>
              </w:rPr>
              <w:t>2026-03-15</w:t>
            </w:r>
          </w:p>
        </w:tc>
        <w:tc>
          <w:tcPr>
            <w:tcW w:type="dxa" w:w="6019"/>
          </w:tcPr>
          <w:p>
            <w:pPr>
              <w:spacing w:after="20"/>
            </w:pPr>
            <w:r>
              <w:rPr>
                <w:color w:val="1C3A36"/>
                <w:sz w:val="15"/>
              </w:rPr>
              <w:t>Intangible assets and goodwill, 31 Dec 2025</w:t>
            </w:r>
          </w:p>
        </w:tc>
      </w:tr>
      <w:tr>
        <w:tc>
          <w:tcPr>
            <w:tcW w:type="dxa" w:w="1656"/>
          </w:tcPr>
          <w:p>
            <w:pPr>
              <w:spacing w:after="20"/>
            </w:pPr>
            <w:r>
              <w:rPr>
                <w:color w:val="1C3A36"/>
                <w:sz w:val="15"/>
              </w:rPr>
              <w:t>dps fy24</w:t>
            </w:r>
          </w:p>
        </w:tc>
        <w:tc>
          <w:tcPr>
            <w:tcW w:type="dxa" w:w="1368"/>
          </w:tcPr>
          <w:p>
            <w:pPr>
              <w:spacing w:after="20"/>
            </w:pPr>
            <w:r>
              <w:rPr>
                <w:color w:val="1C3A36"/>
                <w:sz w:val="15"/>
              </w:rPr>
              <w:t>1</w:t>
            </w:r>
          </w:p>
        </w:tc>
        <w:tc>
          <w:tcPr>
            <w:tcW w:type="dxa" w:w="1037"/>
          </w:tcPr>
          <w:p>
            <w:pPr>
              <w:spacing w:after="20"/>
            </w:pPr>
            <w:r>
              <w:rPr>
                <w:color w:val="1C3A36"/>
                <w:sz w:val="15"/>
              </w:rPr>
              <w:t>2026-03-15</w:t>
            </w:r>
          </w:p>
        </w:tc>
        <w:tc>
          <w:tcPr>
            <w:tcW w:type="dxa" w:w="6019"/>
          </w:tcPr>
          <w:p>
            <w:pPr>
              <w:spacing w:after="20"/>
            </w:pPr>
            <w:r>
              <w:rPr>
                <w:color w:val="1C3A36"/>
                <w:sz w:val="15"/>
              </w:rPr>
              <w:t>FY2024 dividend, paid during FY2025: cash flow statement 'dividends paid to shareholders' of 3,111.384454 splits into 2,139.355716 to owners of the parent and 972.028738 to non-controlling interests; 2,139.355716 / 2,139,355,716 weighted shares = EXACTLY EGP 1.00 per share</w:t>
            </w:r>
          </w:p>
        </w:tc>
      </w:tr>
      <w:tr>
        <w:tc>
          <w:tcPr>
            <w:tcW w:type="dxa" w:w="1656"/>
          </w:tcPr>
          <w:p>
            <w:pPr>
              <w:spacing w:after="20"/>
            </w:pPr>
            <w:r>
              <w:rPr>
                <w:color w:val="1C3A36"/>
                <w:sz w:val="15"/>
              </w:rPr>
              <w:t>dps fy25</w:t>
            </w:r>
          </w:p>
        </w:tc>
        <w:tc>
          <w:tcPr>
            <w:tcW w:type="dxa" w:w="1368"/>
          </w:tcPr>
          <w:p>
            <w:pPr>
              <w:spacing w:after="20"/>
            </w:pPr>
            <w:r>
              <w:rPr>
                <w:color w:val="1C3A36"/>
                <w:sz w:val="15"/>
              </w:rPr>
              <w:t>1.85</w:t>
            </w:r>
          </w:p>
        </w:tc>
        <w:tc>
          <w:tcPr>
            <w:tcW w:type="dxa" w:w="1037"/>
          </w:tcPr>
          <w:p>
            <w:pPr>
              <w:spacing w:after="20"/>
            </w:pPr>
            <w:r>
              <w:rPr>
                <w:color w:val="1C3A36"/>
                <w:sz w:val="15"/>
              </w:rPr>
              <w:t>2026-05-06</w:t>
            </w:r>
          </w:p>
        </w:tc>
        <w:tc>
          <w:tcPr>
            <w:tcW w:type="dxa" w:w="6019"/>
          </w:tcPr>
          <w:p>
            <w:pPr>
              <w:spacing w:after="20"/>
            </w:pPr>
            <w:r>
              <w:rPr>
                <w:color w:val="1C3A36"/>
                <w:sz w:val="15"/>
              </w:rPr>
              <w:t>FY2025 cash dividend of EGP 1.85/share: recommended with the FY2025 results, ratified by the ordinary general assembly on 6 May 2026, rights with the share through 1 June, paid from 4 June 2026 (EGX disclosure, corroborated by Arab Finance coverage and the quoted ~2.0% trailing yield). RESTORED after external critique: an earlier revision removed this figure because neither the FY2025 annual filing (board-approved 12 Mar 2026) nor the Q1-2026 interim disclosed it — an absence-of-evidence error, since the interim covers a period ending 31 March and carries no subsequent-events note, so its silence was never evidence. Payout = 1.85 / 8.10 attributable EPS = 22.8%</w:t>
            </w:r>
          </w:p>
        </w:tc>
      </w:tr>
      <w:tr>
        <w:tc>
          <w:tcPr>
            <w:tcW w:type="dxa" w:w="1656"/>
          </w:tcPr>
          <w:p>
            <w:pPr>
              <w:spacing w:after="20"/>
            </w:pPr>
            <w:r>
              <w:rPr>
                <w:color w:val="1C3A36"/>
                <w:sz w:val="15"/>
              </w:rPr>
              <w:t>capex fy23</w:t>
            </w:r>
          </w:p>
        </w:tc>
        <w:tc>
          <w:tcPr>
            <w:tcW w:type="dxa" w:w="1368"/>
          </w:tcPr>
          <w:p>
            <w:pPr>
              <w:spacing w:after="20"/>
            </w:pPr>
            <w:r>
              <w:rPr>
                <w:color w:val="1C3A36"/>
                <w:sz w:val="15"/>
              </w:rPr>
              <w:t>4,748.6</w:t>
            </w:r>
          </w:p>
        </w:tc>
        <w:tc>
          <w:tcPr>
            <w:tcW w:type="dxa" w:w="1037"/>
          </w:tcPr>
          <w:p>
            <w:pPr>
              <w:spacing w:after="20"/>
            </w:pPr>
            <w:r>
              <w:rPr>
                <w:color w:val="1C3A36"/>
                <w:sz w:val="15"/>
              </w:rPr>
              <w:t>2024-03-13</w:t>
            </w:r>
          </w:p>
        </w:tc>
        <w:tc>
          <w:tcPr>
            <w:tcW w:type="dxa" w:w="6019"/>
          </w:tcPr>
          <w:p>
            <w:pPr>
              <w:spacing w:after="20"/>
            </w:pPr>
            <w:r>
              <w:rPr>
                <w:color w:val="1C3A36"/>
                <w:sz w:val="15"/>
              </w:rPr>
              <w:t>Audited FY2023 consolidated cash flow statement: 'acquisition of property, plant and equipment'</w:t>
            </w:r>
          </w:p>
        </w:tc>
      </w:tr>
      <w:tr>
        <w:tc>
          <w:tcPr>
            <w:tcW w:type="dxa" w:w="1656"/>
          </w:tcPr>
          <w:p>
            <w:pPr>
              <w:spacing w:after="20"/>
            </w:pPr>
            <w:r>
              <w:rPr>
                <w:color w:val="1C3A36"/>
                <w:sz w:val="15"/>
              </w:rPr>
              <w:t>capex fy24</w:t>
            </w:r>
          </w:p>
        </w:tc>
        <w:tc>
          <w:tcPr>
            <w:tcW w:type="dxa" w:w="1368"/>
          </w:tcPr>
          <w:p>
            <w:pPr>
              <w:spacing w:after="20"/>
            </w:pPr>
            <w:r>
              <w:rPr>
                <w:color w:val="1C3A36"/>
                <w:sz w:val="15"/>
              </w:rPr>
              <w:t>8,489.8</w:t>
            </w:r>
          </w:p>
        </w:tc>
        <w:tc>
          <w:tcPr>
            <w:tcW w:type="dxa" w:w="1037"/>
          </w:tcPr>
          <w:p>
            <w:pPr>
              <w:spacing w:after="20"/>
            </w:pPr>
            <w:r>
              <w:rPr>
                <w:color w:val="1C3A36"/>
                <w:sz w:val="15"/>
              </w:rPr>
              <w:t>2025-03-13</w:t>
            </w:r>
          </w:p>
        </w:tc>
        <w:tc>
          <w:tcPr>
            <w:tcW w:type="dxa" w:w="6019"/>
          </w:tcPr>
          <w:p>
            <w:pPr>
              <w:spacing w:after="20"/>
            </w:pPr>
            <w:r>
              <w:rPr>
                <w:color w:val="1C3A36"/>
                <w:sz w:val="15"/>
              </w:rPr>
              <w:t>Audited FY2024 consolidated cash flow statement: 'paid for acquisition of property, plant and equipment and projects under construction'</w:t>
            </w:r>
          </w:p>
        </w:tc>
      </w:tr>
      <w:tr>
        <w:tc>
          <w:tcPr>
            <w:tcW w:type="dxa" w:w="1656"/>
          </w:tcPr>
          <w:p>
            <w:pPr>
              <w:spacing w:after="20"/>
            </w:pPr>
            <w:r>
              <w:rPr>
                <w:color w:val="1C3A36"/>
                <w:sz w:val="15"/>
              </w:rPr>
              <w:t>capex fy25</w:t>
            </w:r>
          </w:p>
        </w:tc>
        <w:tc>
          <w:tcPr>
            <w:tcW w:type="dxa" w:w="1368"/>
          </w:tcPr>
          <w:p>
            <w:pPr>
              <w:spacing w:after="20"/>
            </w:pPr>
            <w:r>
              <w:rPr>
                <w:color w:val="1C3A36"/>
                <w:sz w:val="15"/>
              </w:rPr>
              <w:t>13,112.0</w:t>
            </w:r>
          </w:p>
        </w:tc>
        <w:tc>
          <w:tcPr>
            <w:tcW w:type="dxa" w:w="1037"/>
          </w:tcPr>
          <w:p>
            <w:pPr>
              <w:spacing w:after="20"/>
            </w:pPr>
            <w:r>
              <w:rPr>
                <w:color w:val="1C3A36"/>
                <w:sz w:val="15"/>
              </w:rPr>
              <w:t>2026-03-15</w:t>
            </w:r>
          </w:p>
        </w:tc>
        <w:tc>
          <w:tcPr>
            <w:tcW w:type="dxa" w:w="6019"/>
          </w:tcPr>
          <w:p>
            <w:pPr>
              <w:spacing w:after="20"/>
            </w:pPr>
            <w:r>
              <w:rPr>
                <w:color w:val="1C3A36"/>
                <w:sz w:val="15"/>
              </w:rPr>
              <w:t>Audited FY2025 consolidated cash flow statement: 'paid for acquisition of property, plant and equipment and projects under construction' — a 55% step-up on FY2024, the capacity-expansion cycle referenced throughout this study</w:t>
            </w:r>
          </w:p>
        </w:tc>
      </w:tr>
      <w:tr>
        <w:tc>
          <w:tcPr>
            <w:tcW w:type="dxa" w:w="1656"/>
          </w:tcPr>
          <w:p>
            <w:pPr>
              <w:spacing w:after="20"/>
            </w:pPr>
            <w:r>
              <w:rPr>
                <w:color w:val="1C3A36"/>
                <w:sz w:val="15"/>
              </w:rPr>
              <w:t>int paid fy25</w:t>
            </w:r>
          </w:p>
        </w:tc>
        <w:tc>
          <w:tcPr>
            <w:tcW w:type="dxa" w:w="1368"/>
          </w:tcPr>
          <w:p>
            <w:pPr>
              <w:spacing w:after="20"/>
            </w:pPr>
            <w:r>
              <w:rPr>
                <w:color w:val="1C3A36"/>
                <w:sz w:val="15"/>
              </w:rPr>
              <w:t>5,740.3</w:t>
            </w:r>
          </w:p>
        </w:tc>
        <w:tc>
          <w:tcPr>
            <w:tcW w:type="dxa" w:w="1037"/>
          </w:tcPr>
          <w:p>
            <w:pPr>
              <w:spacing w:after="20"/>
            </w:pPr>
            <w:r>
              <w:rPr>
                <w:color w:val="1C3A36"/>
                <w:sz w:val="15"/>
              </w:rPr>
              <w:t>2026-03-15</w:t>
            </w:r>
          </w:p>
        </w:tc>
        <w:tc>
          <w:tcPr>
            <w:tcW w:type="dxa" w:w="6019"/>
          </w:tcPr>
          <w:p>
            <w:pPr>
              <w:spacing w:after="20"/>
            </w:pPr>
            <w:r>
              <w:rPr>
                <w:color w:val="1C3A36"/>
                <w:sz w:val="15"/>
              </w:rPr>
              <w:t>Interest paid, audited FY2025 consolidated statement of cash flows</w:t>
            </w:r>
          </w:p>
        </w:tc>
      </w:tr>
      <w:tr>
        <w:tc>
          <w:tcPr>
            <w:tcW w:type="dxa" w:w="1656"/>
          </w:tcPr>
          <w:p>
            <w:pPr>
              <w:spacing w:after="20"/>
            </w:pPr>
            <w:r>
              <w:rPr>
                <w:color w:val="1C3A36"/>
                <w:sz w:val="15"/>
              </w:rPr>
              <w:t>tax paid fy25</w:t>
            </w:r>
          </w:p>
        </w:tc>
        <w:tc>
          <w:tcPr>
            <w:tcW w:type="dxa" w:w="1368"/>
          </w:tcPr>
          <w:p>
            <w:pPr>
              <w:spacing w:after="20"/>
            </w:pPr>
            <w:r>
              <w:rPr>
                <w:color w:val="1C3A36"/>
                <w:sz w:val="15"/>
              </w:rPr>
              <w:t>8,298.8</w:t>
            </w:r>
          </w:p>
        </w:tc>
        <w:tc>
          <w:tcPr>
            <w:tcW w:type="dxa" w:w="1037"/>
          </w:tcPr>
          <w:p>
            <w:pPr>
              <w:spacing w:after="20"/>
            </w:pPr>
            <w:r>
              <w:rPr>
                <w:color w:val="1C3A36"/>
                <w:sz w:val="15"/>
              </w:rPr>
              <w:t>2026-03-15</w:t>
            </w:r>
          </w:p>
        </w:tc>
        <w:tc>
          <w:tcPr>
            <w:tcW w:type="dxa" w:w="6019"/>
          </w:tcPr>
          <w:p>
            <w:pPr>
              <w:spacing w:after="20"/>
            </w:pPr>
            <w:r>
              <w:rPr>
                <w:color w:val="1C3A36"/>
                <w:sz w:val="15"/>
              </w:rPr>
              <w:t>Income tax paid, audited FY2025 consolidated statement of cash flows</w:t>
            </w:r>
          </w:p>
        </w:tc>
      </w:tr>
      <w:tr>
        <w:tc>
          <w:tcPr>
            <w:tcW w:type="dxa" w:w="1656"/>
          </w:tcPr>
          <w:p>
            <w:pPr>
              <w:spacing w:after="20"/>
            </w:pPr>
            <w:r>
              <w:rPr>
                <w:color w:val="1C3A36"/>
                <w:sz w:val="15"/>
              </w:rPr>
              <w:t>ocf fy25</w:t>
            </w:r>
          </w:p>
        </w:tc>
        <w:tc>
          <w:tcPr>
            <w:tcW w:type="dxa" w:w="1368"/>
          </w:tcPr>
          <w:p>
            <w:pPr>
              <w:spacing w:after="20"/>
            </w:pPr>
            <w:r>
              <w:rPr>
                <w:color w:val="1C3A36"/>
                <w:sz w:val="15"/>
              </w:rPr>
              <w:t>12,765.9</w:t>
            </w:r>
          </w:p>
        </w:tc>
        <w:tc>
          <w:tcPr>
            <w:tcW w:type="dxa" w:w="1037"/>
          </w:tcPr>
          <w:p>
            <w:pPr>
              <w:spacing w:after="20"/>
            </w:pPr>
            <w:r>
              <w:rPr>
                <w:color w:val="1C3A36"/>
                <w:sz w:val="15"/>
              </w:rPr>
              <w:t>2026-03-15</w:t>
            </w:r>
          </w:p>
        </w:tc>
        <w:tc>
          <w:tcPr>
            <w:tcW w:type="dxa" w:w="6019"/>
          </w:tcPr>
          <w:p>
            <w:pPr>
              <w:spacing w:after="20"/>
            </w:pPr>
            <w:r>
              <w:rPr>
                <w:color w:val="1C3A36"/>
                <w:sz w:val="15"/>
              </w:rPr>
              <w:t>Net cash flows from operating activities, FY2025 (after interest and tax) — 12,765.9 against house EBITDA of 28,363.2, still well below full conversion but a sharp recovery from FY2024's 3,979.4, as the pace of working-capital absorption slowed</w:t>
            </w:r>
          </w:p>
        </w:tc>
      </w:tr>
      <w:tr>
        <w:tc>
          <w:tcPr>
            <w:tcW w:type="dxa" w:w="1656"/>
          </w:tcPr>
          <w:p>
            <w:pPr>
              <w:spacing w:after="20"/>
            </w:pPr>
            <w:r>
              <w:rPr>
                <w:color w:val="1C3A36"/>
                <w:sz w:val="15"/>
              </w:rPr>
              <w:t>q1 25 rev</w:t>
            </w:r>
          </w:p>
        </w:tc>
        <w:tc>
          <w:tcPr>
            <w:tcW w:type="dxa" w:w="1368"/>
          </w:tcPr>
          <w:p>
            <w:pPr>
              <w:spacing w:after="20"/>
            </w:pPr>
            <w:r>
              <w:rPr>
                <w:color w:val="1C3A36"/>
                <w:sz w:val="15"/>
              </w:rPr>
              <w:t>59,391.5</w:t>
            </w:r>
          </w:p>
        </w:tc>
        <w:tc>
          <w:tcPr>
            <w:tcW w:type="dxa" w:w="1037"/>
          </w:tcPr>
          <w:p>
            <w:pPr>
              <w:spacing w:after="20"/>
            </w:pPr>
            <w:r>
              <w:rPr>
                <w:color w:val="1C3A36"/>
                <w:sz w:val="15"/>
              </w:rPr>
              <w:t>2026-05-13</w:t>
            </w:r>
          </w:p>
        </w:tc>
        <w:tc>
          <w:tcPr>
            <w:tcW w:type="dxa" w:w="6019"/>
          </w:tcPr>
          <w:p>
            <w:pPr>
              <w:spacing w:after="20"/>
            </w:pPr>
            <w:r>
              <w:rPr>
                <w:color w:val="1C3A36"/>
                <w:sz w:val="15"/>
              </w:rPr>
              <w:t>Condensed consolidated interim statement of profit or loss, 3M to 31-Mar-2025 (comparative column of the Q1-2026 filing)</w:t>
            </w:r>
          </w:p>
        </w:tc>
      </w:tr>
      <w:tr>
        <w:tc>
          <w:tcPr>
            <w:tcW w:type="dxa" w:w="1656"/>
          </w:tcPr>
          <w:p>
            <w:pPr>
              <w:spacing w:after="20"/>
            </w:pPr>
            <w:r>
              <w:rPr>
                <w:color w:val="1C3A36"/>
                <w:sz w:val="15"/>
              </w:rPr>
              <w:t>q1 25 npa</w:t>
            </w:r>
          </w:p>
        </w:tc>
        <w:tc>
          <w:tcPr>
            <w:tcW w:type="dxa" w:w="1368"/>
          </w:tcPr>
          <w:p>
            <w:pPr>
              <w:spacing w:after="20"/>
            </w:pPr>
            <w:r>
              <w:rPr>
                <w:color w:val="1C3A36"/>
                <w:sz w:val="15"/>
              </w:rPr>
              <w:t>4,146.4</w:t>
            </w:r>
          </w:p>
        </w:tc>
        <w:tc>
          <w:tcPr>
            <w:tcW w:type="dxa" w:w="1037"/>
          </w:tcPr>
          <w:p>
            <w:pPr>
              <w:spacing w:after="20"/>
            </w:pPr>
            <w:r>
              <w:rPr>
                <w:color w:val="1C3A36"/>
                <w:sz w:val="15"/>
              </w:rPr>
              <w:t>2026-05-13</w:t>
            </w:r>
          </w:p>
        </w:tc>
        <w:tc>
          <w:tcPr>
            <w:tcW w:type="dxa" w:w="6019"/>
          </w:tcPr>
          <w:p>
            <w:pPr>
              <w:spacing w:after="20"/>
            </w:pPr>
            <w:r>
              <w:rPr>
                <w:color w:val="1C3A36"/>
                <w:sz w:val="15"/>
              </w:rPr>
              <w:t>Profit attributable to owners of the parent, Q1-2025</w:t>
            </w:r>
          </w:p>
        </w:tc>
      </w:tr>
      <w:tr>
        <w:tc>
          <w:tcPr>
            <w:tcW w:type="dxa" w:w="1656"/>
          </w:tcPr>
          <w:p>
            <w:pPr>
              <w:spacing w:after="20"/>
            </w:pPr>
            <w:r>
              <w:rPr>
                <w:color w:val="1C3A36"/>
                <w:sz w:val="15"/>
              </w:rPr>
              <w:t>q1 26 rev</w:t>
            </w:r>
          </w:p>
        </w:tc>
        <w:tc>
          <w:tcPr>
            <w:tcW w:type="dxa" w:w="1368"/>
          </w:tcPr>
          <w:p>
            <w:pPr>
              <w:spacing w:after="20"/>
            </w:pPr>
            <w:r>
              <w:rPr>
                <w:color w:val="1C3A36"/>
                <w:sz w:val="15"/>
              </w:rPr>
              <w:t>75,298.4</w:t>
            </w:r>
          </w:p>
        </w:tc>
        <w:tc>
          <w:tcPr>
            <w:tcW w:type="dxa" w:w="1037"/>
          </w:tcPr>
          <w:p>
            <w:pPr>
              <w:spacing w:after="20"/>
            </w:pPr>
            <w:r>
              <w:rPr>
                <w:color w:val="1C3A36"/>
                <w:sz w:val="15"/>
              </w:rPr>
              <w:t>2026-05-13</w:t>
            </w:r>
          </w:p>
        </w:tc>
        <w:tc>
          <w:tcPr>
            <w:tcW w:type="dxa" w:w="6019"/>
          </w:tcPr>
          <w:p>
            <w:pPr>
              <w:spacing w:after="20"/>
            </w:pPr>
            <w:r>
              <w:rPr>
                <w:color w:val="1C3A36"/>
                <w:sz w:val="15"/>
              </w:rPr>
              <w:t>Condensed consolidated interim statement of profit or loss, 3M to 31-Mar-2026</w:t>
            </w:r>
          </w:p>
        </w:tc>
      </w:tr>
      <w:tr>
        <w:tc>
          <w:tcPr>
            <w:tcW w:type="dxa" w:w="1656"/>
          </w:tcPr>
          <w:p>
            <w:pPr>
              <w:spacing w:after="20"/>
            </w:pPr>
            <w:r>
              <w:rPr>
                <w:color w:val="1C3A36"/>
                <w:sz w:val="15"/>
              </w:rPr>
              <w:t>q1 26 gp</w:t>
            </w:r>
          </w:p>
        </w:tc>
        <w:tc>
          <w:tcPr>
            <w:tcW w:type="dxa" w:w="1368"/>
          </w:tcPr>
          <w:p>
            <w:pPr>
              <w:spacing w:after="20"/>
            </w:pPr>
            <w:r>
              <w:rPr>
                <w:color w:val="1C3A36"/>
                <w:sz w:val="15"/>
              </w:rPr>
              <w:t>13,128.2</w:t>
            </w:r>
          </w:p>
        </w:tc>
        <w:tc>
          <w:tcPr>
            <w:tcW w:type="dxa" w:w="1037"/>
          </w:tcPr>
          <w:p>
            <w:pPr>
              <w:spacing w:after="20"/>
            </w:pPr>
            <w:r>
              <w:rPr>
                <w:color w:val="1C3A36"/>
                <w:sz w:val="15"/>
              </w:rPr>
              <w:t>2026-05-13</w:t>
            </w:r>
          </w:p>
        </w:tc>
        <w:tc>
          <w:tcPr>
            <w:tcW w:type="dxa" w:w="6019"/>
          </w:tcPr>
          <w:p>
            <w:pPr>
              <w:spacing w:after="20"/>
            </w:pPr>
            <w:r>
              <w:rPr>
                <w:color w:val="1C3A36"/>
                <w:sz w:val="15"/>
              </w:rPr>
              <w:t>Gross profit, Q1-2026 interim statements</w:t>
            </w:r>
          </w:p>
        </w:tc>
      </w:tr>
      <w:tr>
        <w:tc>
          <w:tcPr>
            <w:tcW w:type="dxa" w:w="1656"/>
          </w:tcPr>
          <w:p>
            <w:pPr>
              <w:spacing w:after="20"/>
            </w:pPr>
            <w:r>
              <w:rPr>
                <w:color w:val="1C3A36"/>
                <w:sz w:val="15"/>
              </w:rPr>
              <w:t>q1 26 op</w:t>
            </w:r>
          </w:p>
        </w:tc>
        <w:tc>
          <w:tcPr>
            <w:tcW w:type="dxa" w:w="1368"/>
          </w:tcPr>
          <w:p>
            <w:pPr>
              <w:spacing w:after="20"/>
            </w:pPr>
            <w:r>
              <w:rPr>
                <w:color w:val="1C3A36"/>
                <w:sz w:val="15"/>
              </w:rPr>
              <w:t>8,247.2</w:t>
            </w:r>
          </w:p>
        </w:tc>
        <w:tc>
          <w:tcPr>
            <w:tcW w:type="dxa" w:w="1037"/>
          </w:tcPr>
          <w:p>
            <w:pPr>
              <w:spacing w:after="20"/>
            </w:pPr>
            <w:r>
              <w:rPr>
                <w:color w:val="1C3A36"/>
                <w:sz w:val="15"/>
              </w:rPr>
              <w:t>2026-05-13</w:t>
            </w:r>
          </w:p>
        </w:tc>
        <w:tc>
          <w:tcPr>
            <w:tcW w:type="dxa" w:w="6019"/>
          </w:tcPr>
          <w:p>
            <w:pPr>
              <w:spacing w:after="20"/>
            </w:pPr>
            <w:r>
              <w:rPr>
                <w:color w:val="1C3A36"/>
                <w:sz w:val="15"/>
              </w:rPr>
              <w:t>Operating profit, Q1-2026 interim statements</w:t>
            </w:r>
          </w:p>
        </w:tc>
      </w:tr>
      <w:tr>
        <w:tc>
          <w:tcPr>
            <w:tcW w:type="dxa" w:w="1656"/>
          </w:tcPr>
          <w:p>
            <w:pPr>
              <w:spacing w:after="20"/>
            </w:pPr>
            <w:r>
              <w:rPr>
                <w:color w:val="1C3A36"/>
                <w:sz w:val="15"/>
              </w:rPr>
              <w:t>q1 26 netfin</w:t>
            </w:r>
          </w:p>
        </w:tc>
        <w:tc>
          <w:tcPr>
            <w:tcW w:type="dxa" w:w="1368"/>
          </w:tcPr>
          <w:p>
            <w:pPr>
              <w:spacing w:after="20"/>
            </w:pPr>
            <w:r>
              <w:rPr>
                <w:color w:val="1C3A36"/>
                <w:sz w:val="15"/>
              </w:rPr>
              <w:t>-1,458.5</w:t>
            </w:r>
          </w:p>
        </w:tc>
        <w:tc>
          <w:tcPr>
            <w:tcW w:type="dxa" w:w="1037"/>
          </w:tcPr>
          <w:p>
            <w:pPr>
              <w:spacing w:after="20"/>
            </w:pPr>
            <w:r>
              <w:rPr>
                <w:color w:val="1C3A36"/>
                <w:sz w:val="15"/>
              </w:rPr>
              <w:t>2026-05-13</w:t>
            </w:r>
          </w:p>
        </w:tc>
        <w:tc>
          <w:tcPr>
            <w:tcW w:type="dxa" w:w="6019"/>
          </w:tcPr>
          <w:p>
            <w:pPr>
              <w:spacing w:after="20"/>
            </w:pPr>
            <w:r>
              <w:rPr>
                <w:color w:val="1C3A36"/>
                <w:sz w:val="15"/>
              </w:rPr>
              <w:t>Net finance costs, Q1-2026 interim statements: finance income 683.569177 less finance costs 2,142.046788</w:t>
            </w:r>
          </w:p>
        </w:tc>
      </w:tr>
      <w:tr>
        <w:tc>
          <w:tcPr>
            <w:tcW w:type="dxa" w:w="1656"/>
          </w:tcPr>
          <w:p>
            <w:pPr>
              <w:spacing w:after="20"/>
            </w:pPr>
            <w:r>
              <w:rPr>
                <w:color w:val="1C3A36"/>
                <w:sz w:val="15"/>
              </w:rPr>
              <w:t>q1 26 assoc</w:t>
            </w:r>
          </w:p>
        </w:tc>
        <w:tc>
          <w:tcPr>
            <w:tcW w:type="dxa" w:w="1368"/>
          </w:tcPr>
          <w:p>
            <w:pPr>
              <w:spacing w:after="20"/>
            </w:pPr>
            <w:r>
              <w:rPr>
                <w:color w:val="1C3A36"/>
                <w:sz w:val="15"/>
              </w:rPr>
              <w:t>253.2</w:t>
            </w:r>
          </w:p>
        </w:tc>
        <w:tc>
          <w:tcPr>
            <w:tcW w:type="dxa" w:w="1037"/>
          </w:tcPr>
          <w:p>
            <w:pPr>
              <w:spacing w:after="20"/>
            </w:pPr>
            <w:r>
              <w:rPr>
                <w:color w:val="1C3A36"/>
                <w:sz w:val="15"/>
              </w:rPr>
              <w:t>2026-05-13</w:t>
            </w:r>
          </w:p>
        </w:tc>
        <w:tc>
          <w:tcPr>
            <w:tcW w:type="dxa" w:w="6019"/>
          </w:tcPr>
          <w:p>
            <w:pPr>
              <w:spacing w:after="20"/>
            </w:pPr>
            <w:r>
              <w:rPr>
                <w:color w:val="1C3A36"/>
                <w:sz w:val="15"/>
              </w:rPr>
              <w:t>Share of profit of equity-accounted investees, Q1-2026 interim statements</w:t>
            </w:r>
          </w:p>
        </w:tc>
      </w:tr>
      <w:tr>
        <w:tc>
          <w:tcPr>
            <w:tcW w:type="dxa" w:w="1656"/>
          </w:tcPr>
          <w:p>
            <w:pPr>
              <w:spacing w:after="20"/>
            </w:pPr>
            <w:r>
              <w:rPr>
                <w:color w:val="1C3A36"/>
                <w:sz w:val="15"/>
              </w:rPr>
              <w:t>q1 26 tax</w:t>
            </w:r>
          </w:p>
        </w:tc>
        <w:tc>
          <w:tcPr>
            <w:tcW w:type="dxa" w:w="1368"/>
          </w:tcPr>
          <w:p>
            <w:pPr>
              <w:spacing w:after="20"/>
            </w:pPr>
            <w:r>
              <w:rPr>
                <w:color w:val="1C3A36"/>
                <w:sz w:val="15"/>
              </w:rPr>
              <w:t>-1,813.2</w:t>
            </w:r>
          </w:p>
        </w:tc>
        <w:tc>
          <w:tcPr>
            <w:tcW w:type="dxa" w:w="1037"/>
          </w:tcPr>
          <w:p>
            <w:pPr>
              <w:spacing w:after="20"/>
            </w:pPr>
            <w:r>
              <w:rPr>
                <w:color w:val="1C3A36"/>
                <w:sz w:val="15"/>
              </w:rPr>
              <w:t>2026-05-13</w:t>
            </w:r>
          </w:p>
        </w:tc>
        <w:tc>
          <w:tcPr>
            <w:tcW w:type="dxa" w:w="6019"/>
          </w:tcPr>
          <w:p>
            <w:pPr>
              <w:spacing w:after="20"/>
            </w:pPr>
            <w:r>
              <w:rPr>
                <w:color w:val="1C3A36"/>
                <w:sz w:val="15"/>
              </w:rPr>
              <w:t>Income tax expense, Q1-2026 interim statements (effective rate 25.75% on pre-tax profit of 7,041.966803, up from 21.96% in Q1-2025)</w:t>
            </w:r>
          </w:p>
        </w:tc>
      </w:tr>
      <w:tr>
        <w:tc>
          <w:tcPr>
            <w:tcW w:type="dxa" w:w="1656"/>
          </w:tcPr>
          <w:p>
            <w:pPr>
              <w:spacing w:after="20"/>
            </w:pPr>
            <w:r>
              <w:rPr>
                <w:color w:val="1C3A36"/>
                <w:sz w:val="15"/>
              </w:rPr>
              <w:t>q1 26 npa</w:t>
            </w:r>
          </w:p>
        </w:tc>
        <w:tc>
          <w:tcPr>
            <w:tcW w:type="dxa" w:w="1368"/>
          </w:tcPr>
          <w:p>
            <w:pPr>
              <w:spacing w:after="20"/>
            </w:pPr>
            <w:r>
              <w:rPr>
                <w:color w:val="1C3A36"/>
                <w:sz w:val="15"/>
              </w:rPr>
              <w:t>4,845.3</w:t>
            </w:r>
          </w:p>
        </w:tc>
        <w:tc>
          <w:tcPr>
            <w:tcW w:type="dxa" w:w="1037"/>
          </w:tcPr>
          <w:p>
            <w:pPr>
              <w:spacing w:after="20"/>
            </w:pPr>
            <w:r>
              <w:rPr>
                <w:color w:val="1C3A36"/>
                <w:sz w:val="15"/>
              </w:rPr>
              <w:t>2026-05-13</w:t>
            </w:r>
          </w:p>
        </w:tc>
        <w:tc>
          <w:tcPr>
            <w:tcW w:type="dxa" w:w="6019"/>
          </w:tcPr>
          <w:p>
            <w:pPr>
              <w:spacing w:after="20"/>
            </w:pPr>
            <w:r>
              <w:rPr>
                <w:color w:val="1C3A36"/>
                <w:sz w:val="15"/>
              </w:rPr>
              <w:t>Profit attributable to owners of the parent, Q1-2026, +16.9% y/y</w:t>
            </w:r>
          </w:p>
        </w:tc>
      </w:tr>
      <w:tr>
        <w:tc>
          <w:tcPr>
            <w:tcW w:type="dxa" w:w="1656"/>
          </w:tcPr>
          <w:p>
            <w:pPr>
              <w:spacing w:after="20"/>
            </w:pPr>
            <w:r>
              <w:rPr>
                <w:color w:val="1C3A36"/>
                <w:sz w:val="15"/>
              </w:rPr>
              <w:t>q1 26 nd</w:t>
            </w:r>
          </w:p>
        </w:tc>
        <w:tc>
          <w:tcPr>
            <w:tcW w:type="dxa" w:w="1368"/>
          </w:tcPr>
          <w:p>
            <w:pPr>
              <w:spacing w:after="20"/>
            </w:pPr>
            <w:r>
              <w:rPr>
                <w:color w:val="1C3A36"/>
                <w:sz w:val="15"/>
              </w:rPr>
              <w:t>28,768.8</w:t>
            </w:r>
          </w:p>
        </w:tc>
        <w:tc>
          <w:tcPr>
            <w:tcW w:type="dxa" w:w="1037"/>
          </w:tcPr>
          <w:p>
            <w:pPr>
              <w:spacing w:after="20"/>
            </w:pPr>
            <w:r>
              <w:rPr>
                <w:color w:val="1C3A36"/>
                <w:sz w:val="15"/>
              </w:rPr>
              <w:t>2026-05-13</w:t>
            </w:r>
          </w:p>
        </w:tc>
        <w:tc>
          <w:tcPr>
            <w:tcW w:type="dxa" w:w="6019"/>
          </w:tcPr>
          <w:p>
            <w:pPr>
              <w:spacing w:after="20"/>
            </w:pPr>
            <w:r>
              <w:rPr>
                <w:color w:val="1C3A36"/>
                <w:sz w:val="15"/>
              </w:rPr>
              <w:t>Net financial debt, 31 Mar 2026: total loans and borrowings including leases 89,533.539777 less cash 60,764.752555 — up sharply from FY2025-close as working capital absorbed cash (net operating cash flow was NEGATIVE 1,665.1 in the quarter) funded by 30,364.3 of new loan drawdowns</w:t>
            </w:r>
          </w:p>
        </w:tc>
      </w:tr>
      <w:tr>
        <w:tc>
          <w:tcPr>
            <w:tcW w:type="dxa" w:w="1656"/>
          </w:tcPr>
          <w:p>
            <w:pPr>
              <w:spacing w:after="20"/>
            </w:pPr>
            <w:r>
              <w:rPr>
                <w:color w:val="1C3A36"/>
                <w:sz w:val="15"/>
              </w:rPr>
              <w:t>seg rev hist</w:t>
            </w:r>
          </w:p>
        </w:tc>
        <w:tc>
          <w:tcPr>
            <w:tcW w:type="dxa" w:w="1368"/>
          </w:tcPr>
          <w:p>
            <w:pPr>
              <w:spacing w:after="20"/>
            </w:pPr>
            <w:r>
              <w:rPr>
                <w:color w:val="1C3A36"/>
                <w:sz w:val="15"/>
              </w:rPr>
              <w:t>FY23: cables: 82,421.3; construct: 53,482.8; elecprod: 16,282.2; FY24: cables: 137,189.8; construct: 70,921.4; elecprod: 23,870.6; FY25: cables: 155,792.9; construct: 90,958.6; elecprod: 34,297.6</w:t>
            </w:r>
          </w:p>
        </w:tc>
        <w:tc>
          <w:tcPr>
            <w:tcW w:type="dxa" w:w="1037"/>
          </w:tcPr>
          <w:p>
            <w:pPr>
              <w:spacing w:after="20"/>
            </w:pPr>
            <w:r>
              <w:rPr>
                <w:color w:val="1C3A36"/>
                <w:sz w:val="15"/>
              </w:rPr>
              <w:t>2026-03-15</w:t>
            </w:r>
          </w:p>
        </w:tc>
        <w:tc>
          <w:tcPr>
            <w:tcW w:type="dxa" w:w="6019"/>
          </w:tcPr>
          <w:p>
            <w:pPr>
              <w:spacing w:after="20"/>
            </w:pPr>
            <w:r>
              <w:rPr>
                <w:color w:val="1C3A36"/>
                <w:sz w:val="15"/>
              </w:rPr>
              <w:t>Revenue by product/service line, Note 5-3, all three audited financial statements. Sums EXACTLY to consolidated revenue in every year (152,186.247545 / 231,981.835577 / 281,049.081719). This REPLACES a seven-way sub-segment split (cables, raw material, engineering &amp; construction, transformers, meters, other electrical products, infrastructure investment) that does not appear in any of three years of audited filings</w:t>
            </w:r>
          </w:p>
        </w:tc>
      </w:tr>
      <w:tr>
        <w:tc>
          <w:tcPr>
            <w:tcW w:type="dxa" w:w="1656"/>
          </w:tcPr>
          <w:p>
            <w:pPr>
              <w:spacing w:after="20"/>
            </w:pPr>
            <w:r>
              <w:rPr>
                <w:color w:val="1C3A36"/>
                <w:sz w:val="15"/>
              </w:rPr>
              <w:t>seg profit hist</w:t>
            </w:r>
          </w:p>
        </w:tc>
        <w:tc>
          <w:tcPr>
            <w:tcW w:type="dxa" w:w="1368"/>
          </w:tcPr>
          <w:p>
            <w:pPr>
              <w:spacing w:after="20"/>
            </w:pPr>
            <w:r>
              <w:rPr>
                <w:color w:val="1C3A36"/>
                <w:sz w:val="15"/>
              </w:rPr>
              <w:t>FY23: cables: 16,057.6; construct: 6,215.5; elecprod: 4,142.8; FY24: cables: 24,851.9; construct: 8,115.9; elecprod: 6,345.3; FY25: cables: 21,016.4; construct: 5,868.9; elecprod: 7,604.8</w:t>
            </w:r>
          </w:p>
        </w:tc>
        <w:tc>
          <w:tcPr>
            <w:tcW w:type="dxa" w:w="1037"/>
          </w:tcPr>
          <w:p>
            <w:pPr>
              <w:spacing w:after="20"/>
            </w:pPr>
            <w:r>
              <w:rPr>
                <w:color w:val="1C3A36"/>
                <w:sz w:val="15"/>
              </w:rPr>
              <w:t>2026-03-15</w:t>
            </w:r>
          </w:p>
        </w:tc>
        <w:tc>
          <w:tcPr>
            <w:tcW w:type="dxa" w:w="6019"/>
          </w:tcPr>
          <w:p>
            <w:pPr>
              <w:spacing w:after="20"/>
            </w:pPr>
            <w:r>
              <w:rPr>
                <w:color w:val="1C3A36"/>
                <w:sz w:val="15"/>
              </w:rPr>
              <w:t>Segment profit by the same three segments, Note 16 (operating segments), all three audited financial statements — the inside-Egypt and outside-Egypt columns summed. This is computed on the segment note's OWN (pre-elimination) revenue base, which is larger than the Note 5-3 external-revenue view because it includes inter-segment sales (chiefly cable output consumed by the Constructions segment on turnkey projects); FY2025 also carries a disclosed unallocated/corporate item of -246.710877 not attributed to any segment. FY2023's three segments sum to 26,415.925233 against a disclosed total of 26,406.917233 (a 9.0 EGP thousand rounding residual in the filing's own inside/outside table, immaterial); FY2024 and FY2025 tie exactly</w:t>
            </w:r>
          </w:p>
        </w:tc>
      </w:tr>
      <w:tr>
        <w:tc>
          <w:tcPr>
            <w:tcW w:type="dxa" w:w="1656"/>
          </w:tcPr>
          <w:p>
            <w:pPr>
              <w:spacing w:after="20"/>
            </w:pPr>
            <w:r>
              <w:rPr>
                <w:color w:val="1C3A36"/>
                <w:sz w:val="15"/>
              </w:rPr>
              <w:t>corp load hist</w:t>
            </w:r>
          </w:p>
        </w:tc>
        <w:tc>
          <w:tcPr>
            <w:tcW w:type="dxa" w:w="1368"/>
          </w:tcPr>
          <w:p>
            <w:pPr>
              <w:spacing w:after="20"/>
            </w:pPr>
            <w:r>
              <w:rPr>
                <w:color w:val="1C3A36"/>
                <w:sz w:val="15"/>
              </w:rPr>
              <w:t>FY23: 0.057; FY24: 0.043; FY25: 0.0316</w:t>
            </w:r>
          </w:p>
        </w:tc>
        <w:tc>
          <w:tcPr>
            <w:tcW w:type="dxa" w:w="1037"/>
          </w:tcPr>
          <w:p>
            <w:pPr>
              <w:spacing w:after="20"/>
            </w:pPr>
            <w:r>
              <w:rPr>
                <w:color w:val="1C3A36"/>
                <w:sz w:val="15"/>
              </w:rPr>
              <w:t>2026-03-15</w:t>
            </w:r>
          </w:p>
        </w:tc>
        <w:tc>
          <w:tcPr>
            <w:tcW w:type="dxa" w:w="6019"/>
          </w:tcPr>
          <w:p>
            <w:pPr>
              <w:spacing w:after="20"/>
            </w:pPr>
            <w:r>
              <w:rPr>
                <w:color w:val="1C3A36"/>
                <w:sz w:val="15"/>
              </w:rPr>
              <w:t>Net corporate cost load = (G&amp;A + net impairment on receivables + other expenses - other income) / revenue, computed from the audited income statements. This is the bridge from segment profit (Note 16) to consolidated operating profit and it reconciles EXACTLY in all three years: e.g. FY2025 segment profit 34,490.095562 less the -246.710877 unallocated/corporate item = 34,243.384685, less 3.163% x revenue 281,049.081719 = 25,354.225619 = the audited operating profit to the EGP. The load has been FALLING — operating leverage improving at the corporate level even as segment margins compressed</w:t>
            </w:r>
          </w:p>
        </w:tc>
      </w:tr>
      <w:tr>
        <w:tc>
          <w:tcPr>
            <w:tcW w:type="dxa" w:w="1656"/>
          </w:tcPr>
          <w:p>
            <w:pPr>
              <w:spacing w:after="20"/>
            </w:pPr>
            <w:r>
              <w:rPr>
                <w:color w:val="1C3A36"/>
                <w:sz w:val="15"/>
              </w:rPr>
              <w:t>seg unalloc fy25</w:t>
            </w:r>
          </w:p>
        </w:tc>
        <w:tc>
          <w:tcPr>
            <w:tcW w:type="dxa" w:w="1368"/>
          </w:tcPr>
          <w:p>
            <w:pPr>
              <w:spacing w:after="20"/>
            </w:pPr>
            <w:r>
              <w:rPr>
                <w:color w:val="1C3A36"/>
                <w:sz w:val="15"/>
              </w:rPr>
              <w:t>-246.7</w:t>
            </w:r>
          </w:p>
        </w:tc>
        <w:tc>
          <w:tcPr>
            <w:tcW w:type="dxa" w:w="1037"/>
          </w:tcPr>
          <w:p>
            <w:pPr>
              <w:spacing w:after="20"/>
            </w:pPr>
            <w:r>
              <w:rPr>
                <w:color w:val="1C3A36"/>
                <w:sz w:val="15"/>
              </w:rPr>
              <w:t>2026-03-15</w:t>
            </w:r>
          </w:p>
        </w:tc>
        <w:tc>
          <w:tcPr>
            <w:tcW w:type="dxa" w:w="6019"/>
          </w:tcPr>
          <w:p>
            <w:pPr>
              <w:spacing w:after="20"/>
            </w:pPr>
            <w:r>
              <w:rPr>
                <w:color w:val="1C3A36"/>
                <w:sz w:val="15"/>
              </w:rPr>
              <w:t>Unallocated/corporate segment item, Note 16, FY2025 audited financial statements — not attributed to any of the three segments; netted against the three segments' summed profit before the corporate-load bridge is applied. No equivalent unallocated item is disclosed for FY2023 or FY2024</w:t>
            </w:r>
          </w:p>
        </w:tc>
      </w:tr>
      <w:tr>
        <w:tc>
          <w:tcPr>
            <w:tcW w:type="dxa" w:w="1656"/>
          </w:tcPr>
          <w:p>
            <w:pPr>
              <w:spacing w:after="20"/>
            </w:pPr>
            <w:r>
              <w:rPr>
                <w:color w:val="1C3A36"/>
                <w:sz w:val="15"/>
              </w:rPr>
              <w:t>dna pct hist</w:t>
            </w:r>
          </w:p>
        </w:tc>
        <w:tc>
          <w:tcPr>
            <w:tcW w:type="dxa" w:w="1368"/>
          </w:tcPr>
          <w:p>
            <w:pPr>
              <w:spacing w:after="20"/>
            </w:pPr>
            <w:r>
              <w:rPr>
                <w:color w:val="1C3A36"/>
                <w:sz w:val="15"/>
              </w:rPr>
              <w:t>FY23: 0.0151; FY24: 0.0097; FY25: 0.0107</w:t>
            </w:r>
          </w:p>
        </w:tc>
        <w:tc>
          <w:tcPr>
            <w:tcW w:type="dxa" w:w="1037"/>
          </w:tcPr>
          <w:p>
            <w:pPr>
              <w:spacing w:after="20"/>
            </w:pPr>
            <w:r>
              <w:rPr>
                <w:color w:val="1C3A36"/>
                <w:sz w:val="15"/>
              </w:rPr>
              <w:t>2026-03-15</w:t>
            </w:r>
          </w:p>
        </w:tc>
        <w:tc>
          <w:tcPr>
            <w:tcW w:type="dxa" w:w="6019"/>
          </w:tcPr>
          <w:p>
            <w:pPr>
              <w:spacing w:after="20"/>
            </w:pPr>
            <w:r>
              <w:rPr>
                <w:color w:val="1C3A36"/>
                <w:sz w:val="15"/>
              </w:rPr>
              <w:t>Depreciation and amortisation as a share of revenue, computed from the audited cash flow statements</w:t>
            </w:r>
          </w:p>
        </w:tc>
      </w:tr>
      <w:tr>
        <w:tc>
          <w:tcPr>
            <w:tcW w:type="dxa" w:w="1656"/>
          </w:tcPr>
          <w:p>
            <w:pPr>
              <w:spacing w:after="20"/>
            </w:pPr>
            <w:r>
              <w:rPr>
                <w:color w:val="1C3A36"/>
                <w:sz w:val="15"/>
              </w:rPr>
              <w:t>capex pct hist</w:t>
            </w:r>
          </w:p>
        </w:tc>
        <w:tc>
          <w:tcPr>
            <w:tcW w:type="dxa" w:w="1368"/>
          </w:tcPr>
          <w:p>
            <w:pPr>
              <w:spacing w:after="20"/>
            </w:pPr>
            <w:r>
              <w:rPr>
                <w:color w:val="1C3A36"/>
                <w:sz w:val="15"/>
              </w:rPr>
              <w:t>FY23: 0.0312; FY24: 0.0366; FY25: 0.0466</w:t>
            </w:r>
          </w:p>
        </w:tc>
        <w:tc>
          <w:tcPr>
            <w:tcW w:type="dxa" w:w="1037"/>
          </w:tcPr>
          <w:p>
            <w:pPr>
              <w:spacing w:after="20"/>
            </w:pPr>
            <w:r>
              <w:rPr>
                <w:color w:val="1C3A36"/>
                <w:sz w:val="15"/>
              </w:rPr>
              <w:t>2026-03-15</w:t>
            </w:r>
          </w:p>
        </w:tc>
        <w:tc>
          <w:tcPr>
            <w:tcW w:type="dxa" w:w="6019"/>
          </w:tcPr>
          <w:p>
            <w:pPr>
              <w:spacing w:after="20"/>
            </w:pPr>
            <w:r>
              <w:rPr>
                <w:color w:val="1C3A36"/>
                <w:sz w:val="15"/>
              </w:rPr>
              <w:t>Capital expenditure (cash paid for PP&amp;E and projects under construction, audited cash flow statements) as a share of revenue — a clear, rising capacity-investment cycle</w:t>
            </w:r>
          </w:p>
        </w:tc>
      </w:tr>
      <w:tr>
        <w:tc>
          <w:tcPr>
            <w:tcW w:type="dxa" w:w="1656"/>
          </w:tcPr>
          <w:p>
            <w:pPr>
              <w:spacing w:after="20"/>
            </w:pPr>
            <w:r>
              <w:rPr>
                <w:color w:val="1C3A36"/>
                <w:sz w:val="15"/>
              </w:rPr>
              <w:t>nwc pct hist</w:t>
            </w:r>
          </w:p>
        </w:tc>
        <w:tc>
          <w:tcPr>
            <w:tcW w:type="dxa" w:w="1368"/>
          </w:tcPr>
          <w:p>
            <w:pPr>
              <w:spacing w:after="20"/>
            </w:pPr>
            <w:r>
              <w:rPr>
                <w:color w:val="1C3A36"/>
                <w:sz w:val="15"/>
              </w:rPr>
              <w:t>FY23: 0.2409; FY24: 0.2306; FY25: 0.1987</w:t>
            </w:r>
          </w:p>
        </w:tc>
        <w:tc>
          <w:tcPr>
            <w:tcW w:type="dxa" w:w="1037"/>
          </w:tcPr>
          <w:p>
            <w:pPr>
              <w:spacing w:after="20"/>
            </w:pPr>
            <w:r>
              <w:rPr>
                <w:color w:val="1C3A36"/>
                <w:sz w:val="15"/>
              </w:rPr>
              <w:t>2026-03-15</w:t>
            </w:r>
          </w:p>
        </w:tc>
        <w:tc>
          <w:tcPr>
            <w:tcW w:type="dxa" w:w="6019"/>
          </w:tcPr>
          <w:p>
            <w:pPr>
              <w:spacing w:after="20"/>
            </w:pPr>
            <w:r>
              <w:rPr>
                <w:color w:val="1C3A36"/>
                <w:sz w:val="15"/>
              </w:rPr>
              <w:t>Net working capital (inventories + contract assets + trade and other receivables, current, LESS trade and other payables LESS contract liabilities; industrial real-estate-development land holdings excluded as a separate quasi-investment item) as a share of revenue, computed from the audited balance sheets. FY2025 shows a genuine, disclosed IMPROVEMENT in working-capital intensity, not an assumption</w:t>
            </w:r>
          </w:p>
        </w:tc>
      </w:tr>
      <w:tr>
        <w:tc>
          <w:tcPr>
            <w:tcW w:type="dxa" w:w="1656"/>
          </w:tcPr>
          <w:p>
            <w:pPr>
              <w:spacing w:after="20"/>
            </w:pPr>
            <w:r>
              <w:rPr>
                <w:color w:val="1C3A36"/>
                <w:sz w:val="15"/>
              </w:rPr>
              <w:t>foreign share fy25</w:t>
            </w:r>
          </w:p>
        </w:tc>
        <w:tc>
          <w:tcPr>
            <w:tcW w:type="dxa" w:w="1368"/>
          </w:tcPr>
          <w:p>
            <w:pPr>
              <w:spacing w:after="20"/>
            </w:pPr>
            <w:r>
              <w:rPr>
                <w:color w:val="1C3A36"/>
                <w:sz w:val="15"/>
              </w:rPr>
              <w:t>0.7</w:t>
            </w:r>
          </w:p>
        </w:tc>
        <w:tc>
          <w:tcPr>
            <w:tcW w:type="dxa" w:w="1037"/>
          </w:tcPr>
          <w:p>
            <w:pPr>
              <w:spacing w:after="20"/>
            </w:pPr>
            <w:r>
              <w:rPr>
                <w:color w:val="1C3A36"/>
                <w:sz w:val="15"/>
              </w:rPr>
              <w:t>2026-03-15</w:t>
            </w:r>
          </w:p>
        </w:tc>
        <w:tc>
          <w:tcPr>
            <w:tcW w:type="dxa" w:w="6019"/>
          </w:tcPr>
          <w:p>
            <w:pPr>
              <w:spacing w:after="20"/>
            </w:pPr>
            <w:r>
              <w:rPr>
                <w:color w:val="1C3A36"/>
                <w:sz w:val="15"/>
              </w:rPr>
              <w:t>'Over 70% of revenues generated abroad' (company commentary); the audited Note 5-2 geographic split gives Outside Egypt 40.7% of FY2025 revenue (114,461.030 / 281,049.082) — geography and hard-currency pricing are different questions, addressed explicitly below</w:t>
            </w:r>
          </w:p>
        </w:tc>
      </w:tr>
      <w:tr>
        <w:tc>
          <w:tcPr>
            <w:tcW w:type="dxa" w:w="1656"/>
          </w:tcPr>
          <w:p>
            <w:pPr>
              <w:spacing w:after="20"/>
            </w:pPr>
            <w:r>
              <w:rPr>
                <w:color w:val="1C3A36"/>
                <w:sz w:val="15"/>
              </w:rPr>
              <w:t>fgn egp share fy25</w:t>
            </w:r>
          </w:p>
        </w:tc>
        <w:tc>
          <w:tcPr>
            <w:tcW w:type="dxa" w:w="1368"/>
          </w:tcPr>
          <w:p>
            <w:pPr>
              <w:spacing w:after="20"/>
            </w:pPr>
            <w:r>
              <w:rPr>
                <w:color w:val="1C3A36"/>
                <w:sz w:val="15"/>
              </w:rPr>
              <w:t>0.407</w:t>
            </w:r>
          </w:p>
        </w:tc>
        <w:tc>
          <w:tcPr>
            <w:tcW w:type="dxa" w:w="1037"/>
          </w:tcPr>
          <w:p>
            <w:pPr>
              <w:spacing w:after="20"/>
            </w:pPr>
            <w:r>
              <w:rPr>
                <w:color w:val="1C3A36"/>
                <w:sz w:val="15"/>
              </w:rPr>
              <w:t>2026-03-15</w:t>
            </w:r>
          </w:p>
        </w:tc>
        <w:tc>
          <w:tcPr>
            <w:tcW w:type="dxa" w:w="6019"/>
          </w:tcPr>
          <w:p>
            <w:pPr>
              <w:spacing w:after="20"/>
            </w:pPr>
            <w:r>
              <w:rPr>
                <w:color w:val="1C3A36"/>
                <w:sz w:val="15"/>
              </w:rPr>
              <w:t>Revenue earned OUTSIDE Egypt, FY2025, Note 5-2 (geographic disaggregation): 114,461.030219 / 281,049.081719 = 40.72%. This is the audited geographic split; the HARD-CURRENCY-LINKED share used in the currency-of-discounting alternative is derived separately below from the Cables segment's copper linkage, since a project executed abroad for a local utility is foreign revenue but not necessarily dollar-priced</w:t>
            </w:r>
          </w:p>
        </w:tc>
      </w:tr>
      <w:tr>
        <w:tc>
          <w:tcPr>
            <w:tcW w:type="dxa" w:w="1656"/>
          </w:tcPr>
          <w:p>
            <w:pPr>
              <w:spacing w:after="20"/>
            </w:pPr>
            <w:r>
              <w:rPr>
                <w:color w:val="1C3A36"/>
                <w:sz w:val="15"/>
              </w:rPr>
              <w:t>kd egp note</w:t>
            </w:r>
          </w:p>
        </w:tc>
        <w:tc>
          <w:tcPr>
            <w:tcW w:type="dxa" w:w="1368"/>
          </w:tcPr>
          <w:p>
            <w:pPr>
              <w:spacing w:after="20"/>
            </w:pPr>
            <w:r>
              <w:rPr>
                <w:color w:val="1C3A36"/>
                <w:sz w:val="15"/>
              </w:rPr>
              <w:t>0.213</w:t>
            </w:r>
          </w:p>
        </w:tc>
        <w:tc>
          <w:tcPr>
            <w:tcW w:type="dxa" w:w="1037"/>
          </w:tcPr>
          <w:p>
            <w:pPr>
              <w:spacing w:after="20"/>
            </w:pPr>
            <w:r>
              <w:rPr>
                <w:color w:val="1C3A36"/>
                <w:sz w:val="15"/>
              </w:rPr>
              <w:t>2026-03-15</w:t>
            </w:r>
          </w:p>
        </w:tc>
        <w:tc>
          <w:tcPr>
            <w:tcW w:type="dxa" w:w="6019"/>
          </w:tcPr>
          <w:p>
            <w:pPr>
              <w:spacing w:after="20"/>
            </w:pPr>
            <w:r>
              <w:rPr>
                <w:color w:val="1C3A36"/>
                <w:sz w:val="15"/>
              </w:rPr>
              <w:t>Average interest rate on Egyptian-pound financial liabilities, audited FY2025 Note 32 (loans and borrowings) and Note 43-3-2 (interest-rate risk) — both give 21.30%/21.3%. DOWN from 28.68% at FY2024-end and further to 20.32% at Q1-2026</w:t>
            </w:r>
          </w:p>
        </w:tc>
      </w:tr>
      <w:tr>
        <w:tc>
          <w:tcPr>
            <w:tcW w:type="dxa" w:w="1656"/>
          </w:tcPr>
          <w:p>
            <w:pPr>
              <w:spacing w:after="20"/>
            </w:pPr>
            <w:r>
              <w:rPr>
                <w:color w:val="1C3A36"/>
                <w:sz w:val="15"/>
              </w:rPr>
              <w:t>kd hard note</w:t>
            </w:r>
          </w:p>
        </w:tc>
        <w:tc>
          <w:tcPr>
            <w:tcW w:type="dxa" w:w="1368"/>
          </w:tcPr>
          <w:p>
            <w:pPr>
              <w:spacing w:after="20"/>
            </w:pPr>
            <w:r>
              <w:rPr>
                <w:color w:val="1C3A36"/>
                <w:sz w:val="15"/>
              </w:rPr>
              <w:t>0.0529</w:t>
            </w:r>
          </w:p>
        </w:tc>
        <w:tc>
          <w:tcPr>
            <w:tcW w:type="dxa" w:w="1037"/>
          </w:tcPr>
          <w:p>
            <w:pPr>
              <w:spacing w:after="20"/>
            </w:pPr>
            <w:r>
              <w:rPr>
                <w:color w:val="1C3A36"/>
                <w:sz w:val="15"/>
              </w:rPr>
              <w:t>2026-03-15</w:t>
            </w:r>
          </w:p>
        </w:tc>
        <w:tc>
          <w:tcPr>
            <w:tcW w:type="dxa" w:w="6019"/>
          </w:tcPr>
          <w:p>
            <w:pPr>
              <w:spacing w:after="20"/>
            </w:pPr>
            <w:r>
              <w:rPr>
                <w:color w:val="1C3A36"/>
                <w:sz w:val="15"/>
              </w:rPr>
              <w:t>Average interest rate on US-dollar and other foreign-currency financial liabilities, blended, audited FY2025 Note 32 and Note 43-3-2. The company simplified its disclosure from a three-way EGP/USD/EUR split (FY2024: 28.68% / 6.49% / 3.92%) to this two-way EGP/blended-foreign split from FY2025 onward; the model follows the company's own current convention rather than preserving a split it no longer publishes</w:t>
            </w:r>
          </w:p>
        </w:tc>
      </w:tr>
      <w:tr>
        <w:tc>
          <w:tcPr>
            <w:tcW w:type="dxa" w:w="1656"/>
          </w:tcPr>
          <w:p>
            <w:pPr>
              <w:spacing w:after="20"/>
            </w:pPr>
            <w:r>
              <w:rPr>
                <w:color w:val="1C3A36"/>
                <w:sz w:val="15"/>
              </w:rPr>
              <w:t>debt open fy25</w:t>
            </w:r>
          </w:p>
        </w:tc>
        <w:tc>
          <w:tcPr>
            <w:tcW w:type="dxa" w:w="1368"/>
          </w:tcPr>
          <w:p>
            <w:pPr>
              <w:spacing w:after="20"/>
            </w:pPr>
            <w:r>
              <w:rPr>
                <w:color w:val="1C3A36"/>
                <w:sz w:val="15"/>
              </w:rPr>
              <w:t>58,796.8</w:t>
            </w:r>
          </w:p>
        </w:tc>
        <w:tc>
          <w:tcPr>
            <w:tcW w:type="dxa" w:w="1037"/>
          </w:tcPr>
          <w:p>
            <w:pPr>
              <w:spacing w:after="20"/>
            </w:pPr>
            <w:r>
              <w:rPr>
                <w:color w:val="1C3A36"/>
                <w:sz w:val="15"/>
              </w:rPr>
              <w:t>2026-03-15</w:t>
            </w:r>
          </w:p>
        </w:tc>
        <w:tc>
          <w:tcPr>
            <w:tcW w:type="dxa" w:w="6019"/>
          </w:tcPr>
          <w:p>
            <w:pPr>
              <w:spacing w:after="20"/>
            </w:pPr>
            <w:r>
              <w:rPr>
                <w:color w:val="1C3A36"/>
                <w:sz w:val="15"/>
              </w:rPr>
              <w:t>Loans and credit facilities (excluding lease liabilities) at 1 January 2025, financing-liability movement reconciliation, audited FY2025 Note 32</w:t>
            </w:r>
          </w:p>
        </w:tc>
      </w:tr>
      <w:tr>
        <w:tc>
          <w:tcPr>
            <w:tcW w:type="dxa" w:w="1656"/>
          </w:tcPr>
          <w:p>
            <w:pPr>
              <w:spacing w:after="20"/>
            </w:pPr>
            <w:r>
              <w:rPr>
                <w:color w:val="1C3A36"/>
                <w:sz w:val="15"/>
              </w:rPr>
              <w:t>debt close fy25</w:t>
            </w:r>
          </w:p>
        </w:tc>
        <w:tc>
          <w:tcPr>
            <w:tcW w:type="dxa" w:w="1368"/>
          </w:tcPr>
          <w:p>
            <w:pPr>
              <w:spacing w:after="20"/>
            </w:pPr>
            <w:r>
              <w:rPr>
                <w:color w:val="1C3A36"/>
                <w:sz w:val="15"/>
              </w:rPr>
              <w:t>62,462.1</w:t>
            </w:r>
          </w:p>
        </w:tc>
        <w:tc>
          <w:tcPr>
            <w:tcW w:type="dxa" w:w="1037"/>
          </w:tcPr>
          <w:p>
            <w:pPr>
              <w:spacing w:after="20"/>
            </w:pPr>
            <w:r>
              <w:rPr>
                <w:color w:val="1C3A36"/>
                <w:sz w:val="15"/>
              </w:rPr>
              <w:t>2026-03-15</w:t>
            </w:r>
          </w:p>
        </w:tc>
        <w:tc>
          <w:tcPr>
            <w:tcW w:type="dxa" w:w="6019"/>
          </w:tcPr>
          <w:p>
            <w:pPr>
              <w:spacing w:after="20"/>
            </w:pPr>
            <w:r>
              <w:rPr>
                <w:color w:val="1C3A36"/>
                <w:sz w:val="15"/>
              </w:rPr>
              <w:t>Loans and credit facilities (excluding lease liabilities) at 31 December 2025, financing-liability movement reconciliation, audited FY2025 Note 32</w:t>
            </w:r>
          </w:p>
        </w:tc>
      </w:tr>
      <w:tr>
        <w:tc>
          <w:tcPr>
            <w:tcW w:type="dxa" w:w="1656"/>
          </w:tcPr>
          <w:p>
            <w:pPr>
              <w:spacing w:after="20"/>
            </w:pPr>
            <w:r>
              <w:rPr>
                <w:color w:val="1C3A36"/>
                <w:sz w:val="15"/>
              </w:rPr>
              <w:t>int exp fy25</w:t>
            </w:r>
          </w:p>
        </w:tc>
        <w:tc>
          <w:tcPr>
            <w:tcW w:type="dxa" w:w="1368"/>
          </w:tcPr>
          <w:p>
            <w:pPr>
              <w:spacing w:after="20"/>
            </w:pPr>
            <w:r>
              <w:rPr>
                <w:color w:val="1C3A36"/>
                <w:sz w:val="15"/>
              </w:rPr>
              <w:t>5,966.7</w:t>
            </w:r>
          </w:p>
        </w:tc>
        <w:tc>
          <w:tcPr>
            <w:tcW w:type="dxa" w:w="1037"/>
          </w:tcPr>
          <w:p>
            <w:pPr>
              <w:spacing w:after="20"/>
            </w:pPr>
            <w:r>
              <w:rPr>
                <w:color w:val="1C3A36"/>
                <w:sz w:val="15"/>
              </w:rPr>
              <w:t>2026-03-15</w:t>
            </w:r>
          </w:p>
        </w:tc>
        <w:tc>
          <w:tcPr>
            <w:tcW w:type="dxa" w:w="6019"/>
          </w:tcPr>
          <w:p>
            <w:pPr>
              <w:spacing w:after="20"/>
            </w:pPr>
            <w:r>
              <w:rPr>
                <w:color w:val="1C3A36"/>
                <w:sz w:val="15"/>
              </w:rPr>
              <w:t>Interest expense on loans and credit facilities, audited FY2025 Note 32 financing-liability movement reconciliation (excludes 118.129606 of lease interest, carried separately)</w:t>
            </w:r>
          </w:p>
        </w:tc>
      </w:tr>
      <w:tr>
        <w:tc>
          <w:tcPr>
            <w:tcW w:type="dxa" w:w="1656"/>
          </w:tcPr>
          <w:p>
            <w:pPr>
              <w:spacing w:after="20"/>
            </w:pPr>
            <w:r>
              <w:rPr>
                <w:color w:val="1C3A36"/>
                <w:sz w:val="15"/>
              </w:rPr>
              <w:t>debt q1 26</w:t>
            </w:r>
          </w:p>
        </w:tc>
        <w:tc>
          <w:tcPr>
            <w:tcW w:type="dxa" w:w="1368"/>
          </w:tcPr>
          <w:p>
            <w:pPr>
              <w:spacing w:after="20"/>
            </w:pPr>
            <w:r>
              <w:rPr>
                <w:color w:val="1C3A36"/>
                <w:sz w:val="15"/>
              </w:rPr>
              <w:t>89,039.3</w:t>
            </w:r>
          </w:p>
        </w:tc>
        <w:tc>
          <w:tcPr>
            <w:tcW w:type="dxa" w:w="1037"/>
          </w:tcPr>
          <w:p>
            <w:pPr>
              <w:spacing w:after="20"/>
            </w:pPr>
            <w:r>
              <w:rPr>
                <w:color w:val="1C3A36"/>
                <w:sz w:val="15"/>
              </w:rPr>
              <w:t>2026-05-13</w:t>
            </w:r>
          </w:p>
        </w:tc>
        <w:tc>
          <w:tcPr>
            <w:tcW w:type="dxa" w:w="6019"/>
          </w:tcPr>
          <w:p>
            <w:pPr>
              <w:spacing w:after="20"/>
            </w:pPr>
            <w:r>
              <w:rPr>
                <w:color w:val="1C3A36"/>
                <w:sz w:val="15"/>
              </w:rPr>
              <w:t>Loans and credit facilities (excluding lease liabilities) at 31 March 2026: current 79,171.258437 (loans 39,231.844718 + bank facilities 39,939.413719) + non-current 9,825.097463 (loans only, excluding the 507.330701 of lease liabilities), per the Q1-2026 interim Note 31</w:t>
            </w:r>
          </w:p>
        </w:tc>
      </w:tr>
      <w:tr>
        <w:tc>
          <w:tcPr>
            <w:tcW w:type="dxa" w:w="1656"/>
          </w:tcPr>
          <w:p>
            <w:pPr>
              <w:spacing w:after="20"/>
            </w:pPr>
            <w:r>
              <w:rPr>
                <w:color w:val="1C3A36"/>
                <w:sz w:val="15"/>
              </w:rPr>
              <w:t>ownership</w:t>
            </w:r>
          </w:p>
        </w:tc>
        <w:tc>
          <w:tcPr>
            <w:tcW w:type="dxa" w:w="1368"/>
          </w:tcPr>
          <w:p>
            <w:pPr>
              <w:spacing w:after="20"/>
            </w:pPr>
            <w:r>
              <w:rPr>
                <w:color w:val="1C3A36"/>
                <w:sz w:val="15"/>
              </w:rPr>
              <w:t>family: 0.6799; electra: 0.1887; other: 0.1307; esop: 0.0007</w:t>
            </w:r>
          </w:p>
        </w:tc>
        <w:tc>
          <w:tcPr>
            <w:tcW w:type="dxa" w:w="1037"/>
          </w:tcPr>
          <w:p>
            <w:pPr>
              <w:spacing w:after="20"/>
            </w:pPr>
            <w:r>
              <w:rPr>
                <w:color w:val="1C3A36"/>
                <w:sz w:val="15"/>
              </w:rPr>
              <w:t>2026-03-15</w:t>
            </w:r>
          </w:p>
        </w:tc>
        <w:tc>
          <w:tcPr>
            <w:tcW w:type="dxa" w:w="6019"/>
          </w:tcPr>
          <w:p>
            <w:pPr>
              <w:spacing w:after="20"/>
            </w:pPr>
            <w:r>
              <w:rPr>
                <w:color w:val="1C3A36"/>
                <w:sz w:val="15"/>
              </w:rPr>
              <w:t>EXACT capital restructuring table, Note 29, audited FY2025 financial statements, as at 31 December 2025: Sadek Ahmed Sadek Elsewedy 24.99% (534,980,391 shares), Ahmed Ahmed Sadek Elsewedy 24.99% (534,980,391), Mohamed Ahmed Sadek Elsewedy 18.01% (385,602,690) — family combined 67.99%; Electra Investment Holding Restricted Limited 18.87% (403,997,835); other shareholders 13.07% (279,794,409); ESOP shares issued not granted 0.07% (1,422,160). REPLACES a previous house estimate (family ~68.0%, Electra ~20.4%, float ~11.6%) with the company's own disclosed table. Electra's stake FELL over 2025 — the FY2024 table (same note, prior year) shows Electra at 20.37% (436,109,503 shares) and other shareholders at 11.57% (247,682,741): Electra placed exactly 32,111,668 shares into the free float during the year</w:t>
            </w:r>
          </w:p>
        </w:tc>
      </w:tr>
    </w:tbl>
    <w:p>
      <w:pPr>
        <w:spacing w:after="40"/>
      </w:pPr>
    </w:p>
    <w:p>
      <w:pPr>
        <w:spacing w:after="60" w:before="160"/>
      </w:pPr>
      <w:r>
        <w:rPr>
          <w:b/>
          <w:i w:val="0"/>
          <w:color w:val="1C3A36"/>
          <w:sz w:val="22"/>
        </w:rPr>
        <w:t>Country layer — 8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037"/>
        <w:gridCol w:w="6019"/>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6019"/>
            <w:shd w:val="clear" w:color="auto" w:fill="EAF0EE"/>
          </w:tcPr>
          <w:p>
            <w:pPr>
              <w:spacing w:after="20"/>
            </w:pPr>
            <w:r>
              <w:rPr>
                <w:b/>
                <w:color w:val="1C3A36"/>
                <w:sz w:val="15"/>
              </w:rPr>
              <w:t>Source and construction</w:t>
            </w:r>
          </w:p>
        </w:tc>
      </w:tr>
      <w:tr>
        <w:tc>
          <w:tcPr>
            <w:tcW w:type="dxa" w:w="1656"/>
          </w:tcPr>
          <w:p>
            <w:pPr>
              <w:spacing w:after="20"/>
            </w:pPr>
            <w:r>
              <w:rPr>
                <w:color w:val="1C3A36"/>
                <w:sz w:val="15"/>
              </w:rPr>
              <w:t>tax stat</w:t>
            </w:r>
          </w:p>
        </w:tc>
        <w:tc>
          <w:tcPr>
            <w:tcW w:type="dxa" w:w="1368"/>
          </w:tcPr>
          <w:p>
            <w:pPr>
              <w:spacing w:after="20"/>
            </w:pPr>
            <w:r>
              <w:rPr>
                <w:color w:val="1C3A36"/>
                <w:sz w:val="15"/>
              </w:rPr>
              <w:t>0.225</w:t>
            </w:r>
          </w:p>
        </w:tc>
        <w:tc>
          <w:tcPr>
            <w:tcW w:type="dxa" w:w="1037"/>
          </w:tcPr>
          <w:p>
            <w:pPr>
              <w:spacing w:after="20"/>
            </w:pPr>
            <w:r>
              <w:rPr>
                <w:color w:val="1C3A36"/>
                <w:sz w:val="15"/>
              </w:rPr>
              <w:t>2026</w:t>
            </w:r>
          </w:p>
        </w:tc>
        <w:tc>
          <w:tcPr>
            <w:tcW w:type="dxa" w:w="6019"/>
          </w:tcPr>
          <w:p>
            <w:pPr>
              <w:spacing w:after="20"/>
            </w:pPr>
            <w:r>
              <w:rPr>
                <w:color w:val="1C3A36"/>
                <w:sz w:val="15"/>
              </w:rPr>
              <w:t>Egypt corporate income tax 22.5% (PwC Worldwide Tax Summaries, unchanged 2025-26)</w:t>
            </w:r>
          </w:p>
        </w:tc>
      </w:tr>
      <w:tr>
        <w:tc>
          <w:tcPr>
            <w:tcW w:type="dxa" w:w="1656"/>
          </w:tcPr>
          <w:p>
            <w:pPr>
              <w:spacing w:after="20"/>
            </w:pPr>
            <w:r>
              <w:rPr>
                <w:color w:val="1C3A36"/>
                <w:sz w:val="15"/>
              </w:rPr>
              <w:t>fx</w:t>
            </w:r>
          </w:p>
        </w:tc>
        <w:tc>
          <w:tcPr>
            <w:tcW w:type="dxa" w:w="1368"/>
          </w:tcPr>
          <w:p>
            <w:pPr>
              <w:spacing w:after="20"/>
            </w:pPr>
            <w:r>
              <w:rPr>
                <w:color w:val="1C3A36"/>
                <w:sz w:val="15"/>
              </w:rPr>
              <w:t>49.8</w:t>
            </w:r>
          </w:p>
        </w:tc>
        <w:tc>
          <w:tcPr>
            <w:tcW w:type="dxa" w:w="1037"/>
          </w:tcPr>
          <w:p>
            <w:pPr>
              <w:spacing w:after="20"/>
            </w:pPr>
            <w:r>
              <w:rPr>
                <w:color w:val="1C3A36"/>
                <w:sz w:val="15"/>
              </w:rPr>
              <w:t>2026-08-05</w:t>
            </w:r>
          </w:p>
        </w:tc>
        <w:tc>
          <w:tcPr>
            <w:tcW w:type="dxa" w:w="6019"/>
          </w:tcPr>
          <w:p>
            <w:pPr>
              <w:spacing w:after="20"/>
            </w:pPr>
            <w:r>
              <w:rPr>
                <w:color w:val="1C3A36"/>
                <w:sz w:val="15"/>
              </w:rPr>
              <w:t>USD/EGP mid-market ~49.8 (house cost-of-capital reference, re-verified 05-Aug-2026). The pound was not range-bound over the last year: ~46.8 (Feb-26) to ~54.7 (Apr-26 regional war spike) and back to ~49.8</w:t>
            </w:r>
          </w:p>
        </w:tc>
      </w:tr>
      <w:tr>
        <w:tc>
          <w:tcPr>
            <w:tcW w:type="dxa" w:w="1656"/>
          </w:tcPr>
          <w:p>
            <w:pPr>
              <w:spacing w:after="20"/>
            </w:pPr>
            <w:r>
              <w:rPr>
                <w:color w:val="1C3A36"/>
                <w:sz w:val="15"/>
              </w:rPr>
              <w:t>rf</w:t>
            </w:r>
          </w:p>
        </w:tc>
        <w:tc>
          <w:tcPr>
            <w:tcW w:type="dxa" w:w="1368"/>
          </w:tcPr>
          <w:p>
            <w:pPr>
              <w:spacing w:after="20"/>
            </w:pPr>
            <w:r>
              <w:rPr>
                <w:color w:val="1C3A36"/>
                <w:sz w:val="15"/>
              </w:rPr>
              <w:t>0.2231</w:t>
            </w:r>
          </w:p>
        </w:tc>
        <w:tc>
          <w:tcPr>
            <w:tcW w:type="dxa" w:w="1037"/>
          </w:tcPr>
          <w:p>
            <w:pPr>
              <w:spacing w:after="20"/>
            </w:pPr>
            <w:r>
              <w:rPr>
                <w:color w:val="1C3A36"/>
                <w:sz w:val="15"/>
              </w:rPr>
              <w:t>2026-07-21</w:t>
            </w:r>
          </w:p>
        </w:tc>
        <w:tc>
          <w:tcPr>
            <w:tcW w:type="dxa" w:w="6019"/>
          </w:tcPr>
          <w:p>
            <w:pPr>
              <w:spacing w:after="20"/>
            </w:pPr>
            <w:r>
              <w:rPr>
                <w:color w:val="1C3A36"/>
                <w:sz w:val="15"/>
              </w:rPr>
              <w:t>Egypt 10-year local-currency government bond yield, 22.31% (house cost-of-capital reference, cached 21-Jul-2026 print, re-verified 05-Aug-2026)</w:t>
            </w:r>
          </w:p>
        </w:tc>
      </w:tr>
      <w:tr>
        <w:tc>
          <w:tcPr>
            <w:tcW w:type="dxa" w:w="1656"/>
          </w:tcPr>
          <w:p>
            <w:pPr>
              <w:spacing w:after="20"/>
            </w:pPr>
            <w:r>
              <w:rPr>
                <w:color w:val="1C3A36"/>
                <w:sz w:val="15"/>
              </w:rPr>
              <w:t>sov spread cds</w:t>
            </w:r>
          </w:p>
        </w:tc>
        <w:tc>
          <w:tcPr>
            <w:tcW w:type="dxa" w:w="1368"/>
          </w:tcPr>
          <w:p>
            <w:pPr>
              <w:spacing w:after="20"/>
            </w:pPr>
            <w:r>
              <w:rPr>
                <w:color w:val="1C3A36"/>
                <w:sz w:val="15"/>
              </w:rPr>
              <w:t>0.034</w:t>
            </w:r>
          </w:p>
        </w:tc>
        <w:tc>
          <w:tcPr>
            <w:tcW w:type="dxa" w:w="1037"/>
          </w:tcPr>
          <w:p>
            <w:pPr>
              <w:spacing w:after="20"/>
            </w:pPr>
            <w:r>
              <w:rPr>
                <w:color w:val="1C3A36"/>
                <w:sz w:val="15"/>
              </w:rPr>
              <w:t>2026-01-05</w:t>
            </w:r>
          </w:p>
        </w:tc>
        <w:tc>
          <w:tcPr>
            <w:tcW w:type="dxa" w:w="6019"/>
          </w:tcPr>
          <w:p>
            <w:pPr>
              <w:spacing w:after="20"/>
            </w:pPr>
            <w:r>
              <w:rPr>
                <w:color w:val="1C3A36"/>
                <w:sz w:val="15"/>
              </w:rPr>
              <w:t>Egypt CDS-implied sovereign default spread, Damodaran January-2026 country-premium file, CDS column. Netted out of the local-currency risk-free rate so sovereign default risk is not charged twice</w:t>
            </w:r>
          </w:p>
        </w:tc>
      </w:tr>
      <w:tr>
        <w:tc>
          <w:tcPr>
            <w:tcW w:type="dxa" w:w="1656"/>
          </w:tcPr>
          <w:p>
            <w:pPr>
              <w:spacing w:after="20"/>
            </w:pPr>
            <w:r>
              <w:rPr>
                <w:color w:val="1C3A36"/>
                <w:sz w:val="15"/>
              </w:rPr>
              <w:t>sov spread rating</w:t>
            </w:r>
          </w:p>
        </w:tc>
        <w:tc>
          <w:tcPr>
            <w:tcW w:type="dxa" w:w="1368"/>
          </w:tcPr>
          <w:p>
            <w:pPr>
              <w:spacing w:after="20"/>
            </w:pPr>
            <w:r>
              <w:rPr>
                <w:color w:val="1C3A36"/>
                <w:sz w:val="15"/>
              </w:rPr>
              <w:t>0.0637</w:t>
            </w:r>
          </w:p>
        </w:tc>
        <w:tc>
          <w:tcPr>
            <w:tcW w:type="dxa" w:w="1037"/>
          </w:tcPr>
          <w:p>
            <w:pPr>
              <w:spacing w:after="20"/>
            </w:pPr>
            <w:r>
              <w:rPr>
                <w:color w:val="1C3A36"/>
                <w:sz w:val="15"/>
              </w:rPr>
              <w:t>2026-01-05</w:t>
            </w:r>
          </w:p>
        </w:tc>
        <w:tc>
          <w:tcPr>
            <w:tcW w:type="dxa" w:w="6019"/>
          </w:tcPr>
          <w:p>
            <w:pPr>
              <w:spacing w:after="20"/>
            </w:pPr>
            <w:r>
              <w:rPr>
                <w:color w:val="1C3A36"/>
                <w:sz w:val="15"/>
              </w:rPr>
              <w:t>Damodaran adjusted default spread on the rating basis (Caa1), January-2026 — the alternative construction, disclosed for the audit trail</w:t>
            </w:r>
          </w:p>
        </w:tc>
      </w:tr>
      <w:tr>
        <w:tc>
          <w:tcPr>
            <w:tcW w:type="dxa" w:w="1656"/>
          </w:tcPr>
          <w:p>
            <w:pPr>
              <w:spacing w:after="20"/>
            </w:pPr>
            <w:r>
              <w:rPr>
                <w:color w:val="1C3A36"/>
                <w:sz w:val="15"/>
              </w:rPr>
              <w:t>erp cds</w:t>
            </w:r>
          </w:p>
        </w:tc>
        <w:tc>
          <w:tcPr>
            <w:tcW w:type="dxa" w:w="1368"/>
          </w:tcPr>
          <w:p>
            <w:pPr>
              <w:spacing w:after="20"/>
            </w:pPr>
            <w:r>
              <w:rPr>
                <w:color w:val="1C3A36"/>
                <w:sz w:val="15"/>
              </w:rPr>
              <w:t>0.0941</w:t>
            </w:r>
          </w:p>
        </w:tc>
        <w:tc>
          <w:tcPr>
            <w:tcW w:type="dxa" w:w="1037"/>
          </w:tcPr>
          <w:p>
            <w:pPr>
              <w:spacing w:after="20"/>
            </w:pPr>
            <w:r>
              <w:rPr>
                <w:color w:val="1C3A36"/>
                <w:sz w:val="15"/>
              </w:rPr>
              <w:t>2026-01-05</w:t>
            </w:r>
          </w:p>
        </w:tc>
        <w:tc>
          <w:tcPr>
            <w:tcW w:type="dxa" w:w="6019"/>
          </w:tcPr>
          <w:p>
            <w:pPr>
              <w:spacing w:after="20"/>
            </w:pPr>
            <w:r>
              <w:rPr>
                <w:color w:val="1C3A36"/>
                <w:sz w:val="15"/>
              </w:rPr>
              <w:t>Damodaran original country-premium file, Egypt row, CDS column, last updated 5 January 2026 — total equity risk premium</w:t>
            </w:r>
          </w:p>
        </w:tc>
      </w:tr>
      <w:tr>
        <w:tc>
          <w:tcPr>
            <w:tcW w:type="dxa" w:w="1656"/>
          </w:tcPr>
          <w:p>
            <w:pPr>
              <w:spacing w:after="20"/>
            </w:pPr>
            <w:r>
              <w:rPr>
                <w:color w:val="1C3A36"/>
                <w:sz w:val="15"/>
              </w:rPr>
              <w:t>erp rating</w:t>
            </w:r>
          </w:p>
        </w:tc>
        <w:tc>
          <w:tcPr>
            <w:tcW w:type="dxa" w:w="1368"/>
          </w:tcPr>
          <w:p>
            <w:pPr>
              <w:spacing w:after="20"/>
            </w:pPr>
            <w:r>
              <w:rPr>
                <w:color w:val="1C3A36"/>
                <w:sz w:val="15"/>
              </w:rPr>
              <w:t>0.1394</w:t>
            </w:r>
          </w:p>
        </w:tc>
        <w:tc>
          <w:tcPr>
            <w:tcW w:type="dxa" w:w="1037"/>
          </w:tcPr>
          <w:p>
            <w:pPr>
              <w:spacing w:after="20"/>
            </w:pPr>
            <w:r>
              <w:rPr>
                <w:color w:val="1C3A36"/>
                <w:sz w:val="15"/>
              </w:rPr>
              <w:t>2026-01-05</w:t>
            </w:r>
          </w:p>
        </w:tc>
        <w:tc>
          <w:tcPr>
            <w:tcW w:type="dxa" w:w="6019"/>
          </w:tcPr>
          <w:p>
            <w:pPr>
              <w:spacing w:after="20"/>
            </w:pPr>
            <w:r>
              <w:rPr>
                <w:color w:val="1C3A36"/>
                <w:sz w:val="15"/>
              </w:rPr>
              <w:t>Damodaran original country-premium file, Egypt row, rating basis, January-2026 — the alternative</w:t>
            </w:r>
          </w:p>
        </w:tc>
      </w:tr>
      <w:tr>
        <w:tc>
          <w:tcPr>
            <w:tcW w:type="dxa" w:w="1656"/>
          </w:tcPr>
          <w:p>
            <w:pPr>
              <w:spacing w:after="20"/>
            </w:pPr>
            <w:r>
              <w:rPr>
                <w:color w:val="1C3A36"/>
                <w:sz w:val="15"/>
              </w:rPr>
              <w:t>usd rf</w:t>
            </w:r>
          </w:p>
        </w:tc>
        <w:tc>
          <w:tcPr>
            <w:tcW w:type="dxa" w:w="1368"/>
          </w:tcPr>
          <w:p>
            <w:pPr>
              <w:spacing w:after="20"/>
            </w:pPr>
            <w:r>
              <w:rPr>
                <w:color w:val="1C3A36"/>
                <w:sz w:val="15"/>
              </w:rPr>
              <w:t>0.043</w:t>
            </w:r>
          </w:p>
        </w:tc>
        <w:tc>
          <w:tcPr>
            <w:tcW w:type="dxa" w:w="1037"/>
          </w:tcPr>
          <w:p>
            <w:pPr>
              <w:spacing w:after="20"/>
            </w:pPr>
            <w:r>
              <w:rPr>
                <w:color w:val="1C3A36"/>
                <w:sz w:val="15"/>
              </w:rPr>
              <w:t>2026-08-05</w:t>
            </w:r>
          </w:p>
        </w:tc>
        <w:tc>
          <w:tcPr>
            <w:tcW w:type="dxa" w:w="6019"/>
          </w:tcPr>
          <w:p>
            <w:pPr>
              <w:spacing w:after="20"/>
            </w:pPr>
            <w:r>
              <w:rPr>
                <w:color w:val="1C3A36"/>
                <w:sz w:val="15"/>
              </w:rPr>
              <w:t>US dollar risk-free rate for the currency-of-discounting alternative, 10-year US Treasury area (house macro reference)</w:t>
            </w:r>
          </w:p>
        </w:tc>
      </w:tr>
    </w:tbl>
    <w:p>
      <w:pPr>
        <w:spacing w:after="40"/>
      </w:pPr>
    </w:p>
    <w:p>
      <w:pPr>
        <w:spacing w:after="60" w:before="160"/>
      </w:pPr>
      <w:r>
        <w:rPr>
          <w:b/>
          <w:i w:val="0"/>
          <w:color w:val="1C3A36"/>
          <w:sz w:val="22"/>
        </w:rPr>
        <w:t>House layer — 31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037"/>
        <w:gridCol w:w="6019"/>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6019"/>
            <w:shd w:val="clear" w:color="auto" w:fill="EAF0EE"/>
          </w:tcPr>
          <w:p>
            <w:pPr>
              <w:spacing w:after="20"/>
            </w:pPr>
            <w:r>
              <w:rPr>
                <w:b/>
                <w:color w:val="1C3A36"/>
                <w:sz w:val="15"/>
              </w:rPr>
              <w:t>Source and construction</w:t>
            </w:r>
          </w:p>
        </w:tc>
      </w:tr>
      <w:tr>
        <w:tc>
          <w:tcPr>
            <w:tcW w:type="dxa" w:w="1656"/>
          </w:tcPr>
          <w:p>
            <w:pPr>
              <w:spacing w:after="20"/>
            </w:pPr>
            <w:r>
              <w:rPr>
                <w:color w:val="1C3A36"/>
                <w:sz w:val="15"/>
              </w:rPr>
              <w:t>q1 25 ebitda house</w:t>
            </w:r>
          </w:p>
        </w:tc>
        <w:tc>
          <w:tcPr>
            <w:tcW w:type="dxa" w:w="1368"/>
          </w:tcPr>
          <w:p>
            <w:pPr>
              <w:spacing w:after="20"/>
            </w:pPr>
            <w:r>
              <w:rPr>
                <w:color w:val="1C3A36"/>
                <w:sz w:val="15"/>
              </w:rPr>
              <w:t>7,488.8</w:t>
            </w:r>
          </w:p>
        </w:tc>
        <w:tc>
          <w:tcPr>
            <w:tcW w:type="dxa" w:w="1037"/>
          </w:tcPr>
          <w:p>
            <w:pPr>
              <w:spacing w:after="20"/>
            </w:pPr>
            <w:r>
              <w:rPr>
                <w:color w:val="1C3A36"/>
                <w:sz w:val="15"/>
              </w:rPr>
              <w:t>2026-05-13</w:t>
            </w:r>
          </w:p>
        </w:tc>
        <w:tc>
          <w:tcPr>
            <w:tcW w:type="dxa" w:w="6019"/>
          </w:tcPr>
          <w:p>
            <w:pPr>
              <w:spacing w:after="20"/>
            </w:pPr>
            <w:r>
              <w:rPr>
                <w:color w:val="1C3A36"/>
                <w:sz w:val="15"/>
              </w:rPr>
              <w:t>Q1-2025 house EBITDA: operating profit 6,503.867706 + depreciation/amortisation estimated at the FY2025 D&amp;A ratio applied to Q1-2025 revenue (the interim filing does not itemise D&amp;A separately from operating profit)</w:t>
            </w:r>
          </w:p>
        </w:tc>
      </w:tr>
      <w:tr>
        <w:tc>
          <w:tcPr>
            <w:tcW w:type="dxa" w:w="1656"/>
          </w:tcPr>
          <w:p>
            <w:pPr>
              <w:spacing w:after="20"/>
            </w:pPr>
            <w:r>
              <w:rPr>
                <w:color w:val="1C3A36"/>
                <w:sz w:val="15"/>
              </w:rPr>
              <w:t>fx path</w:t>
            </w:r>
          </w:p>
        </w:tc>
        <w:tc>
          <w:tcPr>
            <w:tcW w:type="dxa" w:w="1368"/>
          </w:tcPr>
          <w:p>
            <w:pPr>
              <w:spacing w:after="20"/>
            </w:pPr>
            <w:r>
              <w:rPr>
                <w:color w:val="1C3A36"/>
                <w:sz w:val="15"/>
              </w:rPr>
              <w:t>51, 54, 57.5, 61, 64.5</w:t>
            </w:r>
          </w:p>
        </w:tc>
        <w:tc>
          <w:tcPr>
            <w:tcW w:type="dxa" w:w="1037"/>
          </w:tcPr>
          <w:p>
            <w:pPr>
              <w:spacing w:after="20"/>
            </w:pPr>
            <w:r>
              <w:rPr>
                <w:color w:val="1C3A36"/>
                <w:sz w:val="15"/>
              </w:rPr>
              <w:t>2026-08-05</w:t>
            </w:r>
          </w:p>
        </w:tc>
        <w:tc>
          <w:tcPr>
            <w:tcW w:type="dxa" w:w="6019"/>
          </w:tcPr>
          <w:p>
            <w:pPr>
              <w:spacing w:after="20"/>
            </w:pPr>
            <w:r>
              <w:rPr>
                <w:color w:val="1C3A36"/>
                <w:sz w:val="15"/>
              </w:rPr>
              <w:t>USD/EGP average-rate path, about 6%/yr of depreciation from the FY2025 average of 49.5. Used as a genuine driver of the Cables segment's copper-linked growth and of the currency-of-discounting alternative — not a translation convenience. DELIBERATELY BELOW covered-interest parity, which on the roughly 22% pound rate against a ~4-5% dollar rate implies materially faster depreciation; the base case assumes disinflation closes most of that gap. The parity case is carried as an explicit sensitivity</w:t>
            </w:r>
          </w:p>
        </w:tc>
      </w:tr>
      <w:tr>
        <w:tc>
          <w:tcPr>
            <w:tcW w:type="dxa" w:w="1656"/>
          </w:tcPr>
          <w:p>
            <w:pPr>
              <w:spacing w:after="20"/>
            </w:pPr>
            <w:r>
              <w:rPr>
                <w:color w:val="1C3A36"/>
                <w:sz w:val="15"/>
              </w:rPr>
              <w:t>cables real growth</w:t>
            </w:r>
          </w:p>
        </w:tc>
        <w:tc>
          <w:tcPr>
            <w:tcW w:type="dxa" w:w="1368"/>
          </w:tcPr>
          <w:p>
            <w:pPr>
              <w:spacing w:after="20"/>
            </w:pPr>
            <w:r>
              <w:rPr>
                <w:color w:val="1C3A36"/>
                <w:sz w:val="15"/>
              </w:rPr>
              <w:t>0.03, 0.03, 0.03, 0.03, 0.03</w:t>
            </w:r>
          </w:p>
        </w:tc>
        <w:tc>
          <w:tcPr>
            <w:tcW w:type="dxa" w:w="1037"/>
          </w:tcPr>
          <w:p>
            <w:pPr>
              <w:spacing w:after="20"/>
            </w:pPr>
            <w:r>
              <w:rPr>
                <w:color w:val="1C3A36"/>
                <w:sz w:val="15"/>
              </w:rPr>
              <w:t>2026-08-05</w:t>
            </w:r>
          </w:p>
        </w:tc>
        <w:tc>
          <w:tcPr>
            <w:tcW w:type="dxa" w:w="6019"/>
          </w:tcPr>
          <w:p>
            <w:pPr>
              <w:spacing w:after="20"/>
            </w:pPr>
            <w:r>
              <w:rPr>
                <w:color w:val="1C3A36"/>
                <w:sz w:val="15"/>
              </w:rPr>
              <w:t>Real (ex-copper, ex-FX) volume/market-share growth for the Cables segment — modest and flat, since the company does not disclose tonnage and the model should not manufacture a volume story it cannot evidence. Cables segment revenue growth = (1+copper growth)(1+FX growth)(1+this) - 1</w:t>
            </w:r>
          </w:p>
        </w:tc>
      </w:tr>
      <w:tr>
        <w:tc>
          <w:tcPr>
            <w:tcW w:type="dxa" w:w="1656"/>
          </w:tcPr>
          <w:p>
            <w:pPr>
              <w:spacing w:after="20"/>
            </w:pPr>
            <w:r>
              <w:rPr>
                <w:color w:val="1C3A36"/>
                <w:sz w:val="15"/>
              </w:rPr>
              <w:t>cables margin</w:t>
            </w:r>
          </w:p>
        </w:tc>
        <w:tc>
          <w:tcPr>
            <w:tcW w:type="dxa" w:w="1368"/>
          </w:tcPr>
          <w:p>
            <w:pPr>
              <w:spacing w:after="20"/>
            </w:pPr>
            <w:r>
              <w:rPr>
                <w:color w:val="1C3A36"/>
                <w:sz w:val="15"/>
              </w:rPr>
              <w:t>0.14, 0.145, 0.15, 0.153, 0.155</w:t>
            </w:r>
          </w:p>
        </w:tc>
        <w:tc>
          <w:tcPr>
            <w:tcW w:type="dxa" w:w="1037"/>
          </w:tcPr>
          <w:p>
            <w:pPr>
              <w:spacing w:after="20"/>
            </w:pPr>
            <w:r>
              <w:rPr>
                <w:color w:val="1C3A36"/>
                <w:sz w:val="15"/>
              </w:rPr>
              <w:t>2026-08-05</w:t>
            </w:r>
          </w:p>
        </w:tc>
        <w:tc>
          <w:tcPr>
            <w:tcW w:type="dxa" w:w="6019"/>
          </w:tcPr>
          <w:p>
            <w:pPr>
              <w:spacing w:after="20"/>
            </w:pPr>
            <w:r>
              <w:rPr>
                <w:color w:val="1C3A36"/>
                <w:sz w:val="15"/>
              </w:rPr>
              <w:t>Cables segment profit margin (on the Note 5-3 external-revenue base). History: 19.5% (FY2023), 18.1% (FY2024), 13.5% (FY2025) — the FY2025 collapse is the single largest driver of the group's margin story. The forecast recovers only part of it and never approaches the FY2023-24 levels, which carried devaluation gains on cheaply bought copper inventory</w:t>
            </w:r>
          </w:p>
        </w:tc>
      </w:tr>
      <w:tr>
        <w:tc>
          <w:tcPr>
            <w:tcW w:type="dxa" w:w="1656"/>
          </w:tcPr>
          <w:p>
            <w:pPr>
              <w:spacing w:after="20"/>
            </w:pPr>
            <w:r>
              <w:rPr>
                <w:color w:val="1C3A36"/>
                <w:sz w:val="15"/>
              </w:rPr>
              <w:t>construct growth</w:t>
            </w:r>
          </w:p>
        </w:tc>
        <w:tc>
          <w:tcPr>
            <w:tcW w:type="dxa" w:w="1368"/>
          </w:tcPr>
          <w:p>
            <w:pPr>
              <w:spacing w:after="20"/>
            </w:pPr>
            <w:r>
              <w:rPr>
                <w:color w:val="1C3A36"/>
                <w:sz w:val="15"/>
              </w:rPr>
              <w:t>0.18, 0.14, 0.11, 0.09, 0.08</w:t>
            </w:r>
          </w:p>
        </w:tc>
        <w:tc>
          <w:tcPr>
            <w:tcW w:type="dxa" w:w="1037"/>
          </w:tcPr>
          <w:p>
            <w:pPr>
              <w:spacing w:after="20"/>
            </w:pPr>
            <w:r>
              <w:rPr>
                <w:color w:val="1C3A36"/>
                <w:sz w:val="15"/>
              </w:rPr>
              <w:t>2026-08-05</w:t>
            </w:r>
          </w:p>
        </w:tc>
        <w:tc>
          <w:tcPr>
            <w:tcW w:type="dxa" w:w="6019"/>
          </w:tcPr>
          <w:p>
            <w:pPr>
              <w:spacing w:after="20"/>
            </w:pPr>
            <w:r>
              <w:rPr>
                <w:color w:val="1C3A36"/>
                <w:sz w:val="15"/>
              </w:rPr>
              <w:t>Constructions segment revenue growth, tapering from the FY2025 disclosed rate of +28.3% (FY2024: +32.6%) toward a more sustainable long-run pace. No order book or backlog figure is disclosed in any of the audited filings or the Q1-2026 interim, so — unlike the previous build — this is NOT a burn-rate-on-a-backlog construction; it is a direct taper on the segment's own revenue history</w:t>
            </w:r>
          </w:p>
        </w:tc>
      </w:tr>
      <w:tr>
        <w:tc>
          <w:tcPr>
            <w:tcW w:type="dxa" w:w="1656"/>
          </w:tcPr>
          <w:p>
            <w:pPr>
              <w:spacing w:after="20"/>
            </w:pPr>
            <w:r>
              <w:rPr>
                <w:color w:val="1C3A36"/>
                <w:sz w:val="15"/>
              </w:rPr>
              <w:t>construct margin</w:t>
            </w:r>
          </w:p>
        </w:tc>
        <w:tc>
          <w:tcPr>
            <w:tcW w:type="dxa" w:w="1368"/>
          </w:tcPr>
          <w:p>
            <w:pPr>
              <w:spacing w:after="20"/>
            </w:pPr>
            <w:r>
              <w:rPr>
                <w:color w:val="1C3A36"/>
                <w:sz w:val="15"/>
              </w:rPr>
              <w:t>0.068, 0.072, 0.076, 0.079, 0.082</w:t>
            </w:r>
          </w:p>
        </w:tc>
        <w:tc>
          <w:tcPr>
            <w:tcW w:type="dxa" w:w="1037"/>
          </w:tcPr>
          <w:p>
            <w:pPr>
              <w:spacing w:after="20"/>
            </w:pPr>
            <w:r>
              <w:rPr>
                <w:color w:val="1C3A36"/>
                <w:sz w:val="15"/>
              </w:rPr>
              <w:t>2026-08-05</w:t>
            </w:r>
          </w:p>
        </w:tc>
        <w:tc>
          <w:tcPr>
            <w:tcW w:type="dxa" w:w="6019"/>
          </w:tcPr>
          <w:p>
            <w:pPr>
              <w:spacing w:after="20"/>
            </w:pPr>
            <w:r>
              <w:rPr>
                <w:color w:val="1C3A36"/>
                <w:sz w:val="15"/>
              </w:rPr>
              <w:t>Constructions segment profit margin (on the Note 5-3 external-revenue base). History: 11.6% (FY2023), 11.4% (FY2024), 6.5% (FY2025) — the sharpest compression of the three segments. Partial, not full, recovery is assumed</w:t>
            </w:r>
          </w:p>
        </w:tc>
      </w:tr>
      <w:tr>
        <w:tc>
          <w:tcPr>
            <w:tcW w:type="dxa" w:w="1656"/>
          </w:tcPr>
          <w:p>
            <w:pPr>
              <w:spacing w:after="20"/>
            </w:pPr>
            <w:r>
              <w:rPr>
                <w:color w:val="1C3A36"/>
                <w:sz w:val="15"/>
              </w:rPr>
              <w:t>elecprod growth</w:t>
            </w:r>
          </w:p>
        </w:tc>
        <w:tc>
          <w:tcPr>
            <w:tcW w:type="dxa" w:w="1368"/>
          </w:tcPr>
          <w:p>
            <w:pPr>
              <w:spacing w:after="20"/>
            </w:pPr>
            <w:r>
              <w:rPr>
                <w:color w:val="1C3A36"/>
                <w:sz w:val="15"/>
              </w:rPr>
              <w:t>0.2, 0.16, 0.13, 0.11, 0.1</w:t>
            </w:r>
          </w:p>
        </w:tc>
        <w:tc>
          <w:tcPr>
            <w:tcW w:type="dxa" w:w="1037"/>
          </w:tcPr>
          <w:p>
            <w:pPr>
              <w:spacing w:after="20"/>
            </w:pPr>
            <w:r>
              <w:rPr>
                <w:color w:val="1C3A36"/>
                <w:sz w:val="15"/>
              </w:rPr>
              <w:t>2026-08-05</w:t>
            </w:r>
          </w:p>
        </w:tc>
        <w:tc>
          <w:tcPr>
            <w:tcW w:type="dxa" w:w="6019"/>
          </w:tcPr>
          <w:p>
            <w:pPr>
              <w:spacing w:after="20"/>
            </w:pPr>
            <w:r>
              <w:rPr>
                <w:color w:val="1C3A36"/>
                <w:sz w:val="15"/>
              </w:rPr>
              <w:t>Electrical products and digital solutions segment revenue growth, tapering from the FY2025 disclosed rate of +43.7% (FY2024: +46.6%) off a smaller revenue base</w:t>
            </w:r>
          </w:p>
        </w:tc>
      </w:tr>
      <w:tr>
        <w:tc>
          <w:tcPr>
            <w:tcW w:type="dxa" w:w="1656"/>
          </w:tcPr>
          <w:p>
            <w:pPr>
              <w:spacing w:after="20"/>
            </w:pPr>
            <w:r>
              <w:rPr>
                <w:color w:val="1C3A36"/>
                <w:sz w:val="15"/>
              </w:rPr>
              <w:t>elecprod margin</w:t>
            </w:r>
          </w:p>
        </w:tc>
        <w:tc>
          <w:tcPr>
            <w:tcW w:type="dxa" w:w="1368"/>
          </w:tcPr>
          <w:p>
            <w:pPr>
              <w:spacing w:after="20"/>
            </w:pPr>
            <w:r>
              <w:rPr>
                <w:color w:val="1C3A36"/>
                <w:sz w:val="15"/>
              </w:rPr>
              <w:t>0.22, 0.222, 0.224, 0.226, 0.228</w:t>
            </w:r>
          </w:p>
        </w:tc>
        <w:tc>
          <w:tcPr>
            <w:tcW w:type="dxa" w:w="1037"/>
          </w:tcPr>
          <w:p>
            <w:pPr>
              <w:spacing w:after="20"/>
            </w:pPr>
            <w:r>
              <w:rPr>
                <w:color w:val="1C3A36"/>
                <w:sz w:val="15"/>
              </w:rPr>
              <w:t>2026-08-05</w:t>
            </w:r>
          </w:p>
        </w:tc>
        <w:tc>
          <w:tcPr>
            <w:tcW w:type="dxa" w:w="6019"/>
          </w:tcPr>
          <w:p>
            <w:pPr>
              <w:spacing w:after="20"/>
            </w:pPr>
            <w:r>
              <w:rPr>
                <w:color w:val="1C3A36"/>
                <w:sz w:val="15"/>
              </w:rPr>
              <w:t>Electrical products and digital solutions segment profit margin (on the Note 5-3 external-revenue base). History: 25.4% (FY2023), 26.6% (FY2024), 22.2% (FY2025) — the least-compressed of the three segments; broadly stable forecast with a slight further normalisation</w:t>
            </w:r>
          </w:p>
        </w:tc>
      </w:tr>
      <w:tr>
        <w:tc>
          <w:tcPr>
            <w:tcW w:type="dxa" w:w="1656"/>
          </w:tcPr>
          <w:p>
            <w:pPr>
              <w:spacing w:after="20"/>
            </w:pPr>
            <w:r>
              <w:rPr>
                <w:color w:val="1C3A36"/>
                <w:sz w:val="15"/>
              </w:rPr>
              <w:t>corp load</w:t>
            </w:r>
          </w:p>
        </w:tc>
        <w:tc>
          <w:tcPr>
            <w:tcW w:type="dxa" w:w="1368"/>
          </w:tcPr>
          <w:p>
            <w:pPr>
              <w:spacing w:after="20"/>
            </w:pPr>
            <w:r>
              <w:rPr>
                <w:color w:val="1C3A36"/>
                <w:sz w:val="15"/>
              </w:rPr>
              <w:t>0.0455, 0.0465, 0.0475, 0.0475, 0.0485</w:t>
            </w:r>
          </w:p>
        </w:tc>
        <w:tc>
          <w:tcPr>
            <w:tcW w:type="dxa" w:w="1037"/>
          </w:tcPr>
          <w:p>
            <w:pPr>
              <w:spacing w:after="20"/>
            </w:pPr>
            <w:r>
              <w:rPr>
                <w:color w:val="1C3A36"/>
                <w:sz w:val="15"/>
              </w:rPr>
              <w:t>2026-08-07</w:t>
            </w:r>
          </w:p>
        </w:tc>
        <w:tc>
          <w:tcPr>
            <w:tcW w:type="dxa" w:w="6019"/>
          </w:tcPr>
          <w:p>
            <w:pPr>
              <w:spacing w:after="20"/>
            </w:pPr>
            <w:r>
              <w:rPr>
                <w:color w:val="1C3A36"/>
                <w:sz w:val="15"/>
              </w:rPr>
              <w:t>Net corporate cost load forecast, stated on the SEGMENT-PROFIT-TO-EBIT basis — the same basis as the audited historical bridge (FY2023 5.70%, FY2024 4.30%, FY2025 3.16%). The path glides UP from FY2025's unusually low level toward the FY2023-24 average (~5.0%), the single most conservative choice in the build. RESTATED after external critique: the previous statement of this input (3.3-3.6%) was the load from segment profit to EBITDA, which mixed bases with the historical disclosure; the forecast EBIT is numerically UNCHANGED by the restatement (old load + D&amp;A ratio = this load, year by year)</w:t>
            </w:r>
          </w:p>
        </w:tc>
      </w:tr>
      <w:tr>
        <w:tc>
          <w:tcPr>
            <w:tcW w:type="dxa" w:w="1656"/>
          </w:tcPr>
          <w:p>
            <w:pPr>
              <w:spacing w:after="20"/>
            </w:pPr>
            <w:r>
              <w:rPr>
                <w:color w:val="1C3A36"/>
                <w:sz w:val="15"/>
              </w:rPr>
              <w:t>opex pct</w:t>
            </w:r>
          </w:p>
        </w:tc>
        <w:tc>
          <w:tcPr>
            <w:tcW w:type="dxa" w:w="1368"/>
          </w:tcPr>
          <w:p>
            <w:pPr>
              <w:spacing w:after="20"/>
            </w:pPr>
            <w:r>
              <w:rPr>
                <w:color w:val="1C3A36"/>
                <w:sz w:val="15"/>
              </w:rPr>
              <w:t>0.0455, 0.0465, 0.0475, 0.0475, 0.0485</w:t>
            </w:r>
          </w:p>
        </w:tc>
        <w:tc>
          <w:tcPr>
            <w:tcW w:type="dxa" w:w="1037"/>
          </w:tcPr>
          <w:p>
            <w:pPr>
              <w:spacing w:after="20"/>
            </w:pPr>
            <w:r>
              <w:rPr>
                <w:color w:val="1C3A36"/>
                <w:sz w:val="15"/>
              </w:rPr>
              <w:t>2026-08-07</w:t>
            </w:r>
          </w:p>
        </w:tc>
        <w:tc>
          <w:tcPr>
            <w:tcW w:type="dxa" w:w="6019"/>
          </w:tcPr>
          <w:p>
            <w:pPr>
              <w:spacing w:after="20"/>
            </w:pPr>
            <w:r>
              <w:rPr>
                <w:color w:val="1C3A36"/>
                <w:sz w:val="15"/>
              </w:rPr>
              <w:t>Alias of corp_load (segment-profit-to-EBIT basis), retained for compatibility with the DCF waterfall and sensitivity-grid code paths that reference a single operating-load driver</w:t>
            </w:r>
          </w:p>
        </w:tc>
      </w:tr>
      <w:tr>
        <w:tc>
          <w:tcPr>
            <w:tcW w:type="dxa" w:w="1656"/>
          </w:tcPr>
          <w:p>
            <w:pPr>
              <w:spacing w:after="20"/>
            </w:pPr>
            <w:r>
              <w:rPr>
                <w:color w:val="1C3A36"/>
                <w:sz w:val="15"/>
              </w:rPr>
              <w:t>unit price inflation</w:t>
            </w:r>
          </w:p>
        </w:tc>
        <w:tc>
          <w:tcPr>
            <w:tcW w:type="dxa" w:w="1368"/>
          </w:tcPr>
          <w:p>
            <w:pPr>
              <w:spacing w:after="20"/>
            </w:pPr>
            <w:r>
              <w:rPr>
                <w:color w:val="1C3A36"/>
                <w:sz w:val="15"/>
              </w:rPr>
              <w:t>0.08, 0.075, 0.07, 0.07, 0.07</w:t>
            </w:r>
          </w:p>
        </w:tc>
        <w:tc>
          <w:tcPr>
            <w:tcW w:type="dxa" w:w="1037"/>
          </w:tcPr>
          <w:p>
            <w:pPr>
              <w:spacing w:after="20"/>
            </w:pPr>
            <w:r>
              <w:rPr>
                <w:color w:val="1C3A36"/>
                <w:sz w:val="15"/>
              </w:rPr>
              <w:t>2026-08-05</w:t>
            </w:r>
          </w:p>
        </w:tc>
        <w:tc>
          <w:tcPr>
            <w:tcW w:type="dxa" w:w="6019"/>
          </w:tcPr>
          <w:p>
            <w:pPr>
              <w:spacing w:after="20"/>
            </w:pPr>
            <w:r>
              <w:rPr>
                <w:color w:val="1C3A36"/>
                <w:sz w:val="15"/>
              </w:rPr>
              <w:t>Retained input, no longer consumed by the segment build (kept for downstream compatibility)</w:t>
            </w:r>
          </w:p>
        </w:tc>
      </w:tr>
      <w:tr>
        <w:tc>
          <w:tcPr>
            <w:tcW w:type="dxa" w:w="1656"/>
          </w:tcPr>
          <w:p>
            <w:pPr>
              <w:spacing w:after="20"/>
            </w:pPr>
            <w:r>
              <w:rPr>
                <w:color w:val="1C3A36"/>
                <w:sz w:val="15"/>
              </w:rPr>
              <w:t>nwc pct</w:t>
            </w:r>
          </w:p>
        </w:tc>
        <w:tc>
          <w:tcPr>
            <w:tcW w:type="dxa" w:w="1368"/>
          </w:tcPr>
          <w:p>
            <w:pPr>
              <w:spacing w:after="20"/>
            </w:pPr>
            <w:r>
              <w:rPr>
                <w:color w:val="1C3A36"/>
                <w:sz w:val="15"/>
              </w:rPr>
              <w:t>0.199</w:t>
            </w:r>
          </w:p>
        </w:tc>
        <w:tc>
          <w:tcPr>
            <w:tcW w:type="dxa" w:w="1037"/>
          </w:tcPr>
          <w:p>
            <w:pPr>
              <w:spacing w:after="20"/>
            </w:pPr>
            <w:r>
              <w:rPr>
                <w:color w:val="1C3A36"/>
                <w:sz w:val="15"/>
              </w:rPr>
              <w:t>2026-08-05</w:t>
            </w:r>
          </w:p>
        </w:tc>
        <w:tc>
          <w:tcPr>
            <w:tcW w:type="dxa" w:w="6019"/>
          </w:tcPr>
          <w:p>
            <w:pPr>
              <w:spacing w:after="20"/>
            </w:pPr>
            <w:r>
              <w:rPr>
                <w:color w:val="1C3A36"/>
                <w:sz w:val="15"/>
              </w:rPr>
              <w:t>Net working capital as a share of revenue, held at the FY2025 disclosed level (19.87%) — a genuine improvement on FY2023 (24.1%) and FY2024 (23.1%), carried forward without assuming further improvement or reversion</w:t>
            </w:r>
          </w:p>
        </w:tc>
      </w:tr>
      <w:tr>
        <w:tc>
          <w:tcPr>
            <w:tcW w:type="dxa" w:w="1656"/>
          </w:tcPr>
          <w:p>
            <w:pPr>
              <w:spacing w:after="20"/>
            </w:pPr>
            <w:r>
              <w:rPr>
                <w:color w:val="1C3A36"/>
                <w:sz w:val="15"/>
              </w:rPr>
              <w:t>capex pct</w:t>
            </w:r>
          </w:p>
        </w:tc>
        <w:tc>
          <w:tcPr>
            <w:tcW w:type="dxa" w:w="1368"/>
          </w:tcPr>
          <w:p>
            <w:pPr>
              <w:spacing w:after="20"/>
            </w:pPr>
            <w:r>
              <w:rPr>
                <w:color w:val="1C3A36"/>
                <w:sz w:val="15"/>
              </w:rPr>
              <w:t>0.044, 0.04, 0.036, 0.033, 0.031</w:t>
            </w:r>
          </w:p>
        </w:tc>
        <w:tc>
          <w:tcPr>
            <w:tcW w:type="dxa" w:w="1037"/>
          </w:tcPr>
          <w:p>
            <w:pPr>
              <w:spacing w:after="20"/>
            </w:pPr>
            <w:r>
              <w:rPr>
                <w:color w:val="1C3A36"/>
                <w:sz w:val="15"/>
              </w:rPr>
              <w:t>2026-08-05</w:t>
            </w:r>
          </w:p>
        </w:tc>
        <w:tc>
          <w:tcPr>
            <w:tcW w:type="dxa" w:w="6019"/>
          </w:tcPr>
          <w:p>
            <w:pPr>
              <w:spacing w:after="20"/>
            </w:pPr>
            <w:r>
              <w:rPr>
                <w:color w:val="1C3A36"/>
                <w:sz w:val="15"/>
              </w:rPr>
              <w:t>Capex as a share of revenue, tapering from the FY2025 disclosed level of 4.7% (up from 3.1% FY2023 and 3.7% FY2024) toward a lower maintenance-plus-modest-capacity level as the current expansion cycle completes</w:t>
            </w:r>
          </w:p>
        </w:tc>
      </w:tr>
      <w:tr>
        <w:tc>
          <w:tcPr>
            <w:tcW w:type="dxa" w:w="1656"/>
          </w:tcPr>
          <w:p>
            <w:pPr>
              <w:spacing w:after="20"/>
            </w:pPr>
            <w:r>
              <w:rPr>
                <w:color w:val="1C3A36"/>
                <w:sz w:val="15"/>
              </w:rPr>
              <w:t>dna pct</w:t>
            </w:r>
          </w:p>
        </w:tc>
        <w:tc>
          <w:tcPr>
            <w:tcW w:type="dxa" w:w="1368"/>
          </w:tcPr>
          <w:p>
            <w:pPr>
              <w:spacing w:after="20"/>
            </w:pPr>
            <w:r>
              <w:rPr>
                <w:color w:val="1C3A36"/>
                <w:sz w:val="15"/>
              </w:rPr>
              <w:t>0.0125</w:t>
            </w:r>
          </w:p>
        </w:tc>
        <w:tc>
          <w:tcPr>
            <w:tcW w:type="dxa" w:w="1037"/>
          </w:tcPr>
          <w:p>
            <w:pPr>
              <w:spacing w:after="20"/>
            </w:pPr>
            <w:r>
              <w:rPr>
                <w:color w:val="1C3A36"/>
                <w:sz w:val="15"/>
              </w:rPr>
              <w:t>2026-08-05</w:t>
            </w:r>
          </w:p>
        </w:tc>
        <w:tc>
          <w:tcPr>
            <w:tcW w:type="dxa" w:w="6019"/>
          </w:tcPr>
          <w:p>
            <w:pPr>
              <w:spacing w:after="20"/>
            </w:pPr>
            <w:r>
              <w:rPr>
                <w:color w:val="1C3A36"/>
                <w:sz w:val="15"/>
              </w:rPr>
              <w:t>Depreciation and amortisation as a share of revenue, held near the FY2025 disclosed level (1.07%) with a modest rise reflecting the larger capitalised asset base from the FY2025-26 capex ramp</w:t>
            </w:r>
          </w:p>
        </w:tc>
      </w:tr>
      <w:tr>
        <w:tc>
          <w:tcPr>
            <w:tcW w:type="dxa" w:w="1656"/>
          </w:tcPr>
          <w:p>
            <w:pPr>
              <w:spacing w:after="20"/>
            </w:pPr>
            <w:r>
              <w:rPr>
                <w:color w:val="1C3A36"/>
                <w:sz w:val="15"/>
              </w:rPr>
              <w:t>erp ops weighted</w:t>
            </w:r>
          </w:p>
        </w:tc>
        <w:tc>
          <w:tcPr>
            <w:tcW w:type="dxa" w:w="1368"/>
          </w:tcPr>
          <w:p>
            <w:pPr>
              <w:spacing w:after="20"/>
            </w:pPr>
            <w:r>
              <w:rPr>
                <w:color w:val="1C3A36"/>
                <w:sz w:val="15"/>
              </w:rPr>
              <w:t>0.0737</w:t>
            </w:r>
          </w:p>
        </w:tc>
        <w:tc>
          <w:tcPr>
            <w:tcW w:type="dxa" w:w="1037"/>
          </w:tcPr>
          <w:p>
            <w:pPr>
              <w:spacing w:after="20"/>
            </w:pPr>
            <w:r>
              <w:rPr>
                <w:color w:val="1C3A36"/>
                <w:sz w:val="15"/>
              </w:rPr>
              <w:t>2026-08-05</w:t>
            </w:r>
          </w:p>
        </w:tc>
        <w:tc>
          <w:tcPr>
            <w:tcW w:type="dxa" w:w="6019"/>
          </w:tcPr>
          <w:p>
            <w:pPr>
              <w:spacing w:after="20"/>
            </w:pPr>
            <w:r>
              <w:rPr>
                <w:color w:val="1C3A36"/>
                <w:sz w:val="15"/>
              </w:rPr>
              <w:t>Operations-weighted equity risk premium: 30% Egypt at 9.41% and 70% rest-of-world at a 6.5% blended emerging/frontier premium, reflecting where the revenue is actually earned. Shown as an explicit alternative, not the primary, because the standing house rule takes the country premium of the listing and reporting currency</w:t>
            </w:r>
          </w:p>
        </w:tc>
      </w:tr>
      <w:tr>
        <w:tc>
          <w:tcPr>
            <w:tcW w:type="dxa" w:w="1656"/>
          </w:tcPr>
          <w:p>
            <w:pPr>
              <w:spacing w:after="20"/>
            </w:pPr>
            <w:r>
              <w:rPr>
                <w:color w:val="1C3A36"/>
                <w:sz w:val="15"/>
              </w:rPr>
              <w:t>beta</w:t>
            </w:r>
          </w:p>
        </w:tc>
        <w:tc>
          <w:tcPr>
            <w:tcW w:type="dxa" w:w="1368"/>
          </w:tcPr>
          <w:p>
            <w:pPr>
              <w:spacing w:after="20"/>
            </w:pPr>
            <w:r>
              <w:rPr>
                <w:color w:val="1C3A36"/>
                <w:sz w:val="15"/>
              </w:rPr>
              <w:t>1.009</w:t>
            </w:r>
          </w:p>
        </w:tc>
        <w:tc>
          <w:tcPr>
            <w:tcW w:type="dxa" w:w="1037"/>
          </w:tcPr>
          <w:p>
            <w:pPr>
              <w:spacing w:after="20"/>
            </w:pPr>
            <w:r>
              <w:rPr>
                <w:color w:val="1C3A36"/>
                <w:sz w:val="15"/>
              </w:rPr>
              <w:t>2026-08-05</w:t>
            </w:r>
          </w:p>
        </w:tc>
        <w:tc>
          <w:tcPr>
            <w:tcW w:type="dxa" w:w="6019"/>
          </w:tcPr>
          <w:p>
            <w:pPr>
              <w:spacing w:after="20"/>
            </w:pPr>
            <w:r>
              <w:rPr>
                <w:color w:val="1C3A36"/>
                <w:sz w:val="15"/>
              </w:rPr>
              <w:t>Own-stock tier-1 regression: SWDY weekly log-returns against a 31-name equal-weight EGX composite built from the full covered library, 5-year window. R-squared 0.291, n = 258, standard error 0.098, 90% confidence interval [0.85, 1.17]. Comfortably clears the usability gate and is NOT weak-instrument flagged (R-squared well above 10%, interval span 0.32 against a 1.009 point estimate)</w:t>
            </w:r>
          </w:p>
        </w:tc>
      </w:tr>
      <w:tr>
        <w:tc>
          <w:tcPr>
            <w:tcW w:type="dxa" w:w="1656"/>
          </w:tcPr>
          <w:p>
            <w:pPr>
              <w:spacing w:after="20"/>
            </w:pPr>
            <w:r>
              <w:rPr>
                <w:color w:val="1C3A36"/>
                <w:sz w:val="15"/>
              </w:rPr>
              <w:t>kd path</w:t>
            </w:r>
          </w:p>
        </w:tc>
        <w:tc>
          <w:tcPr>
            <w:tcW w:type="dxa" w:w="1368"/>
          </w:tcPr>
          <w:p>
            <w:pPr>
              <w:spacing w:after="20"/>
            </w:pPr>
            <w:r>
              <w:rPr>
                <w:color w:val="1C3A36"/>
                <w:sz w:val="15"/>
              </w:rPr>
              <w:t>0.095, 0.089, 0.084, 0.08, 0.077</w:t>
            </w:r>
          </w:p>
        </w:tc>
        <w:tc>
          <w:tcPr>
            <w:tcW w:type="dxa" w:w="1037"/>
          </w:tcPr>
          <w:p>
            <w:pPr>
              <w:spacing w:after="20"/>
            </w:pPr>
            <w:r>
              <w:rPr>
                <w:color w:val="1C3A36"/>
                <w:sz w:val="15"/>
              </w:rPr>
              <w:t>2026-08-05</w:t>
            </w:r>
          </w:p>
        </w:tc>
        <w:tc>
          <w:tcPr>
            <w:tcW w:type="dxa" w:w="6019"/>
          </w:tcPr>
          <w:p>
            <w:pPr>
              <w:spacing w:after="20"/>
            </w:pPr>
            <w:r>
              <w:rPr>
                <w:color w:val="1C3A36"/>
                <w:sz w:val="15"/>
              </w:rPr>
              <w:t>Forward cost-of-debt path FY26E-FY30E on the blended book, continuing the CBE easing cycle that has already taken the disclosed Egyptian-pound rate from 28.68% (FY2024) to 21.30% (FY2025) to 20.32% (Q1-2026), blended against a broadly flat hard-currency rate. The discount-rate glide takes its shape from this path by construction rather than being invented separately</w:t>
            </w:r>
          </w:p>
        </w:tc>
      </w:tr>
      <w:tr>
        <w:tc>
          <w:tcPr>
            <w:tcW w:type="dxa" w:w="1656"/>
          </w:tcPr>
          <w:p>
            <w:pPr>
              <w:spacing w:after="20"/>
            </w:pPr>
            <w:r>
              <w:rPr>
                <w:color w:val="1C3A36"/>
                <w:sz w:val="15"/>
              </w:rPr>
              <w:t>kd term</w:t>
            </w:r>
          </w:p>
        </w:tc>
        <w:tc>
          <w:tcPr>
            <w:tcW w:type="dxa" w:w="1368"/>
          </w:tcPr>
          <w:p>
            <w:pPr>
              <w:spacing w:after="20"/>
            </w:pPr>
            <w:r>
              <w:rPr>
                <w:color w:val="1C3A36"/>
                <w:sz w:val="15"/>
              </w:rPr>
              <w:t>0.0888</w:t>
            </w:r>
          </w:p>
        </w:tc>
        <w:tc>
          <w:tcPr>
            <w:tcW w:type="dxa" w:w="1037"/>
          </w:tcPr>
          <w:p>
            <w:pPr>
              <w:spacing w:after="20"/>
            </w:pPr>
            <w:r>
              <w:rPr>
                <w:color w:val="1C3A36"/>
                <w:sz w:val="15"/>
              </w:rPr>
              <w:t>2026-08-05</w:t>
            </w:r>
          </w:p>
        </w:tc>
        <w:tc>
          <w:tcPr>
            <w:tcW w:type="dxa" w:w="6019"/>
          </w:tcPr>
          <w:p>
            <w:pPr>
              <w:spacing w:after="20"/>
            </w:pPr>
            <w:r>
              <w:rPr>
                <w:color w:val="1C3A36"/>
                <w:sz w:val="15"/>
              </w:rPr>
              <w:t>Terminal blended cost of debt: 28% Egyptian pound at the 15% long-run Egyptian corporate-borrowing norm and 72% hard currency at 6.5% — the currency WEIGHTS updated to the actual FY2025 composition (formerly modelled 45%/55%, now measured at roughly 28%/72% from the Kd-integrity back-solve); the long-run rate norms themselves are unchanged policy assumptions</w:t>
            </w:r>
          </w:p>
        </w:tc>
      </w:tr>
      <w:tr>
        <w:tc>
          <w:tcPr>
            <w:tcW w:type="dxa" w:w="1656"/>
          </w:tcPr>
          <w:p>
            <w:pPr>
              <w:spacing w:after="20"/>
            </w:pPr>
            <w:r>
              <w:rPr>
                <w:color w:val="1C3A36"/>
                <w:sz w:val="15"/>
              </w:rPr>
              <w:t>rf term</w:t>
            </w:r>
          </w:p>
        </w:tc>
        <w:tc>
          <w:tcPr>
            <w:tcW w:type="dxa" w:w="1368"/>
          </w:tcPr>
          <w:p>
            <w:pPr>
              <w:spacing w:after="20"/>
            </w:pPr>
            <w:r>
              <w:rPr>
                <w:color w:val="1C3A36"/>
                <w:sz w:val="15"/>
              </w:rPr>
              <w:t>0.105</w:t>
            </w:r>
          </w:p>
        </w:tc>
        <w:tc>
          <w:tcPr>
            <w:tcW w:type="dxa" w:w="1037"/>
          </w:tcPr>
          <w:p>
            <w:pPr>
              <w:spacing w:after="20"/>
            </w:pPr>
            <w:r>
              <w:rPr>
                <w:color w:val="1C3A36"/>
                <w:sz w:val="15"/>
              </w:rPr>
              <w:t>2026-08-05</w:t>
            </w:r>
          </w:p>
        </w:tc>
        <w:tc>
          <w:tcPr>
            <w:tcW w:type="dxa" w:w="6019"/>
          </w:tcPr>
          <w:p>
            <w:pPr>
              <w:spacing w:after="20"/>
            </w:pPr>
            <w:r>
              <w:rPr>
                <w:color w:val="1C3A36"/>
                <w:sz w:val="15"/>
              </w:rPr>
              <w:t>Terminal risk-free rate, norm-built: the CBE's own stated medium-term inflation target of 5% plus the standard ~5.5pp emerging-market real-rate convention. Never a raw historical average and never reverse-engineered from a price</w:t>
            </w:r>
          </w:p>
        </w:tc>
      </w:tr>
      <w:tr>
        <w:tc>
          <w:tcPr>
            <w:tcW w:type="dxa" w:w="1656"/>
          </w:tcPr>
          <w:p>
            <w:pPr>
              <w:spacing w:after="20"/>
            </w:pPr>
            <w:r>
              <w:rPr>
                <w:color w:val="1C3A36"/>
                <w:sz w:val="15"/>
              </w:rPr>
              <w:t>erp term</w:t>
            </w:r>
          </w:p>
        </w:tc>
        <w:tc>
          <w:tcPr>
            <w:tcW w:type="dxa" w:w="1368"/>
          </w:tcPr>
          <w:p>
            <w:pPr>
              <w:spacing w:after="20"/>
            </w:pPr>
            <w:r>
              <w:rPr>
                <w:color w:val="1C3A36"/>
                <w:sz w:val="15"/>
              </w:rPr>
              <w:t>0.07</w:t>
            </w:r>
          </w:p>
        </w:tc>
        <w:tc>
          <w:tcPr>
            <w:tcW w:type="dxa" w:w="1037"/>
          </w:tcPr>
          <w:p>
            <w:pPr>
              <w:spacing w:after="20"/>
            </w:pPr>
            <w:r>
              <w:rPr>
                <w:color w:val="1C3A36"/>
                <w:sz w:val="15"/>
              </w:rPr>
              <w:t>2026-08-05</w:t>
            </w:r>
          </w:p>
        </w:tc>
        <w:tc>
          <w:tcPr>
            <w:tcW w:type="dxa" w:w="6019"/>
          </w:tcPr>
          <w:p>
            <w:pPr>
              <w:spacing w:after="20"/>
            </w:pPr>
            <w:r>
              <w:rPr>
                <w:color w:val="1C3A36"/>
                <w:sz w:val="15"/>
              </w:rPr>
              <w:t>Terminal equity risk premium, normalised below the currently elevated crisis-era level toward the rating-class norm; never held flat into perpetuity</w:t>
            </w:r>
          </w:p>
        </w:tc>
      </w:tr>
      <w:tr>
        <w:tc>
          <w:tcPr>
            <w:tcW w:type="dxa" w:w="1656"/>
          </w:tcPr>
          <w:p>
            <w:pPr>
              <w:spacing w:after="20"/>
            </w:pPr>
            <w:r>
              <w:rPr>
                <w:color w:val="1C3A36"/>
                <w:sz w:val="15"/>
              </w:rPr>
              <w:t>wd term</w:t>
            </w:r>
          </w:p>
        </w:tc>
        <w:tc>
          <w:tcPr>
            <w:tcW w:type="dxa" w:w="1368"/>
          </w:tcPr>
          <w:p>
            <w:pPr>
              <w:spacing w:after="20"/>
            </w:pPr>
            <w:r>
              <w:rPr>
                <w:color w:val="1C3A36"/>
                <w:sz w:val="15"/>
              </w:rPr>
              <w:t>0.15</w:t>
            </w:r>
          </w:p>
        </w:tc>
        <w:tc>
          <w:tcPr>
            <w:tcW w:type="dxa" w:w="1037"/>
          </w:tcPr>
          <w:p>
            <w:pPr>
              <w:spacing w:after="20"/>
            </w:pPr>
            <w:r>
              <w:rPr>
                <w:color w:val="1C3A36"/>
                <w:sz w:val="15"/>
              </w:rPr>
              <w:t>2026-08-07</w:t>
            </w:r>
          </w:p>
        </w:tc>
        <w:tc>
          <w:tcPr>
            <w:tcW w:type="dxa" w:w="6019"/>
          </w:tcPr>
          <w:p>
            <w:pPr>
              <w:spacing w:after="20"/>
            </w:pPr>
            <w:r>
              <w:rPr>
                <w:color w:val="1C3A36"/>
                <w:sz w:val="15"/>
              </w:rPr>
              <w:t>Terminal debt weight D/(D+E) on a net basis, NORMALISED — but reconciled to the model's OWN forecast balance sheet rather than asserted. REVISED from 25% after external critique (and the same finding in this study's own re-audit): at a 25% payout the forecast still deleverages toward a mid-single-digit net-debt weight by FY2030E, so a 25% terminal weight contradicted the model's own trajectory in the direction that flattered the valuation. 15% sits between today's 8.4% net weight and the old 25%, acknowledging that a working-capital-heavy industrial retains structural gross leverage. Worth about -5.3/share on the DCF lens versus the old 25%</w:t>
            </w:r>
          </w:p>
        </w:tc>
      </w:tr>
      <w:tr>
        <w:tc>
          <w:tcPr>
            <w:tcW w:type="dxa" w:w="1656"/>
          </w:tcPr>
          <w:p>
            <w:pPr>
              <w:spacing w:after="20"/>
            </w:pPr>
            <w:r>
              <w:rPr>
                <w:color w:val="1C3A36"/>
                <w:sz w:val="15"/>
              </w:rPr>
              <w:t>g term</w:t>
            </w:r>
          </w:p>
        </w:tc>
        <w:tc>
          <w:tcPr>
            <w:tcW w:type="dxa" w:w="1368"/>
          </w:tcPr>
          <w:p>
            <w:pPr>
              <w:spacing w:after="20"/>
            </w:pPr>
            <w:r>
              <w:rPr>
                <w:color w:val="1C3A36"/>
                <w:sz w:val="15"/>
              </w:rPr>
              <w:t>0.05</w:t>
            </w:r>
          </w:p>
        </w:tc>
        <w:tc>
          <w:tcPr>
            <w:tcW w:type="dxa" w:w="1037"/>
          </w:tcPr>
          <w:p>
            <w:pPr>
              <w:spacing w:after="20"/>
            </w:pPr>
            <w:r>
              <w:rPr>
                <w:color w:val="1C3A36"/>
                <w:sz w:val="15"/>
              </w:rPr>
              <w:t>2026-08-05</w:t>
            </w:r>
          </w:p>
        </w:tc>
        <w:tc>
          <w:tcPr>
            <w:tcW w:type="dxa" w:w="6019"/>
          </w:tcPr>
          <w:p>
            <w:pPr>
              <w:spacing w:after="20"/>
            </w:pPr>
            <w:r>
              <w:rPr>
                <w:color w:val="1C3A36"/>
                <w:sz w:val="15"/>
              </w:rPr>
              <w:t>Terminal growth, 5% — the standing centre for established names in this market post-disinflation, sensitised 3-7%. Note this is an EGP-NOMINAL rate struck against a terminal risk-free rate that itself embeds 5% inflation, so the base case assumes approximately zero real terminal growth: a deliberate conservatism for a company whose revenue is majority hard-currency</w:t>
            </w:r>
          </w:p>
        </w:tc>
      </w:tr>
      <w:tr>
        <w:tc>
          <w:tcPr>
            <w:tcW w:type="dxa" w:w="1656"/>
          </w:tcPr>
          <w:p>
            <w:pPr>
              <w:spacing w:after="20"/>
            </w:pPr>
            <w:r>
              <w:rPr>
                <w:color w:val="1C3A36"/>
                <w:sz w:val="15"/>
              </w:rPr>
              <w:t>usd erp</w:t>
            </w:r>
          </w:p>
        </w:tc>
        <w:tc>
          <w:tcPr>
            <w:tcW w:type="dxa" w:w="1368"/>
          </w:tcPr>
          <w:p>
            <w:pPr>
              <w:spacing w:after="20"/>
            </w:pPr>
            <w:r>
              <w:rPr>
                <w:color w:val="1C3A36"/>
                <w:sz w:val="15"/>
              </w:rPr>
              <w:t>0.075</w:t>
            </w:r>
          </w:p>
        </w:tc>
        <w:tc>
          <w:tcPr>
            <w:tcW w:type="dxa" w:w="1037"/>
          </w:tcPr>
          <w:p>
            <w:pPr>
              <w:spacing w:after="20"/>
            </w:pPr>
            <w:r>
              <w:rPr>
                <w:color w:val="1C3A36"/>
                <w:sz w:val="15"/>
              </w:rPr>
              <w:t>2026-08-05</w:t>
            </w:r>
          </w:p>
        </w:tc>
        <w:tc>
          <w:tcPr>
            <w:tcW w:type="dxa" w:w="6019"/>
          </w:tcPr>
          <w:p>
            <w:pPr>
              <w:spacing w:after="20"/>
            </w:pPr>
            <w:r>
              <w:rPr>
                <w:color w:val="1C3A36"/>
                <w:sz w:val="15"/>
              </w:rPr>
              <w:t>Equity risk premium for the hard-currency leg: mature-market premium plus a reduced operating-exposure country premium — deliberately NOT the full Egypt premium, since this alternative's whole point is to price the hard-currency cash flows as hard-currency cash flows</w:t>
            </w:r>
          </w:p>
        </w:tc>
      </w:tr>
      <w:tr>
        <w:tc>
          <w:tcPr>
            <w:tcW w:type="dxa" w:w="1656"/>
          </w:tcPr>
          <w:p>
            <w:pPr>
              <w:spacing w:after="20"/>
            </w:pPr>
            <w:r>
              <w:rPr>
                <w:color w:val="1C3A36"/>
                <w:sz w:val="15"/>
              </w:rPr>
              <w:t>usd kd</w:t>
            </w:r>
          </w:p>
        </w:tc>
        <w:tc>
          <w:tcPr>
            <w:tcW w:type="dxa" w:w="1368"/>
          </w:tcPr>
          <w:p>
            <w:pPr>
              <w:spacing w:after="20"/>
            </w:pPr>
            <w:r>
              <w:rPr>
                <w:color w:val="1C3A36"/>
                <w:sz w:val="15"/>
              </w:rPr>
              <w:t>0.065</w:t>
            </w:r>
          </w:p>
        </w:tc>
        <w:tc>
          <w:tcPr>
            <w:tcW w:type="dxa" w:w="1037"/>
          </w:tcPr>
          <w:p>
            <w:pPr>
              <w:spacing w:after="20"/>
            </w:pPr>
            <w:r>
              <w:rPr>
                <w:color w:val="1C3A36"/>
                <w:sz w:val="15"/>
              </w:rPr>
              <w:t>2026-08-05</w:t>
            </w:r>
          </w:p>
        </w:tc>
        <w:tc>
          <w:tcPr>
            <w:tcW w:type="dxa" w:w="6019"/>
          </w:tcPr>
          <w:p>
            <w:pPr>
              <w:spacing w:after="20"/>
            </w:pPr>
            <w:r>
              <w:rPr>
                <w:color w:val="1C3A36"/>
                <w:sz w:val="15"/>
              </w:rPr>
              <w:t>US dollar cost of debt for the alternative: the disclosed 5.3% hard-currency book rate plus a term/credit allowance</w:t>
            </w:r>
          </w:p>
        </w:tc>
      </w:tr>
      <w:tr>
        <w:tc>
          <w:tcPr>
            <w:tcW w:type="dxa" w:w="1656"/>
          </w:tcPr>
          <w:p>
            <w:pPr>
              <w:spacing w:after="20"/>
            </w:pPr>
            <w:r>
              <w:rPr>
                <w:color w:val="1C3A36"/>
                <w:sz w:val="15"/>
              </w:rPr>
              <w:t>usd wd</w:t>
            </w:r>
          </w:p>
        </w:tc>
        <w:tc>
          <w:tcPr>
            <w:tcW w:type="dxa" w:w="1368"/>
          </w:tcPr>
          <w:p>
            <w:pPr>
              <w:spacing w:after="20"/>
            </w:pPr>
            <w:r>
              <w:rPr>
                <w:color w:val="1C3A36"/>
                <w:sz w:val="15"/>
              </w:rPr>
              <w:t>0.25</w:t>
            </w:r>
          </w:p>
        </w:tc>
        <w:tc>
          <w:tcPr>
            <w:tcW w:type="dxa" w:w="1037"/>
          </w:tcPr>
          <w:p>
            <w:pPr>
              <w:spacing w:after="20"/>
            </w:pPr>
            <w:r>
              <w:rPr>
                <w:color w:val="1C3A36"/>
                <w:sz w:val="15"/>
              </w:rPr>
              <w:t>2026-08-05</w:t>
            </w:r>
          </w:p>
        </w:tc>
        <w:tc>
          <w:tcPr>
            <w:tcW w:type="dxa" w:w="6019"/>
          </w:tcPr>
          <w:p>
            <w:pPr>
              <w:spacing w:after="20"/>
            </w:pPr>
            <w:r>
              <w:rPr>
                <w:color w:val="1C3A36"/>
                <w:sz w:val="15"/>
              </w:rPr>
              <w:t>Debt weight for the USD-leg cost of capital</w:t>
            </w:r>
          </w:p>
        </w:tc>
      </w:tr>
      <w:tr>
        <w:tc>
          <w:tcPr>
            <w:tcW w:type="dxa" w:w="1656"/>
          </w:tcPr>
          <w:p>
            <w:pPr>
              <w:spacing w:after="20"/>
            </w:pPr>
            <w:r>
              <w:rPr>
                <w:color w:val="1C3A36"/>
                <w:sz w:val="15"/>
              </w:rPr>
              <w:t>usd g term</w:t>
            </w:r>
          </w:p>
        </w:tc>
        <w:tc>
          <w:tcPr>
            <w:tcW w:type="dxa" w:w="1368"/>
          </w:tcPr>
          <w:p>
            <w:pPr>
              <w:spacing w:after="20"/>
            </w:pPr>
            <w:r>
              <w:rPr>
                <w:color w:val="1C3A36"/>
                <w:sz w:val="15"/>
              </w:rPr>
              <w:t>0.035</w:t>
            </w:r>
          </w:p>
        </w:tc>
        <w:tc>
          <w:tcPr>
            <w:tcW w:type="dxa" w:w="1037"/>
          </w:tcPr>
          <w:p>
            <w:pPr>
              <w:spacing w:after="20"/>
            </w:pPr>
            <w:r>
              <w:rPr>
                <w:color w:val="1C3A36"/>
                <w:sz w:val="15"/>
              </w:rPr>
              <w:t>2026-08-05</w:t>
            </w:r>
          </w:p>
        </w:tc>
        <w:tc>
          <w:tcPr>
            <w:tcW w:type="dxa" w:w="6019"/>
          </w:tcPr>
          <w:p>
            <w:pPr>
              <w:spacing w:after="20"/>
            </w:pPr>
            <w:r>
              <w:rPr>
                <w:color w:val="1C3A36"/>
                <w:sz w:val="15"/>
              </w:rPr>
              <w:t>Terminal growth of the USD-denominated leg — real growth plus dollar inflation, below the EGP terminal growth by the inflation differential</w:t>
            </w:r>
          </w:p>
        </w:tc>
      </w:tr>
      <w:tr>
        <w:tc>
          <w:tcPr>
            <w:tcW w:type="dxa" w:w="1656"/>
          </w:tcPr>
          <w:p>
            <w:pPr>
              <w:spacing w:after="20"/>
            </w:pPr>
            <w:r>
              <w:rPr>
                <w:color w:val="1C3A36"/>
                <w:sz w:val="15"/>
              </w:rPr>
              <w:t>anchor days</w:t>
            </w:r>
          </w:p>
        </w:tc>
        <w:tc>
          <w:tcPr>
            <w:tcW w:type="dxa" w:w="1368"/>
          </w:tcPr>
          <w:p>
            <w:pPr>
              <w:spacing w:after="20"/>
            </w:pPr>
            <w:r>
              <w:rPr>
                <w:color w:val="1C3A36"/>
                <w:sz w:val="15"/>
              </w:rPr>
              <w:t>217</w:t>
            </w:r>
          </w:p>
        </w:tc>
        <w:tc>
          <w:tcPr>
            <w:tcW w:type="dxa" w:w="1037"/>
          </w:tcPr>
          <w:p>
            <w:pPr>
              <w:spacing w:after="20"/>
            </w:pPr>
            <w:r>
              <w:rPr>
                <w:color w:val="1C3A36"/>
                <w:sz w:val="15"/>
              </w:rPr>
              <w:t>2026-08-07</w:t>
            </w:r>
          </w:p>
        </w:tc>
        <w:tc>
          <w:tcPr>
            <w:tcW w:type="dxa" w:w="6019"/>
          </w:tcPr>
          <w:p>
            <w:pPr>
              <w:spacing w:after="20"/>
            </w:pPr>
            <w:r>
              <w:rPr>
                <w:color w:val="1C3A36"/>
                <w:sz w:val="15"/>
              </w:rPr>
              <w:t>Days from the DCF's construction date (31 Dec 2025, the audited balance-sheet date the bridge is built on) to the anchor date 5 Aug 2026. All lens values are rolled to the anchor at the cost of equity, net of the EGP 1.85 FY2025 dividend paid inside the window — added after external critique correctly noted the model was dated 31-Dec-2025 while the comparison price was dated 5-Aug-2026, breaching the study's own one-date rule by ~7 months of accretion</w:t>
            </w:r>
          </w:p>
        </w:tc>
      </w:tr>
      <w:tr>
        <w:tc>
          <w:tcPr>
            <w:tcW w:type="dxa" w:w="1656"/>
          </w:tcPr>
          <w:p>
            <w:pPr>
              <w:spacing w:after="20"/>
            </w:pPr>
            <w:r>
              <w:rPr>
                <w:color w:val="1C3A36"/>
                <w:sz w:val="15"/>
              </w:rPr>
              <w:t>ev ebitda just</w:t>
            </w:r>
          </w:p>
        </w:tc>
        <w:tc>
          <w:tcPr>
            <w:tcW w:type="dxa" w:w="1368"/>
          </w:tcPr>
          <w:p>
            <w:pPr>
              <w:spacing w:after="20"/>
            </w:pPr>
            <w:r>
              <w:rPr>
                <w:color w:val="1C3A36"/>
                <w:sz w:val="15"/>
              </w:rPr>
              <w:t>6.5</w:t>
            </w:r>
          </w:p>
        </w:tc>
        <w:tc>
          <w:tcPr>
            <w:tcW w:type="dxa" w:w="1037"/>
          </w:tcPr>
          <w:p>
            <w:pPr>
              <w:spacing w:after="20"/>
            </w:pPr>
            <w:r>
              <w:rPr>
                <w:color w:val="1C3A36"/>
                <w:sz w:val="15"/>
              </w:rPr>
              <w:t>2026-08-05</w:t>
            </w:r>
          </w:p>
        </w:tc>
        <w:tc>
          <w:tcPr>
            <w:tcW w:type="dxa" w:w="6019"/>
          </w:tcPr>
          <w:p>
            <w:pPr>
              <w:spacing w:after="20"/>
            </w:pPr>
            <w:r>
              <w:rPr>
                <w:color w:val="1C3A36"/>
                <w:sz w:val="15"/>
              </w:rPr>
              <w:t>Justified EV/EBITDA on mid-cycle FY27E EBITDA. The company's own trailing multiple is elevated; listed cable and electrical-equipment peers trade 8-11x and Riyadh Cables ~14x on earnings. 6.5x applies an Egyptian-market discount for sovereign, currency-convertibility and disclosure risk. Bear 5.5x / bull 8.0x</w:t>
            </w:r>
          </w:p>
        </w:tc>
      </w:tr>
      <w:tr>
        <w:tc>
          <w:tcPr>
            <w:tcW w:type="dxa" w:w="1656"/>
          </w:tcPr>
          <w:p>
            <w:pPr>
              <w:spacing w:after="20"/>
            </w:pPr>
            <w:r>
              <w:rPr>
                <w:color w:val="1C3A36"/>
                <w:sz w:val="15"/>
              </w:rPr>
              <w:t>pe just</w:t>
            </w:r>
          </w:p>
        </w:tc>
        <w:tc>
          <w:tcPr>
            <w:tcW w:type="dxa" w:w="1368"/>
          </w:tcPr>
          <w:p>
            <w:pPr>
              <w:spacing w:after="20"/>
            </w:pPr>
            <w:r>
              <w:rPr>
                <w:color w:val="1C3A36"/>
                <w:sz w:val="15"/>
              </w:rPr>
              <w:t>9</w:t>
            </w:r>
          </w:p>
        </w:tc>
        <w:tc>
          <w:tcPr>
            <w:tcW w:type="dxa" w:w="1037"/>
          </w:tcPr>
          <w:p>
            <w:pPr>
              <w:spacing w:after="20"/>
            </w:pPr>
            <w:r>
              <w:rPr>
                <w:color w:val="1C3A36"/>
                <w:sz w:val="15"/>
              </w:rPr>
              <w:t>2026-08-05</w:t>
            </w:r>
          </w:p>
        </w:tc>
        <w:tc>
          <w:tcPr>
            <w:tcW w:type="dxa" w:w="6019"/>
          </w:tcPr>
          <w:p>
            <w:pPr>
              <w:spacing w:after="20"/>
            </w:pPr>
            <w:r>
              <w:rPr>
                <w:color w:val="1C3A36"/>
                <w:sz w:val="15"/>
              </w:rPr>
              <w:t>Justified through-cycle P/E on normalised earnings. 9.0x reflects a high-quality franchise held back by an Egyptian cost of equity near 28%. Bear 7.0x / bull 11.5x</w:t>
            </w:r>
          </w:p>
        </w:tc>
      </w:tr>
      <w:tr>
        <w:tc>
          <w:tcPr>
            <w:tcW w:type="dxa" w:w="1656"/>
          </w:tcPr>
          <w:p>
            <w:pPr>
              <w:spacing w:after="20"/>
            </w:pPr>
            <w:r>
              <w:rPr>
                <w:color w:val="1C3A36"/>
                <w:sz w:val="15"/>
              </w:rPr>
              <w:t>roe sust</w:t>
            </w:r>
          </w:p>
        </w:tc>
        <w:tc>
          <w:tcPr>
            <w:tcW w:type="dxa" w:w="1368"/>
          </w:tcPr>
          <w:p>
            <w:pPr>
              <w:spacing w:after="20"/>
            </w:pPr>
            <w:r>
              <w:rPr>
                <w:color w:val="1C3A36"/>
                <w:sz w:val="15"/>
              </w:rPr>
              <w:t>0.235</w:t>
            </w:r>
          </w:p>
        </w:tc>
        <w:tc>
          <w:tcPr>
            <w:tcW w:type="dxa" w:w="1037"/>
          </w:tcPr>
          <w:p>
            <w:pPr>
              <w:spacing w:after="20"/>
            </w:pPr>
            <w:r>
              <w:rPr>
                <w:color w:val="1C3A36"/>
                <w:sz w:val="15"/>
              </w:rPr>
              <w:t>2026-08-05</w:t>
            </w:r>
          </w:p>
        </w:tc>
        <w:tc>
          <w:tcPr>
            <w:tcW w:type="dxa" w:w="6019"/>
          </w:tcPr>
          <w:p>
            <w:pPr>
              <w:spacing w:after="20"/>
            </w:pPr>
            <w:r>
              <w:rPr>
                <w:color w:val="1C3A36"/>
                <w:sz w:val="15"/>
              </w:rPr>
              <w:t>Sustainable return on equity for the book lens. Trailing ROE on average parent equity is well above this; the FY2023-24 prints were flattered by devaluation inventory gains, so the sustainable rate is struck below them</w:t>
            </w:r>
          </w:p>
        </w:tc>
      </w:tr>
      <w:tr>
        <w:tc>
          <w:tcPr>
            <w:tcW w:type="dxa" w:w="1656"/>
          </w:tcPr>
          <w:p>
            <w:pPr>
              <w:spacing w:after="20"/>
            </w:pPr>
            <w:r>
              <w:rPr>
                <w:color w:val="1C3A36"/>
                <w:sz w:val="15"/>
              </w:rPr>
              <w:t>lens weights</w:t>
            </w:r>
          </w:p>
        </w:tc>
        <w:tc>
          <w:tcPr>
            <w:tcW w:type="dxa" w:w="1368"/>
          </w:tcPr>
          <w:p>
            <w:pPr>
              <w:spacing w:after="20"/>
            </w:pPr>
            <w:r>
              <w:rPr>
                <w:color w:val="1C3A36"/>
                <w:sz w:val="15"/>
              </w:rPr>
              <w:t>dcf: 0.45; relative: 0.2; normalized: 0.2; book: 0.15</w:t>
            </w:r>
          </w:p>
        </w:tc>
        <w:tc>
          <w:tcPr>
            <w:tcW w:type="dxa" w:w="1037"/>
          </w:tcPr>
          <w:p>
            <w:pPr>
              <w:spacing w:after="20"/>
            </w:pPr>
            <w:r>
              <w:rPr>
                <w:color w:val="1C3A36"/>
                <w:sz w:val="15"/>
              </w:rPr>
              <w:t>2026-08-05</w:t>
            </w:r>
          </w:p>
        </w:tc>
        <w:tc>
          <w:tcPr>
            <w:tcW w:type="dxa" w:w="6019"/>
          </w:tcPr>
          <w:p>
            <w:pPr>
              <w:spacing w:after="20"/>
            </w:pPr>
            <w:r>
              <w:rPr>
                <w:color w:val="1C3A36"/>
                <w:sz w:val="15"/>
              </w:rPr>
              <w:t>DCF primary for an operating manufacturer with a genuine, if undisclosed, contracted order book; the relative and normalised-earnings lenses carry equal secondary weight and the book lens least, because reported book value is distorted by three years of currency translation</w:t>
            </w:r>
          </w:p>
        </w:tc>
      </w:tr>
    </w:tbl>
    <w:p>
      <w:pPr>
        <w:spacing w:after="40"/>
      </w:pPr>
    </w:p>
    <w:p>
      <w:pPr>
        <w:spacing w:after="80" w:before="240"/>
      </w:pPr>
      <w:r>
        <w:rPr>
          <w:b/>
          <w:i w:val="0"/>
          <w:color w:val="1C3A36"/>
          <w:sz w:val="26"/>
        </w:rPr>
        <w:t>The judgements, stated separately</w:t>
      </w:r>
    </w:p>
    <w:p>
      <w:pPr>
        <w:spacing w:after="100" w:before="0"/>
      </w:pPr>
      <w:r>
        <w:rPr>
          <w:b w:val="0"/>
          <w:i w:val="0"/>
          <w:color w:val="1C3A36"/>
          <w:sz w:val="20"/>
        </w:rPr>
        <w:t>These are the places where the analyst chose rather than observed. They are collected here so a reader can find them without reading the whole study.</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2520"/>
        <w:gridCol w:w="2952"/>
        <w:gridCol w:w="2664"/>
      </w:tblGrid>
      <w:tr>
        <w:tc>
          <w:tcPr>
            <w:tcW w:type="dxa" w:w="1944"/>
            <w:shd w:val="clear" w:color="auto" w:fill="EAF0EE"/>
          </w:tcPr>
          <w:p>
            <w:pPr>
              <w:spacing w:after="20"/>
            </w:pPr>
            <w:r>
              <w:rPr>
                <w:b/>
                <w:color w:val="1C3A36"/>
                <w:sz w:val="15"/>
              </w:rPr>
              <w:t>Judgement</w:t>
            </w:r>
          </w:p>
        </w:tc>
        <w:tc>
          <w:tcPr>
            <w:tcW w:type="dxa" w:w="2520"/>
            <w:shd w:val="clear" w:color="auto" w:fill="EAF0EE"/>
          </w:tcPr>
          <w:p>
            <w:pPr>
              <w:spacing w:after="20"/>
            </w:pPr>
            <w:r>
              <w:rPr>
                <w:b/>
                <w:color w:val="1C3A36"/>
                <w:sz w:val="15"/>
              </w:rPr>
              <w:t>What was chosen</w:t>
            </w:r>
          </w:p>
        </w:tc>
        <w:tc>
          <w:tcPr>
            <w:tcW w:type="dxa" w:w="2952"/>
            <w:shd w:val="clear" w:color="auto" w:fill="EAF0EE"/>
          </w:tcPr>
          <w:p>
            <w:pPr>
              <w:spacing w:after="20"/>
            </w:pPr>
            <w:r>
              <w:rPr>
                <w:b/>
                <w:color w:val="1C3A36"/>
                <w:sz w:val="15"/>
              </w:rPr>
              <w:t>Why</w:t>
            </w:r>
          </w:p>
        </w:tc>
        <w:tc>
          <w:tcPr>
            <w:tcW w:type="dxa" w:w="2664"/>
            <w:shd w:val="clear" w:color="auto" w:fill="EAF0EE"/>
          </w:tcPr>
          <w:p>
            <w:pPr>
              <w:spacing w:after="20"/>
            </w:pPr>
            <w:r>
              <w:rPr>
                <w:b/>
                <w:color w:val="1C3A36"/>
                <w:sz w:val="15"/>
              </w:rPr>
              <w:t>What would overturn it</w:t>
            </w:r>
          </w:p>
        </w:tc>
      </w:tr>
      <w:tr>
        <w:tc>
          <w:tcPr>
            <w:tcW w:type="dxa" w:w="1944"/>
          </w:tcPr>
          <w:p>
            <w:pPr>
              <w:spacing w:after="20"/>
            </w:pPr>
            <w:r>
              <w:rPr>
                <w:color w:val="1C3A36"/>
                <w:sz w:val="15"/>
              </w:rPr>
              <w:t>Currency of discounting</w:t>
            </w:r>
          </w:p>
        </w:tc>
        <w:tc>
          <w:tcPr>
            <w:tcW w:type="dxa" w:w="2520"/>
          </w:tcPr>
          <w:p>
            <w:pPr>
              <w:spacing w:after="20"/>
            </w:pPr>
            <w:r>
              <w:rPr>
                <w:color w:val="1C3A36"/>
                <w:sz w:val="15"/>
              </w:rPr>
              <w:t>The full Egyptian cost of capital is charged to the whole company as the primary reading; the hard-currency alternative is computed and shown but not averaged in</w:t>
            </w:r>
          </w:p>
        </w:tc>
        <w:tc>
          <w:tcPr>
            <w:tcW w:type="dxa" w:w="2952"/>
          </w:tcPr>
          <w:p>
            <w:pPr>
              <w:spacing w:after="20"/>
            </w:pPr>
            <w:r>
              <w:rPr>
                <w:color w:val="1C3A36"/>
                <w:sz w:val="15"/>
              </w:rPr>
              <w:t>The shares trade, and dividends are paid, in Egyptian pounds on an Egyptian exchange, and realising value depends on Egyptian capital-account conditions</w:t>
            </w:r>
          </w:p>
        </w:tc>
        <w:tc>
          <w:tcPr>
            <w:tcW w:type="dxa" w:w="2664"/>
          </w:tcPr>
          <w:p>
            <w:pPr>
              <w:spacing w:after="20"/>
            </w:pPr>
            <w:r>
              <w:rPr>
                <w:color w:val="1C3A36"/>
                <w:sz w:val="15"/>
              </w:rPr>
              <w:t>Evidence that convertibility is not a binding constraint for this issuer would shift the primary reading materially higher</w:t>
            </w:r>
          </w:p>
        </w:tc>
      </w:tr>
      <w:tr>
        <w:tc>
          <w:tcPr>
            <w:tcW w:type="dxa" w:w="1944"/>
          </w:tcPr>
          <w:p>
            <w:pPr>
              <w:spacing w:after="20"/>
            </w:pPr>
            <w:r>
              <w:rPr>
                <w:color w:val="1C3A36"/>
                <w:sz w:val="15"/>
              </w:rPr>
              <w:t>Exchange-rate path</w:t>
            </w:r>
          </w:p>
        </w:tc>
        <w:tc>
          <w:tcPr>
            <w:tcW w:type="dxa" w:w="2520"/>
          </w:tcPr>
          <w:p>
            <w:pPr>
              <w:spacing w:after="20"/>
            </w:pPr>
            <w:r>
              <w:rPr>
                <w:color w:val="1C3A36"/>
                <w:sz w:val="15"/>
              </w:rPr>
              <w:t>About 6% a year of depreciation, far below what the interest-rate differential implies</w:t>
            </w:r>
          </w:p>
        </w:tc>
        <w:tc>
          <w:tcPr>
            <w:tcW w:type="dxa" w:w="2952"/>
          </w:tcPr>
          <w:p>
            <w:pPr>
              <w:spacing w:after="20"/>
            </w:pPr>
            <w:r>
              <w:rPr>
                <w:color w:val="1C3A36"/>
                <w:sz w:val="15"/>
              </w:rPr>
              <w:t>The base case assumes the central bank's disinflation path closes most of the gap rather than the currency absorbing it</w:t>
            </w:r>
          </w:p>
        </w:tc>
        <w:tc>
          <w:tcPr>
            <w:tcW w:type="dxa" w:w="2664"/>
          </w:tcPr>
          <w:p>
            <w:pPr>
              <w:spacing w:after="20"/>
            </w:pPr>
            <w:r>
              <w:rPr>
                <w:color w:val="1C3A36"/>
                <w:sz w:val="15"/>
              </w:rPr>
              <w:t>A disorderly move in the pound; the sensitivity table carries the parity case</w:t>
            </w:r>
          </w:p>
        </w:tc>
      </w:tr>
      <w:tr>
        <w:tc>
          <w:tcPr>
            <w:tcW w:type="dxa" w:w="1944"/>
          </w:tcPr>
          <w:p>
            <w:pPr>
              <w:spacing w:after="20"/>
            </w:pPr>
            <w:r>
              <w:rPr>
                <w:color w:val="1C3A36"/>
                <w:sz w:val="15"/>
              </w:rPr>
              <w:t>Working capital held near the FY2025 share of revenue</w:t>
            </w:r>
          </w:p>
        </w:tc>
        <w:tc>
          <w:tcPr>
            <w:tcW w:type="dxa" w:w="2520"/>
          </w:tcPr>
          <w:p>
            <w:pPr>
              <w:spacing w:after="20"/>
            </w:pPr>
            <w:r>
              <w:rPr>
                <w:color w:val="1C3A36"/>
                <w:sz w:val="15"/>
              </w:rPr>
              <w:t>Net working capital stays near 19.9% of revenue, the FY2025 audited level</w:t>
            </w:r>
          </w:p>
        </w:tc>
        <w:tc>
          <w:tcPr>
            <w:tcW w:type="dxa" w:w="2952"/>
          </w:tcPr>
          <w:p>
            <w:pPr>
              <w:spacing w:after="20"/>
            </w:pPr>
            <w:r>
              <w:rPr>
                <w:color w:val="1C3A36"/>
                <w:sz w:val="15"/>
              </w:rPr>
              <w:t>All three audited years show working capital absorbing cash rather than converting, though FY2025 improved (24.1% -&gt; 23.1% -&gt; 19.9% of revenue)</w:t>
            </w:r>
          </w:p>
        </w:tc>
        <w:tc>
          <w:tcPr>
            <w:tcW w:type="dxa" w:w="2664"/>
          </w:tcPr>
          <w:p>
            <w:pPr>
              <w:spacing w:after="20"/>
            </w:pPr>
            <w:r>
              <w:rPr>
                <w:color w:val="1C3A36"/>
                <w:sz w:val="15"/>
              </w:rPr>
              <w:t>Two consecutive years of operating cash flow above 60% of EBITDA</w:t>
            </w:r>
          </w:p>
        </w:tc>
      </w:tr>
      <w:tr>
        <w:tc>
          <w:tcPr>
            <w:tcW w:type="dxa" w:w="1944"/>
          </w:tcPr>
          <w:p>
            <w:pPr>
              <w:spacing w:after="20"/>
            </w:pPr>
            <w:r>
              <w:rPr>
                <w:color w:val="1C3A36"/>
                <w:sz w:val="15"/>
              </w:rPr>
              <w:t>Valuation date rolled to the anchor</w:t>
            </w:r>
          </w:p>
        </w:tc>
        <w:tc>
          <w:tcPr>
            <w:tcW w:type="dxa" w:w="2520"/>
          </w:tcPr>
          <w:p>
            <w:pPr>
              <w:spacing w:after="20"/>
            </w:pPr>
            <w:r>
              <w:rPr>
                <w:color w:val="1C3A36"/>
                <w:sz w:val="15"/>
              </w:rPr>
              <w:t>Every lens value, dated 31 December 2025 by construction, is rolled 217/365 of a year to the 5-Aug-2026 anchor at the cost of equity, less the EGP 1.85 dividend paid in the window</w:t>
            </w:r>
          </w:p>
        </w:tc>
        <w:tc>
          <w:tcPr>
            <w:tcW w:type="dxa" w:w="2952"/>
          </w:tcPr>
          <w:p>
            <w:pPr>
              <w:spacing w:after="20"/>
            </w:pPr>
            <w:r>
              <w:rPr>
                <w:color w:val="1C3A36"/>
                <w:sz w:val="15"/>
              </w:rPr>
              <w:t>The comparison price is dated 5 August 2026; comparing an end-2025 value to it would leave seven months of accretion out of the comparison — an external review flagged the omission and it was accepted</w:t>
            </w:r>
          </w:p>
        </w:tc>
        <w:tc>
          <w:tcPr>
            <w:tcW w:type="dxa" w:w="2664"/>
          </w:tcPr>
          <w:p>
            <w:pPr>
              <w:spacing w:after="20"/>
            </w:pPr>
            <w:r>
              <w:rPr>
                <w:color w:val="1C3A36"/>
                <w:sz w:val="15"/>
              </w:rPr>
              <w:t>A different roll rate (the risk-free rate instead of the cost of equity) would cut the accretion roughly in half; the cost-of-equity roll is the discount identity's own rate</w:t>
            </w:r>
          </w:p>
        </w:tc>
      </w:tr>
      <w:tr>
        <w:tc>
          <w:tcPr>
            <w:tcW w:type="dxa" w:w="1944"/>
          </w:tcPr>
          <w:p>
            <w:pPr>
              <w:spacing w:after="20"/>
            </w:pPr>
            <w:r>
              <w:rPr>
                <w:color w:val="1C3A36"/>
                <w:sz w:val="15"/>
              </w:rPr>
              <w:t>Terminal net-debt weight of 15%</w:t>
            </w:r>
          </w:p>
        </w:tc>
        <w:tc>
          <w:tcPr>
            <w:tcW w:type="dxa" w:w="2520"/>
          </w:tcPr>
          <w:p>
            <w:pPr>
              <w:spacing w:after="20"/>
            </w:pPr>
            <w:r>
              <w:rPr>
                <w:color w:val="1C3A36"/>
                <w:sz w:val="15"/>
              </w:rPr>
              <w:t>Revised from 25% after review: the old weight contradicted the model's own forecast deleveraging in the direction that flattered the valuation</w:t>
            </w:r>
          </w:p>
        </w:tc>
        <w:tc>
          <w:tcPr>
            <w:tcW w:type="dxa" w:w="2952"/>
          </w:tcPr>
          <w:p>
            <w:pPr>
              <w:spacing w:after="20"/>
            </w:pPr>
            <w:r>
              <w:rPr>
                <w:color w:val="1C3A36"/>
                <w:sz w:val="15"/>
              </w:rPr>
              <w:t>At a 25% payout the forecast net-debt weight still falls toward mid-single digits by FY2030E; 15% splits the difference between today's 8.4% and a structurally levered steady state, and costs about 2.4/share on the weighted central versus 25%</w:t>
            </w:r>
          </w:p>
        </w:tc>
        <w:tc>
          <w:tcPr>
            <w:tcW w:type="dxa" w:w="2664"/>
          </w:tcPr>
          <w:p>
            <w:pPr>
              <w:spacing w:after="20"/>
            </w:pPr>
            <w:r>
              <w:rPr>
                <w:color w:val="1C3A36"/>
                <w:sz w:val="15"/>
              </w:rPr>
              <w:t>Evidence the group intends to run materially higher structural net leverage</w:t>
            </w:r>
          </w:p>
        </w:tc>
      </w:tr>
      <w:tr>
        <w:tc>
          <w:tcPr>
            <w:tcW w:type="dxa" w:w="1944"/>
          </w:tcPr>
          <w:p>
            <w:pPr>
              <w:spacing w:after="20"/>
            </w:pPr>
            <w:r>
              <w:rPr>
                <w:color w:val="1C3A36"/>
                <w:sz w:val="15"/>
              </w:rPr>
              <w:t>Forecast payout ratio of 25%</w:t>
            </w:r>
          </w:p>
        </w:tc>
        <w:tc>
          <w:tcPr>
            <w:tcW w:type="dxa" w:w="2520"/>
          </w:tcPr>
          <w:p>
            <w:pPr>
              <w:spacing w:after="20"/>
            </w:pPr>
            <w:r>
              <w:rPr>
                <w:color w:val="1C3A36"/>
                <w:sz w:val="15"/>
              </w:rPr>
              <w:t>Struck at the actual FY2025 payout (EGP 1.85/share = 22.8% of attributable EPS), rounded up for the rising trajectory the +85% step-up implies</w:t>
            </w:r>
          </w:p>
        </w:tc>
        <w:tc>
          <w:tcPr>
            <w:tcW w:type="dxa" w:w="2952"/>
          </w:tcPr>
          <w:p>
            <w:pPr>
              <w:spacing w:after="20"/>
            </w:pPr>
            <w:r>
              <w:rPr>
                <w:color w:val="1C3A36"/>
                <w:sz w:val="15"/>
              </w:rPr>
              <w:t>The FY2025 dividend was ratified 6 May 2026 and paid from 4 June 2026 (EGX disclosure); an earlier revision wrongly removed it on absence-of-evidence grounds</w:t>
            </w:r>
          </w:p>
        </w:tc>
        <w:tc>
          <w:tcPr>
            <w:tcW w:type="dxa" w:w="2664"/>
          </w:tcPr>
          <w:p>
            <w:pPr>
              <w:spacing w:after="20"/>
            </w:pPr>
            <w:r>
              <w:rPr>
                <w:color w:val="1C3A36"/>
                <w:sz w:val="15"/>
              </w:rPr>
              <w:t>The distribution proposed on the FY2026 result</w:t>
            </w:r>
          </w:p>
        </w:tc>
      </w:tr>
      <w:tr>
        <w:tc>
          <w:tcPr>
            <w:tcW w:type="dxa" w:w="1944"/>
          </w:tcPr>
          <w:p>
            <w:pPr>
              <w:spacing w:after="20"/>
            </w:pPr>
            <w:r>
              <w:rPr>
                <w:color w:val="1C3A36"/>
                <w:sz w:val="15"/>
              </w:rPr>
              <w:t>Terminal growth of 5%</w:t>
            </w:r>
          </w:p>
        </w:tc>
        <w:tc>
          <w:tcPr>
            <w:tcW w:type="dxa" w:w="2520"/>
          </w:tcPr>
          <w:p>
            <w:pPr>
              <w:spacing w:after="20"/>
            </w:pPr>
            <w:r>
              <w:rPr>
                <w:color w:val="1C3A36"/>
                <w:sz w:val="15"/>
              </w:rPr>
              <w:t>The standing centre for established names in this market, sensitised 3–7%</w:t>
            </w:r>
          </w:p>
        </w:tc>
        <w:tc>
          <w:tcPr>
            <w:tcW w:type="dxa" w:w="2952"/>
          </w:tcPr>
          <w:p>
            <w:pPr>
              <w:spacing w:after="20"/>
            </w:pPr>
            <w:r>
              <w:rPr>
                <w:color w:val="1C3A36"/>
                <w:sz w:val="15"/>
              </w:rPr>
              <w:t>It is below the blended long-run nominal growth ceiling of the economies the company operates in, and is reconciled to the return on capital and reinvestment rate</w:t>
            </w:r>
          </w:p>
        </w:tc>
        <w:tc>
          <w:tcPr>
            <w:tcW w:type="dxa" w:w="2664"/>
          </w:tcPr>
          <w:p>
            <w:pPr>
              <w:spacing w:after="20"/>
            </w:pPr>
            <w:r>
              <w:rPr>
                <w:color w:val="1C3A36"/>
                <w:sz w:val="15"/>
              </w:rPr>
              <w:t>A demonstrated structural change in the export franchise's long-run growth</w:t>
            </w:r>
          </w:p>
        </w:tc>
      </w:tr>
      <w:tr>
        <w:tc>
          <w:tcPr>
            <w:tcW w:type="dxa" w:w="1944"/>
          </w:tcPr>
          <w:p>
            <w:pPr>
              <w:spacing w:after="20"/>
            </w:pPr>
            <w:r>
              <w:rPr>
                <w:color w:val="1C3A36"/>
                <w:sz w:val="15"/>
              </w:rPr>
              <w:t>Cost of debt at the blended rather than the domestic rate</w:t>
            </w:r>
          </w:p>
        </w:tc>
        <w:tc>
          <w:tcPr>
            <w:tcW w:type="dxa" w:w="2520"/>
          </w:tcPr>
          <w:p>
            <w:pPr>
              <w:spacing w:after="20"/>
            </w:pPr>
            <w:r>
              <w:rPr>
                <w:color w:val="1C3A36"/>
                <w:sz w:val="15"/>
              </w:rPr>
              <w:t>A currency-blended rate near the independently computed effective rate</w:t>
            </w:r>
          </w:p>
        </w:tc>
        <w:tc>
          <w:tcPr>
            <w:tcW w:type="dxa" w:w="2952"/>
          </w:tcPr>
          <w:p>
            <w:pPr>
              <w:spacing w:after="20"/>
            </w:pPr>
            <w:r>
              <w:rPr>
                <w:color w:val="1C3A36"/>
                <w:sz w:val="15"/>
              </w:rPr>
              <w:t>The audited notes disclose materially cheaper hard-currency borrowing, and most of the book is hard currency</w:t>
            </w:r>
          </w:p>
        </w:tc>
        <w:tc>
          <w:tcPr>
            <w:tcW w:type="dxa" w:w="2664"/>
          </w:tcPr>
          <w:p>
            <w:pPr>
              <w:spacing w:after="20"/>
            </w:pPr>
            <w:r>
              <w:rPr>
                <w:color w:val="1C3A36"/>
                <w:sz w:val="15"/>
              </w:rPr>
              <w:t>A shift of the debt book back into Egyptian pounds</w:t>
            </w:r>
          </w:p>
        </w:tc>
      </w:tr>
      <w:tr>
        <w:tc>
          <w:tcPr>
            <w:tcW w:type="dxa" w:w="1944"/>
          </w:tcPr>
          <w:p>
            <w:pPr>
              <w:spacing w:after="20"/>
            </w:pPr>
            <w:r>
              <w:rPr>
                <w:color w:val="1C3A36"/>
                <w:sz w:val="15"/>
              </w:rPr>
              <w:t>Minority interests charged at their share of group profit</w:t>
            </w:r>
          </w:p>
        </w:tc>
        <w:tc>
          <w:tcPr>
            <w:tcW w:type="dxa" w:w="2520"/>
          </w:tcPr>
          <w:p>
            <w:pPr>
              <w:spacing w:after="20"/>
            </w:pPr>
            <w:r>
              <w:rPr>
                <w:color w:val="1C3A36"/>
                <w:sz w:val="15"/>
              </w:rPr>
              <w:t>Rather than at book value</w:t>
            </w:r>
          </w:p>
        </w:tc>
        <w:tc>
          <w:tcPr>
            <w:tcW w:type="dxa" w:w="2952"/>
          </w:tcPr>
          <w:p>
            <w:pPr>
              <w:spacing w:after="20"/>
            </w:pPr>
            <w:r>
              <w:rPr>
                <w:color w:val="1C3A36"/>
                <w:sz w:val="15"/>
              </w:rPr>
              <w:t>Minorities take a larger share of profit than of book equity, so the profit share is the conservative charge</w:t>
            </w:r>
          </w:p>
        </w:tc>
        <w:tc>
          <w:tcPr>
            <w:tcW w:type="dxa" w:w="2664"/>
          </w:tcPr>
          <w:p>
            <w:pPr>
              <w:spacing w:after="20"/>
            </w:pPr>
            <w:r>
              <w:rPr>
                <w:color w:val="1C3A36"/>
                <w:sz w:val="15"/>
              </w:rPr>
              <w:t>A reader preferring the book convention can add the difference back; the amount is stated in the study</w:t>
            </w:r>
          </w:p>
        </w:tc>
      </w:tr>
      <w:tr>
        <w:tc>
          <w:tcPr>
            <w:tcW w:type="dxa" w:w="1944"/>
          </w:tcPr>
          <w:p>
            <w:pPr>
              <w:spacing w:after="20"/>
            </w:pPr>
            <w:r>
              <w:rPr>
                <w:color w:val="1C3A36"/>
                <w:sz w:val="15"/>
              </w:rPr>
              <w:t>Effective tax rate of 24.5% for NOPAT</w:t>
            </w:r>
          </w:p>
        </w:tc>
        <w:tc>
          <w:tcPr>
            <w:tcW w:type="dxa" w:w="2520"/>
          </w:tcPr>
          <w:p>
            <w:pPr>
              <w:spacing w:after="20"/>
            </w:pPr>
            <w:r>
              <w:rPr>
                <w:color w:val="1C3A36"/>
                <w:sz w:val="15"/>
              </w:rPr>
              <w:t>Above the Egyptian statutory rate, between the FY2025 print and the historical average</w:t>
            </w:r>
          </w:p>
        </w:tc>
        <w:tc>
          <w:tcPr>
            <w:tcW w:type="dxa" w:w="2952"/>
          </w:tcPr>
          <w:p>
            <w:pPr>
              <w:spacing w:after="20"/>
            </w:pPr>
            <w:r>
              <w:rPr>
                <w:color w:val="1C3A36"/>
                <w:sz w:val="15"/>
              </w:rPr>
              <w:t>Audited effective rates ran 31.3% (FY2023), 30.1% (FY2024) and 22.6% (FY2025); no statutory-vs-effective reconciliation is disclosed, and the group pays tax in 15+ jurisdictions plus Free-Zone entities on a revenue basis</w:t>
            </w:r>
          </w:p>
        </w:tc>
        <w:tc>
          <w:tcPr>
            <w:tcW w:type="dxa" w:w="2664"/>
          </w:tcPr>
          <w:p>
            <w:pPr>
              <w:spacing w:after="20"/>
            </w:pPr>
            <w:r>
              <w:rPr>
                <w:color w:val="1C3A36"/>
                <w:sz w:val="15"/>
              </w:rPr>
              <w:t>A sustained repeat of the FY2025 low or the Q1-2026 print (25.75%) in either direction</w:t>
            </w:r>
          </w:p>
        </w:tc>
      </w:tr>
      <w:tr>
        <w:tc>
          <w:tcPr>
            <w:tcW w:type="dxa" w:w="1944"/>
          </w:tcPr>
          <w:p>
            <w:pPr>
              <w:spacing w:after="20"/>
            </w:pPr>
            <w:r>
              <w:rPr>
                <w:color w:val="1C3A36"/>
                <w:sz w:val="15"/>
              </w:rPr>
              <w:t>Segment margins compressed rather than held at their FY2025 level</w:t>
            </w:r>
          </w:p>
        </w:tc>
        <w:tc>
          <w:tcPr>
            <w:tcW w:type="dxa" w:w="2520"/>
          </w:tcPr>
          <w:p>
            <w:pPr>
              <w:spacing w:after="20"/>
            </w:pPr>
            <w:r>
              <w:rPr>
                <w:color w:val="1C3A36"/>
                <w:sz w:val="15"/>
              </w:rPr>
              <w:t>Cables and Constructions margins recover PARTIALLY over the forecast; Electrical products holds closest to its FY2025 level</w:t>
            </w:r>
          </w:p>
        </w:tc>
        <w:tc>
          <w:tcPr>
            <w:tcW w:type="dxa" w:w="2952"/>
          </w:tcPr>
          <w:p>
            <w:pPr>
              <w:spacing w:after="20"/>
            </w:pPr>
            <w:r>
              <w:rPr>
                <w:color w:val="1C3A36"/>
                <w:sz w:val="15"/>
              </w:rPr>
              <w:t>All three disclosed segments compressed in FY2025 versus FY2023; the causes (copper pass-through, competitive pricing) are not disclosed as transitory or structural</w:t>
            </w:r>
          </w:p>
        </w:tc>
        <w:tc>
          <w:tcPr>
            <w:tcW w:type="dxa" w:w="2664"/>
          </w:tcPr>
          <w:p>
            <w:pPr>
              <w:spacing w:after="20"/>
            </w:pPr>
            <w:r>
              <w:rPr>
                <w:color w:val="1C3A36"/>
                <w:sz w:val="15"/>
              </w:rPr>
              <w:t>Two consecutive years of segment margin at or above the FY2023-24 average</w:t>
            </w:r>
          </w:p>
        </w:tc>
      </w:tr>
    </w:tbl>
    <w:p>
      <w:pPr>
        <w:spacing w:after="40"/>
      </w:pPr>
    </w:p>
    <w:p>
      <w:pPr>
        <w:spacing w:after="80" w:before="240"/>
      </w:pPr>
      <w:r>
        <w:rPr>
          <w:b/>
          <w:i w:val="0"/>
          <w:color w:val="1C3A36"/>
          <w:sz w:val="26"/>
        </w:rPr>
        <w:t>Negative results — what could not be sourced</w:t>
      </w:r>
    </w:p>
    <w:p>
      <w:pPr>
        <w:spacing w:after="100" w:before="0"/>
      </w:pPr>
      <w:r>
        <w:rPr>
          <w:b w:val="0"/>
          <w:i w:val="0"/>
          <w:color w:val="1C3A36"/>
          <w:sz w:val="20"/>
        </w:rPr>
        <w:t>This study was rebuilt once the company's own audited FY2023, FY2024 and FY2025 consolidated financial statements and its Q1-2026 condensed interim statements became available. An earlier version of this study, built before those filings were in hand, had to triangulate and derive several FY2025 figures from press coverage and company commentary; every one of those derivations has now been replaced by the audited figure itself, and the items below record what is still not disclosed anywhere in the four primary filings, rather than what could not be reached.</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3384"/>
        <w:gridCol w:w="4464"/>
      </w:tblGrid>
      <w:tr>
        <w:tc>
          <w:tcPr>
            <w:tcW w:type="dxa" w:w="2232"/>
            <w:shd w:val="clear" w:color="auto" w:fill="EAF0EE"/>
          </w:tcPr>
          <w:p>
            <w:pPr>
              <w:spacing w:after="20"/>
            </w:pPr>
            <w:r>
              <w:rPr>
                <w:b/>
                <w:color w:val="1C3A36"/>
                <w:sz w:val="15"/>
              </w:rPr>
              <w:t>What was sought</w:t>
            </w:r>
          </w:p>
        </w:tc>
        <w:tc>
          <w:tcPr>
            <w:tcW w:type="dxa" w:w="3384"/>
            <w:shd w:val="clear" w:color="auto" w:fill="EAF0EE"/>
          </w:tcPr>
          <w:p>
            <w:pPr>
              <w:spacing w:after="20"/>
            </w:pPr>
            <w:r>
              <w:rPr>
                <w:b/>
                <w:color w:val="1C3A36"/>
                <w:sz w:val="15"/>
              </w:rPr>
              <w:t>Outcome</w:t>
            </w:r>
          </w:p>
        </w:tc>
        <w:tc>
          <w:tcPr>
            <w:tcW w:type="dxa" w:w="4464"/>
            <w:shd w:val="clear" w:color="auto" w:fill="EAF0EE"/>
          </w:tcPr>
          <w:p>
            <w:pPr>
              <w:spacing w:after="20"/>
            </w:pPr>
            <w:r>
              <w:rPr>
                <w:b/>
                <w:color w:val="1C3A36"/>
                <w:sz w:val="15"/>
              </w:rPr>
              <w:t>How the study handled it</w:t>
            </w:r>
          </w:p>
        </w:tc>
      </w:tr>
      <w:tr>
        <w:tc>
          <w:tcPr>
            <w:tcW w:type="dxa" w:w="2232"/>
          </w:tcPr>
          <w:p>
            <w:pPr>
              <w:spacing w:after="20"/>
            </w:pPr>
            <w:r>
              <w:rPr>
                <w:color w:val="1C3A36"/>
                <w:sz w:val="15"/>
              </w:rPr>
              <w:t>An order book, backlog or unit-volume (tonnage, MVA, meter-count) disclosure for any segment, in any of the four filings including the Q1-2026 interim</w:t>
            </w:r>
          </w:p>
        </w:tc>
        <w:tc>
          <w:tcPr>
            <w:tcW w:type="dxa" w:w="3384"/>
          </w:tcPr>
          <w:p>
            <w:pPr>
              <w:spacing w:after="20"/>
            </w:pPr>
            <w:r>
              <w:rPr>
                <w:color w:val="1C3A36"/>
                <w:sz w:val="15"/>
              </w:rPr>
              <w:t>Not disclosed. The company reports only segment revenue (Note 5-3) and segment profit (Note 16) — no volumes, prices or backlog</w:t>
            </w:r>
          </w:p>
        </w:tc>
        <w:tc>
          <w:tcPr>
            <w:tcW w:type="dxa" w:w="4464"/>
          </w:tcPr>
          <w:p>
            <w:pPr>
              <w:spacing w:after="20"/>
            </w:pPr>
            <w:r>
              <w:rPr>
                <w:color w:val="1C3A36"/>
                <w:sz w:val="15"/>
              </w:rPr>
              <w:t>The forecast is built as a taper on each segment's own recent revenue CAGR and, for Cables, a copper-price and FX-translation driver, rather than a reconstructed unit model</w:t>
            </w:r>
          </w:p>
        </w:tc>
      </w:tr>
      <w:tr>
        <w:tc>
          <w:tcPr>
            <w:tcW w:type="dxa" w:w="2232"/>
          </w:tcPr>
          <w:p>
            <w:pPr>
              <w:spacing w:after="20"/>
            </w:pPr>
            <w:r>
              <w:rPr>
                <w:color w:val="1C3A36"/>
                <w:sz w:val="15"/>
              </w:rPr>
              <w:t>A facility-by-facility or currency-by-currency breakdown of the debt book finer than the two-way EGP / hard-currency split disclosed in the FY2025 and Q1-2026 borrowings notes</w:t>
            </w:r>
          </w:p>
        </w:tc>
        <w:tc>
          <w:tcPr>
            <w:tcW w:type="dxa" w:w="3384"/>
          </w:tcPr>
          <w:p>
            <w:pPr>
              <w:spacing w:after="20"/>
            </w:pPr>
            <w:r>
              <w:rPr>
                <w:color w:val="1C3A36"/>
                <w:sz w:val="15"/>
              </w:rPr>
              <w:t>Not disclosed at finer granularity; the FY2024 filing's own three-way EGP/USD/EUR split was itself replaced by the simpler two-way format in FY2025</w:t>
            </w:r>
          </w:p>
        </w:tc>
        <w:tc>
          <w:tcPr>
            <w:tcW w:type="dxa" w:w="4464"/>
          </w:tcPr>
          <w:p>
            <w:pPr>
              <w:spacing w:after="20"/>
            </w:pPr>
            <w:r>
              <w:rPr>
                <w:color w:val="1C3A36"/>
                <w:sz w:val="15"/>
              </w:rPr>
              <w:t>The Egyptian-pound share of the book is back-solved from the independently computed effective interest rate against the two disclosed currency-bucket rates, and is labelled as inferred</w:t>
            </w:r>
          </w:p>
        </w:tc>
      </w:tr>
      <w:tr>
        <w:tc>
          <w:tcPr>
            <w:tcW w:type="dxa" w:w="2232"/>
          </w:tcPr>
          <w:p>
            <w:pPr>
              <w:spacing w:after="20"/>
            </w:pPr>
            <w:r>
              <w:rPr>
                <w:color w:val="1C3A36"/>
                <w:sz w:val="15"/>
              </w:rPr>
              <w:t>A declared, proposed or approved FY2025 dividend — RESOLVED, and the earlier handling corrected</w:t>
            </w:r>
          </w:p>
        </w:tc>
        <w:tc>
          <w:tcPr>
            <w:tcW w:type="dxa" w:w="3384"/>
          </w:tcPr>
          <w:p>
            <w:pPr>
              <w:spacing w:after="20"/>
            </w:pPr>
            <w:r>
              <w:rPr>
                <w:color w:val="1C3A36"/>
                <w:sz w:val="15"/>
              </w:rPr>
              <w:t>Not disclosed in the FY2025 annual filing or the Q1-2026 interim — but the interim covers a period ending 31 March and carries no subsequent-events note, so its silence was never evidence. The dividend exists: EGP 1.85/share, ratified by the general assembly 6 May 2026, rights through 1 June, paid from 4 June 2026 (EGX disclosure, corroborated by financial-press coverage and the quoted trailing yield)</w:t>
            </w:r>
          </w:p>
        </w:tc>
        <w:tc>
          <w:tcPr>
            <w:tcW w:type="dxa" w:w="4464"/>
          </w:tcPr>
          <w:p>
            <w:pPr>
              <w:spacing w:after="20"/>
            </w:pPr>
            <w:r>
              <w:rPr>
                <w:color w:val="1C3A36"/>
                <w:sz w:val="15"/>
              </w:rPr>
              <w:t>An earlier revision removed the dividend on absence-of-evidence grounds — an error, flagged by external review and corrected: the model now carries EGP 1.85 and a 25% forecast payout. Recorded here because reasoning from the silence of a document that could not have contained the fact is exactly the failure mode this register exists to catch</w:t>
            </w:r>
          </w:p>
        </w:tc>
      </w:tr>
      <w:tr>
        <w:tc>
          <w:tcPr>
            <w:tcW w:type="dxa" w:w="2232"/>
          </w:tcPr>
          <w:p>
            <w:pPr>
              <w:spacing w:after="20"/>
            </w:pPr>
            <w:r>
              <w:rPr>
                <w:color w:val="1C3A36"/>
                <w:sz w:val="15"/>
              </w:rPr>
              <w:t>An explanation for the sharp single-session price move on 4 August 2026</w:t>
            </w:r>
          </w:p>
        </w:tc>
        <w:tc>
          <w:tcPr>
            <w:tcW w:type="dxa" w:w="3384"/>
          </w:tcPr>
          <w:p>
            <w:pPr>
              <w:spacing w:after="20"/>
            </w:pPr>
            <w:r>
              <w:rPr>
                <w:color w:val="1C3A36"/>
                <w:sz w:val="15"/>
              </w:rPr>
              <w:t>No corresponding company disclosure or news item was found</w:t>
            </w:r>
          </w:p>
        </w:tc>
        <w:tc>
          <w:tcPr>
            <w:tcW w:type="dxa" w:w="4464"/>
          </w:tcPr>
          <w:p>
            <w:pPr>
              <w:spacing w:after="20"/>
            </w:pPr>
            <w:r>
              <w:rPr>
                <w:color w:val="1C3A36"/>
                <w:sz w:val="15"/>
              </w:rPr>
              <w:t>Not used. The study's anchor is the closing price on 5 August 2026 and no narrative is attached to the move</w:t>
            </w:r>
          </w:p>
        </w:tc>
      </w:tr>
    </w:tbl>
    <w:p>
      <w:pPr>
        <w:spacing w:after="40"/>
      </w:pPr>
    </w:p>
    <w:p>
      <w:pPr>
        <w:spacing w:after="80" w:before="240"/>
      </w:pPr>
      <w:r>
        <w:rPr>
          <w:b/>
          <w:i w:val="0"/>
          <w:color w:val="1C3A36"/>
          <w:sz w:val="26"/>
        </w:rPr>
        <w:t>A note on aggregator and press data</w:t>
      </w:r>
    </w:p>
    <w:p>
      <w:pPr>
        <w:spacing w:after="100" w:before="0"/>
      </w:pPr>
      <w:r>
        <w:rPr>
          <w:b w:val="0"/>
          <w:i w:val="0"/>
          <w:color w:val="1C3A36"/>
          <w:sz w:val="20"/>
        </w:rPr>
        <w:t>An earlier version of this study relied on press coverage and company commentary for FY2025, because the audited filings were not reachable from the research environment at the time. One material discrepancy was found in that process and is recorded here for the audit trail: a widely syndicated "FY2025" balance sheet — total assets, total equity, total debt and cash — reproduced the company's audited 31 December 2024 figures exactly, one year stale, and was discarded. All balance-sheet, income-statement and segment figures in the current study are taken directly from the audited FY2023-25 consolidated statements and the Q1-2026 condensed interim statements; no aggregator or press figure remains in the model.</w:t>
      </w:r>
    </w:p>
    <w:p>
      <w:pPr>
        <w:spacing w:after="80" w:before="240"/>
      </w:pPr>
      <w:r>
        <w:rPr>
          <w:b/>
          <w:i w:val="0"/>
          <w:color w:val="1C3A36"/>
          <w:sz w:val="26"/>
        </w:rPr>
        <w:t>Disclosure</w:t>
      </w:r>
    </w:p>
    <w:p>
      <w:pPr>
        <w:spacing w:after="100" w:before="0"/>
      </w:pPr>
      <w:r>
        <w:rPr>
          <w:b w:val="0"/>
          <w:i w:val="0"/>
          <w:color w:val="6E7B77"/>
          <w:sz w:val="18"/>
        </w:rPr>
        <w:t>This document accompanies an educational valuation study. It is not investment advice and contains no recommendation, rating or price target. Sources are listed so that readers can verify the analysis independently. Where a figure is derived or estimated rather than disclosed, that is stated.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1C3A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