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10 September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Supplied price series</w:t>
            </w:r>
          </w:p>
        </w:tc>
        <w:tc>
          <w:tcPr>
            <w:tcW w:type="dxa" w:w="1368"/>
          </w:tcPr>
          <w:p>
            <w:pPr>
              <w:spacing w:after="20"/>
            </w:pPr>
            <w:r>
              <w:rPr>
                <w:color w:val="1C3A36"/>
                <w:sz w:val="16"/>
              </w:rPr>
              <w:t>to 5 August 2026</w:t>
            </w:r>
          </w:p>
        </w:tc>
        <w:tc>
          <w:tcPr>
            <w:tcW w:type="dxa" w:w="4680"/>
          </w:tcPr>
          <w:p>
            <w:pPr>
              <w:spacing w:after="20"/>
            </w:pPr>
            <w:r>
              <w:rPr>
                <w:color w:val="1C3A36"/>
                <w:sz w:val="16"/>
              </w:rPr>
              <w:t>The anchor price, the volatility estimate, the moving-average structure, the beta regression and the price distributions</w:t>
            </w:r>
          </w:p>
        </w:tc>
      </w:tr>
      <w:tr>
        <w:tc>
          <w:tcPr>
            <w:tcW w:type="dxa" w:w="2232"/>
          </w:tcPr>
          <w:p>
            <w:pPr>
              <w:spacing w:after="20"/>
            </w:pPr>
            <w:r>
              <w:rPr>
                <w:color w:val="1C3A36"/>
                <w:sz w:val="16"/>
              </w:rPr>
              <w:t>EGX30, the published index of the exchange this share is listed on</w:t>
            </w:r>
          </w:p>
        </w:tc>
        <w:tc>
          <w:tcPr>
            <w:tcW w:type="dxa" w:w="1800"/>
          </w:tcPr>
          <w:p>
            <w:pPr>
              <w:spacing w:after="20"/>
            </w:pPr>
            <w:r>
              <w:rPr>
                <w:color w:val="1C3A36"/>
                <w:sz w:val="16"/>
              </w:rPr>
              <w:t>Published index series</w:t>
            </w:r>
          </w:p>
        </w:tc>
        <w:tc>
          <w:tcPr>
            <w:tcW w:type="dxa" w:w="1368"/>
          </w:tcPr>
          <w:p>
            <w:pPr>
              <w:spacing w:after="20"/>
            </w:pPr>
            <w:r>
              <w:rPr>
                <w:color w:val="1C3A36"/>
                <w:sz w:val="16"/>
              </w:rPr>
              <w:t>to 2026-09-08</w:t>
            </w:r>
          </w:p>
        </w:tc>
        <w:tc>
          <w:tcPr>
            <w:tcW w:type="dxa" w:w="4680"/>
          </w:tcPr>
          <w:p>
            <w:pPr>
              <w:spacing w:after="20"/>
            </w:pPr>
            <w:r>
              <w:rPr>
                <w:color w:val="1C3A36"/>
                <w:sz w:val="16"/>
              </w:rPr>
              <w:t>The regressor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130.0</w:t>
            </w:r>
          </w:p>
        </w:tc>
        <w:tc>
          <w:tcPr>
            <w:tcW w:type="dxa" w:w="1123"/>
          </w:tcPr>
          <w:p>
            <w:pPr>
              <w:spacing w:after="20"/>
            </w:pPr>
            <w:r>
              <w:rPr>
                <w:color w:val="1C3A36"/>
                <w:sz w:val="15"/>
              </w:rPr>
              <w:t>2026-09-03</w:t>
            </w:r>
          </w:p>
        </w:tc>
        <w:tc>
          <w:tcPr>
            <w:tcW w:type="dxa" w:w="5933"/>
          </w:tcPr>
          <w:p>
            <w:pPr>
              <w:spacing w:after="20"/>
            </w:pPr>
            <w:r>
              <w:rPr>
                <w:color w:val="1C3A36"/>
                <w:sz w:val="15"/>
              </w:rPr>
              <w:t>Closing price supplied by the principal for 3 September 2026. RE-STRUCK: the study was struck at EGP 105.20 of 5 August 2026 and a fair value delivered against a month-old quote is a comparison a reader cannot use. The supplied file records that the figure first arrived as 90.50 and was CORRECTED to 130.00 on 6 September 2026 after it disagreed with this name's own price library on all 35 overlapping sessions after 14 June 2026, including the 5 August close of 105.20 this study was originally struck at. A fair value delivered against a month-old quote is a comparison a reader cannot use</w:t>
            </w:r>
          </w:p>
        </w:tc>
      </w:tr>
    </w:tbl>
    <w:p>
      <w:pPr>
        <w:spacing w:after="40"/>
      </w:pPr>
    </w:p>
    <w:p>
      <w:pPr>
        <w:spacing w:after="60" w:before="160"/>
      </w:pPr>
      <w:r>
        <w:rPr>
          <w:b/>
          <w:i w:val="0"/>
          <w:color w:val="1C3A36"/>
          <w:sz w:val="22"/>
        </w:rPr>
        <w:t>Company layer — 166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123"/>
          </w:tcPr>
          <w:p>
            <w:pPr>
              <w:spacing w:after="20"/>
            </w:pPr>
            <w:r>
              <w:rPr>
                <w:color w:val="1C3A36"/>
                <w:sz w:val="15"/>
              </w:rPr>
              <w:t>2026-05-13</w:t>
            </w:r>
          </w:p>
        </w:tc>
        <w:tc>
          <w:tcPr>
            <w:tcW w:type="dxa" w:w="5933"/>
          </w:tcPr>
          <w:p>
            <w:pPr>
              <w:spacing w:after="20"/>
            </w:pPr>
            <w:r>
              <w:rPr>
                <w:color w:val="1C3A36"/>
                <w:sz w:val="15"/>
              </w:rPr>
              <w:t>Issued and paid-up capital note (29), audited FY2025 consolidated financial statements and the Q1-2026 condensed interim statements: 2,140,777,876 shares of EGP 1 par value, unchanged across both filings</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123"/>
          </w:tcPr>
          <w:p>
            <w:pPr>
              <w:spacing w:after="20"/>
            </w:pPr>
            <w:r>
              <w:rPr>
                <w:color w:val="1C3A36"/>
                <w:sz w:val="15"/>
              </w:rPr>
              <w:t>2024-03-13</w:t>
            </w:r>
          </w:p>
        </w:tc>
        <w:tc>
          <w:tcPr>
            <w:tcW w:type="dxa" w:w="5933"/>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123"/>
          </w:tcPr>
          <w:p>
            <w:pPr>
              <w:spacing w:after="20"/>
            </w:pPr>
            <w:r>
              <w:rPr>
                <w:color w:val="1C3A36"/>
                <w:sz w:val="15"/>
              </w:rPr>
              <w:t>2025-03-13</w:t>
            </w:r>
          </w:p>
        </w:tc>
        <w:tc>
          <w:tcPr>
            <w:tcW w:type="dxa" w:w="5933"/>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123"/>
          </w:tcPr>
          <w:p>
            <w:pPr>
              <w:spacing w:after="20"/>
            </w:pPr>
            <w:r>
              <w:rPr>
                <w:color w:val="1C3A36"/>
                <w:sz w:val="15"/>
              </w:rPr>
              <w:t>2026-03-15</w:t>
            </w:r>
          </w:p>
        </w:tc>
        <w:tc>
          <w:tcPr>
            <w:tcW w:type="dxa" w:w="5933"/>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123"/>
          </w:tcPr>
          <w:p>
            <w:pPr>
              <w:spacing w:after="20"/>
            </w:pPr>
            <w:r>
              <w:rPr>
                <w:color w:val="1C3A36"/>
                <w:sz w:val="15"/>
              </w:rPr>
              <w:t>2024-03-13</w:t>
            </w:r>
          </w:p>
        </w:tc>
        <w:tc>
          <w:tcPr>
            <w:tcW w:type="dxa" w:w="5933"/>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123"/>
          </w:tcPr>
          <w:p>
            <w:pPr>
              <w:spacing w:after="20"/>
            </w:pPr>
            <w:r>
              <w:rPr>
                <w:color w:val="1C3A36"/>
                <w:sz w:val="15"/>
              </w:rPr>
              <w:t>2025-03-13</w:t>
            </w:r>
          </w:p>
        </w:tc>
        <w:tc>
          <w:tcPr>
            <w:tcW w:type="dxa" w:w="5933"/>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123"/>
          </w:tcPr>
          <w:p>
            <w:pPr>
              <w:spacing w:after="20"/>
            </w:pPr>
            <w:r>
              <w:rPr>
                <w:color w:val="1C3A36"/>
                <w:sz w:val="15"/>
              </w:rPr>
              <w:t>2026-03-15</w:t>
            </w:r>
          </w:p>
        </w:tc>
        <w:tc>
          <w:tcPr>
            <w:tcW w:type="dxa" w:w="5933"/>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123"/>
          </w:tcPr>
          <w:p>
            <w:pPr>
              <w:spacing w:after="20"/>
            </w:pPr>
            <w:r>
              <w:rPr>
                <w:color w:val="1C3A36"/>
                <w:sz w:val="15"/>
              </w:rPr>
              <w:t>2024-03-13</w:t>
            </w:r>
          </w:p>
        </w:tc>
        <w:tc>
          <w:tcPr>
            <w:tcW w:type="dxa" w:w="5933"/>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123"/>
          </w:tcPr>
          <w:p>
            <w:pPr>
              <w:spacing w:after="20"/>
            </w:pPr>
            <w:r>
              <w:rPr>
                <w:color w:val="1C3A36"/>
                <w:sz w:val="15"/>
              </w:rPr>
              <w:t>2025-03-13</w:t>
            </w:r>
          </w:p>
        </w:tc>
        <w:tc>
          <w:tcPr>
            <w:tcW w:type="dxa" w:w="5933"/>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123"/>
          </w:tcPr>
          <w:p>
            <w:pPr>
              <w:spacing w:after="20"/>
            </w:pPr>
            <w:r>
              <w:rPr>
                <w:color w:val="1C3A36"/>
                <w:sz w:val="15"/>
              </w:rPr>
              <w:t>2026-03-15</w:t>
            </w:r>
          </w:p>
        </w:tc>
        <w:tc>
          <w:tcPr>
            <w:tcW w:type="dxa" w:w="5933"/>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123"/>
          </w:tcPr>
          <w:p>
            <w:pPr>
              <w:spacing w:after="20"/>
            </w:pPr>
            <w:r>
              <w:rPr>
                <w:color w:val="1C3A36"/>
                <w:sz w:val="15"/>
              </w:rPr>
              <w:t>2024-03-13</w:t>
            </w:r>
          </w:p>
        </w:tc>
        <w:tc>
          <w:tcPr>
            <w:tcW w:type="dxa" w:w="5933"/>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123"/>
          </w:tcPr>
          <w:p>
            <w:pPr>
              <w:spacing w:after="20"/>
            </w:pPr>
            <w:r>
              <w:rPr>
                <w:color w:val="1C3A36"/>
                <w:sz w:val="15"/>
              </w:rPr>
              <w:t>2025-03-13</w:t>
            </w:r>
          </w:p>
        </w:tc>
        <w:tc>
          <w:tcPr>
            <w:tcW w:type="dxa" w:w="5933"/>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123"/>
          </w:tcPr>
          <w:p>
            <w:pPr>
              <w:spacing w:after="20"/>
            </w:pPr>
            <w:r>
              <w:rPr>
                <w:color w:val="1C3A36"/>
                <w:sz w:val="15"/>
              </w:rPr>
              <w:t>2026-03-15</w:t>
            </w:r>
          </w:p>
        </w:tc>
        <w:tc>
          <w:tcPr>
            <w:tcW w:type="dxa" w:w="5933"/>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registered beside it as tax_rate_retired so the figure this study cites is one it holds rather than one it types</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123"/>
          </w:tcPr>
          <w:p>
            <w:pPr>
              <w:spacing w:after="20"/>
            </w:pPr>
            <w:r>
              <w:rPr>
                <w:color w:val="1C3A36"/>
                <w:sz w:val="15"/>
              </w:rPr>
              <w:t>2024-03-13</w:t>
            </w:r>
          </w:p>
        </w:tc>
        <w:tc>
          <w:tcPr>
            <w:tcW w:type="dxa" w:w="5933"/>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123"/>
          </w:tcPr>
          <w:p>
            <w:pPr>
              <w:spacing w:after="20"/>
            </w:pPr>
            <w:r>
              <w:rPr>
                <w:color w:val="1C3A36"/>
                <w:sz w:val="15"/>
              </w:rPr>
              <w:t>2025-03-13</w:t>
            </w:r>
          </w:p>
        </w:tc>
        <w:tc>
          <w:tcPr>
            <w:tcW w:type="dxa" w:w="5933"/>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123"/>
          </w:tcPr>
          <w:p>
            <w:pPr>
              <w:spacing w:after="20"/>
            </w:pPr>
            <w:r>
              <w:rPr>
                <w:color w:val="1C3A36"/>
                <w:sz w:val="15"/>
              </w:rPr>
              <w:t>2026-03-15</w:t>
            </w:r>
          </w:p>
        </w:tc>
        <w:tc>
          <w:tcPr>
            <w:tcW w:type="dxa" w:w="5933"/>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123"/>
          </w:tcPr>
          <w:p>
            <w:pPr>
              <w:spacing w:after="20"/>
            </w:pPr>
            <w:r>
              <w:rPr>
                <w:color w:val="1C3A36"/>
                <w:sz w:val="15"/>
              </w:rPr>
              <w:t>2024-03-13</w:t>
            </w:r>
          </w:p>
        </w:tc>
        <w:tc>
          <w:tcPr>
            <w:tcW w:type="dxa" w:w="5933"/>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123"/>
          </w:tcPr>
          <w:p>
            <w:pPr>
              <w:spacing w:after="20"/>
            </w:pPr>
            <w:r>
              <w:rPr>
                <w:color w:val="1C3A36"/>
                <w:sz w:val="15"/>
              </w:rPr>
              <w:t>2025-03-13</w:t>
            </w:r>
          </w:p>
        </w:tc>
        <w:tc>
          <w:tcPr>
            <w:tcW w:type="dxa" w:w="5933"/>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123"/>
          </w:tcPr>
          <w:p>
            <w:pPr>
              <w:spacing w:after="20"/>
            </w:pPr>
            <w:r>
              <w:rPr>
                <w:color w:val="1C3A36"/>
                <w:sz w:val="15"/>
              </w:rPr>
              <w:t>2026-03-15</w:t>
            </w:r>
          </w:p>
        </w:tc>
        <w:tc>
          <w:tcPr>
            <w:tcW w:type="dxa" w:w="5933"/>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123"/>
          </w:tcPr>
          <w:p>
            <w:pPr>
              <w:spacing w:after="20"/>
            </w:pPr>
            <w:r>
              <w:rPr>
                <w:color w:val="1C3A36"/>
                <w:sz w:val="15"/>
              </w:rPr>
              <w:t>2024-03-13</w:t>
            </w:r>
          </w:p>
        </w:tc>
        <w:tc>
          <w:tcPr>
            <w:tcW w:type="dxa" w:w="5933"/>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123"/>
          </w:tcPr>
          <w:p>
            <w:pPr>
              <w:spacing w:after="20"/>
            </w:pPr>
            <w:r>
              <w:rPr>
                <w:color w:val="1C3A36"/>
                <w:sz w:val="15"/>
              </w:rPr>
              <w:t>2025-03-13</w:t>
            </w:r>
          </w:p>
        </w:tc>
        <w:tc>
          <w:tcPr>
            <w:tcW w:type="dxa" w:w="5933"/>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123"/>
          </w:tcPr>
          <w:p>
            <w:pPr>
              <w:spacing w:after="20"/>
            </w:pPr>
            <w:r>
              <w:rPr>
                <w:color w:val="1C3A36"/>
                <w:sz w:val="15"/>
              </w:rPr>
              <w:t>2026-03-15</w:t>
            </w:r>
          </w:p>
        </w:tc>
        <w:tc>
          <w:tcPr>
            <w:tcW w:type="dxa" w:w="5933"/>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123"/>
          </w:tcPr>
          <w:p>
            <w:pPr>
              <w:spacing w:after="20"/>
            </w:pPr>
            <w:r>
              <w:rPr>
                <w:color w:val="1C3A36"/>
                <w:sz w:val="15"/>
              </w:rPr>
              <w:t>2024-03-13</w:t>
            </w:r>
          </w:p>
        </w:tc>
        <w:tc>
          <w:tcPr>
            <w:tcW w:type="dxa" w:w="5933"/>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123"/>
          </w:tcPr>
          <w:p>
            <w:pPr>
              <w:spacing w:after="20"/>
            </w:pPr>
            <w:r>
              <w:rPr>
                <w:color w:val="1C3A36"/>
                <w:sz w:val="15"/>
              </w:rPr>
              <w:t>2025-03-13</w:t>
            </w:r>
          </w:p>
        </w:tc>
        <w:tc>
          <w:tcPr>
            <w:tcW w:type="dxa" w:w="5933"/>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123"/>
          </w:tcPr>
          <w:p>
            <w:pPr>
              <w:spacing w:after="20"/>
            </w:pPr>
            <w:r>
              <w:rPr>
                <w:color w:val="1C3A36"/>
                <w:sz w:val="15"/>
              </w:rPr>
              <w:t>2026-03-15</w:t>
            </w:r>
          </w:p>
        </w:tc>
        <w:tc>
          <w:tcPr>
            <w:tcW w:type="dxa" w:w="5933"/>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123"/>
          </w:tcPr>
          <w:p>
            <w:pPr>
              <w:spacing w:after="20"/>
            </w:pPr>
            <w:r>
              <w:rPr>
                <w:color w:val="1C3A36"/>
                <w:sz w:val="15"/>
              </w:rPr>
              <w:t>2024-03-13</w:t>
            </w:r>
          </w:p>
        </w:tc>
        <w:tc>
          <w:tcPr>
            <w:tcW w:type="dxa" w:w="5933"/>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123"/>
          </w:tcPr>
          <w:p>
            <w:pPr>
              <w:spacing w:after="20"/>
            </w:pPr>
            <w:r>
              <w:rPr>
                <w:color w:val="1C3A36"/>
                <w:sz w:val="15"/>
              </w:rPr>
              <w:t>2025-03-13</w:t>
            </w:r>
          </w:p>
        </w:tc>
        <w:tc>
          <w:tcPr>
            <w:tcW w:type="dxa" w:w="5933"/>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123"/>
          </w:tcPr>
          <w:p>
            <w:pPr>
              <w:spacing w:after="20"/>
            </w:pPr>
            <w:r>
              <w:rPr>
                <w:color w:val="1C3A36"/>
                <w:sz w:val="15"/>
              </w:rPr>
              <w:t>2026-03-15</w:t>
            </w:r>
          </w:p>
        </w:tc>
        <w:tc>
          <w:tcPr>
            <w:tcW w:type="dxa" w:w="5933"/>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123"/>
          </w:tcPr>
          <w:p>
            <w:pPr>
              <w:spacing w:after="20"/>
            </w:pPr>
            <w:r>
              <w:rPr>
                <w:color w:val="1C3A36"/>
                <w:sz w:val="15"/>
              </w:rPr>
              <w:t>2024-03-13</w:t>
            </w:r>
          </w:p>
        </w:tc>
        <w:tc>
          <w:tcPr>
            <w:tcW w:type="dxa" w:w="5933"/>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123"/>
          </w:tcPr>
          <w:p>
            <w:pPr>
              <w:spacing w:after="20"/>
            </w:pPr>
            <w:r>
              <w:rPr>
                <w:color w:val="1C3A36"/>
                <w:sz w:val="15"/>
              </w:rPr>
              <w:t>2025-03-13</w:t>
            </w:r>
          </w:p>
        </w:tc>
        <w:tc>
          <w:tcPr>
            <w:tcW w:type="dxa" w:w="5933"/>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123"/>
          </w:tcPr>
          <w:p>
            <w:pPr>
              <w:spacing w:after="20"/>
            </w:pPr>
            <w:r>
              <w:rPr>
                <w:color w:val="1C3A36"/>
                <w:sz w:val="15"/>
              </w:rPr>
              <w:t>2026-03-15</w:t>
            </w:r>
          </w:p>
        </w:tc>
        <w:tc>
          <w:tcPr>
            <w:tcW w:type="dxa" w:w="5933"/>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123"/>
          </w:tcPr>
          <w:p>
            <w:pPr>
              <w:spacing w:after="20"/>
            </w:pPr>
            <w:r>
              <w:rPr>
                <w:color w:val="1C3A36"/>
                <w:sz w:val="15"/>
              </w:rPr>
              <w:t>2024-03-13</w:t>
            </w:r>
          </w:p>
        </w:tc>
        <w:tc>
          <w:tcPr>
            <w:tcW w:type="dxa" w:w="5933"/>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123"/>
          </w:tcPr>
          <w:p>
            <w:pPr>
              <w:spacing w:after="20"/>
            </w:pPr>
            <w:r>
              <w:rPr>
                <w:color w:val="1C3A36"/>
                <w:sz w:val="15"/>
              </w:rPr>
              <w:t>2025-03-13</w:t>
            </w:r>
          </w:p>
        </w:tc>
        <w:tc>
          <w:tcPr>
            <w:tcW w:type="dxa" w:w="5933"/>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123"/>
          </w:tcPr>
          <w:p>
            <w:pPr>
              <w:spacing w:after="20"/>
            </w:pPr>
            <w:r>
              <w:rPr>
                <w:color w:val="1C3A36"/>
                <w:sz w:val="15"/>
              </w:rPr>
              <w:t>2026-03-15</w:t>
            </w:r>
          </w:p>
        </w:tc>
        <w:tc>
          <w:tcPr>
            <w:tcW w:type="dxa" w:w="5933"/>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123"/>
          </w:tcPr>
          <w:p>
            <w:pPr>
              <w:spacing w:after="20"/>
            </w:pPr>
            <w:r>
              <w:rPr>
                <w:color w:val="1C3A36"/>
                <w:sz w:val="15"/>
              </w:rPr>
              <w:t>2024-03-13</w:t>
            </w:r>
          </w:p>
        </w:tc>
        <w:tc>
          <w:tcPr>
            <w:tcW w:type="dxa" w:w="5933"/>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123"/>
          </w:tcPr>
          <w:p>
            <w:pPr>
              <w:spacing w:after="20"/>
            </w:pPr>
            <w:r>
              <w:rPr>
                <w:color w:val="1C3A36"/>
                <w:sz w:val="15"/>
              </w:rPr>
              <w:t>2025-03-13</w:t>
            </w:r>
          </w:p>
        </w:tc>
        <w:tc>
          <w:tcPr>
            <w:tcW w:type="dxa" w:w="5933"/>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123"/>
          </w:tcPr>
          <w:p>
            <w:pPr>
              <w:spacing w:after="20"/>
            </w:pPr>
            <w:r>
              <w:rPr>
                <w:color w:val="1C3A36"/>
                <w:sz w:val="15"/>
              </w:rPr>
              <w:t>2026-03-15</w:t>
            </w:r>
          </w:p>
        </w:tc>
        <w:tc>
          <w:tcPr>
            <w:tcW w:type="dxa" w:w="5933"/>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123"/>
          </w:tcPr>
          <w:p>
            <w:pPr>
              <w:spacing w:after="20"/>
            </w:pPr>
            <w:r>
              <w:rPr>
                <w:color w:val="1C3A36"/>
                <w:sz w:val="15"/>
              </w:rPr>
              <w:t>2024-03-13</w:t>
            </w:r>
          </w:p>
        </w:tc>
        <w:tc>
          <w:tcPr>
            <w:tcW w:type="dxa" w:w="5933"/>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123"/>
          </w:tcPr>
          <w:p>
            <w:pPr>
              <w:spacing w:after="20"/>
            </w:pPr>
            <w:r>
              <w:rPr>
                <w:color w:val="1C3A36"/>
                <w:sz w:val="15"/>
              </w:rPr>
              <w:t>2025-03-13</w:t>
            </w:r>
          </w:p>
        </w:tc>
        <w:tc>
          <w:tcPr>
            <w:tcW w:type="dxa" w:w="5933"/>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123"/>
          </w:tcPr>
          <w:p>
            <w:pPr>
              <w:spacing w:after="20"/>
            </w:pPr>
            <w:r>
              <w:rPr>
                <w:color w:val="1C3A36"/>
                <w:sz w:val="15"/>
              </w:rPr>
              <w:t>2026-03-15</w:t>
            </w:r>
          </w:p>
        </w:tc>
        <w:tc>
          <w:tcPr>
            <w:tcW w:type="dxa" w:w="5933"/>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123"/>
          </w:tcPr>
          <w:p>
            <w:pPr>
              <w:spacing w:after="20"/>
            </w:pPr>
            <w:r>
              <w:rPr>
                <w:color w:val="1C3A36"/>
                <w:sz w:val="15"/>
              </w:rPr>
              <w:t>2024-03-13</w:t>
            </w:r>
          </w:p>
        </w:tc>
        <w:tc>
          <w:tcPr>
            <w:tcW w:type="dxa" w:w="5933"/>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123"/>
          </w:tcPr>
          <w:p>
            <w:pPr>
              <w:spacing w:after="20"/>
            </w:pPr>
            <w:r>
              <w:rPr>
                <w:color w:val="1C3A36"/>
                <w:sz w:val="15"/>
              </w:rPr>
              <w:t>2025-03-13</w:t>
            </w:r>
          </w:p>
        </w:tc>
        <w:tc>
          <w:tcPr>
            <w:tcW w:type="dxa" w:w="5933"/>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123"/>
          </w:tcPr>
          <w:p>
            <w:pPr>
              <w:spacing w:after="20"/>
            </w:pPr>
            <w:r>
              <w:rPr>
                <w:color w:val="1C3A36"/>
                <w:sz w:val="15"/>
              </w:rPr>
              <w:t>2026-03-15</w:t>
            </w:r>
          </w:p>
        </w:tc>
        <w:tc>
          <w:tcPr>
            <w:tcW w:type="dxa" w:w="5933"/>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123"/>
          </w:tcPr>
          <w:p>
            <w:pPr>
              <w:spacing w:after="20"/>
            </w:pPr>
            <w:r>
              <w:rPr>
                <w:color w:val="1C3A36"/>
                <w:sz w:val="15"/>
              </w:rPr>
              <w:t>2024-03-13</w:t>
            </w:r>
          </w:p>
        </w:tc>
        <w:tc>
          <w:tcPr>
            <w:tcW w:type="dxa" w:w="5933"/>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123"/>
          </w:tcPr>
          <w:p>
            <w:pPr>
              <w:spacing w:after="20"/>
            </w:pPr>
            <w:r>
              <w:rPr>
                <w:color w:val="1C3A36"/>
                <w:sz w:val="15"/>
              </w:rPr>
              <w:t>2025-03-13</w:t>
            </w:r>
          </w:p>
        </w:tc>
        <w:tc>
          <w:tcPr>
            <w:tcW w:type="dxa" w:w="5933"/>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123"/>
          </w:tcPr>
          <w:p>
            <w:pPr>
              <w:spacing w:after="20"/>
            </w:pPr>
            <w:r>
              <w:rPr>
                <w:color w:val="1C3A36"/>
                <w:sz w:val="15"/>
              </w:rPr>
              <w:t>2026-03-15</w:t>
            </w:r>
          </w:p>
        </w:tc>
        <w:tc>
          <w:tcPr>
            <w:tcW w:type="dxa" w:w="5933"/>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123"/>
          </w:tcPr>
          <w:p>
            <w:pPr>
              <w:spacing w:after="20"/>
            </w:pPr>
            <w:r>
              <w:rPr>
                <w:color w:val="1C3A36"/>
                <w:sz w:val="15"/>
              </w:rPr>
              <w:t>2024-03-13</w:t>
            </w:r>
          </w:p>
        </w:tc>
        <w:tc>
          <w:tcPr>
            <w:tcW w:type="dxa" w:w="5933"/>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123"/>
          </w:tcPr>
          <w:p>
            <w:pPr>
              <w:spacing w:after="20"/>
            </w:pPr>
            <w:r>
              <w:rPr>
                <w:color w:val="1C3A36"/>
                <w:sz w:val="15"/>
              </w:rPr>
              <w:t>2025-03-13</w:t>
            </w:r>
          </w:p>
        </w:tc>
        <w:tc>
          <w:tcPr>
            <w:tcW w:type="dxa" w:w="5933"/>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123"/>
          </w:tcPr>
          <w:p>
            <w:pPr>
              <w:spacing w:after="20"/>
            </w:pPr>
            <w:r>
              <w:rPr>
                <w:color w:val="1C3A36"/>
                <w:sz w:val="15"/>
              </w:rPr>
              <w:t>2026-03-15</w:t>
            </w:r>
          </w:p>
        </w:tc>
        <w:tc>
          <w:tcPr>
            <w:tcW w:type="dxa" w:w="5933"/>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123"/>
          </w:tcPr>
          <w:p>
            <w:pPr>
              <w:spacing w:after="20"/>
            </w:pPr>
            <w:r>
              <w:rPr>
                <w:color w:val="1C3A36"/>
                <w:sz w:val="15"/>
              </w:rPr>
              <w:t>2024-03-13</w:t>
            </w:r>
          </w:p>
        </w:tc>
        <w:tc>
          <w:tcPr>
            <w:tcW w:type="dxa" w:w="5933"/>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123"/>
          </w:tcPr>
          <w:p>
            <w:pPr>
              <w:spacing w:after="20"/>
            </w:pPr>
            <w:r>
              <w:rPr>
                <w:color w:val="1C3A36"/>
                <w:sz w:val="15"/>
              </w:rPr>
              <w:t>2025-03-13</w:t>
            </w:r>
          </w:p>
        </w:tc>
        <w:tc>
          <w:tcPr>
            <w:tcW w:type="dxa" w:w="5933"/>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123"/>
          </w:tcPr>
          <w:p>
            <w:pPr>
              <w:spacing w:after="20"/>
            </w:pPr>
            <w:r>
              <w:rPr>
                <w:color w:val="1C3A36"/>
                <w:sz w:val="15"/>
              </w:rPr>
              <w:t>2026-03-15</w:t>
            </w:r>
          </w:p>
        </w:tc>
        <w:tc>
          <w:tcPr>
            <w:tcW w:type="dxa" w:w="5933"/>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123"/>
          </w:tcPr>
          <w:p>
            <w:pPr>
              <w:spacing w:after="20"/>
            </w:pPr>
            <w:r>
              <w:rPr>
                <w:color w:val="1C3A36"/>
                <w:sz w:val="15"/>
              </w:rPr>
              <w:t>2025-03-13</w:t>
            </w:r>
          </w:p>
        </w:tc>
        <w:tc>
          <w:tcPr>
            <w:tcW w:type="dxa" w:w="5933"/>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123"/>
          </w:tcPr>
          <w:p>
            <w:pPr>
              <w:spacing w:after="20"/>
            </w:pPr>
            <w:r>
              <w:rPr>
                <w:color w:val="1C3A36"/>
                <w:sz w:val="15"/>
              </w:rPr>
              <w:t>2026-03-15</w:t>
            </w:r>
          </w:p>
        </w:tc>
        <w:tc>
          <w:tcPr>
            <w:tcW w:type="dxa" w:w="5933"/>
          </w:tcPr>
          <w:p>
            <w:pPr>
              <w:spacing w:after="20"/>
            </w:pPr>
            <w:r>
              <w:rPr>
                <w:color w:val="1C3A36"/>
                <w:sz w:val="15"/>
              </w:rPr>
              <w:t>Equity-accounted investees, carrying value, 31 Dec 2025 — the closing balance used in the valuation bridge (the anchor date is Aug-2026, so the FY2025 close is the most recent audited figure, not FY2024's). Note 20 names every investee and none is listed, so the house rule leaves book as the only route; the balance reconciles to the prior year through the disclosed 1,174.475 Senyar dividend and 135.317 of translation</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123"/>
          </w:tcPr>
          <w:p>
            <w:pPr>
              <w:spacing w:after="20"/>
            </w:pPr>
            <w:r>
              <w:rPr>
                <w:color w:val="1C3A36"/>
                <w:sz w:val="15"/>
              </w:rPr>
              <w:t>2025-03-13</w:t>
            </w:r>
          </w:p>
        </w:tc>
        <w:tc>
          <w:tcPr>
            <w:tcW w:type="dxa" w:w="5933"/>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123"/>
          </w:tcPr>
          <w:p>
            <w:pPr>
              <w:spacing w:after="20"/>
            </w:pPr>
            <w:r>
              <w:rPr>
                <w:color w:val="1C3A36"/>
                <w:sz w:val="15"/>
              </w:rPr>
              <w:t>2026-03-15</w:t>
            </w:r>
          </w:p>
        </w:tc>
        <w:tc>
          <w:tcPr>
            <w:tcW w:type="dxa" w:w="5933"/>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123"/>
          </w:tcPr>
          <w:p>
            <w:pPr>
              <w:spacing w:after="20"/>
            </w:pPr>
            <w:r>
              <w:rPr>
                <w:color w:val="1C3A36"/>
                <w:sz w:val="15"/>
              </w:rPr>
              <w:t>2026-03-15</w:t>
            </w:r>
          </w:p>
        </w:tc>
        <w:tc>
          <w:tcPr>
            <w:tcW w:type="dxa" w:w="5933"/>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123"/>
          </w:tcPr>
          <w:p>
            <w:pPr>
              <w:spacing w:after="20"/>
            </w:pPr>
            <w:r>
              <w:rPr>
                <w:color w:val="1C3A36"/>
                <w:sz w:val="15"/>
              </w:rPr>
              <w:t>2026-05-06</w:t>
            </w:r>
          </w:p>
        </w:tc>
        <w:tc>
          <w:tcPr>
            <w:tcW w:type="dxa" w:w="5933"/>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123"/>
          </w:tcPr>
          <w:p>
            <w:pPr>
              <w:spacing w:after="20"/>
            </w:pPr>
            <w:r>
              <w:rPr>
                <w:color w:val="1C3A36"/>
                <w:sz w:val="15"/>
              </w:rPr>
              <w:t>2026-03-15</w:t>
            </w:r>
          </w:p>
        </w:tc>
        <w:tc>
          <w:tcPr>
            <w:tcW w:type="dxa" w:w="5933"/>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123"/>
          </w:tcPr>
          <w:p>
            <w:pPr>
              <w:spacing w:after="20"/>
            </w:pPr>
            <w:r>
              <w:rPr>
                <w:color w:val="1C3A36"/>
                <w:sz w:val="15"/>
              </w:rPr>
              <w:t>2026-03-15</w:t>
            </w:r>
          </w:p>
        </w:tc>
        <w:tc>
          <w:tcPr>
            <w:tcW w:type="dxa" w:w="5933"/>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123"/>
          </w:tcPr>
          <w:p>
            <w:pPr>
              <w:spacing w:after="20"/>
            </w:pPr>
            <w:r>
              <w:rPr>
                <w:color w:val="1C3A36"/>
                <w:sz w:val="15"/>
              </w:rPr>
              <w:t>2026-03-15</w:t>
            </w:r>
          </w:p>
        </w:tc>
        <w:tc>
          <w:tcPr>
            <w:tcW w:type="dxa" w:w="5933"/>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123"/>
          </w:tcPr>
          <w:p>
            <w:pPr>
              <w:spacing w:after="20"/>
            </w:pPr>
            <w:r>
              <w:rPr>
                <w:color w:val="1C3A36"/>
                <w:sz w:val="15"/>
              </w:rPr>
              <w:t>2026-05-13</w:t>
            </w:r>
          </w:p>
        </w:tc>
        <w:tc>
          <w:tcPr>
            <w:tcW w:type="dxa" w:w="5933"/>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123"/>
          </w:tcPr>
          <w:p>
            <w:pPr>
              <w:spacing w:after="20"/>
            </w:pPr>
            <w:r>
              <w:rPr>
                <w:color w:val="1C3A36"/>
                <w:sz w:val="15"/>
              </w:rPr>
              <w:t>2026-05-13</w:t>
            </w:r>
          </w:p>
        </w:tc>
        <w:tc>
          <w:tcPr>
            <w:tcW w:type="dxa" w:w="5933"/>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123"/>
          </w:tcPr>
          <w:p>
            <w:pPr>
              <w:spacing w:after="20"/>
            </w:pPr>
            <w:r>
              <w:rPr>
                <w:color w:val="1C3A36"/>
                <w:sz w:val="15"/>
              </w:rPr>
              <w:t>2026-05-13</w:t>
            </w:r>
          </w:p>
        </w:tc>
        <w:tc>
          <w:tcPr>
            <w:tcW w:type="dxa" w:w="5933"/>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123"/>
          </w:tcPr>
          <w:p>
            <w:pPr>
              <w:spacing w:after="20"/>
            </w:pPr>
            <w:r>
              <w:rPr>
                <w:color w:val="1C3A36"/>
                <w:sz w:val="15"/>
              </w:rPr>
              <w:t>2026-05-13</w:t>
            </w:r>
          </w:p>
        </w:tc>
        <w:tc>
          <w:tcPr>
            <w:tcW w:type="dxa" w:w="5933"/>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123"/>
          </w:tcPr>
          <w:p>
            <w:pPr>
              <w:spacing w:after="20"/>
            </w:pPr>
            <w:r>
              <w:rPr>
                <w:color w:val="1C3A36"/>
                <w:sz w:val="15"/>
              </w:rPr>
              <w:t>2026-05-13</w:t>
            </w:r>
          </w:p>
        </w:tc>
        <w:tc>
          <w:tcPr>
            <w:tcW w:type="dxa" w:w="5933"/>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123"/>
          </w:tcPr>
          <w:p>
            <w:pPr>
              <w:spacing w:after="20"/>
            </w:pPr>
            <w:r>
              <w:rPr>
                <w:color w:val="1C3A36"/>
                <w:sz w:val="15"/>
              </w:rPr>
              <w:t>2026-05-13</w:t>
            </w:r>
          </w:p>
        </w:tc>
        <w:tc>
          <w:tcPr>
            <w:tcW w:type="dxa" w:w="5933"/>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salaries cogs fy25</w:t>
            </w:r>
          </w:p>
        </w:tc>
        <w:tc>
          <w:tcPr>
            <w:tcW w:type="dxa" w:w="1368"/>
          </w:tcPr>
          <w:p>
            <w:pPr>
              <w:spacing w:after="20"/>
            </w:pPr>
            <w:r>
              <w:rPr>
                <w:color w:val="1C3A36"/>
                <w:sz w:val="15"/>
              </w:rPr>
              <w:t>12,646.9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'Salaries and its equivalents'</w:t>
            </w:r>
          </w:p>
        </w:tc>
      </w:tr>
      <w:tr>
        <w:tc>
          <w:tcPr>
            <w:tcW w:type="dxa" w:w="1656"/>
          </w:tcPr>
          <w:p>
            <w:pPr>
              <w:spacing w:after="20"/>
            </w:pPr>
            <w:r>
              <w:rPr>
                <w:color w:val="1C3A36"/>
                <w:sz w:val="15"/>
              </w:rPr>
              <w:t>salaries selling fy25</w:t>
            </w:r>
          </w:p>
        </w:tc>
        <w:tc>
          <w:tcPr>
            <w:tcW w:type="dxa" w:w="1368"/>
          </w:tcPr>
          <w:p>
            <w:pPr>
              <w:spacing w:after="20"/>
            </w:pPr>
            <w:r>
              <w:rPr>
                <w:color w:val="1C3A36"/>
                <w:sz w:val="15"/>
              </w:rPr>
              <w:t>1,588.1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'Salaries and its equivalents'</w:t>
            </w:r>
          </w:p>
        </w:tc>
      </w:tr>
      <w:tr>
        <w:tc>
          <w:tcPr>
            <w:tcW w:type="dxa" w:w="1656"/>
          </w:tcPr>
          <w:p>
            <w:pPr>
              <w:spacing w:after="20"/>
            </w:pPr>
            <w:r>
              <w:rPr>
                <w:color w:val="1C3A36"/>
                <w:sz w:val="15"/>
              </w:rPr>
              <w:t>salaries admin fy25</w:t>
            </w:r>
          </w:p>
        </w:tc>
        <w:tc>
          <w:tcPr>
            <w:tcW w:type="dxa" w:w="1368"/>
          </w:tcPr>
          <w:p>
            <w:pPr>
              <w:spacing w:after="20"/>
            </w:pPr>
            <w:r>
              <w:rPr>
                <w:color w:val="1C3A36"/>
                <w:sz w:val="15"/>
              </w:rPr>
              <w:t>4,670.8</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'Salaries and its equivalents'</w:t>
            </w:r>
          </w:p>
        </w:tc>
      </w:tr>
      <w:tr>
        <w:tc>
          <w:tcPr>
            <w:tcW w:type="dxa" w:w="1656"/>
          </w:tcPr>
          <w:p>
            <w:pPr>
              <w:spacing w:after="20"/>
            </w:pPr>
            <w:r>
              <w:rPr>
                <w:color w:val="1C3A36"/>
                <w:sz w:val="15"/>
              </w:rPr>
              <w:t>salaries cogs fy24</w:t>
            </w:r>
          </w:p>
        </w:tc>
        <w:tc>
          <w:tcPr>
            <w:tcW w:type="dxa" w:w="1368"/>
          </w:tcPr>
          <w:p>
            <w:pPr>
              <w:spacing w:after="20"/>
            </w:pPr>
            <w:r>
              <w:rPr>
                <w:color w:val="1C3A36"/>
                <w:sz w:val="15"/>
              </w:rPr>
              <w:t>7,898.9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FY2024 comparative</w:t>
            </w:r>
          </w:p>
        </w:tc>
      </w:tr>
      <w:tr>
        <w:tc>
          <w:tcPr>
            <w:tcW w:type="dxa" w:w="1656"/>
          </w:tcPr>
          <w:p>
            <w:pPr>
              <w:spacing w:after="20"/>
            </w:pPr>
            <w:r>
              <w:rPr>
                <w:color w:val="1C3A36"/>
                <w:sz w:val="15"/>
              </w:rPr>
              <w:t>salaries selling fy24</w:t>
            </w:r>
          </w:p>
        </w:tc>
        <w:tc>
          <w:tcPr>
            <w:tcW w:type="dxa" w:w="1368"/>
          </w:tcPr>
          <w:p>
            <w:pPr>
              <w:spacing w:after="20"/>
            </w:pPr>
            <w:r>
              <w:rPr>
                <w:color w:val="1C3A36"/>
                <w:sz w:val="15"/>
              </w:rPr>
              <w:t>1,216.0</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FY2024 comparative</w:t>
            </w:r>
          </w:p>
        </w:tc>
      </w:tr>
      <w:tr>
        <w:tc>
          <w:tcPr>
            <w:tcW w:type="dxa" w:w="1656"/>
          </w:tcPr>
          <w:p>
            <w:pPr>
              <w:spacing w:after="20"/>
            </w:pPr>
            <w:r>
              <w:rPr>
                <w:color w:val="1C3A36"/>
                <w:sz w:val="15"/>
              </w:rPr>
              <w:t>salaries admin fy24</w:t>
            </w:r>
          </w:p>
        </w:tc>
        <w:tc>
          <w:tcPr>
            <w:tcW w:type="dxa" w:w="1368"/>
          </w:tcPr>
          <w:p>
            <w:pPr>
              <w:spacing w:after="20"/>
            </w:pPr>
            <w:r>
              <w:rPr>
                <w:color w:val="1C3A36"/>
                <w:sz w:val="15"/>
              </w:rPr>
              <w:t>3,639.1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FY2024 comparative</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mgn fy25</w:t>
            </w:r>
          </w:p>
        </w:tc>
        <w:tc>
          <w:tcPr>
            <w:tcW w:type="dxa" w:w="1368"/>
          </w:tcPr>
          <w:p>
            <w:pPr>
              <w:spacing w:after="20"/>
            </w:pPr>
            <w:r>
              <w:rPr>
                <w:color w:val="1C3A36"/>
                <w:sz w:val="15"/>
              </w:rPr>
              <w:t>0.1218</w:t>
            </w:r>
          </w:p>
        </w:tc>
        <w:tc>
          <w:tcPr>
            <w:tcW w:type="dxa" w:w="1123"/>
          </w:tcPr>
          <w:p>
            <w:pPr>
              <w:spacing w:after="20"/>
            </w:pPr>
            <w:r>
              <w:rPr>
                <w:color w:val="1C3A36"/>
                <w:sz w:val="15"/>
              </w:rPr>
              <w:t>2025-12-31</w:t>
            </w:r>
          </w:p>
        </w:tc>
        <w:tc>
          <w:tcPr>
            <w:tcW w:type="dxa" w:w="5933"/>
          </w:tcPr>
          <w:p>
            <w:pPr>
              <w:spacing w:after="20"/>
            </w:pPr>
            <w:r>
              <w:rPr>
                <w:color w:val="1C3A36"/>
                <w:sz w:val="15"/>
              </w:rPr>
              <w:t>FY2025 group segment-profit margin, DERIVED: the three segments' note-16 profit less the disclosed unallocated item, over audited group revenue</w:t>
            </w:r>
          </w:p>
        </w:tc>
      </w:tr>
      <w:tr>
        <w:tc>
          <w:tcPr>
            <w:tcW w:type="dxa" w:w="1656"/>
          </w:tcPr>
          <w:p>
            <w:pPr>
              <w:spacing w:after="20"/>
            </w:pPr>
            <w:r>
              <w:rPr>
                <w:color w:val="1C3A36"/>
                <w:sz w:val="15"/>
              </w:rPr>
              <w:t>mgn h1 25</w:t>
            </w:r>
          </w:p>
        </w:tc>
        <w:tc>
          <w:tcPr>
            <w:tcW w:type="dxa" w:w="1368"/>
          </w:tcPr>
          <w:p>
            <w:pPr>
              <w:spacing w:after="20"/>
            </w:pPr>
            <w:r>
              <w:rPr>
                <w:color w:val="1C3A36"/>
                <w:sz w:val="15"/>
              </w:rPr>
              <w:t>0.1406</w:t>
            </w:r>
          </w:p>
        </w:tc>
        <w:tc>
          <w:tcPr>
            <w:tcW w:type="dxa" w:w="1123"/>
          </w:tcPr>
          <w:p>
            <w:pPr>
              <w:spacing w:after="20"/>
            </w:pPr>
            <w:r>
              <w:rPr>
                <w:color w:val="1C3A36"/>
                <w:sz w:val="15"/>
              </w:rPr>
              <w:t>2025-06-30</w:t>
            </w:r>
          </w:p>
        </w:tc>
        <w:tc>
          <w:tcPr>
            <w:tcW w:type="dxa" w:w="5933"/>
          </w:tcPr>
          <w:p>
            <w:pPr>
              <w:spacing w:after="20"/>
            </w:pPr>
            <w:r>
              <w:rPr>
                <w:color w:val="1C3A36"/>
                <w:sz w:val="15"/>
              </w:rPr>
              <w:t>H1-2025 group segment-profit margin, DERIVED the same way from the note-16 comparative half. It is 1.9 points ABOVE the full year, which is the whole basis of this study's refusal to anchor a full year on a half</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 Both figures are COMPUTED from the note-16 figures registered here and above rather than typed beside them — they were typed until 09-09-2026, and a figure in a delivered source string that the model does not produce is one prose_check cannot reconcile</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123"/>
          </w:tcPr>
          <w:p>
            <w:pPr>
              <w:spacing w:after="20"/>
            </w:pPr>
            <w:r>
              <w:rPr>
                <w:color w:val="1C3A36"/>
                <w:sz w:val="15"/>
              </w:rPr>
              <w:t>2026-03-15</w:t>
            </w:r>
          </w:p>
        </w:tc>
        <w:tc>
          <w:tcPr>
            <w:tcW w:type="dxa" w:w="5933"/>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123"/>
          </w:tcPr>
          <w:p>
            <w:pPr>
              <w:spacing w:after="20"/>
            </w:pPr>
            <w:r>
              <w:rPr>
                <w:color w:val="1C3A36"/>
                <w:sz w:val="15"/>
              </w:rPr>
              <w:t>2026-03-15</w:t>
            </w:r>
          </w:p>
        </w:tc>
        <w:tc>
          <w:tcPr>
            <w:tcW w:type="dxa" w:w="5933"/>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123"/>
          </w:tcPr>
          <w:p>
            <w:pPr>
              <w:spacing w:after="20"/>
            </w:pPr>
            <w:r>
              <w:rPr>
                <w:color w:val="1C3A36"/>
                <w:sz w:val="15"/>
              </w:rPr>
              <w:t>2026-03-15</w:t>
            </w:r>
          </w:p>
        </w:tc>
        <w:tc>
          <w:tcPr>
            <w:tcW w:type="dxa" w:w="5933"/>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123"/>
          </w:tcPr>
          <w:p>
            <w:pPr>
              <w:spacing w:after="20"/>
            </w:pPr>
            <w:r>
              <w:rPr>
                <w:color w:val="1C3A36"/>
                <w:sz w:val="15"/>
              </w:rPr>
              <w:t>2026-03-15</w:t>
            </w:r>
          </w:p>
        </w:tc>
        <w:tc>
          <w:tcPr>
            <w:tcW w:type="dxa" w:w="5933"/>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123"/>
          </w:tcPr>
          <w:p>
            <w:pPr>
              <w:spacing w:after="20"/>
            </w:pPr>
            <w:r>
              <w:rPr>
                <w:color w:val="1C3A36"/>
                <w:sz w:val="15"/>
              </w:rPr>
              <w:t>2026-03-15</w:t>
            </w:r>
          </w:p>
        </w:tc>
        <w:tc>
          <w:tcPr>
            <w:tcW w:type="dxa" w:w="5933"/>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123"/>
          </w:tcPr>
          <w:p>
            <w:pPr>
              <w:spacing w:after="20"/>
            </w:pPr>
            <w:r>
              <w:rPr>
                <w:color w:val="1C3A36"/>
                <w:sz w:val="15"/>
              </w:rPr>
              <w:t>2026-03-15</w:t>
            </w:r>
          </w:p>
        </w:tc>
        <w:tc>
          <w:tcPr>
            <w:tcW w:type="dxa" w:w="5933"/>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123"/>
          </w:tcPr>
          <w:p>
            <w:pPr>
              <w:spacing w:after="20"/>
            </w:pPr>
            <w:r>
              <w:rPr>
                <w:color w:val="1C3A36"/>
                <w:sz w:val="15"/>
              </w:rPr>
              <w:t>2026-03-15</w:t>
            </w:r>
          </w:p>
        </w:tc>
        <w:tc>
          <w:tcPr>
            <w:tcW w:type="dxa" w:w="5933"/>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fx hist</w:t>
            </w:r>
          </w:p>
        </w:tc>
        <w:tc>
          <w:tcPr>
            <w:tcW w:type="dxa" w:w="1368"/>
          </w:tcPr>
          <w:p>
            <w:pPr>
              <w:spacing w:after="20"/>
            </w:pPr>
            <w:r>
              <w:rPr>
                <w:color w:val="1C3A36"/>
                <w:sz w:val="15"/>
              </w:rPr>
              <w:t>FY23: 30.59; FY24: 43.96; FY25: 47.69</w:t>
            </w:r>
          </w:p>
        </w:tc>
        <w:tc>
          <w:tcPr>
            <w:tcW w:type="dxa" w:w="1123"/>
          </w:tcPr>
          <w:p>
            <w:pPr>
              <w:spacing w:after="20"/>
            </w:pPr>
            <w:r>
              <w:rPr>
                <w:color w:val="1C3A36"/>
                <w:sz w:val="15"/>
              </w:rPr>
              <w:t>2026-03-15</w:t>
            </w:r>
          </w:p>
        </w:tc>
        <w:tc>
          <w:tcPr>
            <w:tcW w:type="dxa" w:w="5933"/>
          </w:tcPr>
          <w:p>
            <w:pPr>
              <w:spacing w:after="20"/>
            </w:pPr>
            <w:r>
              <w:rPr>
                <w:color w:val="1C3A36"/>
                <w:sz w:val="15"/>
              </w:rPr>
              <w:t>Annual average USD/EGP, all three DISCLOSED by the issuer rather than estimated. FY2025 47.69 and FY2024 43.96 are note 44-3 of the FY2025 audited statements, 'significant foreign currency exchange rates during the year', average-rate columns; FY2023 30.59 is the FY2023 filing's own note 44-3-1. Revisions to 08-09-2026 typed 49.5 and 45.3 as house averages while the note sat in a filing this study already reads</w:t>
            </w:r>
          </w:p>
        </w:tc>
      </w:tr>
      <w:tr>
        <w:tc>
          <w:tcPr>
            <w:tcW w:type="dxa" w:w="1656"/>
          </w:tcPr>
          <w:p>
            <w:pPr>
              <w:spacing w:after="20"/>
            </w:pPr>
            <w:r>
              <w:rPr>
                <w:color w:val="1C3A36"/>
                <w:sz w:val="15"/>
              </w:rPr>
              <w:t>cables tonnage hist</w:t>
            </w:r>
          </w:p>
        </w:tc>
        <w:tc>
          <w:tcPr>
            <w:tcW w:type="dxa" w:w="1368"/>
          </w:tcPr>
          <w:p>
            <w:pPr>
              <w:spacing w:after="20"/>
            </w:pPr>
            <w:r>
              <w:rPr>
                <w:color w:val="1C3A36"/>
                <w:sz w:val="15"/>
              </w:rPr>
              <w:t>FY22: 144,997; FY23: 156,748; FY24: 167,665; FY25: 185,449</w:t>
            </w:r>
          </w:p>
        </w:tc>
        <w:tc>
          <w:tcPr>
            <w:tcW w:type="dxa" w:w="1123"/>
          </w:tcPr>
          <w:p>
            <w:pPr>
              <w:spacing w:after="20"/>
            </w:pPr>
            <w:r>
              <w:rPr>
                <w:color w:val="1C3A36"/>
                <w:sz w:val="15"/>
              </w:rPr>
              <w:t>2026-02-15</w:t>
            </w:r>
          </w:p>
        </w:tc>
        <w:tc>
          <w:tcPr>
            <w:tcW w:type="dxa" w:w="5933"/>
          </w:tcPr>
          <w:p>
            <w:pPr>
              <w:spacing w:after="20"/>
            </w:pPr>
            <w:r>
              <w:rPr>
                <w:color w:val="1C3A36"/>
                <w:sz w:val="15"/>
              </w:rPr>
              <w:t>Cables sales volumes in tonnes, from Elsewedy Electric's own Q4 earnings releases (4Q2023, 4Q2024, 4Q2025), each printed beside its own prior-year comparative: +8.1%, +7.0%, +10.6%. A compound 8.55% a year over FY2022-25</w:t>
            </w:r>
          </w:p>
        </w:tc>
      </w:tr>
      <w:tr>
        <w:tc>
          <w:tcPr>
            <w:tcW w:type="dxa" w:w="1656"/>
          </w:tcPr>
          <w:p>
            <w:pPr>
              <w:spacing w:after="20"/>
            </w:pPr>
            <w:r>
              <w:rPr>
                <w:color w:val="1C3A36"/>
                <w:sz w:val="15"/>
              </w:rPr>
              <w:t>cables tonnage cagr</w:t>
            </w:r>
          </w:p>
        </w:tc>
        <w:tc>
          <w:tcPr>
            <w:tcW w:type="dxa" w:w="1368"/>
          </w:tcPr>
          <w:p>
            <w:pPr>
              <w:spacing w:after="20"/>
            </w:pPr>
            <w:r>
              <w:rPr>
                <w:color w:val="1C3A36"/>
                <w:sz w:val="15"/>
              </w:rPr>
              <w:t>0.0855</w:t>
            </w:r>
          </w:p>
        </w:tc>
        <w:tc>
          <w:tcPr>
            <w:tcW w:type="dxa" w:w="1123"/>
          </w:tcPr>
          <w:p>
            <w:pPr>
              <w:spacing w:after="20"/>
            </w:pPr>
            <w:r>
              <w:rPr>
                <w:color w:val="1C3A36"/>
                <w:sz w:val="15"/>
              </w:rPr>
              <w:t>2026-02-15</w:t>
            </w:r>
          </w:p>
        </w:tc>
        <w:tc>
          <w:tcPr>
            <w:tcW w:type="dxa" w:w="5933"/>
          </w:tcPr>
          <w:p>
            <w:pPr>
              <w:spacing w:after="20"/>
            </w:pPr>
            <w:r>
              <w:rPr>
                <w:color w:val="1C3A36"/>
                <w:sz w:val="15"/>
              </w:rPr>
              <w:t>Cables tonnage compound growth FY2022-25, DERIVED from the disclosed volume series: (185,449 / 144,997) ^ (1/3) - 1</w:t>
            </w:r>
          </w:p>
        </w:tc>
      </w:tr>
      <w:tr>
        <w:tc>
          <w:tcPr>
            <w:tcW w:type="dxa" w:w="1656"/>
          </w:tcPr>
          <w:p>
            <w:pPr>
              <w:spacing w:after="20"/>
            </w:pPr>
            <w:r>
              <w:rPr>
                <w:color w:val="1C3A36"/>
                <w:sz w:val="15"/>
              </w:rPr>
              <w:t>dna pct fy25</w:t>
            </w:r>
          </w:p>
        </w:tc>
        <w:tc>
          <w:tcPr>
            <w:tcW w:type="dxa" w:w="1368"/>
          </w:tcPr>
          <w:p>
            <w:pPr>
              <w:spacing w:after="20"/>
            </w:pPr>
            <w:r>
              <w:rPr>
                <w:color w:val="1C3A36"/>
                <w:sz w:val="15"/>
              </w:rPr>
              <w:t>0.0107</w:t>
            </w:r>
          </w:p>
        </w:tc>
        <w:tc>
          <w:tcPr>
            <w:tcW w:type="dxa" w:w="1123"/>
          </w:tcPr>
          <w:p>
            <w:pPr>
              <w:spacing w:after="20"/>
            </w:pPr>
            <w:r>
              <w:rPr>
                <w:color w:val="1C3A36"/>
                <w:sz w:val="15"/>
              </w:rPr>
              <w:t>2025-12-31</w:t>
            </w:r>
          </w:p>
        </w:tc>
        <w:tc>
          <w:tcPr>
            <w:tcW w:type="dxa" w:w="5933"/>
          </w:tcPr>
          <w:p>
            <w:pPr>
              <w:spacing w:after="20"/>
            </w:pPr>
            <w:r>
              <w:rPr>
                <w:color w:val="1C3A36"/>
                <w:sz w:val="15"/>
              </w:rPr>
              <w:t>FY2025 depreciation and amortisation as a share of revenue, DERIVED from the audited statements: 3,009 / 281,049</w:t>
            </w:r>
          </w:p>
        </w:tc>
      </w:tr>
      <w:tr>
        <w:tc>
          <w:tcPr>
            <w:tcW w:type="dxa" w:w="1656"/>
          </w:tcPr>
          <w:p>
            <w:pPr>
              <w:spacing w:after="20"/>
            </w:pPr>
            <w:r>
              <w:rPr>
                <w:color w:val="1C3A36"/>
                <w:sz w:val="15"/>
              </w:rPr>
              <w:t>cables tonnage h1</w:t>
            </w:r>
          </w:p>
        </w:tc>
        <w:tc>
          <w:tcPr>
            <w:tcW w:type="dxa" w:w="1368"/>
          </w:tcPr>
          <w:p>
            <w:pPr>
              <w:spacing w:after="20"/>
            </w:pPr>
            <w:r>
              <w:rPr>
                <w:color w:val="1C3A36"/>
                <w:sz w:val="15"/>
              </w:rPr>
              <w:t>H1_25: 89,636; H1_26: 99,239</w:t>
            </w:r>
          </w:p>
        </w:tc>
        <w:tc>
          <w:tcPr>
            <w:tcW w:type="dxa" w:w="1123"/>
          </w:tcPr>
          <w:p>
            <w:pPr>
              <w:spacing w:after="20"/>
            </w:pPr>
            <w:r>
              <w:rPr>
                <w:color w:val="1C3A36"/>
                <w:sz w:val="15"/>
              </w:rPr>
              <w:t>2026-08-14</w:t>
            </w:r>
          </w:p>
        </w:tc>
        <w:tc>
          <w:tcPr>
            <w:tcW w:type="dxa" w:w="5933"/>
          </w:tcPr>
          <w:p>
            <w:pPr>
              <w:spacing w:after="20"/>
            </w:pPr>
            <w:r>
              <w:rPr>
                <w:color w:val="1C3A36"/>
                <w:sz w:val="15"/>
              </w:rPr>
              <w:t>Cables sales volumes, reviewed half: 99,239 tonnes against 89,636, +10.71% — the Q2-2026 earnings release. The most recent volume disclosure, and the year is anchored on it rather than on a typed rate</w:t>
            </w:r>
          </w:p>
        </w:tc>
      </w:tr>
      <w:tr>
        <w:tc>
          <w:tcPr>
            <w:tcW w:type="dxa" w:w="1656"/>
          </w:tcPr>
          <w:p>
            <w:pPr>
              <w:spacing w:after="20"/>
            </w:pPr>
            <w:r>
              <w:rPr>
                <w:color w:val="1C3A36"/>
                <w:sz w:val="15"/>
              </w:rPr>
              <w:t>cables volume growth</w:t>
            </w:r>
          </w:p>
        </w:tc>
        <w:tc>
          <w:tcPr>
            <w:tcW w:type="dxa" w:w="1368"/>
          </w:tcPr>
          <w:p>
            <w:pPr>
              <w:spacing w:after="20"/>
            </w:pPr>
            <w:r>
              <w:rPr>
                <w:color w:val="1C3A36"/>
                <w:sz w:val="15"/>
              </w:rPr>
              <w:t>0.1071, 0.09, 0.075, 0.065, 0.055</w:t>
            </w:r>
          </w:p>
        </w:tc>
        <w:tc>
          <w:tcPr>
            <w:tcW w:type="dxa" w:w="1123"/>
          </w:tcPr>
          <w:p>
            <w:pPr>
              <w:spacing w:after="20"/>
            </w:pPr>
            <w:r>
              <w:rPr>
                <w:color w:val="1C3A36"/>
                <w:sz w:val="15"/>
              </w:rPr>
              <w:t>2026-08-14</w:t>
            </w:r>
          </w:p>
        </w:tc>
        <w:tc>
          <w:tcPr>
            <w:tcW w:type="dxa" w:w="5933"/>
          </w:tcPr>
          <w:p>
            <w:pPr>
              <w:spacing w:after="20"/>
            </w:pPr>
            <w:r>
              <w:rPr>
                <w:color w:val="1C3A36"/>
                <w:sz w:val="15"/>
              </w:rPr>
              <w:t>Cables tonnage growth, RE-ANCHORED on the reviewed half on the most recent disclosure: FY2026 is the reported +10.71%, tapering toward and below the FY2022-25 compound rate of 8.55%. The company's OWN disclosed volume series, not a residual and not a proxy</w:t>
            </w:r>
          </w:p>
        </w:tc>
      </w:tr>
      <w:tr>
        <w:tc>
          <w:tcPr>
            <w:tcW w:type="dxa" w:w="1656"/>
          </w:tcPr>
          <w:p>
            <w:pPr>
              <w:spacing w:after="20"/>
            </w:pPr>
            <w:r>
              <w:rPr>
                <w:color w:val="1C3A36"/>
                <w:sz w:val="15"/>
              </w:rPr>
              <w:t>cables passthrough alt</w:t>
            </w:r>
          </w:p>
        </w:tc>
        <w:tc>
          <w:tcPr>
            <w:tcW w:type="dxa" w:w="1368"/>
          </w:tcPr>
          <w:p>
            <w:pPr>
              <w:spacing w:after="20"/>
            </w:pPr>
            <w:r>
              <w:rPr>
                <w:color w:val="1C3A36"/>
                <w:sz w:val="15"/>
              </w:rPr>
              <w:t>0, -0.1343, -0.1343, -0.0672, 0</w:t>
            </w:r>
          </w:p>
        </w:tc>
        <w:tc>
          <w:tcPr>
            <w:tcW w:type="dxa" w:w="1123"/>
          </w:tcPr>
          <w:p>
            <w:pPr>
              <w:spacing w:after="20"/>
            </w:pPr>
            <w:r>
              <w:rPr>
                <w:color w:val="1C3A36"/>
                <w:sz w:val="15"/>
              </w:rPr>
              <w:t>2026-08-14</w:t>
            </w:r>
          </w:p>
        </w:tc>
        <w:tc>
          <w:tcPr>
            <w:tcW w:type="dxa" w:w="5933"/>
          </w:tcPr>
          <w:p>
            <w:pPr>
              <w:spacing w:after="20"/>
            </w:pPr>
            <w:r>
              <w:rPr>
                <w:color w:val="1C3A36"/>
                <w:sz w:val="15"/>
              </w:rPr>
              <w:t>THE CONTESTED ALTERNATIVE: FY2025's measured shortfall persists two more years before closing — the case that pricing power lost in a copper spike takes a cycle to recover rather than a year. Published beside the adopted case and NEVER averaged with it. A third case was tried and rejected as not serious: holding -13.43% flat for ever makes cables revenue FALL in nominal pounds from FY2028 while volume grows 5-9% a year, which is not a view anybody holds</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123"/>
          </w:tcPr>
          <w:p>
            <w:pPr>
              <w:spacing w:after="20"/>
            </w:pPr>
            <w:r>
              <w:rPr>
                <w:color w:val="1C3A36"/>
                <w:sz w:val="15"/>
              </w:rPr>
              <w:t>2026-03-15</w:t>
            </w:r>
          </w:p>
        </w:tc>
        <w:tc>
          <w:tcPr>
            <w:tcW w:type="dxa" w:w="5933"/>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123"/>
          </w:tcPr>
          <w:p>
            <w:pPr>
              <w:spacing w:after="20"/>
            </w:pPr>
            <w:r>
              <w:rPr>
                <w:color w:val="1C3A36"/>
                <w:sz w:val="15"/>
              </w:rPr>
              <w:t>2026-03-15</w:t>
            </w:r>
          </w:p>
        </w:tc>
        <w:tc>
          <w:tcPr>
            <w:tcW w:type="dxa" w:w="5933"/>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capex h1 26</w:t>
            </w:r>
          </w:p>
        </w:tc>
        <w:tc>
          <w:tcPr>
            <w:tcW w:type="dxa" w:w="1368"/>
          </w:tcPr>
          <w:p>
            <w:pPr>
              <w:spacing w:after="20"/>
            </w:pPr>
            <w:r>
              <w:rPr>
                <w:color w:val="1C3A36"/>
                <w:sz w:val="15"/>
              </w:rPr>
              <w:t>5,435.9</w:t>
            </w:r>
          </w:p>
        </w:tc>
        <w:tc>
          <w:tcPr>
            <w:tcW w:type="dxa" w:w="1123"/>
          </w:tcPr>
          <w:p>
            <w:pPr>
              <w:spacing w:after="20"/>
            </w:pPr>
            <w:r>
              <w:rPr>
                <w:color w:val="1C3A36"/>
                <w:sz w:val="15"/>
              </w:rPr>
              <w:t>2026-06-30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cash flows: 'Paid for acquisition of property, plant and equipment and projects under construction'</w:t>
            </w:r>
          </w:p>
        </w:tc>
      </w:tr>
      <w:tr>
        <w:tc>
          <w:tcPr>
            <w:tcW w:type="dxa" w:w="1656"/>
          </w:tcPr>
          <w:p>
            <w:pPr>
              <w:spacing w:after="20"/>
            </w:pPr>
            <w:r>
              <w:rPr>
                <w:color w:val="1C3A36"/>
                <w:sz w:val="15"/>
              </w:rPr>
              <w:t>capex h1 25</w:t>
            </w:r>
          </w:p>
        </w:tc>
        <w:tc>
          <w:tcPr>
            <w:tcW w:type="dxa" w:w="1368"/>
          </w:tcPr>
          <w:p>
            <w:pPr>
              <w:spacing w:after="20"/>
            </w:pPr>
            <w:r>
              <w:rPr>
                <w:color w:val="1C3A36"/>
                <w:sz w:val="15"/>
              </w:rPr>
              <w:t>5,386.8</w:t>
            </w:r>
          </w:p>
        </w:tc>
        <w:tc>
          <w:tcPr>
            <w:tcW w:type="dxa" w:w="1123"/>
          </w:tcPr>
          <w:p>
            <w:pPr>
              <w:spacing w:after="20"/>
            </w:pPr>
            <w:r>
              <w:rPr>
                <w:color w:val="1C3A36"/>
                <w:sz w:val="15"/>
              </w:rPr>
              <w:t>2025-06-30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same line, comparative column — and independently in the reviewed interim statements for the six months ended 30 June 2025, where it is the current-period figure. Two readings of one fact agreeing</w:t>
            </w:r>
          </w:p>
        </w:tc>
      </w:tr>
      <w:tr>
        <w:tc>
          <w:tcPr>
            <w:tcW w:type="dxa" w:w="1656"/>
          </w:tcPr>
          <w:p>
            <w:pPr>
              <w:spacing w:after="20"/>
            </w:pPr>
            <w:r>
              <w:rPr>
                <w:color w:val="1C3A36"/>
                <w:sz w:val="15"/>
              </w:rPr>
              <w:t>capex h1 24</w:t>
            </w:r>
          </w:p>
        </w:tc>
        <w:tc>
          <w:tcPr>
            <w:tcW w:type="dxa" w:w="1368"/>
          </w:tcPr>
          <w:p>
            <w:pPr>
              <w:spacing w:after="20"/>
            </w:pPr>
            <w:r>
              <w:rPr>
                <w:color w:val="1C3A36"/>
                <w:sz w:val="15"/>
              </w:rPr>
              <w:t>4,595.5</w:t>
            </w:r>
          </w:p>
        </w:tc>
        <w:tc>
          <w:tcPr>
            <w:tcW w:type="dxa" w:w="1123"/>
          </w:tcPr>
          <w:p>
            <w:pPr>
              <w:spacing w:after="20"/>
            </w:pPr>
            <w:r>
              <w:rPr>
                <w:color w:val="1C3A36"/>
                <w:sz w:val="15"/>
              </w:rPr>
              <w:t>2024-06-30</w:t>
            </w:r>
          </w:p>
        </w:tc>
        <w:tc>
          <w:tcPr>
            <w:tcW w:type="dxa" w:w="5933"/>
          </w:tcPr>
          <w:p>
            <w:pPr>
              <w:spacing w:after="20"/>
            </w:pPr>
            <w:r>
              <w:rPr>
                <w:color w:val="1C3A36"/>
                <w:sz w:val="15"/>
              </w:rPr>
              <w:t>Reviewed condensed interim consolidated financial statements for the six months ended 30 June 2024, statement of cash flows, same line</w:t>
            </w:r>
          </w:p>
        </w:tc>
      </w:tr>
      <w:tr>
        <w:tc>
          <w:tcPr>
            <w:tcW w:type="dxa" w:w="1656"/>
          </w:tcPr>
          <w:p>
            <w:pPr>
              <w:spacing w:after="20"/>
            </w:pPr>
            <w:r>
              <w:rPr>
                <w:color w:val="1C3A36"/>
                <w:sz w:val="15"/>
              </w:rPr>
              <w:t>capex h1 23</w:t>
            </w:r>
          </w:p>
        </w:tc>
        <w:tc>
          <w:tcPr>
            <w:tcW w:type="dxa" w:w="1368"/>
          </w:tcPr>
          <w:p>
            <w:pPr>
              <w:spacing w:after="20"/>
            </w:pPr>
            <w:r>
              <w:rPr>
                <w:color w:val="1C3A36"/>
                <w:sz w:val="15"/>
              </w:rPr>
              <w:t>1,858.4</w:t>
            </w:r>
          </w:p>
        </w:tc>
        <w:tc>
          <w:tcPr>
            <w:tcW w:type="dxa" w:w="1123"/>
          </w:tcPr>
          <w:p>
            <w:pPr>
              <w:spacing w:after="20"/>
            </w:pPr>
            <w:r>
              <w:rPr>
                <w:color w:val="1C3A36"/>
                <w:sz w:val="15"/>
              </w:rPr>
              <w:t>2023-06-30</w:t>
            </w:r>
          </w:p>
        </w:tc>
        <w:tc>
          <w:tcPr>
            <w:tcW w:type="dxa" w:w="5933"/>
          </w:tcPr>
          <w:p>
            <w:pPr>
              <w:spacing w:after="20"/>
            </w:pPr>
            <w:r>
              <w:rPr>
                <w:color w:val="1C3A36"/>
                <w:sz w:val="15"/>
              </w:rPr>
              <w:t>Reviewed condensed interim consolidated financial statements for the six months ended 30 June 2024, same line, comparative column</w:t>
            </w:r>
          </w:p>
        </w:tc>
      </w:tr>
      <w:tr>
        <w:tc>
          <w:tcPr>
            <w:tcW w:type="dxa" w:w="1656"/>
          </w:tcPr>
          <w:p>
            <w:pPr>
              <w:spacing w:after="20"/>
            </w:pPr>
            <w:r>
              <w:rPr>
                <w:color w:val="1C3A36"/>
                <w:sz w:val="15"/>
              </w:rPr>
              <w:t>lambda country</w:t>
            </w:r>
          </w:p>
        </w:tc>
        <w:tc>
          <w:tcPr>
            <w:tcW w:type="dxa" w:w="1368"/>
          </w:tcPr>
          <w:p>
            <w:pPr>
              <w:spacing w:after="20"/>
            </w:pPr>
            <w:r>
              <w:rPr>
                <w:color w:val="1C3A36"/>
                <w:sz w:val="15"/>
              </w:rPr>
              <w:t>0.5928</w:t>
            </w:r>
          </w:p>
        </w:tc>
        <w:tc>
          <w:tcPr>
            <w:tcW w:type="dxa" w:w="1123"/>
          </w:tcPr>
          <w:p>
            <w:pPr>
              <w:spacing w:after="20"/>
            </w:pPr>
            <w:r>
              <w:rPr>
                <w:color w:val="1C3A36"/>
                <w:sz w:val="15"/>
              </w:rPr>
              <w:t>2026-03-15</w:t>
            </w:r>
          </w:p>
        </w:tc>
        <w:tc>
          <w:tcPr>
            <w:tcW w:type="dxa" w:w="5933"/>
          </w:tcPr>
          <w:p>
            <w:pPr>
              <w:spacing w:after="20"/>
            </w:pPr>
            <w:r>
              <w:rPr>
                <w:color w:val="1C3A36"/>
                <w:sz w:val="15"/>
              </w:rPr>
              <w:t>Damodaran's lambda: the share of operations exposed to the HOME sovereign, taken from the audited Note 5-2 geographic disaggregation — revenue outside Egypt 114,461.030219 / 281,049.081719 = 40.72%, so 59.28% sits in Egypt. A typical Egyptian listed company earns essentially all of its revenue at home, so the ratio Damodaran defines collapses to the domestic share itself. NOT the 30/70 the retired operations-weighted premium used: that number came from company commentary ('over 70% of revenues generated abroad'), the audited note says 40.72%, and a study may not hold two answers to one question</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fy24 egp</w:t>
            </w:r>
          </w:p>
        </w:tc>
        <w:tc>
          <w:tcPr>
            <w:tcW w:type="dxa" w:w="1368"/>
          </w:tcPr>
          <w:p>
            <w:pPr>
              <w:spacing w:after="20"/>
            </w:pPr>
            <w:r>
              <w:rPr>
                <w:color w:val="1C3A36"/>
                <w:sz w:val="15"/>
              </w:rPr>
              <w:t>0.2868</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average interest rate on EGYPTIAN POUND financial liabilities, FY2024, under the three-way split the company published before FY2025</w:t>
            </w:r>
          </w:p>
        </w:tc>
      </w:tr>
      <w:tr>
        <w:tc>
          <w:tcPr>
            <w:tcW w:type="dxa" w:w="1656"/>
          </w:tcPr>
          <w:p>
            <w:pPr>
              <w:spacing w:after="20"/>
            </w:pPr>
            <w:r>
              <w:rPr>
                <w:color w:val="1C3A36"/>
                <w:sz w:val="15"/>
              </w:rPr>
              <w:t>kd fy24 usd</w:t>
            </w:r>
          </w:p>
        </w:tc>
        <w:tc>
          <w:tcPr>
            <w:tcW w:type="dxa" w:w="1368"/>
          </w:tcPr>
          <w:p>
            <w:pPr>
              <w:spacing w:after="20"/>
            </w:pPr>
            <w:r>
              <w:rPr>
                <w:color w:val="1C3A36"/>
                <w:sz w:val="15"/>
              </w:rPr>
              <w:t>0.0649</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US DOLLAR leg of the same superseded three-way split</w:t>
            </w:r>
          </w:p>
        </w:tc>
      </w:tr>
      <w:tr>
        <w:tc>
          <w:tcPr>
            <w:tcW w:type="dxa" w:w="1656"/>
          </w:tcPr>
          <w:p>
            <w:pPr>
              <w:spacing w:after="20"/>
            </w:pPr>
            <w:r>
              <w:rPr>
                <w:color w:val="1C3A36"/>
                <w:sz w:val="15"/>
              </w:rPr>
              <w:t>kd fy24 eur</w:t>
            </w:r>
          </w:p>
        </w:tc>
        <w:tc>
          <w:tcPr>
            <w:tcW w:type="dxa" w:w="1368"/>
          </w:tcPr>
          <w:p>
            <w:pPr>
              <w:spacing w:after="20"/>
            </w:pPr>
            <w:r>
              <w:rPr>
                <w:color w:val="1C3A36"/>
                <w:sz w:val="15"/>
              </w:rPr>
              <w:t>0.0392</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EURO leg of the same superseded three-way split</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123"/>
          </w:tcPr>
          <w:p>
            <w:pPr>
              <w:spacing w:after="20"/>
            </w:pPr>
            <w:r>
              <w:rPr>
                <w:color w:val="1C3A36"/>
                <w:sz w:val="15"/>
              </w:rPr>
              <w:t>2026-03-15</w:t>
            </w:r>
          </w:p>
        </w:tc>
        <w:tc>
          <w:tcPr>
            <w:tcW w:type="dxa" w:w="5933"/>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123"/>
          </w:tcPr>
          <w:p>
            <w:pPr>
              <w:spacing w:after="20"/>
            </w:pPr>
            <w:r>
              <w:rPr>
                <w:color w:val="1C3A36"/>
                <w:sz w:val="15"/>
              </w:rPr>
              <w:t>2026-05-13</w:t>
            </w:r>
          </w:p>
        </w:tc>
        <w:tc>
          <w:tcPr>
            <w:tcW w:type="dxa" w:w="5933"/>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123"/>
          </w:tcPr>
          <w:p>
            <w:pPr>
              <w:spacing w:after="20"/>
            </w:pPr>
            <w:r>
              <w:rPr>
                <w:color w:val="1C3A36"/>
                <w:sz w:val="15"/>
              </w:rPr>
              <w:t>2026-03-01</w:t>
            </w:r>
          </w:p>
        </w:tc>
        <w:tc>
          <w:tcPr>
            <w:tcW w:type="dxa" w:w="5933"/>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123"/>
          </w:tcPr>
          <w:p>
            <w:pPr>
              <w:spacing w:after="20"/>
            </w:pPr>
            <w:r>
              <w:rPr>
                <w:color w:val="1C3A36"/>
                <w:sz w:val="15"/>
              </w:rPr>
              <w:t>2026-03-15</w:t>
            </w:r>
          </w:p>
        </w:tc>
        <w:tc>
          <w:tcPr>
            <w:tcW w:type="dxa" w:w="5933"/>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r>
        <w:tc>
          <w:tcPr>
            <w:tcW w:type="dxa" w:w="1656"/>
          </w:tcPr>
          <w:p>
            <w:pPr>
              <w:spacing w:after="20"/>
            </w:pPr>
            <w:r>
              <w:rPr>
                <w:color w:val="1C3A36"/>
                <w:sz w:val="15"/>
              </w:rPr>
              <w:t>sh sadek</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(shareholders' structure) as at 31 December 2025: Sadek Ahmed Sadek Elsewedy, 534,980,391 shares</w:t>
            </w:r>
          </w:p>
        </w:tc>
      </w:tr>
      <w:tr>
        <w:tc>
          <w:tcPr>
            <w:tcW w:type="dxa" w:w="1656"/>
          </w:tcPr>
          <w:p>
            <w:pPr>
              <w:spacing w:after="20"/>
            </w:pPr>
            <w:r>
              <w:rPr>
                <w:color w:val="1C3A36"/>
                <w:sz w:val="15"/>
              </w:rPr>
              <w:t>sh ahmed</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Ahmed Ahmed Sadek Elsewedy, 534,980,391 shares</w:t>
            </w:r>
          </w:p>
        </w:tc>
      </w:tr>
      <w:tr>
        <w:tc>
          <w:tcPr>
            <w:tcW w:type="dxa" w:w="1656"/>
          </w:tcPr>
          <w:p>
            <w:pPr>
              <w:spacing w:after="20"/>
            </w:pPr>
            <w:r>
              <w:rPr>
                <w:color w:val="1C3A36"/>
                <w:sz w:val="15"/>
              </w:rPr>
              <w:t>sh mohamed</w:t>
            </w:r>
          </w:p>
        </w:tc>
        <w:tc>
          <w:tcPr>
            <w:tcW w:type="dxa" w:w="1368"/>
          </w:tcPr>
          <w:p>
            <w:pPr>
              <w:spacing w:after="20"/>
            </w:pPr>
            <w:r>
              <w:rPr>
                <w:color w:val="1C3A36"/>
                <w:sz w:val="15"/>
              </w:rPr>
              <w:t>0.1801</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Mohamed Ahmed Sadek Elsewedy, 385,602,690 shares</w:t>
            </w:r>
          </w:p>
        </w:tc>
      </w:tr>
      <w:tr>
        <w:tc>
          <w:tcPr>
            <w:tcW w:type="dxa" w:w="1656"/>
          </w:tcPr>
          <w:p>
            <w:pPr>
              <w:spacing w:after="20"/>
            </w:pPr>
            <w:r>
              <w:rPr>
                <w:color w:val="1C3A36"/>
                <w:sz w:val="15"/>
              </w:rPr>
              <w:t>sh electra fy24</w:t>
            </w:r>
          </w:p>
        </w:tc>
        <w:tc>
          <w:tcPr>
            <w:tcW w:type="dxa" w:w="1368"/>
          </w:tcPr>
          <w:p>
            <w:pPr>
              <w:spacing w:after="20"/>
            </w:pPr>
            <w:r>
              <w:rPr>
                <w:color w:val="1C3A36"/>
                <w:sz w:val="15"/>
              </w:rPr>
              <w:t>0.2037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Electra Investment Holding, 436,109,503 shares at 31 December 2024</w:t>
            </w:r>
          </w:p>
        </w:tc>
      </w:tr>
      <w:tr>
        <w:tc>
          <w:tcPr>
            <w:tcW w:type="dxa" w:w="1656"/>
          </w:tcPr>
          <w:p>
            <w:pPr>
              <w:spacing w:after="20"/>
            </w:pPr>
            <w:r>
              <w:rPr>
                <w:color w:val="1C3A36"/>
                <w:sz w:val="15"/>
              </w:rPr>
              <w:t>sh other fy24</w:t>
            </w:r>
          </w:p>
        </w:tc>
        <w:tc>
          <w:tcPr>
            <w:tcW w:type="dxa" w:w="1368"/>
          </w:tcPr>
          <w:p>
            <w:pPr>
              <w:spacing w:after="20"/>
            </w:pPr>
            <w:r>
              <w:rPr>
                <w:color w:val="1C3A36"/>
                <w:sz w:val="15"/>
              </w:rPr>
              <w:t>0.1157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other shareholders, 247,682,741 shares at 31 December 2024</w:t>
            </w:r>
          </w:p>
        </w:tc>
      </w:tr>
      <w:tr>
        <w:tc>
          <w:tcPr>
            <w:tcW w:type="dxa" w:w="1656"/>
          </w:tcPr>
          <w:p>
            <w:pPr>
              <w:spacing w:after="20"/>
            </w:pPr>
            <w:r>
              <w:rPr>
                <w:color w:val="1C3A36"/>
                <w:sz w:val="15"/>
              </w:rPr>
              <w:t>stake insulators</w:t>
            </w:r>
          </w:p>
        </w:tc>
        <w:tc>
          <w:tcPr>
            <w:tcW w:type="dxa" w:w="1368"/>
          </w:tcPr>
          <w:p>
            <w:pPr>
              <w:spacing w:after="20"/>
            </w:pPr>
            <w:r>
              <w:rPr>
                <w:color w:val="1C3A36"/>
                <w:sz w:val="15"/>
              </w:rPr>
              <w:t>0.2517</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20 (equity-accounted investees): Egyptian Company for Electrical Insulators, carrying value EGP 76.1mn</w:t>
            </w:r>
          </w:p>
        </w:tc>
      </w:tr>
      <w:tr>
        <w:tc>
          <w:tcPr>
            <w:tcW w:type="dxa" w:w="1656"/>
          </w:tcPr>
          <w:p>
            <w:pPr>
              <w:spacing w:after="20"/>
            </w:pPr>
            <w:r>
              <w:rPr>
                <w:color w:val="1C3A36"/>
                <w:sz w:val="15"/>
              </w:rPr>
              <w:t>etr q1 26</w:t>
            </w:r>
          </w:p>
        </w:tc>
        <w:tc>
          <w:tcPr>
            <w:tcW w:type="dxa" w:w="1368"/>
          </w:tcPr>
          <w:p>
            <w:pPr>
              <w:spacing w:after="20"/>
            </w:pPr>
            <w:r>
              <w:rPr>
                <w:color w:val="1C3A36"/>
                <w:sz w:val="15"/>
              </w:rPr>
              <w:t>0.2575</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at ir.elsewedyelectric.com, income tax expense over profit before tax of 7,041.966803</w:t>
            </w:r>
          </w:p>
        </w:tc>
      </w:tr>
      <w:tr>
        <w:tc>
          <w:tcPr>
            <w:tcW w:type="dxa" w:w="1656"/>
          </w:tcPr>
          <w:p>
            <w:pPr>
              <w:spacing w:after="20"/>
            </w:pPr>
            <w:r>
              <w:rPr>
                <w:color w:val="1C3A36"/>
                <w:sz w:val="15"/>
              </w:rPr>
              <w:t>etr q1 25</w:t>
            </w:r>
          </w:p>
        </w:tc>
        <w:tc>
          <w:tcPr>
            <w:tcW w:type="dxa" w:w="1368"/>
          </w:tcPr>
          <w:p>
            <w:pPr>
              <w:spacing w:after="20"/>
            </w:pPr>
            <w:r>
              <w:rPr>
                <w:color w:val="1C3A36"/>
                <w:sz w:val="15"/>
              </w:rPr>
              <w:t>0.2196</w:t>
            </w:r>
          </w:p>
        </w:tc>
        <w:tc>
          <w:tcPr>
            <w:tcW w:type="dxa" w:w="1123"/>
          </w:tcPr>
          <w:p>
            <w:pPr>
              <w:spacing w:after="20"/>
            </w:pPr>
            <w:r>
              <w:rPr>
                <w:color w:val="1C3A36"/>
                <w:sz w:val="15"/>
              </w:rPr>
              <w:t>2026-05-01</w:t>
            </w:r>
          </w:p>
        </w:tc>
        <w:tc>
          <w:tcPr>
            <w:tcW w:type="dxa" w:w="5933"/>
          </w:tcPr>
          <w:p>
            <w:pPr>
              <w:spacing w:after="20"/>
            </w:pPr>
            <w:r>
              <w:rPr>
                <w:color w:val="1C3A36"/>
                <w:sz w:val="15"/>
              </w:rPr>
              <w:t>Q1-2025 reviewed interim consolidated statements, the comparative column of the Q1-2026 filing: income tax expense over profit before tax</w:t>
            </w:r>
          </w:p>
        </w:tc>
      </w:tr>
      <w:tr>
        <w:tc>
          <w:tcPr>
            <w:tcW w:type="dxa" w:w="1656"/>
          </w:tcPr>
          <w:p>
            <w:pPr>
              <w:spacing w:after="20"/>
            </w:pPr>
            <w:r>
              <w:rPr>
                <w:color w:val="1C3A36"/>
                <w:sz w:val="15"/>
              </w:rPr>
              <w:t>etr h1 25</w:t>
            </w:r>
          </w:p>
        </w:tc>
        <w:tc>
          <w:tcPr>
            <w:tcW w:type="dxa" w:w="1368"/>
          </w:tcPr>
          <w:p>
            <w:pPr>
              <w:spacing w:after="20"/>
            </w:pPr>
            <w:r>
              <w:rPr>
                <w:color w:val="1C3A36"/>
                <w:sz w:val="15"/>
              </w:rPr>
              <w:t>0.3085</w:t>
            </w:r>
          </w:p>
        </w:tc>
        <w:tc>
          <w:tcPr>
            <w:tcW w:type="dxa" w:w="1123"/>
          </w:tcPr>
          <w:p>
            <w:pPr>
              <w:spacing w:after="20"/>
            </w:pPr>
            <w:r>
              <w:rPr>
                <w:color w:val="1C3A36"/>
                <w:sz w:val="15"/>
              </w:rPr>
              <w:t>2026-08-01</w:t>
            </w:r>
          </w:p>
        </w:tc>
        <w:tc>
          <w:tcPr>
            <w:tcW w:type="dxa" w:w="5933"/>
          </w:tcPr>
          <w:p>
            <w:pPr>
              <w:spacing w:after="20"/>
            </w:pPr>
            <w:r>
              <w:rPr>
                <w:color w:val="1C3A36"/>
                <w:sz w:val="15"/>
              </w:rPr>
              <w:t>H1-2025 reviewed interim consolidated statements, the comparative column of the H1-2026 filing: income tax expense over profit before tax of 15,395.270255</w:t>
            </w:r>
          </w:p>
        </w:tc>
      </w:tr>
      <w:tr>
        <w:tc>
          <w:tcPr>
            <w:tcW w:type="dxa" w:w="1656"/>
          </w:tcPr>
          <w:p>
            <w:pPr>
              <w:spacing w:after="20"/>
            </w:pPr>
            <w:r>
              <w:rPr>
                <w:color w:val="1C3A36"/>
                <w:sz w:val="15"/>
              </w:rPr>
              <w:t>nci share h1 26 profit</w:t>
            </w:r>
          </w:p>
        </w:tc>
        <w:tc>
          <w:tcPr>
            <w:tcW w:type="dxa" w:w="1368"/>
          </w:tcPr>
          <w:p>
            <w:pPr>
              <w:spacing w:after="20"/>
            </w:pPr>
            <w:r>
              <w:rPr>
                <w:color w:val="1C3A36"/>
                <w:sz w:val="15"/>
              </w:rPr>
              <w:t>0.0681</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over total profit after tax for the half</w:t>
            </w:r>
          </w:p>
        </w:tc>
      </w:tr>
      <w:tr>
        <w:tc>
          <w:tcPr>
            <w:tcW w:type="dxa" w:w="1656"/>
          </w:tcPr>
          <w:p>
            <w:pPr>
              <w:spacing w:after="20"/>
            </w:pPr>
            <w:r>
              <w:rPr>
                <w:color w:val="1C3A36"/>
                <w:sz w:val="15"/>
              </w:rPr>
              <w:t>nci share h1 26 equity</w:t>
            </w:r>
          </w:p>
        </w:tc>
        <w:tc>
          <w:tcPr>
            <w:tcW w:type="dxa" w:w="1368"/>
          </w:tcPr>
          <w:p>
            <w:pPr>
              <w:spacing w:after="20"/>
            </w:pPr>
            <w:r>
              <w:rPr>
                <w:color w:val="1C3A36"/>
                <w:sz w:val="15"/>
              </w:rPr>
              <w:t>0.0747</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over total equity of 76,024.598402</w:t>
            </w:r>
          </w:p>
        </w:tc>
      </w:tr>
      <w:tr>
        <w:tc>
          <w:tcPr>
            <w:tcW w:type="dxa" w:w="1656"/>
          </w:tcPr>
          <w:p>
            <w:pPr>
              <w:spacing w:after="20"/>
            </w:pPr>
            <w:r>
              <w:rPr>
                <w:color w:val="1C3A36"/>
                <w:sz w:val="15"/>
              </w:rPr>
              <w:t>emp share h1 25</w:t>
            </w:r>
          </w:p>
        </w:tc>
        <w:tc>
          <w:tcPr>
            <w:tcW w:type="dxa" w:w="1368"/>
          </w:tcPr>
          <w:p>
            <w:pPr>
              <w:spacing w:after="20"/>
            </w:pPr>
            <w:r>
              <w:rPr>
                <w:color w:val="1C3A36"/>
                <w:sz w:val="15"/>
              </w:rPr>
              <w:t>0.1271</w:t>
            </w:r>
          </w:p>
        </w:tc>
        <w:tc>
          <w:tcPr>
            <w:tcW w:type="dxa" w:w="1123"/>
          </w:tcPr>
          <w:p>
            <w:pPr>
              <w:spacing w:after="20"/>
            </w:pPr>
            <w:r>
              <w:rPr>
                <w:color w:val="1C3A36"/>
                <w:sz w:val="15"/>
              </w:rPr>
              <w:t>2026-08-01</w:t>
            </w:r>
          </w:p>
        </w:tc>
        <w:tc>
          <w:tcPr>
            <w:tcW w:type="dxa" w:w="5933"/>
          </w:tcPr>
          <w:p>
            <w:pPr>
              <w:spacing w:after="20"/>
            </w:pPr>
            <w:r>
              <w:rPr>
                <w:color w:val="1C3A36"/>
                <w:sz w:val="15"/>
              </w:rPr>
              <w:t>H1-2025 comparative column of the H1-2026 reviewed statements, note 38: employees' share in profit 1,104.834367 over profit attributable to owners of 8,694.611825</w:t>
            </w:r>
          </w:p>
        </w:tc>
      </w:tr>
      <w:tr>
        <w:tc>
          <w:tcPr>
            <w:tcW w:type="dxa" w:w="1656"/>
          </w:tcPr>
          <w:p>
            <w:pPr>
              <w:spacing w:after="20"/>
            </w:pPr>
            <w:r>
              <w:rPr>
                <w:color w:val="1C3A36"/>
                <w:sz w:val="15"/>
              </w:rPr>
              <w:t>export share fy25</w:t>
            </w:r>
          </w:p>
        </w:tc>
        <w:tc>
          <w:tcPr>
            <w:tcW w:type="dxa" w:w="1368"/>
          </w:tcPr>
          <w:p>
            <w:pPr>
              <w:spacing w:after="20"/>
            </w:pPr>
            <w:r>
              <w:rPr>
                <w:color w:val="1C3A36"/>
                <w:sz w:val="15"/>
              </w:rPr>
              <w:t>0.4072</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5 (geographic disaggregation): revenue outside Egypt 114,461.030219 over total revenue 281,049.081719</w:t>
            </w:r>
          </w:p>
        </w:tc>
      </w:tr>
      <w:tr>
        <w:tc>
          <w:tcPr>
            <w:tcW w:type="dxa" w:w="1656"/>
          </w:tcPr>
          <w:p>
            <w:pPr>
              <w:spacing w:after="20"/>
            </w:pPr>
            <w:r>
              <w:rPr>
                <w:color w:val="1C3A36"/>
                <w:sz w:val="15"/>
              </w:rPr>
              <w:t>kd egp fy24</w:t>
            </w:r>
          </w:p>
        </w:tc>
        <w:tc>
          <w:tcPr>
            <w:tcW w:type="dxa" w:w="1368"/>
          </w:tcPr>
          <w:p>
            <w:pPr>
              <w:spacing w:after="20"/>
            </w:pPr>
            <w:r>
              <w:rPr>
                <w:color w:val="1C3A36"/>
                <w:sz w:val="15"/>
              </w:rPr>
              <w:t>0.2868</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32 read with note 44-2: the disclosed weighted average interest rate on Egyptian-pound borrowings at 31 December 2024</w:t>
            </w:r>
          </w:p>
        </w:tc>
      </w:tr>
      <w:tr>
        <w:tc>
          <w:tcPr>
            <w:tcW w:type="dxa" w:w="1656"/>
          </w:tcPr>
          <w:p>
            <w:pPr>
              <w:spacing w:after="20"/>
            </w:pPr>
            <w:r>
              <w:rPr>
                <w:color w:val="1C3A36"/>
                <w:sz w:val="15"/>
              </w:rPr>
              <w:t>kd egp q1 26</w:t>
            </w:r>
          </w:p>
        </w:tc>
        <w:tc>
          <w:tcPr>
            <w:tcW w:type="dxa" w:w="1368"/>
          </w:tcPr>
          <w:p>
            <w:pPr>
              <w:spacing w:after="20"/>
            </w:pPr>
            <w:r>
              <w:rPr>
                <w:color w:val="1C3A36"/>
                <w:sz w:val="15"/>
              </w:rPr>
              <w:t>0.2032</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Egyptian-pound borrowings</w:t>
            </w:r>
          </w:p>
        </w:tc>
      </w:tr>
    </w:tbl>
    <w:p>
      <w:pPr>
        <w:spacing w:after="40"/>
      </w:pPr>
    </w:p>
    <w:p>
      <w:pPr>
        <w:spacing w:after="60" w:before="160"/>
      </w:pPr>
      <w:r>
        <w:rPr>
          <w:b/>
          <w:i w:val="0"/>
          <w:color w:val="1C3A36"/>
          <w:sz w:val="22"/>
        </w:rPr>
        <w:t>Country layer — 10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123"/>
          </w:tcPr>
          <w:p>
            <w:pPr>
              <w:spacing w:after="20"/>
            </w:pPr>
            <w:r>
              <w:rPr>
                <w:color w:val="1C3A36"/>
                <w:sz w:val="15"/>
              </w:rPr>
              <w:t>2026</w:t>
            </w:r>
          </w:p>
        </w:tc>
        <w:tc>
          <w:tcPr>
            <w:tcW w:type="dxa" w:w="5933"/>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123"/>
          </w:tcPr>
          <w:p>
            <w:pPr>
              <w:spacing w:after="20"/>
            </w:pPr>
            <w:r>
              <w:rPr>
                <w:color w:val="1C3A36"/>
                <w:sz w:val="15"/>
              </w:rPr>
              <w:t>2026-08-05</w:t>
            </w:r>
          </w:p>
        </w:tc>
        <w:tc>
          <w:tcPr>
            <w:tcW w:type="dxa" w:w="5933"/>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123"/>
          </w:tcPr>
          <w:p>
            <w:pPr>
              <w:spacing w:after="20"/>
            </w:pPr>
            <w:r>
              <w:rPr>
                <w:color w:val="1C3A36"/>
                <w:sz w:val="15"/>
              </w:rPr>
              <w:t>2026-07-21</w:t>
            </w:r>
          </w:p>
        </w:tc>
        <w:tc>
          <w:tcPr>
            <w:tcW w:type="dxa" w:w="5933"/>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123"/>
          </w:tcPr>
          <w:p>
            <w:pPr>
              <w:spacing w:after="20"/>
            </w:pPr>
            <w:r>
              <w:rPr>
                <w:color w:val="1C3A36"/>
                <w:sz w:val="15"/>
              </w:rPr>
              <w:t>2026-01-05</w:t>
            </w:r>
          </w:p>
        </w:tc>
        <w:tc>
          <w:tcPr>
            <w:tcW w:type="dxa" w:w="5933"/>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123"/>
          </w:tcPr>
          <w:p>
            <w:pPr>
              <w:spacing w:after="20"/>
            </w:pPr>
            <w:r>
              <w:rPr>
                <w:color w:val="1C3A36"/>
                <w:sz w:val="15"/>
              </w:rPr>
              <w:t>2026-01-05</w:t>
            </w:r>
          </w:p>
        </w:tc>
        <w:tc>
          <w:tcPr>
            <w:tcW w:type="dxa" w:w="5933"/>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crp foreign</w:t>
            </w:r>
          </w:p>
        </w:tc>
        <w:tc>
          <w:tcPr>
            <w:tcW w:type="dxa" w:w="1368"/>
          </w:tcPr>
          <w:p>
            <w:pPr>
              <w:spacing w:after="20"/>
            </w:pPr>
            <w:r>
              <w:rPr>
                <w:color w:val="1C3A36"/>
                <w:sz w:val="15"/>
              </w:rPr>
              <w:t>0.0226</w:t>
            </w:r>
          </w:p>
        </w:tc>
        <w:tc>
          <w:tcPr>
            <w:tcW w:type="dxa" w:w="1123"/>
          </w:tcPr>
          <w:p>
            <w:pPr>
              <w:spacing w:after="20"/>
            </w:pPr>
            <w:r>
              <w:rPr>
                <w:color w:val="1C3A36"/>
                <w:sz w:val="15"/>
              </w:rPr>
              <w:t>2026-01-05</w:t>
            </w:r>
          </w:p>
        </w:tc>
        <w:tc>
          <w:tcPr>
            <w:tcW w:type="dxa" w:w="5933"/>
          </w:tcPr>
          <w:p>
            <w:pPr>
              <w:spacing w:after="20"/>
            </w:pPr>
            <w:r>
              <w:rPr>
                <w:color w:val="1C3A36"/>
                <w:sz w:val="15"/>
              </w:rPr>
              <w:t>The country premium carried by the 40.72% of revenue earned OUTSIDE Egypt. DERIVED, not typed: the blended emerging/frontier equity premium of 6.50% already registered for those operations, less the mature-market premium of 4.24% derived from Egypt's own total (9.41% less a country premium of 3.40% CDS spread x Damodaran's 1.52 equity-to-bond scaling). It is NOT zero: Zambia, Tanzania, Ghana, Nigeria, Saudi Arabia and Greece are not mature markets, and taking the lambda relief without this offset would be the flattering half of the argument</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123"/>
          </w:tcPr>
          <w:p>
            <w:pPr>
              <w:spacing w:after="20"/>
            </w:pPr>
            <w:r>
              <w:rPr>
                <w:color w:val="1C3A36"/>
                <w:sz w:val="15"/>
              </w:rPr>
              <w:t>2026-09-04</w:t>
            </w:r>
          </w:p>
        </w:tc>
        <w:tc>
          <w:tcPr>
            <w:tcW w:type="dxa" w:w="5933"/>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123"/>
          </w:tcPr>
          <w:p>
            <w:pPr>
              <w:spacing w:after="20"/>
            </w:pPr>
            <w:r>
              <w:rPr>
                <w:color w:val="1C3A36"/>
                <w:sz w:val="15"/>
              </w:rPr>
              <w:t>2026-08-05</w:t>
            </w:r>
          </w:p>
        </w:tc>
        <w:tc>
          <w:tcPr>
            <w:tcW w:type="dxa" w:w="5933"/>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27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123"/>
          </w:tcPr>
          <w:p>
            <w:pPr>
              <w:spacing w:after="20"/>
            </w:pPr>
            <w:r>
              <w:rPr>
                <w:color w:val="1C3A36"/>
                <w:sz w:val="15"/>
              </w:rPr>
              <w:t>2026-05-13</w:t>
            </w:r>
          </w:p>
        </w:tc>
        <w:tc>
          <w:tcPr>
            <w:tcW w:type="dxa" w:w="5933"/>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path</w:t>
            </w:r>
          </w:p>
        </w:tc>
        <w:tc>
          <w:tcPr>
            <w:tcW w:type="dxa" w:w="1368"/>
          </w:tcPr>
          <w:p>
            <w:pPr>
              <w:spacing w:after="20"/>
            </w:pPr>
            <w:r>
              <w:rPr>
                <w:color w:val="1C3A36"/>
                <w:sz w:val="15"/>
              </w:rPr>
              <w:t>51, 54, 57.5, 61, 64.5</w:t>
            </w:r>
          </w:p>
        </w:tc>
        <w:tc>
          <w:tcPr>
            <w:tcW w:type="dxa" w:w="1123"/>
          </w:tcPr>
          <w:p>
            <w:pPr>
              <w:spacing w:after="20"/>
            </w:pPr>
            <w:r>
              <w:rPr>
                <w:color w:val="1C3A36"/>
                <w:sz w:val="15"/>
              </w:rPr>
              <w:t>2026-08-05</w:t>
            </w:r>
          </w:p>
        </w:tc>
        <w:tc>
          <w:tcPr>
            <w:tcW w:type="dxa" w:w="5933"/>
          </w:tcPr>
          <w:p>
            <w:pPr>
              <w:spacing w:after="20"/>
            </w:pPr>
            <w:r>
              <w:rPr>
                <w:color w:val="1C3A36"/>
                <w:sz w:val="15"/>
              </w:rPr>
              <w:t>USD/EGP average-rate path, about 6%/yr of depreciation from the FY2025 average of 49.5. Used as a genuine driver of the Cables segment's copper-linked growth and of the currency-of-discounting alternative — not a translation convenience. DELIBERATELY BELOW covered-interest parity, which on the roughly 22% pound rate against a ~4-5% dollar rate implies materially faster depreciation; the base case assumes disinflation closes most of that gap. The parity case is carried as an explicit sensitivity</w:t>
            </w:r>
          </w:p>
        </w:tc>
      </w:tr>
      <w:tr>
        <w:tc>
          <w:tcPr>
            <w:tcW w:type="dxa" w:w="1656"/>
          </w:tcPr>
          <w:p>
            <w:pPr>
              <w:spacing w:after="20"/>
            </w:pPr>
            <w:r>
              <w:rPr>
                <w:color w:val="1C3A36"/>
                <w:sz w:val="15"/>
              </w:rPr>
              <w:t>tax rate retired</w:t>
            </w:r>
          </w:p>
        </w:tc>
        <w:tc>
          <w:tcPr>
            <w:tcW w:type="dxa" w:w="1368"/>
          </w:tcPr>
          <w:p>
            <w:pPr>
              <w:spacing w:after="20"/>
            </w:pPr>
            <w:r>
              <w:rPr>
                <w:color w:val="1C3A36"/>
                <w:sz w:val="15"/>
              </w:rPr>
              <w:t>0.259</w:t>
            </w:r>
          </w:p>
        </w:tc>
        <w:tc>
          <w:tcPr>
            <w:tcW w:type="dxa" w:w="1123"/>
          </w:tcPr>
          <w:p>
            <w:pPr>
              <w:spacing w:after="20"/>
            </w:pPr>
            <w:r>
              <w:rPr>
                <w:color w:val="1C3A36"/>
                <w:sz w:val="15"/>
              </w:rPr>
              <w:t>2026-08-05</w:t>
            </w:r>
          </w:p>
        </w:tc>
        <w:tc>
          <w:tcPr>
            <w:tcW w:type="dxa" w:w="5933"/>
          </w:tcPr>
          <w:p>
            <w:pPr>
              <w:spacing w:after="20"/>
            </w:pPr>
            <w:r>
              <w:rPr>
                <w:color w:val="1C3A36"/>
                <w:sz w:val="15"/>
              </w:rPr>
              <w:t>The house tax assumption this study RETIRED: 25.9%, replaced by the rate the audited statements actually charge. Registered rather than typed into prose, because a study that cites what it changed is asserting that figure too</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123"/>
          </w:tcPr>
          <w:p>
            <w:pPr>
              <w:spacing w:after="20"/>
            </w:pPr>
            <w:r>
              <w:rPr>
                <w:color w:val="1C3A36"/>
                <w:sz w:val="15"/>
              </w:rPr>
              <w:t>2026-08-07</w:t>
            </w:r>
          </w:p>
        </w:tc>
        <w:tc>
          <w:tcPr>
            <w:tcW w:type="dxa" w:w="5933"/>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123"/>
          </w:tcPr>
          <w:p>
            <w:pPr>
              <w:spacing w:after="20"/>
            </w:pPr>
            <w:r>
              <w:rPr>
                <w:color w:val="1C3A36"/>
                <w:sz w:val="15"/>
              </w:rPr>
              <w:t>2026-08-05</w:t>
            </w:r>
          </w:p>
        </w:tc>
        <w:tc>
          <w:tcPr>
            <w:tcW w:type="dxa" w:w="5933"/>
          </w:tcPr>
          <w:p>
            <w:pPr>
              <w:spacing w:after="20"/>
            </w:pPr>
            <w:r>
              <w:rPr>
                <w:color w:val="1C3A36"/>
                <w:sz w:val="15"/>
              </w:rPr>
              <w:t>Retained input, no longer consumed by the segment build (kept for downstream compatibility)</w:t>
            </w:r>
          </w:p>
        </w:tc>
      </w:tr>
      <w:tr>
        <w:tc>
          <w:tcPr>
            <w:tcW w:type="dxa" w:w="1656"/>
          </w:tcPr>
          <w:p>
            <w:pPr>
              <w:spacing w:after="20"/>
            </w:pPr>
            <w:r>
              <w:rPr>
                <w:color w:val="1C3A36"/>
                <w:sz w:val="15"/>
              </w:rPr>
              <w:t>nwc pct</w:t>
            </w:r>
          </w:p>
        </w:tc>
        <w:tc>
          <w:tcPr>
            <w:tcW w:type="dxa" w:w="1368"/>
          </w:tcPr>
          <w:p>
            <w:pPr>
              <w:spacing w:after="20"/>
            </w:pPr>
            <w:r>
              <w:rPr>
                <w:color w:val="1C3A36"/>
                <w:sz w:val="15"/>
              </w:rPr>
              <w:t>0.1967</w:t>
            </w:r>
          </w:p>
        </w:tc>
        <w:tc>
          <w:tcPr>
            <w:tcW w:type="dxa" w:w="1123"/>
          </w:tcPr>
          <w:p>
            <w:pPr>
              <w:spacing w:after="20"/>
            </w:pPr>
            <w:r>
              <w:rPr>
                <w:color w:val="1C3A36"/>
                <w:sz w:val="15"/>
              </w:rPr>
              <w:t>2026-08-05</w:t>
            </w:r>
          </w:p>
        </w:tc>
        <w:tc>
          <w:tcPr>
            <w:tcW w:type="dxa" w:w="5933"/>
          </w:tcPr>
          <w:p>
            <w:pPr>
              <w:spacing w:after="20"/>
            </w:pPr>
            <w:r>
              <w:rPr>
                <w:color w:val="1C3A36"/>
                <w:sz w:val="15"/>
              </w:rPr>
              <w:t>Net working capital as a share of revenue, RE-ANCHORED on the REVIEWED 30-Jun-2026 sheet: inventories 79,140 + contract assets 40,121 + receivables 130,221 - payables 79,553 - contract liabilities 106,860 = 63,069 on last-twelve-month revenue of 320,564 = 19.67%. Retired: 19.90%,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123"/>
          </w:tcPr>
          <w:p>
            <w:pPr>
              <w:spacing w:after="20"/>
            </w:pPr>
            <w:r>
              <w:rPr>
                <w:color w:val="1C3A36"/>
                <w:sz w:val="15"/>
              </w:rPr>
              <w:t>2026-08-05</w:t>
            </w:r>
          </w:p>
        </w:tc>
        <w:tc>
          <w:tcPr>
            <w:tcW w:type="dxa" w:w="5933"/>
          </w:tcPr>
          <w:p>
            <w:pPr>
              <w:spacing w:after="20"/>
            </w:pPr>
            <w:r>
              <w:rPr>
                <w:color w:val="1C3A36"/>
                <w:sz w:val="15"/>
              </w:rPr>
              <w:t>THE RETIRED PATH, superseded 09-09-2026 and kept because the depth bar requires a displaced construction to be published beside the one that replaced it. It tapered from the FY2025 disclosed level of 4.7% (up from 3.1% FY2023 and 3.7% FY2024) toward a lower maintenance-plus-modest-capacity level as the expansion cycle completes — a House glide, on a story about the cycle, set before the reviewed half was read. The half measures the cycle directly: see capex_pct_measured below</w:t>
            </w:r>
          </w:p>
        </w:tc>
      </w:tr>
      <w:tr>
        <w:tc>
          <w:tcPr>
            <w:tcW w:type="dxa" w:w="1656"/>
          </w:tcPr>
          <w:p>
            <w:pPr>
              <w:spacing w:after="20"/>
            </w:pPr>
            <w:r>
              <w:rPr>
                <w:color w:val="1C3A36"/>
                <w:sz w:val="15"/>
              </w:rPr>
              <w:t>dna pct</w:t>
            </w:r>
          </w:p>
        </w:tc>
        <w:tc>
          <w:tcPr>
            <w:tcW w:type="dxa" w:w="1368"/>
          </w:tcPr>
          <w:p>
            <w:pPr>
              <w:spacing w:after="20"/>
            </w:pPr>
            <w:r>
              <w:rPr>
                <w:color w:val="1C3A36"/>
                <w:sz w:val="15"/>
              </w:rPr>
              <w:t>0.0107</w:t>
            </w:r>
          </w:p>
        </w:tc>
        <w:tc>
          <w:tcPr>
            <w:tcW w:type="dxa" w:w="1123"/>
          </w:tcPr>
          <w:p>
            <w:pPr>
              <w:spacing w:after="20"/>
            </w:pPr>
            <w:r>
              <w:rPr>
                <w:color w:val="1C3A36"/>
                <w:sz w:val="15"/>
              </w:rPr>
              <w:t>2026-08-05</w:t>
            </w:r>
          </w:p>
        </w:tc>
        <w:tc>
          <w:tcPr>
            <w:tcW w:type="dxa" w:w="5933"/>
          </w:tcPr>
          <w:p>
            <w:pPr>
              <w:spacing w:after="20"/>
            </w:pPr>
            <w:r>
              <w:rPr>
                <w:color w:val="1C3A36"/>
                <w:sz w:val="15"/>
              </w:rPr>
              <w:t>Depreciation and amortisation as a share of revenue, AT the disclosed level rather than above it: FY2025 3,009/281,049 = 1.071% and the reviewed half 1,748/163,316 = 1.070%, two periods agreeing to a thousandth. The retired 1.25% was the FY2025 level plus a house uplift for the capex ramp, which the reviewed half then measured and did not show. Previously: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123"/>
          </w:tcPr>
          <w:p>
            <w:pPr>
              <w:spacing w:after="20"/>
            </w:pPr>
            <w:r>
              <w:rPr>
                <w:color w:val="1C3A36"/>
                <w:sz w:val="15"/>
              </w:rPr>
              <w:t>2026-08-05</w:t>
            </w:r>
          </w:p>
        </w:tc>
        <w:tc>
          <w:tcPr>
            <w:tcW w:type="dxa" w:w="5933"/>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1.2249</w:t>
            </w:r>
          </w:p>
        </w:tc>
        <w:tc>
          <w:tcPr>
            <w:tcW w:type="dxa" w:w="1123"/>
          </w:tcPr>
          <w:p>
            <w:pPr>
              <w:spacing w:after="20"/>
            </w:pPr>
            <w:r>
              <w:rPr>
                <w:color w:val="1C3A36"/>
                <w:sz w:val="15"/>
              </w:rPr>
              <w:t>2026-09-08</w:t>
            </w:r>
          </w:p>
        </w:tc>
        <w:tc>
          <w:tcPr>
            <w:tcW w:type="dxa" w:w="5933"/>
          </w:tcPr>
          <w:p>
            <w:pPr>
              <w:spacing w:after="20"/>
            </w:pPr>
            <w:r>
              <w:rPr>
                <w:color w:val="1C3A36"/>
                <w:sz w:val="15"/>
              </w:rPr>
              <w:t>Own-stock tier-1 weekly regression against raw_indices/EG/EGX30.csv as at 2026-09-08 — THE PUBLISHED INDEX OF THE EXCHANGE THIS STOCK IS LISTED ON, resolved by beta_regression.own_stock_beta() rather than hand-rolled. R-squared 0.368, n = 256, standard error 0.1699, 90% confidence interval [0.945, 1.504]; Dimson-corrected for thin trading, matched to the exchange's own trading week (W-THU). Clears the usability gate and is not weak-instrument flagged. WITHDRAWN AND KEPT FOR COMPARISON: the previous edition regressed against a 31-name equal-weight composite of the covered library and got 1.0087 at an R-squared of 0.291 — +21.4% against the conforming figure, explaining less of the stock. A constituent composite is a coverage artefact rather than a market and SIGCM calls it a hard fail, not a tier.</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123"/>
          </w:tcPr>
          <w:p>
            <w:pPr>
              <w:spacing w:after="20"/>
            </w:pPr>
            <w:r>
              <w:rPr>
                <w:color w:val="1C3A36"/>
                <w:sz w:val="15"/>
              </w:rPr>
              <w:t>2026-08-05</w:t>
            </w:r>
          </w:p>
        </w:tc>
        <w:tc>
          <w:tcPr>
            <w:tcW w:type="dxa" w:w="5933"/>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123"/>
          </w:tcPr>
          <w:p>
            <w:pPr>
              <w:spacing w:after="20"/>
            </w:pPr>
            <w:r>
              <w:rPr>
                <w:color w:val="1C3A36"/>
                <w:sz w:val="15"/>
              </w:rPr>
              <w:t>2026-08-05</w:t>
            </w:r>
          </w:p>
        </w:tc>
        <w:tc>
          <w:tcPr>
            <w:tcW w:type="dxa" w:w="5933"/>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grid centre retired</w:t>
            </w:r>
          </w:p>
        </w:tc>
        <w:tc>
          <w:tcPr>
            <w:tcW w:type="dxa" w:w="1368"/>
          </w:tcPr>
          <w:p>
            <w:pPr>
              <w:spacing w:after="20"/>
            </w:pPr>
            <w:r>
              <w:rPr>
                <w:color w:val="1C3A36"/>
                <w:sz w:val="15"/>
              </w:rPr>
              <w:t>49.7076</w:t>
            </w:r>
          </w:p>
        </w:tc>
        <w:tc>
          <w:tcPr>
            <w:tcW w:type="dxa" w:w="1123"/>
          </w:tcPr>
          <w:p>
            <w:pPr>
              <w:spacing w:after="20"/>
            </w:pPr>
            <w:r>
              <w:rPr>
                <w:color w:val="1C3A36"/>
                <w:sz w:val="15"/>
              </w:rPr>
              <w:t>2026-09-04</w:t>
            </w:r>
          </w:p>
        </w:tc>
        <w:tc>
          <w:tcPr>
            <w:tcW w:type="dxa" w:w="5933"/>
          </w:tcPr>
          <w:p>
            <w:pPr>
              <w:spacing w:after="20"/>
            </w:pPr>
            <w:r>
              <w:rPr>
                <w:color w:val="1C3A36"/>
                <w:sz w:val="15"/>
              </w:rPr>
              <w:t>What the RETIRED sensitivity grid returned at the adopted rates, growth and beta, before the grids were pointed at the same valuation function as the headline. It re-implemented the terminal on a construction this study had already retired and omitted the employees' statutory share of profit that the bridge charges. Quoted so a reader can see what changed; a different function produced it, so this model cannot compute it</w:t>
            </w:r>
          </w:p>
        </w:tc>
      </w:tr>
      <w:tr>
        <w:tc>
          <w:tcPr>
            <w:tcW w:type="dxa" w:w="1656"/>
          </w:tcPr>
          <w:p>
            <w:pPr>
              <w:spacing w:after="20"/>
            </w:pPr>
            <w:r>
              <w:rPr>
                <w:color w:val="1C3A36"/>
                <w:sz w:val="15"/>
              </w:rPr>
              <w:t>rf term</w:t>
            </w:r>
          </w:p>
        </w:tc>
        <w:tc>
          <w:tcPr>
            <w:tcW w:type="dxa" w:w="1368"/>
          </w:tcPr>
          <w:p>
            <w:pPr>
              <w:spacing w:after="20"/>
            </w:pPr>
            <w:r>
              <w:rPr>
                <w:color w:val="1C3A36"/>
                <w:sz w:val="15"/>
              </w:rPr>
              <w:t>0.125</w:t>
            </w:r>
          </w:p>
        </w:tc>
        <w:tc>
          <w:tcPr>
            <w:tcW w:type="dxa" w:w="1123"/>
          </w:tcPr>
          <w:p>
            <w:pPr>
              <w:spacing w:after="20"/>
            </w:pPr>
            <w:r>
              <w:rPr>
                <w:color w:val="1C3A36"/>
                <w:sz w:val="15"/>
              </w:rPr>
              <w:t>2026-09-09</w:t>
            </w:r>
          </w:p>
        </w:tc>
        <w:tc>
          <w:tcPr>
            <w:tcW w:type="dxa" w:w="5933"/>
          </w:tcPr>
          <w:p>
            <w:pPr>
              <w:spacing w:after="20"/>
            </w:pPr>
            <w:r>
              <w:rPr>
                <w:color w:val="1C3A36"/>
                <w:sz w:val="15"/>
              </w:rPr>
              <w:t>Terminal risk-free rate, DERIVED from the house macro path as the inflation target in force plus the real-rate convention, never typed: 7.00% + 5.50% = 12.50%. Revisions to 08-09-2026 carried 10.50%, built on a 5% inflation this study chose for itself while the terminal growth line four rows above used the house 7% and said the house path was the only source of an inflation rate here.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123"/>
          </w:tcPr>
          <w:p>
            <w:pPr>
              <w:spacing w:after="20"/>
            </w:pPr>
            <w:r>
              <w:rPr>
                <w:color w:val="1C3A36"/>
                <w:sz w:val="15"/>
              </w:rPr>
              <w:t>2026-08-05</w:t>
            </w:r>
          </w:p>
        </w:tc>
        <w:tc>
          <w:tcPr>
            <w:tcW w:type="dxa" w:w="5933"/>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123"/>
          </w:tcPr>
          <w:p>
            <w:pPr>
              <w:spacing w:after="20"/>
            </w:pPr>
            <w:r>
              <w:rPr>
                <w:color w:val="1C3A36"/>
                <w:sz w:val="15"/>
              </w:rPr>
              <w:t>2026-08-07</w:t>
            </w:r>
          </w:p>
        </w:tc>
        <w:tc>
          <w:tcPr>
            <w:tcW w:type="dxa" w:w="5933"/>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0.02</w:t>
            </w:r>
          </w:p>
        </w:tc>
        <w:tc>
          <w:tcPr>
            <w:tcW w:type="dxa" w:w="1123"/>
          </w:tcPr>
          <w:p>
            <w:pPr>
              <w:spacing w:after="20"/>
            </w:pPr>
            <w:r>
              <w:rPr>
                <w:color w:val="1C3A36"/>
                <w:sz w:val="15"/>
              </w:rPr>
              <w:t>2026-09-10</w:t>
            </w:r>
          </w:p>
        </w:tc>
        <w:tc>
          <w:tcPr>
            <w:tcW w:type="dxa" w:w="5933"/>
          </w:tcPr>
          <w:p>
            <w:pPr>
              <w:spacing w:after="20"/>
            </w:pPr>
            <w:r>
              <w:rPr>
                <w:color w:val="1C3A36"/>
                <w:sz w:val="15"/>
              </w:rPr>
              <w:t>STATED real terminal growth: 2.0%, held BELOW the house path's long-run Egyptian real GDP growth of 4.5%% — the gap is the share of the economy this company is assumed to cede in perpetuity. THE RETIRED FIGURE WAS ZERO, and zero was wrong on its own terms rather than merely conservative: an economy growing 4.5% a year in real terms with a company growing 0% means the company shrinks to nothing relative to it, forever, which is not what 'a mature diversified industrial holding its real scale' meant. It is also not what this group has done — Constructions grew 32.6% then 28.3% and Electrical Products 46.6% then 43.7% in nominal terms, neither of them copper-linked. 2.0% is under half the economy's rate and well under the Cables segment's own forward real driver</w:t>
            </w:r>
          </w:p>
        </w:tc>
      </w:tr>
      <w:tr>
        <w:tc>
          <w:tcPr>
            <w:tcW w:type="dxa" w:w="1656"/>
          </w:tcPr>
          <w:p>
            <w:pPr>
              <w:spacing w:after="20"/>
            </w:pPr>
            <w:r>
              <w:rPr>
                <w:color w:val="1C3A36"/>
                <w:sz w:val="15"/>
              </w:rPr>
              <w:t>g term</w:t>
            </w:r>
          </w:p>
        </w:tc>
        <w:tc>
          <w:tcPr>
            <w:tcW w:type="dxa" w:w="1368"/>
          </w:tcPr>
          <w:p>
            <w:pPr>
              <w:spacing w:after="20"/>
            </w:pPr>
            <w:r>
              <w:rPr>
                <w:color w:val="1C3A36"/>
                <w:sz w:val="15"/>
              </w:rPr>
              <w:t>0.0914</w:t>
            </w:r>
          </w:p>
        </w:tc>
        <w:tc>
          <w:tcPr>
            <w:tcW w:type="dxa" w:w="1123"/>
          </w:tcPr>
          <w:p>
            <w:pPr>
              <w:spacing w:after="20"/>
            </w:pPr>
            <w:r>
              <w:rPr>
                <w:color w:val="1C3A36"/>
                <w:sz w:val="15"/>
              </w:rPr>
              <w:t>2026-09-10</w:t>
            </w:r>
          </w:p>
        </w:tc>
        <w:tc>
          <w:tcPr>
            <w:tcW w:type="dxa" w:w="5933"/>
          </w:tcPr>
          <w:p>
            <w:pPr>
              <w:spacing w:after="20"/>
            </w:pPr>
            <w:r>
              <w:rPr>
                <w:color w:val="1C3A36"/>
                <w:sz w:val="15"/>
              </w:rPr>
              <w:t>Terminal NOMINAL growth, DERIVED and read from the house path rather than chosen: (1 + 2.0% stated real growth) x (1 + 7.0% long-run Egyptian inflation) - 1, read from the house path. It is the only source of an inflation rate in this study, and macro_path refuses a real rate at or above the economy's own. Two earlier figures are retired: 5.0%, struck against an assumed 5% inflation and therefore a real DECLINE of 1.87% a year; and 7.0%, which fixed the inflation half and left real growth at zero</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123"/>
          </w:tcPr>
          <w:p>
            <w:pPr>
              <w:spacing w:after="20"/>
            </w:pPr>
            <w:r>
              <w:rPr>
                <w:color w:val="1C3A36"/>
                <w:sz w:val="15"/>
              </w:rPr>
              <w:t>2026-08-05</w:t>
            </w:r>
          </w:p>
        </w:tc>
        <w:tc>
          <w:tcPr>
            <w:tcW w:type="dxa" w:w="5933"/>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123"/>
          </w:tcPr>
          <w:p>
            <w:pPr>
              <w:spacing w:after="20"/>
            </w:pPr>
            <w:r>
              <w:rPr>
                <w:color w:val="1C3A36"/>
                <w:sz w:val="15"/>
              </w:rPr>
              <w:t>2026-08-05</w:t>
            </w:r>
          </w:p>
        </w:tc>
        <w:tc>
          <w:tcPr>
            <w:tcW w:type="dxa" w:w="5933"/>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123"/>
          </w:tcPr>
          <w:p>
            <w:pPr>
              <w:spacing w:after="20"/>
            </w:pPr>
            <w:r>
              <w:rPr>
                <w:color w:val="1C3A36"/>
                <w:sz w:val="15"/>
              </w:rPr>
              <w:t>2026-08-05</w:t>
            </w:r>
          </w:p>
        </w:tc>
        <w:tc>
          <w:tcPr>
            <w:tcW w:type="dxa" w:w="5933"/>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123"/>
          </w:tcPr>
          <w:p>
            <w:pPr>
              <w:spacing w:after="20"/>
            </w:pPr>
            <w:r>
              <w:rPr>
                <w:color w:val="1C3A36"/>
                <w:sz w:val="15"/>
              </w:rPr>
              <w:t>2026-08-05</w:t>
            </w:r>
          </w:p>
        </w:tc>
        <w:tc>
          <w:tcPr>
            <w:tcW w:type="dxa" w:w="5933"/>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246</w:t>
            </w:r>
          </w:p>
        </w:tc>
        <w:tc>
          <w:tcPr>
            <w:tcW w:type="dxa" w:w="1123"/>
          </w:tcPr>
          <w:p>
            <w:pPr>
              <w:spacing w:after="20"/>
            </w:pPr>
            <w:r>
              <w:rPr>
                <w:color w:val="1C3A36"/>
                <w:sz w:val="15"/>
              </w:rPr>
              <w:t>2026-08-07</w:t>
            </w:r>
          </w:p>
        </w:tc>
        <w:tc>
          <w:tcPr>
            <w:tcW w:type="dxa" w:w="5933"/>
          </w:tcPr>
          <w:p>
            <w:pPr>
              <w:spacing w:after="20"/>
            </w:pPr>
            <w:r>
              <w:rPr>
                <w:color w:val="1C3A36"/>
                <w:sz w:val="15"/>
              </w:rPr>
              <w:t>Days from the DCF's construction date (31 Dec 2025, the audited balance-sheet date the bridge is built on) to the anchor date 5 Aug 2026. All lens values are rolled to the anchor at the cost of equity, net of the EGP 1.85 FY2025 dividend paid inside the window — added after external critique correctly noted the model was dated 31-Dec-2025 while the comparison price was dated 5-Aug-2026, breaching the study's own one-date rule by ~7 months of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123"/>
          </w:tcPr>
          <w:p>
            <w:pPr>
              <w:spacing w:after="20"/>
            </w:pPr>
            <w:r>
              <w:rPr>
                <w:color w:val="1C3A36"/>
                <w:sz w:val="15"/>
              </w:rPr>
              <w:t>2026-08-05</w:t>
            </w:r>
          </w:p>
        </w:tc>
        <w:tc>
          <w:tcPr>
            <w:tcW w:type="dxa" w:w="5933"/>
          </w:tcPr>
          <w:p>
            <w:pPr>
              <w:spacing w:after="20"/>
            </w:pPr>
            <w:r>
              <w:rPr>
                <w:color w:val="1C3A36"/>
                <w:sz w:val="15"/>
              </w:rPr>
              <w:t>Justified EV/EBITDA on mid-cycle FY27E EBITDA. The company's own trailing multiple is elevated;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123"/>
          </w:tcPr>
          <w:p>
            <w:pPr>
              <w:spacing w:after="20"/>
            </w:pPr>
            <w:r>
              <w:rPr>
                <w:color w:val="1C3A36"/>
                <w:sz w:val="15"/>
              </w:rPr>
              <w:t>2026-08-05</w:t>
            </w:r>
          </w:p>
        </w:tc>
        <w:tc>
          <w:tcPr>
            <w:tcW w:type="dxa" w:w="5933"/>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123"/>
          </w:tcPr>
          <w:p>
            <w:pPr>
              <w:spacing w:after="20"/>
            </w:pPr>
            <w:r>
              <w:rPr>
                <w:color w:val="1C3A36"/>
                <w:sz w:val="15"/>
              </w:rPr>
              <w:t>2026-08-05</w:t>
            </w:r>
          </w:p>
        </w:tc>
        <w:tc>
          <w:tcPr>
            <w:tcW w:type="dxa" w:w="5933"/>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123"/>
          </w:tcPr>
          <w:p>
            <w:pPr>
              <w:spacing w:after="20"/>
            </w:pPr>
            <w:r>
              <w:rPr>
                <w:color w:val="1C3A36"/>
                <w:sz w:val="15"/>
              </w:rPr>
              <w:t>2026-08-05</w:t>
            </w:r>
          </w:p>
        </w:tc>
        <w:tc>
          <w:tcPr>
            <w:tcW w:type="dxa" w:w="5933"/>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the FY2025 share of revenue</w:t>
            </w:r>
          </w:p>
        </w:tc>
        <w:tc>
          <w:tcPr>
            <w:tcW w:type="dxa" w:w="2520"/>
          </w:tcPr>
          <w:p>
            <w:pPr>
              <w:spacing w:after="20"/>
            </w:pPr>
            <w:r>
              <w:rPr>
                <w:color w:val="1C3A36"/>
                <w:sz w:val="15"/>
              </w:rPr>
              <w:t>Net working capital stays near 19.9% of revenue, the FY2025 audited level</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246/365 of a year to the 2026-09-03 anchor at the cost of equity, less the EGP 1.85 dividend paid in the window</w:t>
            </w:r>
          </w:p>
        </w:tc>
        <w:tc>
          <w:tcPr>
            <w:tcW w:type="dxa" w:w="2952"/>
          </w:tcPr>
          <w:p>
            <w:pPr>
              <w:spacing w:after="20"/>
            </w:pPr>
            <w:r>
              <w:rPr>
                <w:color w:val="1C3A36"/>
                <w:sz w:val="15"/>
              </w:rPr>
              <w:t>The comparison price is dated 5 August 2026;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22.8% of attributable EPS), rounded up for the rising trajectory the +85%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the Q1-2026 print (25.75%)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The company reports only segment revenue (Note 5-3) and segment profit (Note 16) — no volumes, prices or backlog</w:t>
            </w:r>
          </w:p>
        </w:tc>
        <w:tc>
          <w:tcPr>
            <w:tcW w:type="dxa" w:w="4464"/>
          </w:tcPr>
          <w:p>
            <w:pPr>
              <w:spacing w:after="20"/>
            </w:pPr>
            <w:r>
              <w:rPr>
                <w:color w:val="1C3A36"/>
                <w:sz w:val="15"/>
              </w:rPr>
              <w:t>The forecast is built as a taper on each segment's own recent revenue CAGR and, for Cables, a copper-price and FX-translation driver, rather than a reconstructed unit model</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5 August 2026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