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05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234</w:t>
            </w:r>
          </w:p>
        </w:tc>
      </w:tr>
      <w:tr>
        <w:tc>
          <w:tcPr>
            <w:tcW w:type="dxa" w:w="6236"/>
          </w:tcPr>
          <w:p>
            <w:r/>
            <w:r>
              <w:rPr>
                <w:color w:val="1A1D21"/>
                <w:sz w:val="18"/>
              </w:rPr>
              <w:t>Bind on a class of company (CLASS)</w:t>
            </w:r>
          </w:p>
        </w:tc>
        <w:tc>
          <w:tcPr>
            <w:tcW w:type="dxa" w:w="2721"/>
          </w:tcPr>
          <w:p>
            <w:r/>
            <w:r>
              <w:rPr>
                <w:color w:val="1A1D21"/>
                <w:sz w:val="18"/>
              </w:rPr>
              <w:t>25</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266</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26</w:t>
            </w:r>
          </w:p>
        </w:tc>
      </w:tr>
      <w:tr>
        <w:tc>
          <w:tcPr>
            <w:tcW w:type="dxa" w:w="6236"/>
          </w:tcPr>
          <w:p>
            <w:r/>
            <w:r>
              <w:rPr>
                <w:color w:val="1A1D21"/>
                <w:sz w:val="18"/>
              </w:rPr>
              <w:t>Found while building</w:t>
            </w:r>
          </w:p>
        </w:tc>
        <w:tc>
          <w:tcPr>
            <w:tcW w:type="dxa" w:w="2721"/>
          </w:tcPr>
          <w:p>
            <w:r/>
            <w:r>
              <w:rPr>
                <w:color w:val="1A1D21"/>
                <w:sz w:val="18"/>
              </w:rPr>
              <w:t>185</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20</w:t>
            </w:r>
          </w:p>
        </w:tc>
        <w:tc>
          <w:tcPr>
            <w:tcW w:type="dxa" w:w="1587"/>
          </w:tcPr>
          <w:p>
            <w:r/>
            <w:r>
              <w:rPr>
                <w:color w:val="1A1D21"/>
                <w:sz w:val="18"/>
              </w:rPr>
              <w:t>377</w:t>
            </w:r>
          </w:p>
        </w:tc>
      </w:tr>
    </w:tbl>
    <w:p/>
    <w:p>
      <w:pPr>
        <w:spacing w:after="120"/>
      </w:pPr>
      <w:r>
        <w:rPr>
          <w:b/>
          <w:i w:val="0"/>
          <w:color w:val="1A1D21"/>
          <w:sz w:val="21"/>
        </w:rPr>
        <w:t>The price engine is well tested; the fundamental method is not. 20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377 forecasts across 20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pPr>
        <w:keepNext/>
        <w:spacing w:before="240" w:after="60"/>
      </w:pPr>
      <w:r>
        <w:rPr>
          <w:b/>
          <w:color w:val="1A1D21"/>
          <w:sz w:val="22"/>
        </w:rPr>
        <w:t>L-326  Half the useful life is an ASSUMPTION about the age of an asset base, and where the accounts give the age it should be read rather than assumed</w:t>
      </w:r>
    </w:p>
    <w:p>
      <w:pPr>
        <w:keepNext/>
        <w:spacing w:after="100"/>
      </w:pPr>
      <w:r>
        <w:rPr>
          <w:b/>
          <w:color w:val="1D6FA3"/>
          <w:sz w:val="16"/>
        </w:rPr>
        <w:t>EVERY STUDY</w:t>
      </w:r>
      <w:r>
        <w:rPr>
          <w:color w:val="5B6570"/>
          <w:sz w:val="16"/>
        </w:rPr>
        <w:t xml:space="preserve">   applies to every study   ·   learned from a found while building, EGCH terminal evidence and the terminal_value re-pointing, 4 September 2026</w:t>
      </w:r>
    </w:p>
    <w:p>
      <w:pPr>
        <w:spacing w:after="100"/>
      </w:pPr>
      <w:r>
        <w:rPr>
          <w:b w:val="0"/>
          <w:i w:val="0"/>
          <w:color w:val="1A1D21"/>
          <w:sz w:val="21"/>
        </w:rPr>
        <w:t>The sanctioned terminal charges capital maintenance as book depreciation escalated to current cost over HALF the useful life. That is the right identity under UNIFORM VINTAGES — book depreciation sits on historical cost, replacement costs (1+inflation)^age more, and on a base in steady state the average asset is half its life old. On a base that is not in steady state the proxy is simply wrong, AND THE ERROR SCALES WITH INFLATION, so it is nearly invisible in a pegged market and severe in a high-inflation one. The age is an IDENTITY the accounts already give: accumulated depreciation over the year's own charge is, under straight-line, exactly the charge-weighted average age — not an estimate, and slightly OVERSTATED where assets sit fully depreciated and still in use, which errs toward charging more. THE DIRECTION IS NOT UNIVERSAL, which is the whole reason it had to be measured rather than corrected: of three bases measured, one came out younger than uniform, one older, and one far younger. A single-signed correction applied to a book that splits both ways makes half of it worse.</w:t>
      </w:r>
    </w:p>
    <w:p>
      <w:pPr>
        <w:spacing w:after="60"/>
        <w:ind w:left="283"/>
      </w:pPr>
      <w:r>
        <w:rPr>
          <w:b w:val="0"/>
          <w:i w:val="0"/>
          <w:color w:val="5B6570"/>
          <w:sz w:val="19"/>
        </w:rPr>
        <w:t>How we know.  EGCH: depreciable gross cost EGP 17,020,830,289 over a charge of 771,213,489 implies a 22.07-year life, while accumulated depreciation of 3,435,299,807 over the same charge puts the average age at 4.45 YEARS against the 11.04 half the life assumes, with only 1.3% of the base fully depreciated. At Egypt's 7% terminal the escalators are 1.352 and 2.110 — the proxy over-charges by 56%, charges 144% of terminal profit and drives the equity negative on a company that has just built a new plant. RIYADHCABLE measures 23.17 against 17.88 (older); EMPOWER 10.11 against 14.05 (younger). engine/terminal_value.py now takes a MEASURED age where it is supplied and sourced, and the record says which of the two it used.</w:t>
      </w:r>
    </w:p>
    <w:p>
      <w:pPr>
        <w:spacing w:after="160"/>
        <w:ind w:left="283"/>
      </w:pPr>
      <w:r>
        <w:rPr>
          <w:b w:val="0"/>
          <w:i w:val="0"/>
          <w:color w:val="5B6570"/>
          <w:sz w:val="19"/>
        </w:rPr>
        <w:t>What would overturn it.  A measurement across enough names showing the half-life proxy is unbiased in aggregate — which would make the measured age a refinement rather than a correction, though it would still be the better number on any single name.</w:t>
      </w:r>
    </w:p>
    <w:p>
      <w:pPr>
        <w:keepNext/>
        <w:spacing w:before="240" w:after="60"/>
      </w:pPr>
      <w:r>
        <w:rPr>
          <w:b/>
          <w:color w:val="1A1D21"/>
          <w:sz w:val="22"/>
        </w:rPr>
        <w:t>L-327  A module that refuses at build time is never seen by any gate, so its refusals need their own negative control</w:t>
      </w:r>
    </w:p>
    <w:p>
      <w:pPr>
        <w:keepNext/>
        <w:spacing w:after="100"/>
      </w:pPr>
      <w:r>
        <w:rPr>
          <w:b/>
          <w:color w:val="1D6FA3"/>
          <w:sz w:val="16"/>
        </w:rPr>
        <w:t>EVERY STUDY</w:t>
      </w:r>
      <w:r>
        <w:rPr>
          <w:color w:val="5B6570"/>
          <w:sz w:val="16"/>
        </w:rPr>
        <w:t xml:space="preserve">   applies to every study   ·   learned from a found while building, engine/terminal_value.py re-pointing, 4 September 2026</w:t>
      </w:r>
    </w:p>
    <w:p>
      <w:pPr>
        <w:spacing w:after="100"/>
      </w:pPr>
      <w:r>
        <w:rPr>
          <w:b w:val="0"/>
          <w:i w:val="0"/>
          <w:color w:val="1A1D21"/>
          <w:sz w:val="21"/>
        </w:rPr>
        <w:t>Every ratcheted gate in this repository is negative-controlled, and the reasoning is standing: a check nobody has watched fail is not evidence. The shared terminal construction enforces itself differently — it RAISES, inside a study, before a number is committed — so the study it stops never reaches a gate and the gate's own negative control, which plants mutations in study directories, cannot reach it either. Nine refusal conditions had therefore never been watched to fire. The same argument applies to any shared module whose contract is enforced by an exception rather than by a build failure, and the clean cases matter as much as the refusals, because a module that refused everything would pass a control that only tested refusals.</w:t>
      </w:r>
    </w:p>
    <w:p>
      <w:pPr>
        <w:spacing w:after="60"/>
        <w:ind w:left="283"/>
      </w:pPr>
      <w:r>
        <w:rPr>
          <w:b w:val="0"/>
          <w:i w:val="0"/>
          <w:color w:val="5B6570"/>
          <w:sz w:val="19"/>
        </w:rPr>
        <w:t>How we know.  scripts/check_terminal_module_negative_control.py: 12 refusal conditions and 6 clean cases, plus an assertion that the half-of-life fallback still reproduces the pre-amendment charge exactly, so the re-pointing moves no committed answer. ITS OWN FIRST RUN CAUGHT A CASE WHOSE MUTATION DID NOT LAND: 'a terminal distributing more than it earns' was written as a huge book charge on a one-year life, and on that basis maintenance is the charge ESCALATED, so free cash flow can never rise above profit — the condition is only reachable where maintenance is supplied directly and is small against the add-back.</w:t>
      </w:r>
    </w:p>
    <w:p>
      <w:pPr>
        <w:spacing w:after="160"/>
        <w:ind w:left="283"/>
      </w:pPr>
      <w:r>
        <w:rPr>
          <w:b w:val="0"/>
          <w:i w:val="0"/>
          <w:color w:val="5B6570"/>
          <w:sz w:val="19"/>
        </w:rPr>
        <w:t>What would overturn it.  A shared module whose every refusal is already reachable from a gate's own sandbox, where a separate control would be duplication rather than coverage.</w:t>
      </w:r>
    </w:p>
    <w:p>
      <w:pPr>
        <w:keepNext/>
        <w:spacing w:before="240" w:after="60"/>
      </w:pPr>
      <w:r>
        <w:rPr>
          <w:b/>
          <w:color w:val="1A1D21"/>
          <w:sz w:val="22"/>
        </w:rPr>
        <w:t>L-328  Accumulated depreciation over the charge is the average age only where the charge is cost over life, and two DISCLOSED conditions break that</w:t>
      </w:r>
    </w:p>
    <w:p>
      <w:pPr>
        <w:keepNext/>
        <w:spacing w:after="100"/>
      </w:pPr>
      <w:r>
        <w:rPr>
          <w:b/>
          <w:color w:val="1D6FA3"/>
          <w:sz w:val="16"/>
        </w:rPr>
        <w:t>EVERY STUDY</w:t>
      </w:r>
      <w:r>
        <w:rPr>
          <w:color w:val="5B6570"/>
          <w:sz w:val="16"/>
        </w:rPr>
        <w:t xml:space="preserve">   applies to every study   ·   learned from a found while building, AIRARABIA, the third name the measured age was tried on, 4 September 2026</w:t>
      </w:r>
    </w:p>
    <w:p>
      <w:pPr>
        <w:spacing w:after="100"/>
      </w:pPr>
      <w:r>
        <w:rPr>
          <w:b w:val="0"/>
          <w:i w:val="0"/>
          <w:color w:val="1A1D21"/>
          <w:sz w:val="21"/>
        </w:rPr>
        <w:t>The identity holds because accumulated equals age times charge, which needs the annual charge to be cost divided by life AND the accumulated column to be this group's own depreciation history. THREE DISCLOSED CONDITIONS BREAK THAT. Where assets are depreciated to a RESIDUAL VALUE the charge is (cost less residual) over life, so the same accumulated balance buys more years and the ratio OVERSTATES the age. Where a useful life has been REASSESSED mid-life the charge is not level and the identity is broken outright rather than merely biased. And where the base was ASSEMBLED BY BUSINESS COMBINATION the accumulated column carries an acquiree's history against a charge that only ever reflects the period since acquisition, and the ratio is not a number about anything. All three are disclosed, so all three are checkable before the number is used. AND THE DISAGREEMENT ANNOUNCES ITSELF BEFORE THE NOTE DOES: compare the identity's implied life — depreciable gross cost over the charge — with the life the disclosed class rates weight to, and a large gap IS the accounts saying the charge is not cost over life. THE CHECK IS CIRCULAR WHERE A STUDY DERIVED ITS LIFE BY THE SAME IDENTITY, which is most of them, and saying so is part of running it — what does the work there is separate evidence that the charge is cost over life: a policy note writing off cost with no residual mentioned, a leg whose single disclosed life the identity reproduces, an implied life inside the disclosed range rather than outside it. AND THE ARITHMETIC IS NOT THE TEST, WHICH TOOK TWO MORE NAMES TO LEARN: SAVOLA's cross-check passes at 0.0% — it derived its life by the same identity — while its policy note says outright that the depreciable amount is cost LESS ITS RESIDUAL VALUE, and EMPOWER's age was APPLIED for part of a day before its own note was read and said the same thing. SIX OF THE EIGHT NAMES TRIED FAIL THIS CONDITION and two pass, so a measured age is the exception rather than the rule — and residual-value depreciation is the ORDINARY IFRS presentation, which is why. The two added 5 September 2026 could hardly be less alike and fail identically: ADNOCLS, an ocean fleet whose scrap steel is a real residual and whose salvage value is reassessed every year; and ADNOCDIST, a fuel-retail network whose residual is a piece of accounting policy and which QUANTIFIED its own break — a life revision on assets carrying AED 5.35bn that cut the year's charge by AED 90.9mn, 15.3% of it, applied prospectively, so the charge is not the one that produced the accumulated balance above it and the same column gives 10.47 years on the old basis against 12.07 on the new. BOROUGE IS SHARPER STILL because it quantified BOTH ends: a life extension of up to ten years applied prospectively FROM 1 JULY 2025, worth USD 90.3mn that year and an expected USD 179.2mn the next — almost exactly twice, which is what a half-year of it should be — so the same accumulated balance supports 14.98, 17.99 and about 22.42 years depending only on which charge is in the denominator. AMR fails on the residual clause alone with no reassessment, which is worth recording because it is the one case where the residual might genuinely be immaterial. AND THERE IS A JURISDICTIONAL PATTERN, offered as a hypothesis rather than a finding: the name the route has UNLOCKED discloses depreciation as RATES applied to cost with no residual mentioned, the Egyptian presentation, while all four that stopped on 5 September are UAE filers using the IFRS residual-value form. ONE name remains untested, AMOC, and it is Egyptian — so the hypothesis rests on four UAE failures against ONE Egyptian success with ONE test left, which is a thin basis and is stated as one. THAT NAME IS ALSO THE WARNING AGAINST TRUSTING THE ARITHMETIC: its naive age sits within three per cent of half its implied life in both years, the textbook signature of a base in steady state, and the agreement is worth nothing because both figures rest on the same broken charge. Read the note first; the arithmetic corroborates and only sometimes. And a safe error direction is not a reason to keep a number the accounts say is not measuring what it claims — EMPOWER's overstated age overstated maintenance and understated the value, and it was withdrawn anyway.</w:t>
      </w:r>
    </w:p>
    <w:p>
      <w:pPr>
        <w:spacing w:after="60"/>
        <w:ind w:left="283"/>
      </w:pPr>
      <w:r>
        <w:rPr>
          <w:b w:val="0"/>
          <w:i w:val="0"/>
          <w:color w:val="5B6570"/>
          <w:sz w:val="19"/>
        </w:rPr>
        <w:t>How we know.  AIRARABIA's identity-implied life came to 26.42 years against the 17.84 its own disclosed class lives weight to — 48% apart, which no rounding explains. Its policy note then says both things outright: depreciation writes off cost 'less their estimated residual values', and the group 'changed the estimated useful life applied to certain assets' during the year. The measured age of 14.32 years is therefore not that fleet's age, and applying it would have moved the study -9.7% on a terminal carrying 95% of enterprise value. Built, run, and NOT APPLIED. The three names that do carry the measured age all reproduce their adopted life to 0.0%, and that agreement proves nothing because they derived it the same way. MODON is the third condition and it is not close: AED 6,643,801 thousand of accumulated depreciation arrived through a 2024 business combination against that year's entire charge of 193,207 — THIRTY-FOUR TIMES IT — and the two acquisitions are 97% of the closing column. Its naive age reads 15.45 years against 0.46 net of the acquired history. The arithmetic cross-check DOES catch that one, at about -34%, as it catches AIRARABIA at +48%: it works where the adopted and implied lives came from different routes and fails where they did not.</w:t>
      </w:r>
    </w:p>
    <w:p>
      <w:pPr>
        <w:spacing w:after="160"/>
        <w:ind w:left="283"/>
      </w:pPr>
      <w:r>
        <w:rPr>
          <w:b w:val="0"/>
          <w:i w:val="0"/>
          <w:color w:val="5B6570"/>
          <w:sz w:val="19"/>
        </w:rPr>
        <w:t>What would overturn it.  A residual small enough to be immaterial, or a reassessment old enough that the base has turned over since — in which case the identity is usable again, though the POLICY NOTE and not the cross-check is what would say so.</w:t>
      </w:r>
    </w:p>
    <w:p>
      <w:pPr>
        <w:keepNext/>
        <w:spacing w:before="240" w:after="60"/>
      </w:pPr>
      <w:r>
        <w:rPr>
          <w:b/>
          <w:color w:val="1A1D21"/>
          <w:sz w:val="22"/>
        </w:rPr>
        <w:t>L-329  A SHARED MODULE'S CONVENTION ABOUT WHICH YEAR ITS INPUTS BELONG TO IS INVISIBLE AT THE CALL SITE, AND SIX OF EIGHT CALLERS GOT IT WRONG</w:t>
      </w:r>
    </w:p>
    <w:p>
      <w:pPr>
        <w:keepNext/>
        <w:spacing w:after="100"/>
      </w:pPr>
      <w:r>
        <w:rPr>
          <w:b/>
          <w:color w:val="1D6FA3"/>
          <w:sz w:val="16"/>
        </w:rPr>
        <w:t>EVERY STUDY</w:t>
      </w:r>
      <w:r>
        <w:rPr>
          <w:color w:val="5B6570"/>
          <w:sz w:val="16"/>
        </w:rPr>
        <w:t xml:space="preserve">   applies to every study   ·   learned from a found while building, The whole terminal rebuild programme, 4-5 September 2026</w:t>
      </w:r>
    </w:p>
    <w:p>
      <w:pPr>
        <w:spacing w:after="100"/>
      </w:pPr>
      <w:r>
        <w:rPr>
          <w:b w:val="0"/>
          <w:i w:val="0"/>
          <w:color w:val="1A1D21"/>
          <w:sz w:val="21"/>
        </w:rPr>
        <w:t>terminal_value.build() computes tv = fcff x (1+g) / (w - g), so the first perpetuity year sits in the NUMERATOR and the terminal is valued at the END of the last explicit year — which is where every caller discounts it. Its inputs must therefore be the LAST EXPLICIT YEAR's profit, book depreciation and working capital. Six of the eight studies using it handed over the year AFTER, already grown, and the module grew them again: every one of those terminals was overstated by exactly (1+g), from 2.0% in the pegged markets to 7.0% in Egypt. NOTHING COULD SEE IT. The module cannot — a number is a number and no signature distinguishes this year's profit from next year's. The recalculation gates cannot — the workbook reproduced the model to the cell, because the workbook was built from the same wrong inputs. The prose-figure gate cannot — every figure was computed. The terminal floor gate cannot — a terminal that is 7% too big still clears a floor that is 7% too big. WHAT FOUND IT WAS A COMMENT: one study's own code recorded that three independent critiques had found the identical defect in its hand-rolled terminal, and reading that comment is what prompted asking the same question of the shared module. THE RULE: where a function takes a QUANTITY THAT CARRIES A DATE, the date is part of the contract and belongs in the field name, the docstring and the field comment — not in the author's head. And a module whose arithmetic already applies the growth must SAY SO where the caller looks, because the caller is reading its own model, not the module's.</w:t>
      </w:r>
    </w:p>
    <w:p>
      <w:pPr>
        <w:spacing w:after="60"/>
        <w:ind w:left="283"/>
      </w:pPr>
      <w:r>
        <w:rPr>
          <w:b w:val="0"/>
          <w:i w:val="0"/>
          <w:color w:val="5B6570"/>
          <w:sz w:val="19"/>
        </w:rPr>
        <w:t>How we know.  Six of eight callers — RIYADHCABLE, SAVOLA, AIRARABIA, EMPOWER, DU, MODON — plus the unspent EGCH pricing. Every correction was DOWNWARD and every one was the same size: exactly (1+g) off the terminal, which on MODON took the central from 3.9119 to 3.8583 and on EGCH's unshipped pricing took the terminal from 25,524 to 23,854. Two of the eight were right, and both were right because their authors had been forced to think about the year explicitly for another reason. On MODON the defect survived a first pass: the base call site was corrected and the SENSITIVITY engine was not, so the grid was centred on a point the study does not publish, and the only thing that caught it was that study's own assertion that the grid must reproduce the base at the unshifted point.</w:t>
      </w:r>
    </w:p>
    <w:p>
      <w:pPr>
        <w:spacing w:after="160"/>
        <w:ind w:left="283"/>
      </w:pPr>
      <w:r>
        <w:rPr>
          <w:b w:val="0"/>
          <w:i w:val="0"/>
          <w:color w:val="5B6570"/>
          <w:sz w:val="19"/>
        </w:rPr>
        <w:t>What would overturn it.  A caller that legitimately strikes its terminal one year later and discounts it at that later factor — the convention is a pair, and only mixing the halves is wrong.</w:t>
      </w:r>
    </w:p>
    <w:p>
      <w:pPr>
        <w:keepNext/>
        <w:spacing w:before="240" w:after="60"/>
      </w:pPr>
      <w:r>
        <w:rPr>
          <w:b/>
          <w:color w:val="1A1D21"/>
          <w:sz w:val="22"/>
        </w:rPr>
        <w:t>L-330  A DEFECT CAN MANUFACTURE AGREEMENT AS EASILY AS DISAGREEMENT, AND AGREEMENT IS THE ONE NOBODY RE-CHECKS</w:t>
      </w:r>
    </w:p>
    <w:p>
      <w:pPr>
        <w:keepNext/>
        <w:spacing w:after="100"/>
      </w:pPr>
      <w:r>
        <w:rPr>
          <w:b/>
          <w:color w:val="1D6FA3"/>
          <w:sz w:val="16"/>
        </w:rPr>
        <w:t>EVERY STUDY</w:t>
      </w:r>
      <w:r>
        <w:rPr>
          <w:color w:val="5B6570"/>
          <w:sz w:val="16"/>
        </w:rPr>
        <w:t xml:space="preserve">   applies to every study   ·   learned from a found while building, EGCH's terminal evidence, restated 5 September 2026</w:t>
      </w:r>
    </w:p>
    <w:p>
      <w:pPr>
        <w:spacing w:after="100"/>
      </w:pPr>
      <w:r>
        <w:rPr>
          <w:b w:val="0"/>
          <w:i w:val="0"/>
          <w:color w:val="1A1D21"/>
          <w:sz w:val="21"/>
        </w:rPr>
        <w:t>Two independent routes landing on the same answer is the strongest corroboration this method has, and it is treated as such — which is exactly why it needs auditing at least as hard as a surprise does. A disagreement provokes investigation by itself; an agreement closes the question. So an error that happens to move one of the two numbers ONTO the other is not merely undetected, it is actively protected, and it gets written up as evidence. THE PRACTICAL FORM: when two routes agree closely, ask what would have to be true for them to agree, and check that it is — a shared input, a shared convention, or a coincidence in the size of the errors. Where they agree BECAUSE they share the thing under test, the agreement is a tautology wearing a corroboration's clothes.</w:t>
      </w:r>
    </w:p>
    <w:p>
      <w:pPr>
        <w:spacing w:after="60"/>
        <w:ind w:left="283"/>
      </w:pPr>
      <w:r>
        <w:rPr>
          <w:b w:val="0"/>
          <w:i w:val="0"/>
          <w:color w:val="5B6570"/>
          <w:sz w:val="19"/>
        </w:rPr>
        <w:t>How we know.  The evidence file reported the sanctioned terminal construction landing at 3.2905 against the study's own separately-priced alternative of 3.2396 — 1.6% apart, built months apart by different routes — and called it 'the strongest corroboration available and it was not looked for'. It was an artefact: the sanctioned figure carried the (1+g) growth-basis defect of L-329, and correcting it moved that number to 2.9877 while the study's own alternative, built inside the study's own correct convention, did not move at all. The two now differ by 8.4%. The corroboration survives in direction and not in force, and the reason it looked remarkable was an error running one way by 7%.</w:t>
      </w:r>
    </w:p>
    <w:p>
      <w:pPr>
        <w:spacing w:after="160"/>
        <w:ind w:left="283"/>
      </w:pPr>
      <w:r>
        <w:rPr>
          <w:b w:val="0"/>
          <w:i w:val="0"/>
          <w:color w:val="5B6570"/>
          <w:sz w:val="19"/>
        </w:rPr>
        <w:t>What would overturn it.  An agreement that holds after every shared input and shared convention between the two routes has been named and varied — which is the test that should have been run in the first place.</w:t>
      </w:r>
    </w:p>
    <w:p>
      <w:pPr>
        <w:keepNext/>
        <w:spacing w:before="240" w:after="60"/>
      </w:pPr>
      <w:r>
        <w:rPr>
          <w:b/>
          <w:color w:val="1A1D21"/>
          <w:sz w:val="22"/>
        </w:rPr>
        <w:t>L-331  A CORRECTION THAT MAKES A QUANTITY LOAD-BEARING MAKES EVERY ERROR IN THAT QUANTITY VISIBLE</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Under the retired terminal, book depreciation entered only through profit: overstate it and the value falls a little. Under the sanctioned one it is added back AND is the base of the replacement charge, so an overstated figure takes value out twice and the second bite is larger than the first. A defect that had sat in a delivered study through four editions and several rounds of outside critique became findable within an hour of the construction changing — not because anyone looked harder, but because the quantity started carrying weight. THE PRACTICAL FORM: when a rebuild promotes a number from a bit-part to a driver, re-derive that number from its own definition before trusting the rebuild. The question that finds it is the one the old construction never had to ask — here, 'what exactly should the depreciation add-back be?', which a model that never adds depreciation back has no occasion to pose.</w:t>
      </w:r>
    </w:p>
    <w:p>
      <w:pPr>
        <w:spacing w:after="60"/>
        <w:ind w:left="283"/>
      </w:pPr>
      <w:r>
        <w:rPr>
          <w:b w:val="0"/>
          <w:i w:val="0"/>
          <w:color w:val="5B6570"/>
          <w:sz w:val="19"/>
        </w:rPr>
        <w:t>How we know.  The explicit window depreciated a plant under construction as it was spent, so the last explicit year carried EGP 482mn of charge on the part in service; the terminal then charged the whole plant on top. Worth 30.4% of the equity — larger than the sanctioned terminal correction itself, which was 29.3% — and it survived the editions in which depreciation only depressed profit.</w:t>
      </w:r>
    </w:p>
    <w:p>
      <w:pPr>
        <w:spacing w:after="160"/>
        <w:ind w:left="283"/>
      </w:pPr>
      <w:r>
        <w:rPr>
          <w:b w:val="0"/>
          <w:i w:val="0"/>
          <w:color w:val="5B6570"/>
          <w:sz w:val="19"/>
        </w:rPr>
        <w:t>What would overturn it.  A rebuild that promotes a quantity and finds no error in it. That is the ordinary case and it is worth recording when it happens, because this lesson otherwise only ever gets confirming evidence.</w:t>
      </w:r>
    </w:p>
    <w:p>
      <w:pPr>
        <w:keepNext/>
        <w:spacing w:before="240" w:after="60"/>
      </w:pPr>
      <w:r>
        <w:rPr>
          <w:b/>
          <w:color w:val="1A1D21"/>
          <w:sz w:val="22"/>
        </w:rPr>
        <w:t>L-332  WHERE TWO BRANCHES OF ONE MODEL DO THE SAME STEP DIFFERENTLY, THE DISCREPANCY IS THE FINDING</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A study publishing two scenarios should differ between them in exactly the thing the scenarios are about, and in nothing else. So a step that one branch performs and the other does not is either a real economic difference — which must be stated — or a defect in one of them, and the branch that does MORE work is usually the right one, because somebody had to think about that branch to write it. THE CHEAP TEST: put the two branches' formulas for the shared steps side by side and require them to be IDENTICAL. Anything that is not identical is either named as the scenario's own difference or is a bug, and there is no third case.</w:t>
      </w:r>
    </w:p>
    <w:p>
      <w:pPr>
        <w:spacing w:after="60"/>
        <w:ind w:left="283"/>
      </w:pPr>
      <w:r>
        <w:rPr>
          <w:b w:val="0"/>
          <w:i w:val="0"/>
          <w:color w:val="5B6570"/>
          <w:sz w:val="19"/>
        </w:rPr>
        <w:t>How we know.  The programme-stopped branch stripped the project's in-service depreciation before grossing the last explicit year; the carried-through branch did not, and charged that depreciation twice. The stopped branch had been written later and more carefully, and it was right. Corrected, both branches carry the IDENTICAL year-five formula and differ only in the project's own revenue, profit and depreciation — which is what the difference between them is supposed to be, and the identity of the two formulas is now itself the check.</w:t>
      </w:r>
    </w:p>
    <w:p>
      <w:pPr>
        <w:spacing w:after="160"/>
        <w:ind w:left="283"/>
      </w:pPr>
      <w:r>
        <w:rPr>
          <w:b w:val="0"/>
          <w:i w:val="0"/>
          <w:color w:val="5B6570"/>
          <w:sz w:val="19"/>
        </w:rPr>
        <w:t>What would overturn it.  A pair of branches whose shared steps legitimately differ — which happens where a scenario changes the accounting rather than the economics — in which case the difference is stated in the record and this test is run against the statement instead of against identity.</w:t>
      </w:r>
    </w:p>
    <w:p>
      <w:pPr>
        <w:keepNext/>
        <w:spacing w:before="240" w:after="60"/>
      </w:pPr>
      <w:r>
        <w:rPr>
          <w:b/>
          <w:color w:val="1A1D21"/>
          <w:sz w:val="22"/>
        </w:rPr>
        <w:t>L-333  A FIGURE REMEMBERED THROUGH A RATIO IN PROSE IS NOT A FIGURE YOU HOLD, AND WRITING IT DOWN AGAIN IS FABRICATION</w:t>
      </w:r>
    </w:p>
    <w:p>
      <w:pPr>
        <w:keepNext/>
        <w:spacing w:after="100"/>
      </w:pPr>
      <w:r>
        <w:rPr>
          <w:b/>
          <w:color w:val="1D6FA3"/>
          <w:sz w:val="16"/>
        </w:rPr>
        <w:t>EVERY STUDY</w:t>
      </w:r>
      <w:r>
        <w:rPr>
          <w:color w:val="5B6570"/>
          <w:sz w:val="16"/>
        </w:rPr>
        <w:t xml:space="preserve">   applies to every study   ·   learned from a self-audit, the EGCH terminal rebuild, caught in its own commit, 5 September 2026</w:t>
      </w:r>
    </w:p>
    <w:p>
      <w:pPr>
        <w:spacing w:after="100"/>
      </w:pPr>
      <w:r>
        <w:rPr>
          <w:b w:val="0"/>
          <w:i w:val="0"/>
          <w:color w:val="1A1D21"/>
          <w:sz w:val="21"/>
        </w:rPr>
        <w:t>An internal evidence note recorded a corroboration as a computed ratio — 'the prior year's column says the same thing, life 26.14 and age 4.14'. Registering that corroboration in the study's own input register needs the two FIGURES behind the ratio, and they were not in the note; only the ratio was. Reconstructing them from the ratio would produce numbers that look exactly like read figures, foot against each other perfectly, and carry a source field naming a filing nobody re-opened. SIGCM clause 1 forbids it and the reason is not pedantry: the fabricated cell is invisible afterwards precisely BECAUSE it was derived from something true. The rule: a prose record proves that a reading happened, never what was read. To register a figure, re-read it or leave it out and shorten the claim.</w:t>
      </w:r>
    </w:p>
    <w:p>
      <w:pPr>
        <w:spacing w:after="60"/>
        <w:ind w:left="283"/>
      </w:pPr>
      <w:r>
        <w:rPr>
          <w:b w:val="0"/>
          <w:i w:val="0"/>
          <w:color w:val="5B6570"/>
          <w:sz w:val="19"/>
        </w:rPr>
        <w:t>How we know.  A prior-year accumulated-depreciation figure was typed into the input register to carry a cross-check the evidence file had recorded as a ratio. It was removed in the same session before it was committed, and the cross-check now lives only in the internal evidence file where it was actually measured. The study's claim is one year shorter and true.</w:t>
      </w:r>
    </w:p>
    <w:p>
      <w:pPr>
        <w:spacing w:after="160"/>
        <w:ind w:left="283"/>
      </w:pPr>
      <w:r>
        <w:rPr>
          <w:b w:val="0"/>
          <w:i w:val="0"/>
          <w:color w:val="5B6570"/>
          <w:sz w:val="19"/>
        </w:rPr>
        <w:t>What would overturn it.  Nothing overturns it; what LIMITS it is that a prose record written with the figures in it is a perfectly good source for them — which is the argument for writing evidence notes with the numbers rather than with the conclusions.</w:t>
      </w:r>
    </w:p>
    <w:p>
      <w:pPr>
        <w:keepNext/>
        <w:spacing w:before="240" w:after="60"/>
      </w:pPr>
      <w:r>
        <w:rPr>
          <w:b/>
          <w:color w:val="1A1D21"/>
          <w:sz w:val="22"/>
        </w:rPr>
        <w:t>L-334  A CLAIM ABOUT A POPULATION MADE FROM THE SHAPE OF THE PROBLEM IS A GUESS, AND IT READS EXACTLY LIKE A MEASUREMENT</w:t>
      </w:r>
    </w:p>
    <w:p>
      <w:pPr>
        <w:keepNext/>
        <w:spacing w:after="100"/>
      </w:pPr>
      <w:r>
        <w:rPr>
          <w:b/>
          <w:color w:val="1D6FA3"/>
          <w:sz w:val="16"/>
        </w:rPr>
        <w:t>EVERY STUDY</w:t>
      </w:r>
      <w:r>
        <w:rPr>
          <w:color w:val="5B6570"/>
          <w:sz w:val="16"/>
        </w:rPr>
        <w:t xml:space="preserve">   applies to every study   ·   learned from a self-audit, three population claims in one night, 5 September 2026</w:t>
      </w:r>
    </w:p>
    <w:p>
      <w:pPr>
        <w:spacing w:after="100"/>
      </w:pPr>
      <w:r>
        <w:rPr>
          <w:b w:val="0"/>
          <w:i w:val="0"/>
          <w:color w:val="1A1D21"/>
          <w:sz w:val="21"/>
        </w:rPr>
        <w:t>The dangerous ones are not wild guesses; they are the plausible summaries a competent reading of the situation produces — 'the causes split three ways', 'both remaining names are Egyptian', 'these studies still carry the retired blend'. Each is the kind of sentence somebody writes to organise their own thinking and then leaves in a commit message, a state file or a standing lesson, where the next reader takes it for something that was counted. THE TEST IS MECHANICAL AND CHEAP: before a sentence naming a set, a count or a shared cause goes anywhere durable, OPEN THE FILES AND COUNT. On the cases that produced this lesson it took five minutes each and the guesses were wrong every time. AND WHEN ONE IS FOUND WRONG, CORRECT THE STRENGTH OF THE CLAIM AND NOT ONLY ITS ARITHMETIC — a hypothesis resting on four failures against one success with one test left is a different object from the same sentence with the count patched.</w:t>
      </w:r>
    </w:p>
    <w:p>
      <w:pPr>
        <w:spacing w:after="60"/>
        <w:ind w:left="283"/>
      </w:pPr>
      <w:r>
        <w:rPr>
          <w:b w:val="0"/>
          <w:i w:val="0"/>
          <w:color w:val="5B6570"/>
          <w:sz w:val="19"/>
        </w:rPr>
        <w:t>How we know.  (1) 'Two names remain on the retired construction and both are Egyptian' — wrong in both halves: one remained, and the other was a UAE filer, which also thinned the jurisdictional hypothesis the sentence was supporting. (2) 'The seven unreadable studies split three ways and some fixes are cheap' — the filename and dict-shape causes were real and NEITHER WAS SUFFICIENT; underneath, all seven need a valuation decision. (3) 'AMR and probably ADNOCDIST, ADNOCDRILL and BOROUGE carry the retired blend' — right for one, wrong for two, which carry a dual framing and a published range instead. Every one was written before the files were opened, and every one was corrected by opening them.</w:t>
      </w:r>
    </w:p>
    <w:p>
      <w:pPr>
        <w:spacing w:after="160"/>
        <w:ind w:left="283"/>
      </w:pPr>
      <w:r>
        <w:rPr>
          <w:b w:val="0"/>
          <w:i w:val="0"/>
          <w:color w:val="5B6570"/>
          <w:sz w:val="19"/>
        </w:rPr>
        <w:t>What would overturn it.  Nothing overturns it. What limits it is that a guess EXPLICITLY labelled as one, in a place that expects hypotheses, is a legitimate and useful thing to write down — the offence is the guess that travels into a durable record wearing a measurement's clothes.</w:t>
      </w:r>
    </w:p>
    <w:p>
      <w:pPr>
        <w:keepNext/>
        <w:spacing w:before="240" w:after="60"/>
      </w:pPr>
      <w:r>
        <w:rPr>
          <w:b/>
          <w:color w:val="1A1D21"/>
          <w:sz w:val="22"/>
        </w:rPr>
        <w:t>L-335  OPENING THE FILE IS NOT THE CHECK; THE CHECK IS NOT STOPPING AT THE FIRST READING THAT FITS</w:t>
      </w:r>
    </w:p>
    <w:p>
      <w:pPr>
        <w:keepNext/>
        <w:spacing w:after="100"/>
      </w:pPr>
      <w:r>
        <w:rPr>
          <w:b/>
          <w:color w:val="1D6FA3"/>
          <w:sz w:val="16"/>
        </w:rPr>
        <w:t>EVERY STUDY</w:t>
      </w:r>
      <w:r>
        <w:rPr>
          <w:color w:val="5B6570"/>
          <w:sz w:val="16"/>
        </w:rPr>
        <w:t xml:space="preserve">   applies to every study   ·   learned from a self-audit, the unreadable-studies diagnosis, three wrong versions, 5 September 2026</w:t>
      </w:r>
    </w:p>
    <w:p>
      <w:pPr>
        <w:spacing w:after="100"/>
      </w:pPr>
      <w:r>
        <w:rPr>
          <w:b w:val="0"/>
          <w:i w:val="0"/>
          <w:color w:val="1A1D21"/>
          <w:sz w:val="21"/>
        </w:rPr>
        <w:t>[L-334] says to open the files before writing a sentence that names a set. Within the hour of registering it I did open a file, read its top-level keys, found two fields called centre_A and centre_B, and wrote that the study 'carries two decided centres — a dual framing, not a blend, and it needs no valuation judgement at all'. Each centre was a typed four-lens weighted blend, and the weights were one level down in a field called items_A. THE READING WAS COHERENT, FITTED EVERY FACT IN VIEW, AND WAS WRONG — which is what makes this distinct from not looking. A partial reading does not feel partial; it feels like understanding, and the feeling arrives at exactly the moment the first consistent story forms. THE PRACTICAL FORM: when a structure is about to be characterised — 'this is a blend', 'these are branches', 'this is a range' — follow it to the LEAF that carries the arithmetic, and name that leaf in whatever is written. A claim that cites a line number cannot be made from the top-level keys.</w:t>
      </w:r>
    </w:p>
    <w:p>
      <w:pPr>
        <w:spacing w:after="60"/>
        <w:ind w:left="283"/>
      </w:pPr>
      <w:r>
        <w:rPr>
          <w:b w:val="0"/>
          <w:i w:val="0"/>
          <w:color w:val="5B6570"/>
          <w:sz w:val="19"/>
        </w:rPr>
        <w:t>How we know.  The corrected note names the exact line or field carrying each study's construction — lenses.items_A, fair_value.weights, compute.py:722, compute.py:505, compute.py:258-260, stc_compute.py:277, lenses.weights — and writing that column is what forced every row to be verified rather than inferred. It also overturned the note's own structure: all seven studies turned out to carry the same defect, so the 'ordered by what each needs' sequencing rested on a distinction that does not exist. THE CITATION COLUMN IS THE INSTRUMENT, not the discipline of the person filling it in.</w:t>
      </w:r>
    </w:p>
    <w:p>
      <w:pPr>
        <w:spacing w:after="160"/>
        <w:ind w:left="283"/>
      </w:pPr>
      <w:r>
        <w:rPr>
          <w:b w:val="0"/>
          <w:i w:val="0"/>
          <w:color w:val="5B6570"/>
          <w:sz w:val="19"/>
        </w:rPr>
        <w:t>What would overturn it.  A structure genuinely characterisable from its top level — which exists, and is why this is a habit rather than a bar: the test is whether the characterisation could be WRONG one level down, and if it could, go there.</w:t>
      </w:r>
    </w:p>
    <w:p>
      <w:pPr>
        <w:keepNext/>
        <w:spacing w:before="240" w:after="60"/>
      </w:pPr>
      <w:r>
        <w:rPr>
          <w:b/>
          <w:color w:val="1A1D21"/>
          <w:sz w:val="22"/>
        </w:rPr>
        <w:t>L-336  A SHARED INSTRUMENT IS ONLY SHARED IF SOMEBODY RUNS IT, AND THE HAND LIST WINS BECAUSE IT IS FASTER TO TYPE</w:t>
      </w:r>
    </w:p>
    <w:p>
      <w:pPr>
        <w:keepNext/>
        <w:spacing w:after="100"/>
      </w:pPr>
      <w:r>
        <w:rPr>
          <w:b/>
          <w:color w:val="1D6FA3"/>
          <w:sz w:val="16"/>
        </w:rPr>
        <w:t>EVERY STUDY</w:t>
      </w:r>
      <w:r>
        <w:rPr>
          <w:color w:val="5B6570"/>
          <w:sz w:val="16"/>
        </w:rPr>
        <w:t xml:space="preserve">   applies to every study   ·   learned from a self-audit, the BOROUGE push, caught by CI rather than by the sweep that preceded it, 5 September 2026</w:t>
      </w:r>
    </w:p>
    <w:p>
      <w:pPr>
        <w:spacing w:after="100"/>
      </w:pPr>
      <w:r>
        <w:rPr>
          <w:b w:val="0"/>
          <w:i w:val="0"/>
          <w:color w:val="1A1D21"/>
          <w:sz w:val="21"/>
        </w:rPr>
        <w:t>scripts/run_ci_gates.py exists precisely so a local sweep cannot drift from CI: it parses the workflow YAML and runs every step it finds, and its own docstring records the day somebody reported every gate green off a hand-maintained list while CI had been red for a day. Two days later this session did the identical thing — swept twenty-one check scripts named from memory, reported every one green, and pushed. CI was red on engine/fv_movement.py check, which is a workflow step rather than a scripts/check_*.py file and therefore invisible to a list built by guessing at filenames; two of the guessed names did not even exist and were reported as absent rather than as a hole in the sweep. The register was genuinely behind: a study had been rebuilt and its recorded branches never updated. The instrument was in the repository, was correct, was built for this exact failure, and was not run.</w:t>
      </w:r>
    </w:p>
    <w:p>
      <w:pPr>
        <w:spacing w:after="60"/>
        <w:ind w:left="283"/>
      </w:pPr>
      <w:r>
        <w:rPr>
          <w:b w:val="0"/>
          <w:i w:val="0"/>
          <w:color w:val="5B6570"/>
          <w:sz w:val="19"/>
        </w:rPr>
        <w:t>How we know.  The hand sweep reported 21 of 21 green and named two scripts that do not exist. CI ran two jobs and both failed on the same step, which the hand sweep never contained. Running scripts/run_ci_gates.py on the workflow reproduces the failure without a push.</w:t>
      </w:r>
    </w:p>
    <w:p>
      <w:pPr>
        <w:spacing w:after="160"/>
        <w:ind w:left="283"/>
      </w:pPr>
      <w:r>
        <w:rPr>
          <w:b w:val="0"/>
          <w:i w:val="0"/>
          <w:color w:val="5B6570"/>
          <w:sz w:val="19"/>
        </w:rPr>
        <w:t>What would overturn it.  Nothing overturns it. What would BLUNT it is a runner that cannot execute a workflow's steps locally at all — then the hand list is the only instrument there is, and the honest report says which population it covered rather than 'every gate'.</w:t>
      </w:r>
    </w:p>
    <w:p>
      <w:pPr>
        <w:keepNext/>
        <w:spacing w:before="240" w:after="60"/>
      </w:pPr>
      <w:r>
        <w:rPr>
          <w:b/>
          <w:color w:val="1A1D21"/>
          <w:sz w:val="22"/>
        </w:rPr>
        <w:t>L-337  A TAXONOMY KEYED ON WHAT SOMETHING IS CALLED WILL REFUSE AN ANSWER IT ALREADY HOLDS</w:t>
      </w:r>
    </w:p>
    <w:p>
      <w:pPr>
        <w:keepNext/>
        <w:spacing w:after="100"/>
      </w:pPr>
      <w:r>
        <w:rPr>
          <w:b/>
          <w:color w:val="1D6FA3"/>
          <w:sz w:val="16"/>
        </w:rPr>
        <w:t>EVERY STUDY</w:t>
      </w:r>
      <w:r>
        <w:rPr>
          <w:color w:val="5B6570"/>
          <w:sz w:val="16"/>
        </w:rPr>
        <w:t xml:space="preserve">   applies to every study   ·   learned from a found while building, GBCO read against research_protocol.LENS_REGISTRY, 5 September 2026</w:t>
      </w:r>
    </w:p>
    <w:p>
      <w:pPr>
        <w:spacing w:after="100"/>
      </w:pPr>
      <w:r>
        <w:rPr>
          <w:b w:val="0"/>
          <w:i w:val="0"/>
          <w:color w:val="1A1D21"/>
          <w:sz w:val="21"/>
        </w:rPr>
        <w:t>The lens registry is a closed enumeration keyed on industry names, and what it stores against each name is a LENS SET. Nine studies now cannot publish a lens record, and the sharpest of them is the one where the registry already contains the right answer: GB Corp is valued on split legs with a sum-of-the-parts primary and a relative multiple and book beside it, which is EXACTLY the set stored under 'holding company' — and it may not use that row, because GB Corp is an auto assembler with a captive lender and a holding company IS its stakes. The refusal is on the row's NAME and on nothing else. Where the key and the payload answer different questions, every new case is either a new key for a payload that already exists or a subject filed under the wrong name, and neither is a taxonomy.</w:t>
      </w:r>
    </w:p>
    <w:p>
      <w:pPr>
        <w:spacing w:after="60"/>
        <w:ind w:left="283"/>
      </w:pPr>
      <w:r>
        <w:rPr>
          <w:b w:val="0"/>
          <w:i w:val="0"/>
          <w:color w:val="5B6570"/>
          <w:sz w:val="19"/>
        </w:rPr>
        <w:t>How we know.  Thirteen rows; three of them store an identical lens set under three industry names. Of the nine names blocked, not one needs a lens the registry lacks. GBCO needs a set the registry stores once, under a name that is a real and different subject.</w:t>
      </w:r>
    </w:p>
    <w:p>
      <w:pPr>
        <w:spacing w:after="160"/>
        <w:ind w:left="283"/>
      </w:pPr>
      <w:r>
        <w:rPr>
          <w:b w:val="0"/>
          <w:i w:val="0"/>
          <w:color w:val="5B6570"/>
          <w:sz w:val="19"/>
        </w:rPr>
        <w:t>What would overturn it.  It is overturned if a blocked name turns up needing a LENS the registry does not hold — that would be a genuine gap in coverage rather than in naming, and the fix would be a new row rather than a renamed one. EMPOWER is the near miss: its blend carries a normalised-earnings lens that appears in no row, and that lens has to GO rather than be added, so it does not overturn this.</w:t>
      </w:r>
    </w:p>
    <w:p>
      <w:pPr>
        <w:keepNext/>
        <w:spacing w:before="240" w:after="60"/>
      </w:pPr>
      <w:r>
        <w:rPr>
          <w:b/>
          <w:color w:val="1A1D21"/>
          <w:sz w:val="22"/>
        </w:rPr>
        <w:t>L-338  THE RATIO THAT SAYS WHETHER A BASE IS OLD NEEDS NO DEPRECIATION CHARGE, WHICH IS WHY IT SURVIVES A CONTAMINATED ONE</w:t>
      </w:r>
    </w:p>
    <w:p>
      <w:pPr>
        <w:keepNext/>
        <w:spacing w:after="100"/>
      </w:pPr>
      <w:r>
        <w:rPr>
          <w:b/>
          <w:color w:val="1D6FA3"/>
          <w:sz w:val="16"/>
        </w:rPr>
        <w:t>EVERY STUDY</w:t>
      </w:r>
      <w:r>
        <w:rPr>
          <w:color w:val="5B6570"/>
          <w:sz w:val="16"/>
        </w:rPr>
        <w:t xml:space="preserve">   applies to every study   ·   learned from a found while building, the STC terminal evidence, 5 September 2026</w:t>
      </w:r>
    </w:p>
    <w:p>
      <w:pPr>
        <w:spacing w:after="100"/>
      </w:pPr>
      <w:r>
        <w:rPr>
          <w:b w:val="0"/>
          <w:i w:val="0"/>
          <w:color w:val="1A1D21"/>
          <w:sz w:val="21"/>
        </w:rPr>
        <w:t>Both identities used to age a fixed-asset base divide by the YEAR'S CHARGE — gross cost over charge gives the weighted life, accumulated over charge gives the charge-weighted age — and in most filings that line reads 'depreciation AND IMPAIRMENT' with no split disclosed, so both quantities carry whatever impairment is inside it. The DEPRECIATED SHARE, accumulated depreciation over depreciable gross cost, has no charge in it at all. It answers the question the terminal actually turns on — is this base young or old — and it is immune to the contamination, because the impairment sits in both columns of the roll-forward rather than in the ratio between them. Where the charge is contaminated, say so and give the direction, and lead with the ratio that is not.</w:t>
      </w:r>
    </w:p>
    <w:p>
      <w:pPr>
        <w:spacing w:after="60"/>
        <w:ind w:left="283"/>
      </w:pPr>
      <w:r>
        <w:rPr>
          <w:b w:val="0"/>
          <w:i w:val="0"/>
          <w:color w:val="5B6570"/>
          <w:sz w:val="19"/>
        </w:rPr>
        <w:t>How we know.  STC's note reads 'Depreciation and impairment' with no split. The implied life moves from 20.86 to 22.12 years and the measured age from 15.23 to 16.15 depending which of the two disclosed charge figures is used — about 6% on each — while the depreciated share is 73.0% on either, because the charge cancels. The direction is knowable too: impairment inside the charge shortens both, which understates the escalation to current cost, which understates maintenance, which overstates value.</w:t>
      </w:r>
    </w:p>
    <w:p>
      <w:pPr>
        <w:spacing w:after="160"/>
        <w:ind w:left="283"/>
      </w:pPr>
      <w:r>
        <w:rPr>
          <w:b w:val="0"/>
          <w:i w:val="0"/>
          <w:color w:val="5B6570"/>
          <w:sz w:val="19"/>
        </w:rPr>
        <w:t>What would overturn it.  It is overturned where impairment is written off against the COST column rather than the accumulated column, which some presentations do — then the depreciated share moves with the impairment as well and the immunity is gone. Read which column the roll-forward puts it in before relying on this.</w:t>
      </w:r>
    </w:p>
    <w:p>
      <w:pPr>
        <w:keepNext/>
        <w:spacing w:before="240" w:after="60"/>
      </w:pPr>
      <w:r>
        <w:rPr>
          <w:b/>
          <w:color w:val="1A1D21"/>
          <w:sz w:val="22"/>
        </w:rPr>
        <w:t>L-339  A BLOCKER RECORDED INSIDE A STUDY'S OWN ARTEFACT IS RE-CHECKED BY NOTHING, AND IT GOES ON ASKING AFTER IT HAS BEEN ANSWERED</w:t>
      </w:r>
    </w:p>
    <w:p>
      <w:pPr>
        <w:keepNext/>
        <w:spacing w:after="100"/>
      </w:pPr>
      <w:r>
        <w:rPr>
          <w:b/>
          <w:color w:val="1D6FA3"/>
          <w:sz w:val="16"/>
        </w:rPr>
        <w:t>EVERY STUDY</w:t>
      </w:r>
      <w:r>
        <w:rPr>
          <w:color w:val="5B6570"/>
          <w:sz w:val="16"/>
        </w:rPr>
        <w:t xml:space="preserve">   applies to every study   ·   learned from a found while building, GBCO and STC read to the leaf, 5 September 2026</w:t>
      </w:r>
    </w:p>
    <w:p>
      <w:pPr>
        <w:spacing w:after="100"/>
      </w:pPr>
      <w:r>
        <w:rPr>
          <w:b w:val="0"/>
          <w:i w:val="0"/>
          <w:color w:val="1A1D21"/>
          <w:sz w:val="21"/>
        </w:rPr>
        <w:t>[R-IND-01] made a question to the principal an ARTEFACT rather than a message, and its gate re-checks every open entry against every live ref precisely so an entry cannot go on asking for something already supplied. That polices the escalation REGISTER. A blocker written into a study's own JSON is outside it: nothing globs for one, nothing re-tests its resolving condition, and it reads as current for as long as it sits there. Two studies carried the identical field — 'this market's own sovereign default spread, on both bases, read fresh from the original source; not reconstructed from memory: stop and inform' — and a rule adopted three days earlier had put exactly those figures in the house macro path for every market. Where a process records that it is waiting for something, the record has to be somewhere a checker can find it, or the waiting is permanent.</w:t>
      </w:r>
    </w:p>
    <w:p>
      <w:pPr>
        <w:spacing w:after="60"/>
        <w:ind w:left="283"/>
      </w:pPr>
      <w:r>
        <w:rPr>
          <w:b w:val="0"/>
          <w:i w:val="0"/>
          <w:color w:val="5B6570"/>
          <w:sz w:val="19"/>
        </w:rPr>
        <w:t>How we know.  A sweep of every JSON in every study directory for a field naming a blocker returns exactly two, both wacc_reissue_blocked_on, both asking for a sovereign default spread. engine/macro_paths/EG.json carries Egypt's at 6.37% rating and 3.41% market; SA.json carries Saudi Arabia's at 0.51% and 0.98%. Both were sourced and dated on 2-3 September; both blockers were written in July and August.</w:t>
      </w:r>
    </w:p>
    <w:p>
      <w:pPr>
        <w:spacing w:after="160"/>
        <w:ind w:left="283"/>
      </w:pPr>
      <w:r>
        <w:rPr>
          <w:b w:val="0"/>
          <w:i w:val="0"/>
          <w:color w:val="5B6570"/>
          <w:sz w:val="19"/>
        </w:rPr>
        <w:t>What would overturn it.  It is overturned by a checker that reads study artefacts for blocker fields and re-tests each one — which is the obvious fix and is not made here, because two instances is a thin population to design a gate against and the cheaper move is to write blockers into the escalation register, where a gate already exists.</w:t>
      </w:r>
    </w:p>
    <w:p>
      <w:pPr>
        <w:keepNext/>
        <w:spacing w:before="240" w:after="60"/>
      </w:pPr>
      <w:r>
        <w:rPr>
          <w:b/>
          <w:color w:val="1A1D21"/>
          <w:sz w:val="22"/>
        </w:rPr>
        <w:t>L-340  A GATE'S POPULATION IS DEFINED BY A SHAPE AND THE THING IT GOVERNS KEEPS ARRIVING IN ANOTHER ONE</w:t>
      </w:r>
    </w:p>
    <w:p>
      <w:pPr>
        <w:keepNext/>
        <w:spacing w:after="100"/>
      </w:pPr>
      <w:r>
        <w:rPr>
          <w:b/>
          <w:color w:val="1D6FA3"/>
          <w:sz w:val="16"/>
        </w:rPr>
        <w:t>EVERY STUDY</w:t>
      </w:r>
      <w:r>
        <w:rPr>
          <w:color w:val="5B6570"/>
          <w:sz w:val="16"/>
        </w:rPr>
        <w:t xml:space="preserve">   applies to every study   ·   learned from a self-audit, the terminal, band-vocabulary and exemplar-debt gates, all found on 5 September 2026</w:t>
      </w:r>
    </w:p>
    <w:p>
      <w:pPr>
        <w:spacing w:after="100"/>
      </w:pPr>
      <w:r>
        <w:rPr>
          <w:b w:val="0"/>
          <w:i w:val="0"/>
          <w:color w:val="1A1D21"/>
          <w:sz w:val="21"/>
        </w:rPr>
        <w:t>Three gates were found blind on one night, each for the same reason and none of them for a reason anyone would call carelessness. The 1/g terminal gate sorted studies into `unreadable` and `scored` and never named the state between them — the terminal resolves, the charge does not — so four studies sat in a bucket nothing reported, one of them carrying the retired construction in plain sight in its own compute.py. The verdict-vocabulary gate holds a list of banned phrasings, was widened two days earlier with a comment saying a rule like this 'is not enforced by banning the word people happened to use for it last time', and was then defeated by a HYPHEN: it looks for 'random walk' and three delivered documents wrote 'random-walk benchmark' and 'no-information benchmark'. The exemplar-debt gate matched a ratchet entry only as a list item equal to a ticker, while three ratchets store their entries as a dict keyed by ticker and two as document paths — so the gate whose whole purpose is to notice the exemplar acquiring debt reported one entry where there were five. IN EVERY CASE THE RULE WAS RIGHT, THE CODE WAS CORRECT FOR WHAT IT LOOKED AT, AND THE POPULATION WAS A GUESS ABOUT WHAT THE WORLD WOULD LOOK LIKE. Where a gate enumerates, enumerate the SHAPES the thing actually arrives in, and make the residue a named bucket rather than an absence.</w:t>
      </w:r>
    </w:p>
    <w:p>
      <w:pPr>
        <w:spacing w:after="60"/>
        <w:ind w:left="283"/>
      </w:pPr>
      <w:r>
        <w:rPr>
          <w:b w:val="0"/>
          <w:i w:val="0"/>
          <w:color w:val="5B6570"/>
          <w:sz w:val="19"/>
        </w:rPr>
        <w:t>How we know.  check_terminal_floor: 24 directories, 20 readable, 16 scored, and the missing 4 reported nowhere. check_band_vocabulary: 3 delivered documents publishing the retired skill verdict, one of them the exemplar, none matched. check_exemplar_debt: 1 entry reported against 5 on disk, and the rule's own adoption note records 8.</w:t>
      </w:r>
    </w:p>
    <w:p>
      <w:pPr>
        <w:spacing w:after="160"/>
        <w:ind w:left="283"/>
      </w:pPr>
      <w:r>
        <w:rPr>
          <w:b w:val="0"/>
          <w:i w:val="0"/>
          <w:color w:val="5B6570"/>
          <w:sz w:val="19"/>
        </w:rPr>
        <w:t>What would overturn it.  It is overturned where a residue is genuinely empty by construction and can be proved so — then naming the bucket adds a line nobody reads. What does NOT overturn it is a residue that happens to be empty today, which is the state every one of these three was in on the day it was written.</w:t>
      </w:r>
    </w:p>
    <w:p>
      <w:pPr>
        <w:keepNext/>
        <w:spacing w:before="240" w:after="60"/>
      </w:pPr>
      <w:r>
        <w:rPr>
          <w:b/>
          <w:color w:val="1A1D21"/>
          <w:sz w:val="22"/>
        </w:rPr>
        <w:t>L-341  TAKING THE SHARED INSTRUMENT IS WHAT HID THE GATE FROM THE META-CHECK, AND THE ADVICE WAS STILL RIGHT</w:t>
      </w:r>
    </w:p>
    <w:p>
      <w:pPr>
        <w:keepNext/>
        <w:spacing w:after="100"/>
      </w:pPr>
      <w:r>
        <w:rPr>
          <w:b/>
          <w:color w:val="1D6FA3"/>
          <w:sz w:val="16"/>
        </w:rPr>
        <w:t>EVERY STUDY</w:t>
      </w:r>
      <w:r>
        <w:rPr>
          <w:color w:val="5B6570"/>
          <w:sz w:val="16"/>
        </w:rPr>
        <w:t xml:space="preserve">   applies to every study   ·   learned from a self-audit, the new-study gauntlet, 5 September 2026</w:t>
      </w:r>
    </w:p>
    <w:p>
      <w:pPr>
        <w:spacing w:after="100"/>
      </w:pPr>
      <w:r>
        <w:rPr>
          <w:b w:val="0"/>
          <w:i w:val="0"/>
          <w:color w:val="1A1D21"/>
          <w:sz w:val="21"/>
        </w:rPr>
        <w:t>The new-study gauntlet decides which gates it must hold against an empty study directory by scanning each gate's own SOURCE for a study path — a rule its own comment already widened once, when five gates turned out to construct the path rather than glob it. One gate defeated even that, and for the best possible reason: it hands its population to a shared census module, so the glob lives there and its own source carried no study path at all. IT HAS RUN OVER EVERY STUDY DIRECTORY SINCE THE DAY IT WAS WRITTEN AND THE GAUNTLET HAD NEVER TESTED IT. What surfaced it was luck: an unrelated comment added to that gate for another reason happened to name a study path, and the gauntlet went red the next time it ran. THE TENSION IS REAL AND THE RESOLUTION IS NOT TO STOP SHARING: a detector that reads only the caller punishes exactly the behaviour this house asks for — import the shared instrument rather than hand-rolling one. So the detector follows first-party imports one level down, and a gate that delegates its population is still a gate over that population.</w:t>
      </w:r>
    </w:p>
    <w:p>
      <w:pPr>
        <w:spacing w:after="60"/>
        <w:ind w:left="283"/>
      </w:pPr>
      <w:r>
        <w:rPr>
          <w:b w:val="0"/>
          <w:i w:val="0"/>
          <w:color w:val="5B6570"/>
          <w:sz w:val="19"/>
        </w:rPr>
        <w:t>How we know.  The gauntlet reported 28 of 28 gates refusing a new study while a 29th, running over every study directory through an imported census, was named in none of its three lists. With the study-path comments stripped out of that gate's source, the widened import route still detects it; the literal scan does not.</w:t>
      </w:r>
    </w:p>
    <w:p>
      <w:pPr>
        <w:spacing w:after="160"/>
        <w:ind w:left="283"/>
      </w:pPr>
      <w:r>
        <w:rPr>
          <w:b w:val="0"/>
          <w:i w:val="0"/>
          <w:color w:val="5B6570"/>
          <w:sz w:val="19"/>
        </w:rPr>
        <w:t>What would overturn it.  It is overturned by a detector that resolves the population at RUNTIME rather than by reading source — which would be strictly better and needs every gate to declare its population in a form a caller can query. One level of import is the cheap approximation, and a gate that delegates two levels down is still invisible.</w:t>
      </w:r>
    </w:p>
    <w:p>
      <w:pPr>
        <w:keepNext/>
        <w:spacing w:before="240" w:after="60"/>
      </w:pPr>
      <w:r>
        <w:rPr>
          <w:b/>
          <w:color w:val="1A1D21"/>
          <w:sz w:val="22"/>
        </w:rPr>
        <w:t>L-342  A DECOMPOSITION WHOSE STEPS ALL READ THE SAME MUTABLE FILE COLLAPSES SILENTLY, AND THE COLLAPSED VERSION STILL WALKS</w:t>
      </w:r>
    </w:p>
    <w:p>
      <w:pPr>
        <w:keepNext/>
        <w:spacing w:after="100"/>
      </w:pPr>
      <w:r>
        <w:rPr>
          <w:b/>
          <w:color w:val="1D6FA3"/>
          <w:sz w:val="16"/>
        </w:rPr>
        <w:t>EVERY STUDY</w:t>
      </w:r>
      <w:r>
        <w:rPr>
          <w:color w:val="5B6570"/>
          <w:sz w:val="16"/>
        </w:rPr>
        <w:t xml:space="preserve">   applies to every study   ·   learned from a found while building, the STC rebuild ledger, 5 September 2026</w:t>
      </w:r>
    </w:p>
    <w:p>
      <w:pPr>
        <w:spacing w:after="100"/>
      </w:pPr>
      <w:r>
        <w:rPr>
          <w:b w:val="0"/>
          <w:i w:val="0"/>
          <w:color w:val="1A1D21"/>
          <w:sz w:val="21"/>
        </w:rPr>
        <w:t>A rebuild ledger records what each correction was worth by storing the answer either side of it. The first draft of one read every lever's answer out of the study's CURRENT numbers file, which is the only place the answer lives — so the moment a fourth lever landed, the third lever's 'after' silently became the fourth's: the third read -18.27% where it was worth -13.75%, and the fourth read +0.00% where it was worth -5.25%. NOTHING ABOUT THAT IS DETECTABLE FROM THE LEDGER. The chain still starts where it started and ends where it ends, every link still joins, the cumulative figure is still exactly right, and the gate that walks it passes. One lever had simply been credited with another's work. THE FIX IS NOT CARE, IT IS AN IMMUTABLE SOURCE — each landed lever's answer now comes from the COMMIT that landed it, because version control is the only record in the room that the next run cannot overwrite. The same defect had been guarded against an hour earlier on a different artefact, by naming that file for its lever set so a later run writes a different file; the guard was right, and it was applied to the file somebody happened to be thinking about while the main record went on being read the wrong way.</w:t>
      </w:r>
    </w:p>
    <w:p>
      <w:pPr>
        <w:spacing w:after="60"/>
        <w:ind w:left="283"/>
      </w:pPr>
      <w:r>
        <w:rPr>
          <w:b w:val="0"/>
          <w:i w:val="0"/>
          <w:color w:val="5B6570"/>
          <w:sz w:val="19"/>
        </w:rPr>
        <w:t>How we know.  Levers read -18.27% and +0.00% against their true -13.75% and -5.25%; the cumulative -11.40% and both endpoints were unchanged either way, and the ledger gate passed both versions.</w:t>
      </w:r>
    </w:p>
    <w:p>
      <w:pPr>
        <w:spacing w:after="160"/>
        <w:ind w:left="283"/>
      </w:pPr>
      <w:r>
        <w:rPr>
          <w:b w:val="0"/>
          <w:i w:val="0"/>
          <w:color w:val="5B6570"/>
          <w:sz w:val="19"/>
        </w:rPr>
        <w:t>What would overturn it.  It is overturned where a process genuinely writes an immutable artefact per step — a per-state file named for its own step, which is the same remedy one level earlier and needs no version control at all. What would NOT overturn it is a checker on the ledger: a collapsed decomposition is internally consistent, so no amount of checking the record against itself can see it.</w:t>
      </w:r>
    </w:p>
    <w:p>
      <w:pPr>
        <w:keepNext/>
        <w:spacing w:before="240" w:after="60"/>
      </w:pPr>
      <w:r>
        <w:rPr>
          <w:b/>
          <w:color w:val="1A1D21"/>
          <w:sz w:val="22"/>
        </w:rPr>
        <w:t>L-343  RECORDING A FAILED SEARCH IS RIGHT, AND IT TURNS THE FAILURE INTO A COMMITTED FACT UNLESS THE RECORD SEPARATES WHAT WAS TRIED FROM WHAT EXISTS</w:t>
      </w:r>
    </w:p>
    <w:p>
      <w:pPr>
        <w:keepNext/>
        <w:spacing w:after="100"/>
      </w:pPr>
      <w:r>
        <w:rPr>
          <w:b/>
          <w:color w:val="1D6FA3"/>
          <w:sz w:val="16"/>
        </w:rPr>
        <w:t>EVERY STUDY</w:t>
      </w:r>
      <w:r>
        <w:rPr>
          <w:color w:val="5B6570"/>
          <w:sz w:val="16"/>
        </w:rPr>
        <w:t xml:space="preserve">   applies to every study   ·   learned from a found while building, STC's source register, 5 September 2026</w:t>
      </w:r>
    </w:p>
    <w:p>
      <w:pPr>
        <w:spacing w:after="100"/>
      </w:pPr>
      <w:r>
        <w:rPr>
          <w:b w:val="0"/>
          <w:i w:val="0"/>
          <w:color w:val="1A1D21"/>
          <w:sz w:val="21"/>
        </w:rPr>
        <w:t>A study's source register listed four investor-relations URLs, each returning the site's own 404 page under an HTTP 200, and concluded that the investor-relations path in the delivered study no longer resolved. Every word of that was true about those four URLs. It was false about the site: the sitemap listed a whole investor section including the presentations page, carrying every earnings deck and call transcript back to 2017 — and the sitemap was ALREADY the route that had found the financial statements in the same session. Nobody pointed it at the presentations. THE DISCIPLINE THAT CAUSED THIS IS THE RIGHT ONE: writing down what was attempted and what came back is exactly what the protocol asks for, and it is why the four URLs were on the page at all. What it lacked was the distinction between the two claims — 'these four addresses returned nothing' and 'this channel is gone' — because a register is precisely the artefact a later session trusts instead of searching again, so a negative written into one becomes durable in a way a failed command never is. The cost here was a study forecasting two thirds of its revenue from an extrapolated segment rate while the subscriber counts that would let it be built as volume times price sat one sitemap away, and the correction immediately showed the growth was VOLUME with price per subscriber falling about 3%, which the extrapolated rate nets out and hides.</w:t>
      </w:r>
    </w:p>
    <w:p>
      <w:pPr>
        <w:spacing w:after="60"/>
        <w:ind w:left="283"/>
      </w:pPr>
      <w:r>
        <w:rPr>
          <w:b w:val="0"/>
          <w:i w:val="0"/>
          <w:color w:val="5B6570"/>
          <w:sz w:val="19"/>
        </w:rPr>
        <w:t>How we know.  Four URLs recorded as failing; www.stc.com.sa/sitemap.xml listed the investor section and the presentations page resolved first try, carrying decks back to 2017.</w:t>
      </w:r>
    </w:p>
    <w:p>
      <w:pPr>
        <w:spacing w:after="160"/>
        <w:ind w:left="283"/>
      </w:pPr>
      <w:r>
        <w:rPr>
          <w:b w:val="0"/>
          <w:i w:val="0"/>
          <w:color w:val="5B6570"/>
          <w:sz w:val="19"/>
        </w:rPr>
        <w:t>What would overturn it.  It is overturned where a register records only the attempts and never a conclusion about the world — then there is no false claim to inherit. What would NOT overturn it is trying harder: four careful probes is not a small effort, and the defect was in what their failure was written up as, not in how many there were.</w:t>
      </w:r>
    </w:p>
    <w:p>
      <w:pPr>
        <w:keepNext/>
        <w:spacing w:before="240" w:after="60"/>
      </w:pPr>
      <w:r>
        <w:rPr>
          <w:b/>
          <w:color w:val="1A1D21"/>
          <w:sz w:val="22"/>
        </w:rPr>
        <w:t>L-344  A BUILD READS THE LINE IT EXPECTS AND NOT THE NOTE THE LINE POINTS AT, AND EVERY GATE IN THE ROOM IS BLIND TO IT</w:t>
      </w:r>
    </w:p>
    <w:p>
      <w:pPr>
        <w:keepNext/>
        <w:spacing w:after="100"/>
      </w:pPr>
      <w:r>
        <w:rPr>
          <w:b/>
          <w:color w:val="1D6FA3"/>
          <w:sz w:val="16"/>
        </w:rPr>
        <w:t>EVERY STUDY</w:t>
      </w:r>
      <w:r>
        <w:rPr>
          <w:color w:val="5B6570"/>
          <w:sz w:val="16"/>
        </w:rPr>
        <w:t xml:space="preserve">   applies to every study   ·   learned from a found while building, STC, AMOC and SCEM, August-September 2026</w:t>
      </w:r>
    </w:p>
    <w:p>
      <w:pPr>
        <w:spacing w:after="100"/>
      </w:pPr>
      <w:r>
        <w:rPr>
          <w:b w:val="0"/>
          <w:i w:val="0"/>
          <w:color w:val="1A1D21"/>
          <w:sz w:val="21"/>
        </w:rPr>
        <w:t>Three defects of one shape landed in a single study in a single session, and all three were figures sitting in a note the build had never opened, inside documents it had already fetched and parsed cell by cell. The associates line was carried at a quarter of the filed figure because the note splitting it was not read; the reviewed half-year was downloaded and the forecast built as though it did not exist; and a claim ahead of equity — consideration owed to a regulator for licences already capitalised — sat on its own row inside "financial liabilities and others" while the bridge read the borrowings lines beside it and stopped. The same shape had already produced AMOC's unopened reviewed statements and SCEM's audited statements sitting unread on the company's own website, so it is three companies rather than one quirk. WHAT MAKES IT INVISIBLE is that nothing is wrong with the figure that WAS read: it is correctly extracted, correctly footed and correctly sourced, so provenance, arithmetic, four- field registers and recalculation are all clean. The defect is an ABSENCE, and an absence has no cell to check. Two of the three raised the value and one lowered it, which is the useful part: it is a reading habit and not a lean, and a habit is cheaper to fix than a bias. THE PRACTICAL FORM: where a line on the face of a statement carries a note reference, the note is opened before the line is used, and a bridge is built from the NOTES rather than from the face — the face aggregates, and what it aggregates is where the claims hide.</w:t>
      </w:r>
    </w:p>
    <w:p>
      <w:pPr>
        <w:spacing w:after="60"/>
        <w:ind w:left="283"/>
      </w:pPr>
      <w:r>
        <w:rPr>
          <w:b w:val="0"/>
          <w:i w:val="0"/>
          <w:color w:val="5B6570"/>
          <w:sz w:val="19"/>
        </w:rPr>
        <w:t>How we know.  Associates 4,641 carried against a filed 12,909.648; a reviewed half with an EBITDA margin 89 basis points above the forecast built without it; spectrum-licence liabilities of 3,443.044 outside borrowings and outside the bridge, worth -1.79% of the central.</w:t>
      </w:r>
    </w:p>
    <w:p>
      <w:pPr>
        <w:spacing w:after="160"/>
        <w:ind w:left="283"/>
      </w:pPr>
      <w:r>
        <w:rPr>
          <w:b w:val="0"/>
          <w:i w:val="0"/>
          <w:color w:val="5B6570"/>
          <w:sz w:val="19"/>
        </w:rPr>
        <w:t>What would overturn it.  It is overturned if a study is found where opening every referenced note changed nothing material across a whole build — which would say the face of the statements is usually sufficient and these were three unlucky names. What would NOT overturn it is a gate catching one of these: none of the existing gates can, because each defect is a figure that is absent rather than wrong.</w:t>
      </w:r>
    </w:p>
    <w:p>
      <w:pPr>
        <w:keepNext/>
        <w:spacing w:before="240" w:after="60"/>
      </w:pPr>
      <w:r>
        <w:rPr>
          <w:b/>
          <w:color w:val="1A1D21"/>
          <w:sz w:val="22"/>
        </w:rPr>
        <w:t>L-345  A RULE THAT ENUMERATES ITS SURFACES IS ONLY CHECKED ON THE SURFACES SOMEBODY WIRED UP</w:t>
      </w:r>
    </w:p>
    <w:p>
      <w:pPr>
        <w:keepNext/>
        <w:spacing w:after="100"/>
      </w:pPr>
      <w:r>
        <w:rPr>
          <w:b/>
          <w:color w:val="1D6FA3"/>
          <w:sz w:val="16"/>
        </w:rPr>
        <w:t>EVERY STUDY</w:t>
      </w:r>
      <w:r>
        <w:rPr>
          <w:color w:val="5B6570"/>
          <w:sz w:val="16"/>
        </w:rPr>
        <w:t xml:space="preserve">   applies to every study   ·   learned from a found while building, The skill-verdict sweep, 5 September 2026</w:t>
      </w:r>
    </w:p>
    <w:p>
      <w:pPr>
        <w:spacing w:after="100"/>
      </w:pPr>
      <w:r>
        <w:rPr>
          <w:b w:val="0"/>
          <w:i w:val="0"/>
          <w:color w:val="1A1D21"/>
          <w:sz w:val="21"/>
        </w:rPr>
        <w:t>The retired skill verdict may reach "no page, figure, document or deck". Its gate grew one surface at a time — the pages first, the figures' caption template next, the Word documents a fortnight later — and nobody ever pointed it at the WORKBOOK, which is delivered in the same folder, on the same day, to the same reader. Five delivered workbooks still carried the verdict, three of them the literal word in capitals, and TWO WERE BUILT THAT WEEK: those studies were swept, passed, and shipped it in the file beside the document. The missing surface was not obscure and nobody decided to leave it out; it simply was never counted. THE PRACTICAL FORM: when a rule names a set of surfaces, read the set back off the CHECKER rather than off the rule, and make the difference explicit. A gate that reads three of four named surfaces reports clean on the fourth for ever, and reports it in exactly the words a fully wired gate would use.</w:t>
      </w:r>
    </w:p>
    <w:p>
      <w:pPr>
        <w:spacing w:after="60"/>
        <w:ind w:left="283"/>
      </w:pPr>
      <w:r>
        <w:rPr>
          <w:b w:val="0"/>
          <w:i w:val="0"/>
          <w:color w:val="5B6570"/>
          <w:sz w:val="19"/>
        </w:rPr>
        <w:t>How we know.  Eight verdict hits across five delivered workbooks at their latest edition, found by a sweep and by no gate; all five fixed rather than ratcheted, so the exemplar's debt did not grow.</w:t>
      </w:r>
    </w:p>
    <w:p>
      <w:pPr>
        <w:spacing w:after="160"/>
        <w:ind w:left="283"/>
      </w:pPr>
      <w:r>
        <w:rPr>
          <w:b w:val="0"/>
          <w:i w:val="0"/>
          <w:color w:val="5B6570"/>
          <w:sz w:val="19"/>
        </w:rPr>
        <w:t>What would overturn it.  It is overturned where a rule's surfaces cannot be enumerated at all — then the gate is doing the best available thing and the gap is in the rule. What would NOT overturn it is the gate being correct on the surfaces it does read: it was, on all three, which is why nothing looked wrong.</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