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0"/>
      </w:pPr>
      <w:r>
        <w:rPr>
          <w:b/>
          <w:i w:val="0"/>
          <w:color w:val="1C3A36"/>
          <w:sz w:val="42"/>
        </w:rPr>
        <w:t>Americana Restaurants International PLC</w:t>
      </w:r>
    </w:p>
    <w:p>
      <w:pPr>
        <w:spacing w:after="200" w:before="0"/>
      </w:pPr>
      <w:r>
        <w:rPr>
          <w:b w:val="0"/>
          <w:i w:val="0"/>
          <w:color w:val="896F36"/>
          <w:sz w:val="24"/>
        </w:rPr>
        <w:t>Sources and inputs — companion to the valuation study of 9 August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DOCUMENT IS. </w:t>
            </w:r>
            <w:r>
              <w:rPr>
                <w:color w:val="1C3A36"/>
                <w:sz w:val="19"/>
              </w:rPr>
              <w:t>Every number in the valuation study, with where it came from. It exists so a reader can check any figure without taking the study's word for it, and so that the line between what the company reported and what this study assumed is visible rather than implied.</w:t>
            </w:r>
          </w:p>
          <w:p>
            <w:pPr>
              <w:spacing w:after="100"/>
            </w:pPr>
            <w:r>
              <w:rPr>
                <w:b/>
                <w:color w:val="1C3A36"/>
                <w:sz w:val="19"/>
              </w:rPr>
              <w:t xml:space="preserve">THE RULE THIS STUDY FOLLOWS. </w:t>
            </w:r>
            <w:r>
              <w:rPr>
                <w:color w:val="1C3A36"/>
                <w:sz w:val="19"/>
              </w:rPr>
              <w:t>Everything Americana itself reports — every income-statement, balance-sheet, cash-flow, segment and note figure — is taken only from the company's own audited consolidated financial statements, its reviewed interim statements and its own investor materials. No data vendor, broker note or news report is used as a source for any of it. Outside sources appear for market prices, sovereign risk premiums and peer multiples, and each is labelled where it is used.</w:t>
            </w:r>
          </w:p>
        </w:tc>
      </w:tr>
    </w:tbl>
    <w:p>
      <w:pPr>
        <w:spacing w:after="40"/>
      </w:pPr>
    </w:p>
    <w:p>
      <w:pPr>
        <w:spacing w:after="120" w:before="280"/>
      </w:pPr>
      <w:r>
        <w:rPr>
          <w:b/>
          <w:i w:val="0"/>
          <w:color w:val="1C3A36"/>
          <w:sz w:val="30"/>
        </w:rPr>
        <w:t>1  Primary documents</w:t>
      </w:r>
    </w:p>
    <w:p>
      <w:pPr>
        <w:spacing w:after="120" w:before="0"/>
      </w:pPr>
      <w:r>
        <w:rPr>
          <w:b w:val="0"/>
          <w:i w:val="0"/>
          <w:color w:val="1C3A36"/>
          <w:sz w:val="21"/>
        </w:rPr>
        <w:t>All of the following were obtained from the company's own investor-relations library at americanarestaurants.com and read directly. Page and note references appear against individual inputs in section 3.</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3816"/>
        <w:gridCol w:w="1440"/>
        <w:gridCol w:w="1152"/>
      </w:tblGrid>
      <w:tr>
        <w:tc>
          <w:tcPr>
            <w:tcW w:type="dxa" w:w="3672"/>
            <w:shd w:val="clear" w:color="auto" w:fill="EAF0EE"/>
          </w:tcPr>
          <w:p>
            <w:pPr>
              <w:spacing w:after="20"/>
            </w:pPr>
            <w:r>
              <w:rPr>
                <w:b/>
                <w:color w:val="1C3A36"/>
                <w:sz w:val="17"/>
              </w:rPr>
              <w:t>Document</w:t>
            </w:r>
          </w:p>
        </w:tc>
        <w:tc>
          <w:tcPr>
            <w:tcW w:type="dxa" w:w="3816"/>
            <w:shd w:val="clear" w:color="auto" w:fill="EAF0EE"/>
          </w:tcPr>
          <w:p>
            <w:pPr>
              <w:spacing w:after="20"/>
            </w:pPr>
            <w:r>
              <w:rPr>
                <w:b/>
                <w:color w:val="1C3A36"/>
                <w:sz w:val="17"/>
              </w:rPr>
              <w:t>What it carries</w:t>
            </w:r>
          </w:p>
        </w:tc>
        <w:tc>
          <w:tcPr>
            <w:tcW w:type="dxa" w:w="1440"/>
            <w:shd w:val="clear" w:color="auto" w:fill="EAF0EE"/>
          </w:tcPr>
          <w:p>
            <w:pPr>
              <w:spacing w:after="20"/>
            </w:pPr>
            <w:r>
              <w:rPr>
                <w:b/>
                <w:color w:val="1C3A36"/>
                <w:sz w:val="17"/>
              </w:rPr>
              <w:t>Status</w:t>
            </w:r>
          </w:p>
        </w:tc>
        <w:tc>
          <w:tcPr>
            <w:tcW w:type="dxa" w:w="1152"/>
            <w:shd w:val="clear" w:color="auto" w:fill="EAF0EE"/>
          </w:tcPr>
          <w:p>
            <w:pPr>
              <w:spacing w:after="20"/>
            </w:pPr>
            <w:r>
              <w:rPr>
                <w:b/>
                <w:color w:val="1C3A36"/>
                <w:sz w:val="17"/>
              </w:rPr>
              <w:t>Date</w:t>
            </w:r>
          </w:p>
        </w:tc>
      </w:tr>
      <w:tr>
        <w:tc>
          <w:tcPr>
            <w:tcW w:type="dxa" w:w="3672"/>
          </w:tcPr>
          <w:p>
            <w:pPr>
              <w:spacing w:after="20"/>
            </w:pPr>
            <w:r>
              <w:rPr>
                <w:color w:val="1C3A36"/>
                <w:sz w:val="17"/>
              </w:rPr>
              <w:t>Audited consolidated financial statements, year ended 31 December 2025</w:t>
            </w:r>
          </w:p>
        </w:tc>
        <w:tc>
          <w:tcPr>
            <w:tcW w:type="dxa" w:w="3816"/>
          </w:tcPr>
          <w:p>
            <w:pPr>
              <w:spacing w:after="20"/>
              <w:jc w:val="right"/>
            </w:pPr>
            <w:r>
              <w:rPr>
                <w:color w:val="1C3A36"/>
                <w:sz w:val="17"/>
              </w:rPr>
              <w:t>Deloitte &amp; Touche (M.E.) LLP, signed 6 February 2026</w:t>
            </w:r>
          </w:p>
        </w:tc>
        <w:tc>
          <w:tcPr>
            <w:tcW w:type="dxa" w:w="1440"/>
          </w:tcPr>
          <w:p>
            <w:pPr>
              <w:spacing w:after="20"/>
              <w:jc w:val="right"/>
            </w:pPr>
            <w:r>
              <w:rPr>
                <w:color w:val="1C3A36"/>
                <w:sz w:val="17"/>
              </w:rPr>
              <w:t>audited</w:t>
            </w:r>
          </w:p>
        </w:tc>
        <w:tc>
          <w:tcPr>
            <w:tcW w:type="dxa" w:w="1152"/>
          </w:tcPr>
          <w:p>
            <w:pPr>
              <w:spacing w:after="20"/>
              <w:jc w:val="right"/>
            </w:pPr>
            <w:r>
              <w:rPr>
                <w:color w:val="1C3A36"/>
                <w:sz w:val="17"/>
              </w:rPr>
              <w:t>2026-02-06</w:t>
            </w:r>
          </w:p>
        </w:tc>
      </w:tr>
      <w:tr>
        <w:tc>
          <w:tcPr>
            <w:tcW w:type="dxa" w:w="3672"/>
          </w:tcPr>
          <w:p>
            <w:pPr>
              <w:spacing w:after="20"/>
            </w:pPr>
            <w:r>
              <w:rPr>
                <w:color w:val="1C3A36"/>
                <w:sz w:val="17"/>
              </w:rPr>
              <w:t>Audited consolidated financial statements, year ended 31 December 2024</w:t>
            </w:r>
          </w:p>
        </w:tc>
        <w:tc>
          <w:tcPr>
            <w:tcW w:type="dxa" w:w="3816"/>
          </w:tcPr>
          <w:p>
            <w:pPr>
              <w:spacing w:after="20"/>
              <w:jc w:val="right"/>
            </w:pPr>
            <w:r>
              <w:rPr>
                <w:color w:val="1C3A36"/>
                <w:sz w:val="17"/>
              </w:rPr>
              <w:t>Deloitte &amp; Touche (M.E.) LLP</w:t>
            </w:r>
          </w:p>
        </w:tc>
        <w:tc>
          <w:tcPr>
            <w:tcW w:type="dxa" w:w="1440"/>
          </w:tcPr>
          <w:p>
            <w:pPr>
              <w:spacing w:after="20"/>
              <w:jc w:val="right"/>
            </w:pPr>
            <w:r>
              <w:rPr>
                <w:color w:val="1C3A36"/>
                <w:sz w:val="17"/>
              </w:rPr>
              <w:t>audited</w:t>
            </w:r>
          </w:p>
        </w:tc>
        <w:tc>
          <w:tcPr>
            <w:tcW w:type="dxa" w:w="1152"/>
          </w:tcPr>
          <w:p>
            <w:pPr>
              <w:spacing w:after="20"/>
              <w:jc w:val="right"/>
            </w:pPr>
            <w:r>
              <w:rPr>
                <w:color w:val="1C3A36"/>
                <w:sz w:val="17"/>
              </w:rPr>
              <w:t>2025-02-11</w:t>
            </w:r>
          </w:p>
        </w:tc>
      </w:tr>
      <w:tr>
        <w:tc>
          <w:tcPr>
            <w:tcW w:type="dxa" w:w="3672"/>
          </w:tcPr>
          <w:p>
            <w:pPr>
              <w:spacing w:after="20"/>
            </w:pPr>
            <w:r>
              <w:rPr>
                <w:color w:val="1C3A36"/>
                <w:sz w:val="17"/>
              </w:rPr>
              <w:t>Audited consolidated financial statements, year ended 31 December 2023</w:t>
            </w:r>
          </w:p>
        </w:tc>
        <w:tc>
          <w:tcPr>
            <w:tcW w:type="dxa" w:w="3816"/>
          </w:tcPr>
          <w:p>
            <w:pPr>
              <w:spacing w:after="20"/>
              <w:jc w:val="right"/>
            </w:pPr>
            <w:r>
              <w:rPr>
                <w:color w:val="1C3A36"/>
                <w:sz w:val="17"/>
              </w:rPr>
              <w:t>includes the audited FY2022 comparative column</w:t>
            </w:r>
          </w:p>
        </w:tc>
        <w:tc>
          <w:tcPr>
            <w:tcW w:type="dxa" w:w="1440"/>
          </w:tcPr>
          <w:p>
            <w:pPr>
              <w:spacing w:after="20"/>
              <w:jc w:val="right"/>
            </w:pPr>
            <w:r>
              <w:rPr>
                <w:color w:val="1C3A36"/>
                <w:sz w:val="17"/>
              </w:rPr>
              <w:t>audited</w:t>
            </w:r>
          </w:p>
        </w:tc>
        <w:tc>
          <w:tcPr>
            <w:tcW w:type="dxa" w:w="1152"/>
          </w:tcPr>
          <w:p>
            <w:pPr>
              <w:spacing w:after="20"/>
              <w:jc w:val="right"/>
            </w:pPr>
            <w:r>
              <w:rPr>
                <w:color w:val="1C3A36"/>
                <w:sz w:val="17"/>
              </w:rPr>
              <w:t>2024-02-15</w:t>
            </w:r>
          </w:p>
        </w:tc>
      </w:tr>
      <w:tr>
        <w:tc>
          <w:tcPr>
            <w:tcW w:type="dxa" w:w="3672"/>
          </w:tcPr>
          <w:p>
            <w:pPr>
              <w:spacing w:after="20"/>
            </w:pPr>
            <w:r>
              <w:rPr>
                <w:color w:val="1C3A36"/>
                <w:sz w:val="17"/>
              </w:rPr>
              <w:t>Reviewed condensed consolidated interim statements, six months ended 30 June 2026</w:t>
            </w:r>
          </w:p>
        </w:tc>
        <w:tc>
          <w:tcPr>
            <w:tcW w:type="dxa" w:w="3816"/>
          </w:tcPr>
          <w:p>
            <w:pPr>
              <w:spacing w:after="20"/>
              <w:jc w:val="right"/>
            </w:pPr>
            <w:r>
              <w:rPr>
                <w:color w:val="1C3A36"/>
                <w:sz w:val="17"/>
              </w:rPr>
              <w:t>review report by Deloitte &amp; Touche (M.E.) LLP dated 28 July 2026</w:t>
            </w:r>
          </w:p>
        </w:tc>
        <w:tc>
          <w:tcPr>
            <w:tcW w:type="dxa" w:w="1440"/>
          </w:tcPr>
          <w:p>
            <w:pPr>
              <w:spacing w:after="20"/>
              <w:jc w:val="right"/>
            </w:pPr>
            <w:r>
              <w:rPr>
                <w:color w:val="1C3A36"/>
                <w:sz w:val="17"/>
              </w:rPr>
              <w:t>reviewed</w:t>
            </w:r>
          </w:p>
        </w:tc>
        <w:tc>
          <w:tcPr>
            <w:tcW w:type="dxa" w:w="1152"/>
          </w:tcPr>
          <w:p>
            <w:pPr>
              <w:spacing w:after="20"/>
              <w:jc w:val="right"/>
            </w:pPr>
            <w:r>
              <w:rPr>
                <w:color w:val="1C3A36"/>
                <w:sz w:val="17"/>
              </w:rPr>
              <w:t>2026-07-28</w:t>
            </w:r>
          </w:p>
        </w:tc>
      </w:tr>
      <w:tr>
        <w:tc>
          <w:tcPr>
            <w:tcW w:type="dxa" w:w="3672"/>
          </w:tcPr>
          <w:p>
            <w:pPr>
              <w:spacing w:after="20"/>
            </w:pPr>
            <w:r>
              <w:rPr>
                <w:color w:val="1C3A36"/>
                <w:sz w:val="17"/>
              </w:rPr>
              <w:t>Reviewed condensed consolidated interim statements, three months ended 31 March 2026</w:t>
            </w:r>
          </w:p>
        </w:tc>
        <w:tc>
          <w:tcPr>
            <w:tcW w:type="dxa" w:w="3816"/>
          </w:tcPr>
          <w:p>
            <w:pPr>
              <w:spacing w:after="20"/>
              <w:jc w:val="right"/>
            </w:pPr>
            <w:r>
              <w:rPr>
                <w:color w:val="1C3A36"/>
                <w:sz w:val="17"/>
              </w:rPr>
              <w:t>the first disclosed quarter of the study year</w:t>
            </w:r>
          </w:p>
        </w:tc>
        <w:tc>
          <w:tcPr>
            <w:tcW w:type="dxa" w:w="1440"/>
          </w:tcPr>
          <w:p>
            <w:pPr>
              <w:spacing w:after="20"/>
              <w:jc w:val="right"/>
            </w:pPr>
            <w:r>
              <w:rPr>
                <w:color w:val="1C3A36"/>
                <w:sz w:val="17"/>
              </w:rPr>
              <w:t>reviewed</w:t>
            </w:r>
          </w:p>
        </w:tc>
        <w:tc>
          <w:tcPr>
            <w:tcW w:type="dxa" w:w="1152"/>
          </w:tcPr>
          <w:p>
            <w:pPr>
              <w:spacing w:after="20"/>
              <w:jc w:val="right"/>
            </w:pPr>
            <w:r>
              <w:rPr>
                <w:color w:val="1C3A36"/>
                <w:sz w:val="17"/>
              </w:rPr>
              <w:t>2026-04-28</w:t>
            </w:r>
          </w:p>
        </w:tc>
      </w:tr>
      <w:tr>
        <w:tc>
          <w:tcPr>
            <w:tcW w:type="dxa" w:w="3672"/>
          </w:tcPr>
          <w:p>
            <w:pPr>
              <w:spacing w:after="20"/>
            </w:pPr>
            <w:r>
              <w:rPr>
                <w:color w:val="1C3A36"/>
                <w:sz w:val="17"/>
              </w:rPr>
              <w:t>FY 2025 earnings presentation</w:t>
            </w:r>
          </w:p>
        </w:tc>
        <w:tc>
          <w:tcPr>
            <w:tcW w:type="dxa" w:w="3816"/>
          </w:tcPr>
          <w:p>
            <w:pPr>
              <w:spacing w:after="20"/>
              <w:jc w:val="right"/>
            </w:pPr>
            <w:r>
              <w:rPr>
                <w:color w:val="1C3A36"/>
                <w:sz w:val="17"/>
              </w:rPr>
              <w:t>restaurant count by country and brand, cost of inventory evolution, capital expenditure by brand, dividend declaration</w:t>
            </w:r>
          </w:p>
        </w:tc>
        <w:tc>
          <w:tcPr>
            <w:tcW w:type="dxa" w:w="1440"/>
          </w:tcPr>
          <w:p>
            <w:pPr>
              <w:spacing w:after="20"/>
              <w:jc w:val="right"/>
            </w:pPr>
            <w:r>
              <w:rPr>
                <w:color w:val="1C3A36"/>
                <w:sz w:val="17"/>
              </w:rPr>
              <w:t>investor relations</w:t>
            </w:r>
          </w:p>
        </w:tc>
        <w:tc>
          <w:tcPr>
            <w:tcW w:type="dxa" w:w="1152"/>
          </w:tcPr>
          <w:p>
            <w:pPr>
              <w:spacing w:after="20"/>
              <w:jc w:val="right"/>
            </w:pPr>
            <w:r>
              <w:rPr>
                <w:color w:val="1C3A36"/>
                <w:sz w:val="17"/>
              </w:rPr>
              <w:t>2026-02-09</w:t>
            </w:r>
          </w:p>
        </w:tc>
      </w:tr>
      <w:tr>
        <w:tc>
          <w:tcPr>
            <w:tcW w:type="dxa" w:w="3672"/>
          </w:tcPr>
          <w:p>
            <w:pPr>
              <w:spacing w:after="20"/>
            </w:pPr>
            <w:r>
              <w:rPr>
                <w:color w:val="1C3A36"/>
                <w:sz w:val="17"/>
              </w:rPr>
              <w:t>H1 2026 earnings presentation</w:t>
            </w:r>
          </w:p>
        </w:tc>
        <w:tc>
          <w:tcPr>
            <w:tcW w:type="dxa" w:w="3816"/>
          </w:tcPr>
          <w:p>
            <w:pPr>
              <w:spacing w:after="20"/>
              <w:jc w:val="right"/>
            </w:pPr>
            <w:r>
              <w:rPr>
                <w:color w:val="1C3A36"/>
                <w:sz w:val="17"/>
              </w:rPr>
              <w:t>restaurant count by country and brand, four-wall EBITDA, net working capital, channel mix, free-cash-flow bridge, capital expenditure and payback per restaurant</w:t>
            </w:r>
          </w:p>
        </w:tc>
        <w:tc>
          <w:tcPr>
            <w:tcW w:type="dxa" w:w="1440"/>
          </w:tcPr>
          <w:p>
            <w:pPr>
              <w:spacing w:after="20"/>
              <w:jc w:val="right"/>
            </w:pPr>
            <w:r>
              <w:rPr>
                <w:color w:val="1C3A36"/>
                <w:sz w:val="17"/>
              </w:rPr>
              <w:t>investor relations</w:t>
            </w:r>
          </w:p>
        </w:tc>
        <w:tc>
          <w:tcPr>
            <w:tcW w:type="dxa" w:w="1152"/>
          </w:tcPr>
          <w:p>
            <w:pPr>
              <w:spacing w:after="20"/>
              <w:jc w:val="right"/>
            </w:pPr>
            <w:r>
              <w:rPr>
                <w:color w:val="1C3A36"/>
                <w:sz w:val="17"/>
              </w:rPr>
              <w:t>2026-07-28</w:t>
            </w:r>
          </w:p>
        </w:tc>
      </w:tr>
      <w:tr>
        <w:tc>
          <w:tcPr>
            <w:tcW w:type="dxa" w:w="3672"/>
          </w:tcPr>
          <w:p>
            <w:pPr>
              <w:spacing w:after="20"/>
            </w:pPr>
            <w:r>
              <w:rPr>
                <w:color w:val="1C3A36"/>
                <w:sz w:val="17"/>
              </w:rPr>
              <w:t>H1 2026 earnings press release</w:t>
            </w:r>
          </w:p>
        </w:tc>
        <w:tc>
          <w:tcPr>
            <w:tcW w:type="dxa" w:w="3816"/>
          </w:tcPr>
          <w:p>
            <w:pPr>
              <w:spacing w:after="20"/>
              <w:jc w:val="right"/>
            </w:pPr>
            <w:r>
              <w:rPr>
                <w:color w:val="1C3A36"/>
                <w:sz w:val="17"/>
              </w:rPr>
              <w:t>guidance for 2026, interim dividend, like-for-like growth</w:t>
            </w:r>
          </w:p>
        </w:tc>
        <w:tc>
          <w:tcPr>
            <w:tcW w:type="dxa" w:w="1440"/>
          </w:tcPr>
          <w:p>
            <w:pPr>
              <w:spacing w:after="20"/>
              <w:jc w:val="right"/>
            </w:pPr>
            <w:r>
              <w:rPr>
                <w:color w:val="1C3A36"/>
                <w:sz w:val="17"/>
              </w:rPr>
              <w:t>investor relations</w:t>
            </w:r>
          </w:p>
        </w:tc>
        <w:tc>
          <w:tcPr>
            <w:tcW w:type="dxa" w:w="1152"/>
          </w:tcPr>
          <w:p>
            <w:pPr>
              <w:spacing w:after="20"/>
              <w:jc w:val="right"/>
            </w:pPr>
            <w:r>
              <w:rPr>
                <w:color w:val="1C3A36"/>
                <w:sz w:val="17"/>
              </w:rPr>
              <w:t>2026-07-28</w:t>
            </w:r>
          </w:p>
        </w:tc>
      </w:tr>
      <w:tr>
        <w:tc>
          <w:tcPr>
            <w:tcW w:type="dxa" w:w="3672"/>
          </w:tcPr>
          <w:p>
            <w:pPr>
              <w:spacing w:after="20"/>
            </w:pPr>
            <w:r>
              <w:rPr>
                <w:color w:val="1C3A36"/>
                <w:sz w:val="17"/>
              </w:rPr>
              <w:t>FY 2024 earnings presentation</w:t>
            </w:r>
          </w:p>
        </w:tc>
        <w:tc>
          <w:tcPr>
            <w:tcW w:type="dxa" w:w="3816"/>
          </w:tcPr>
          <w:p>
            <w:pPr>
              <w:spacing w:after="20"/>
              <w:jc w:val="right"/>
            </w:pPr>
            <w:r>
              <w:rPr>
                <w:color w:val="1C3A36"/>
                <w:sz w:val="17"/>
              </w:rPr>
              <w:t>restaurant count by country at 31 December 2024, and the jurisdiction-by-jurisdiction corporate tax table</w:t>
            </w:r>
          </w:p>
        </w:tc>
        <w:tc>
          <w:tcPr>
            <w:tcW w:type="dxa" w:w="1440"/>
          </w:tcPr>
          <w:p>
            <w:pPr>
              <w:spacing w:after="20"/>
              <w:jc w:val="right"/>
            </w:pPr>
            <w:r>
              <w:rPr>
                <w:color w:val="1C3A36"/>
                <w:sz w:val="17"/>
              </w:rPr>
              <w:t>investor relations</w:t>
            </w:r>
          </w:p>
        </w:tc>
        <w:tc>
          <w:tcPr>
            <w:tcW w:type="dxa" w:w="1152"/>
          </w:tcPr>
          <w:p>
            <w:pPr>
              <w:spacing w:after="20"/>
              <w:jc w:val="right"/>
            </w:pPr>
            <w:r>
              <w:rPr>
                <w:color w:val="1C3A36"/>
                <w:sz w:val="17"/>
              </w:rPr>
              <w:t>2025-02-13</w:t>
            </w:r>
          </w:p>
        </w:tc>
      </w:tr>
      <w:tr>
        <w:tc>
          <w:tcPr>
            <w:tcW w:type="dxa" w:w="3672"/>
          </w:tcPr>
          <w:p>
            <w:pPr>
              <w:spacing w:after="20"/>
            </w:pPr>
            <w:r>
              <w:rPr>
                <w:color w:val="1C3A36"/>
                <w:sz w:val="17"/>
              </w:rPr>
              <w:t>Integrated annual report 2025</w:t>
            </w:r>
          </w:p>
        </w:tc>
        <w:tc>
          <w:tcPr>
            <w:tcW w:type="dxa" w:w="3816"/>
          </w:tcPr>
          <w:p>
            <w:pPr>
              <w:spacing w:after="20"/>
              <w:jc w:val="right"/>
            </w:pPr>
            <w:r>
              <w:rPr>
                <w:color w:val="1C3A36"/>
                <w:sz w:val="17"/>
              </w:rPr>
              <w:t>narrative, strategy and headcount context</w:t>
            </w:r>
          </w:p>
        </w:tc>
        <w:tc>
          <w:tcPr>
            <w:tcW w:type="dxa" w:w="1440"/>
          </w:tcPr>
          <w:p>
            <w:pPr>
              <w:spacing w:after="20"/>
              <w:jc w:val="right"/>
            </w:pPr>
            <w:r>
              <w:rPr>
                <w:color w:val="1C3A36"/>
                <w:sz w:val="17"/>
              </w:rPr>
              <w:t>annual report</w:t>
            </w:r>
          </w:p>
        </w:tc>
        <w:tc>
          <w:tcPr>
            <w:tcW w:type="dxa" w:w="1152"/>
          </w:tcPr>
          <w:p>
            <w:pPr>
              <w:spacing w:after="20"/>
              <w:jc w:val="right"/>
            </w:pPr>
            <w:r>
              <w:rPr>
                <w:color w:val="1C3A36"/>
                <w:sz w:val="17"/>
              </w:rPr>
              <w:t>2026-03-17</w:t>
            </w:r>
          </w:p>
        </w:tc>
      </w:tr>
      <w:tr>
        <w:tc>
          <w:tcPr>
            <w:tcW w:type="dxa" w:w="3672"/>
          </w:tcPr>
          <w:p>
            <w:pPr>
              <w:spacing w:after="20"/>
            </w:pPr>
            <w:r>
              <w:rPr>
                <w:color w:val="1C3A36"/>
                <w:sz w:val="17"/>
              </w:rPr>
              <w:t>FY 2023 earnings release</w:t>
            </w:r>
          </w:p>
        </w:tc>
        <w:tc>
          <w:tcPr>
            <w:tcW w:type="dxa" w:w="3816"/>
          </w:tcPr>
          <w:p>
            <w:pPr>
              <w:spacing w:after="20"/>
              <w:jc w:val="right"/>
            </w:pPr>
            <w:r>
              <w:rPr>
                <w:color w:val="1C3A36"/>
                <w:sz w:val="17"/>
              </w:rPr>
              <w:t>the disclosed 2,435 restaurant count at 31 December 2023 and the 300 gross / 252 net openings of that year</w:t>
            </w:r>
          </w:p>
        </w:tc>
        <w:tc>
          <w:tcPr>
            <w:tcW w:type="dxa" w:w="1440"/>
          </w:tcPr>
          <w:p>
            <w:pPr>
              <w:spacing w:after="20"/>
              <w:jc w:val="right"/>
            </w:pPr>
            <w:r>
              <w:rPr>
                <w:color w:val="1C3A36"/>
                <w:sz w:val="17"/>
              </w:rPr>
              <w:t>investor relations</w:t>
            </w:r>
          </w:p>
        </w:tc>
        <w:tc>
          <w:tcPr>
            <w:tcW w:type="dxa" w:w="1152"/>
          </w:tcPr>
          <w:p>
            <w:pPr>
              <w:spacing w:after="20"/>
              <w:jc w:val="right"/>
            </w:pPr>
            <w:r>
              <w:rPr>
                <w:color w:val="1C3A36"/>
                <w:sz w:val="17"/>
              </w:rPr>
              <w:t>2024-02-15</w:t>
            </w:r>
          </w:p>
        </w:tc>
      </w:tr>
    </w:tbl>
    <w:p>
      <w:pPr>
        <w:spacing w:after="40"/>
      </w:pPr>
    </w:p>
    <w:p>
      <w:pPr>
        <w:spacing w:after="120" w:before="0"/>
      </w:pPr>
      <w:r>
        <w:rPr>
          <w:b w:val="0"/>
          <w:i w:val="0"/>
          <w:color w:val="1C3A36"/>
          <w:sz w:val="21"/>
        </w:rPr>
        <w:t>Two further access attempts are recorded for completeness. The Abu Dhabi Securities Exchange company page returned an automated-access refusal to this environment; it was not needed, because every document the exchange would carry is published by the company itself. A daily history for the Abu Dhabi general index was sought from the machine-readable sources available — the Yahoo index quote returns one observation and no history, and the main data portals refused automated access — and not obtained; the consequence for the beta, and its sizing, is in section 1.8 of the study.</w:t>
      </w:r>
    </w:p>
    <w:p>
      <w:pPr>
        <w:spacing w:after="120" w:before="280"/>
      </w:pPr>
      <w:r>
        <w:rPr>
          <w:b/>
          <w:i w:val="0"/>
          <w:color w:val="1C3A36"/>
          <w:sz w:val="30"/>
        </w:rPr>
        <w:t>2  Outside sources, and what each is used for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2232"/>
        <w:gridCol w:w="3384"/>
        <w:gridCol w:w="1224"/>
      </w:tblGrid>
      <w:tr>
        <w:tc>
          <w:tcPr>
            <w:tcW w:type="dxa" w:w="3240"/>
            <w:shd w:val="clear" w:color="auto" w:fill="EAF0EE"/>
          </w:tcPr>
          <w:p>
            <w:pPr>
              <w:spacing w:after="20"/>
            </w:pPr>
            <w:r>
              <w:rPr>
                <w:b/>
                <w:color w:val="1C3A36"/>
                <w:sz w:val="17"/>
              </w:rPr>
              <w:t>Source</w:t>
            </w:r>
          </w:p>
        </w:tc>
        <w:tc>
          <w:tcPr>
            <w:tcW w:type="dxa" w:w="2232"/>
            <w:shd w:val="clear" w:color="auto" w:fill="EAF0EE"/>
          </w:tcPr>
          <w:p>
            <w:pPr>
              <w:spacing w:after="20"/>
            </w:pPr>
            <w:r>
              <w:rPr>
                <w:b/>
                <w:color w:val="1C3A36"/>
                <w:sz w:val="17"/>
              </w:rPr>
              <w:t>Form</w:t>
            </w:r>
          </w:p>
        </w:tc>
        <w:tc>
          <w:tcPr>
            <w:tcW w:type="dxa" w:w="3384"/>
            <w:shd w:val="clear" w:color="auto" w:fill="EAF0EE"/>
          </w:tcPr>
          <w:p>
            <w:pPr>
              <w:spacing w:after="20"/>
            </w:pPr>
            <w:r>
              <w:rPr>
                <w:b/>
                <w:color w:val="1C3A36"/>
                <w:sz w:val="17"/>
              </w:rPr>
              <w:t>What it supplies</w:t>
            </w:r>
          </w:p>
        </w:tc>
        <w:tc>
          <w:tcPr>
            <w:tcW w:type="dxa" w:w="1224"/>
            <w:shd w:val="clear" w:color="auto" w:fill="EAF0EE"/>
          </w:tcPr>
          <w:p>
            <w:pPr>
              <w:spacing w:after="20"/>
            </w:pPr>
            <w:r>
              <w:rPr>
                <w:b/>
                <w:color w:val="1C3A36"/>
                <w:sz w:val="17"/>
              </w:rPr>
              <w:t>Scope</w:t>
            </w:r>
          </w:p>
        </w:tc>
      </w:tr>
      <w:tr>
        <w:tc>
          <w:tcPr>
            <w:tcW w:type="dxa" w:w="3240"/>
          </w:tcPr>
          <w:p>
            <w:pPr>
              <w:spacing w:after="20"/>
            </w:pPr>
            <w:r>
              <w:rPr>
                <w:color w:val="1C3A36"/>
                <w:sz w:val="17"/>
              </w:rPr>
              <w:t>Aswath Damodaran, NYU Stern — country default spreads and risk premiums, July 2026 edition (published 15 July 2026)</w:t>
            </w:r>
          </w:p>
        </w:tc>
        <w:tc>
          <w:tcPr>
            <w:tcW w:type="dxa" w:w="2232"/>
          </w:tcPr>
          <w:p>
            <w:pPr>
              <w:spacing w:after="20"/>
              <w:jc w:val="right"/>
            </w:pPr>
            <w:r>
              <w:rPr>
                <w:color w:val="1C3A36"/>
                <w:sz w:val="17"/>
              </w:rPr>
              <w:t>read from the original data file</w:t>
            </w:r>
          </w:p>
        </w:tc>
        <w:tc>
          <w:tcPr>
            <w:tcW w:type="dxa" w:w="3384"/>
          </w:tcPr>
          <w:p>
            <w:pPr>
              <w:spacing w:after="20"/>
              <w:jc w:val="right"/>
            </w:pPr>
            <w:r>
              <w:rPr>
                <w:color w:val="1C3A36"/>
                <w:sz w:val="17"/>
              </w:rPr>
              <w:t>the equity risk premium for each of the twelve operating countries, on both the ratings and the credit-default-swap basis</w:t>
            </w:r>
          </w:p>
        </w:tc>
        <w:tc>
          <w:tcPr>
            <w:tcW w:type="dxa" w:w="1224"/>
          </w:tcPr>
          <w:p>
            <w:pPr>
              <w:spacing w:after="20"/>
              <w:jc w:val="right"/>
            </w:pPr>
            <w:r>
              <w:rPr>
                <w:color w:val="1C3A36"/>
                <w:sz w:val="17"/>
              </w:rPr>
              <w:t>cost of capital only</w:t>
            </w:r>
          </w:p>
        </w:tc>
      </w:tr>
      <w:tr>
        <w:tc>
          <w:tcPr>
            <w:tcW w:type="dxa" w:w="3240"/>
          </w:tcPr>
          <w:p>
            <w:pPr>
              <w:spacing w:after="20"/>
            </w:pPr>
            <w:r>
              <w:rPr>
                <w:color w:val="1C3A36"/>
                <w:sz w:val="17"/>
              </w:rPr>
              <w:t>US Treasury daily par yield curve</w:t>
            </w:r>
          </w:p>
        </w:tc>
        <w:tc>
          <w:tcPr>
            <w:tcW w:type="dxa" w:w="2232"/>
          </w:tcPr>
          <w:p>
            <w:pPr>
              <w:spacing w:after="20"/>
              <w:jc w:val="right"/>
            </w:pPr>
            <w:r>
              <w:rPr>
                <w:color w:val="1C3A36"/>
                <w:sz w:val="17"/>
              </w:rPr>
              <w:t>close of 7 August 2026, read from the Treasury CSV</w:t>
            </w:r>
          </w:p>
        </w:tc>
        <w:tc>
          <w:tcPr>
            <w:tcW w:type="dxa" w:w="3384"/>
          </w:tcPr>
          <w:p>
            <w:pPr>
              <w:spacing w:after="20"/>
              <w:jc w:val="right"/>
            </w:pPr>
            <w:r>
              <w:rPr>
                <w:color w:val="1C3A36"/>
                <w:sz w:val="17"/>
              </w:rPr>
              <w:t>the risk-free rate</w:t>
            </w:r>
          </w:p>
        </w:tc>
        <w:tc>
          <w:tcPr>
            <w:tcW w:type="dxa" w:w="1224"/>
          </w:tcPr>
          <w:p>
            <w:pPr>
              <w:spacing w:after="20"/>
              <w:jc w:val="right"/>
            </w:pPr>
            <w:r>
              <w:rPr>
                <w:color w:val="1C3A36"/>
                <w:sz w:val="17"/>
              </w:rPr>
              <w:t>cost of capital only</w:t>
            </w:r>
          </w:p>
        </w:tc>
      </w:tr>
      <w:tr>
        <w:tc>
          <w:tcPr>
            <w:tcW w:type="dxa" w:w="3240"/>
          </w:tcPr>
          <w:p>
            <w:pPr>
              <w:spacing w:after="20"/>
            </w:pPr>
            <w:r>
              <w:rPr>
                <w:color w:val="1C3A36"/>
                <w:sz w:val="17"/>
              </w:rPr>
              <w:t>IMF World Economic Outlook, retrieved 9 August 2026</w:t>
            </w:r>
          </w:p>
        </w:tc>
        <w:tc>
          <w:tcPr>
            <w:tcW w:type="dxa" w:w="2232"/>
          </w:tcPr>
          <w:p>
            <w:pPr>
              <w:spacing w:after="20"/>
              <w:jc w:val="right"/>
            </w:pPr>
            <w:r>
              <w:rPr>
                <w:color w:val="1C3A36"/>
                <w:sz w:val="17"/>
              </w:rPr>
              <w:t>through the IMF DataMapper interface</w:t>
            </w:r>
          </w:p>
        </w:tc>
        <w:tc>
          <w:tcPr>
            <w:tcW w:type="dxa" w:w="3384"/>
          </w:tcPr>
          <w:p>
            <w:pPr>
              <w:spacing w:after="20"/>
              <w:jc w:val="right"/>
            </w:pPr>
            <w:r>
              <w:rPr>
                <w:color w:val="1C3A36"/>
                <w:sz w:val="17"/>
              </w:rPr>
              <w:t>inflation and real growth for each operating country, which set the currency drag and anchor terminal growth</w:t>
            </w:r>
          </w:p>
        </w:tc>
        <w:tc>
          <w:tcPr>
            <w:tcW w:type="dxa" w:w="1224"/>
          </w:tcPr>
          <w:p>
            <w:pPr>
              <w:spacing w:after="20"/>
              <w:jc w:val="right"/>
            </w:pPr>
            <w:r>
              <w:rPr>
                <w:color w:val="1C3A36"/>
                <w:sz w:val="17"/>
              </w:rPr>
              <w:t>forecast drivers only</w:t>
            </w:r>
          </w:p>
        </w:tc>
      </w:tr>
      <w:tr>
        <w:tc>
          <w:tcPr>
            <w:tcW w:type="dxa" w:w="3240"/>
          </w:tcPr>
          <w:p>
            <w:pPr>
              <w:spacing w:after="20"/>
            </w:pPr>
            <w:r>
              <w:rPr>
                <w:color w:val="1C3A36"/>
                <w:sz w:val="17"/>
              </w:rPr>
              <w:t>Abu Dhabi sovereign US dollar issue, February 2026</w:t>
            </w:r>
          </w:p>
        </w:tc>
        <w:tc>
          <w:tcPr>
            <w:tcW w:type="dxa" w:w="2232"/>
          </w:tcPr>
          <w:p>
            <w:pPr>
              <w:spacing w:after="20"/>
              <w:jc w:val="right"/>
            </w:pPr>
            <w:r>
              <w:rPr>
                <w:color w:val="1C3A36"/>
                <w:sz w:val="17"/>
              </w:rPr>
              <w:t>final re-offer spread of 25 basis points over Treasuries on the ten-year tranche (price thoughts opened at 55)</w:t>
            </w:r>
          </w:p>
        </w:tc>
        <w:tc>
          <w:tcPr>
            <w:tcW w:type="dxa" w:w="3384"/>
          </w:tcPr>
          <w:p>
            <w:pPr>
              <w:spacing w:after="20"/>
              <w:jc w:val="right"/>
            </w:pPr>
            <w:r>
              <w:rPr>
                <w:color w:val="1C3A36"/>
                <w:sz w:val="17"/>
              </w:rPr>
              <w:t>a cross-check that the company's own borrowing rate sits above its sovereign</w:t>
            </w:r>
          </w:p>
        </w:tc>
        <w:tc>
          <w:tcPr>
            <w:tcW w:type="dxa" w:w="1224"/>
          </w:tcPr>
          <w:p>
            <w:pPr>
              <w:spacing w:after="20"/>
              <w:jc w:val="right"/>
            </w:pPr>
            <w:r>
              <w:rPr>
                <w:color w:val="1C3A36"/>
                <w:sz w:val="17"/>
              </w:rPr>
              <w:t>cross-check only</w:t>
            </w:r>
          </w:p>
        </w:tc>
      </w:tr>
      <w:tr>
        <w:tc>
          <w:tcPr>
            <w:tcW w:type="dxa" w:w="3240"/>
          </w:tcPr>
          <w:p>
            <w:pPr>
              <w:spacing w:after="20"/>
            </w:pPr>
            <w:r>
              <w:rPr>
                <w:color w:val="1C3A36"/>
                <w:sz w:val="17"/>
              </w:rPr>
              <w:t>Peer market data, retrieved 9 August 2026</w:t>
            </w:r>
          </w:p>
        </w:tc>
        <w:tc>
          <w:tcPr>
            <w:tcW w:type="dxa" w:w="2232"/>
          </w:tcPr>
          <w:p>
            <w:pPr>
              <w:spacing w:after="20"/>
              <w:jc w:val="right"/>
            </w:pPr>
            <w:r>
              <w:rPr>
                <w:color w:val="1C3A36"/>
                <w:sz w:val="17"/>
              </w:rPr>
              <w:t>trailing figures as published</w:t>
            </w:r>
          </w:p>
        </w:tc>
        <w:tc>
          <w:tcPr>
            <w:tcW w:type="dxa" w:w="3384"/>
          </w:tcPr>
          <w:p>
            <w:pPr>
              <w:spacing w:after="20"/>
              <w:jc w:val="right"/>
            </w:pPr>
            <w:r>
              <w:rPr>
                <w:color w:val="1C3A36"/>
                <w:sz w:val="17"/>
              </w:rPr>
              <w:t>the peer multiple table</w:t>
            </w:r>
          </w:p>
        </w:tc>
        <w:tc>
          <w:tcPr>
            <w:tcW w:type="dxa" w:w="1224"/>
          </w:tcPr>
          <w:p>
            <w:pPr>
              <w:spacing w:after="20"/>
              <w:jc w:val="right"/>
            </w:pPr>
            <w:r>
              <w:rPr>
                <w:color w:val="1C3A36"/>
                <w:sz w:val="17"/>
              </w:rPr>
              <w:t>cross-check only — no peer figure enters the valuation</w:t>
            </w:r>
          </w:p>
        </w:tc>
      </w:tr>
      <w:tr>
        <w:tc>
          <w:tcPr>
            <w:tcW w:type="dxa" w:w="3240"/>
          </w:tcPr>
          <w:p>
            <w:pPr>
              <w:spacing w:after="20"/>
            </w:pPr>
            <w:r>
              <w:rPr>
                <w:color w:val="1C3A36"/>
                <w:sz w:val="17"/>
              </w:rPr>
              <w:t>FTSE ADX General Index daily history</w:t>
            </w:r>
          </w:p>
        </w:tc>
        <w:tc>
          <w:tcPr>
            <w:tcW w:type="dxa" w:w="2232"/>
          </w:tcPr>
          <w:p>
            <w:pPr>
              <w:spacing w:after="20"/>
              <w:jc w:val="right"/>
            </w:pPr>
            <w:r>
              <w:rPr>
                <w:color w:val="1C3A36"/>
                <w:sz w:val="17"/>
              </w:rPr>
              <w:t>screened before use; history to 2026-07-24</w:t>
            </w:r>
          </w:p>
        </w:tc>
        <w:tc>
          <w:tcPr>
            <w:tcW w:type="dxa" w:w="3384"/>
          </w:tcPr>
          <w:p>
            <w:pPr>
              <w:spacing w:after="20"/>
              <w:jc w:val="right"/>
            </w:pPr>
            <w:r>
              <w:rPr>
                <w:color w:val="1C3A36"/>
                <w:sz w:val="17"/>
              </w:rPr>
              <w:t>the regressor in the beta calculation — the published index of the exchange the shares trade on, held at raw_indices / AE / FADGI.csv</w:t>
            </w:r>
          </w:p>
        </w:tc>
        <w:tc>
          <w:tcPr>
            <w:tcW w:type="dxa" w:w="1224"/>
          </w:tcPr>
          <w:p>
            <w:pPr>
              <w:spacing w:after="20"/>
              <w:jc w:val="right"/>
            </w:pPr>
            <w:r>
              <w:rPr>
                <w:color w:val="1C3A36"/>
                <w:sz w:val="17"/>
              </w:rPr>
              <w:t>cost of capital only</w:t>
            </w:r>
          </w:p>
        </w:tc>
      </w:tr>
      <w:tr>
        <w:tc>
          <w:tcPr>
            <w:tcW w:type="dxa" w:w="3240"/>
          </w:tcPr>
          <w:p>
            <w:pPr>
              <w:spacing w:after="20"/>
            </w:pPr>
            <w:r>
              <w:rPr>
                <w:color w:val="1C3A36"/>
                <w:sz w:val="17"/>
              </w:rPr>
              <w:t>Tadawul All Share Index daily history</w:t>
            </w:r>
          </w:p>
        </w:tc>
        <w:tc>
          <w:tcPr>
            <w:tcW w:type="dxa" w:w="2232"/>
          </w:tcPr>
          <w:p>
            <w:pPr>
              <w:spacing w:after="20"/>
              <w:jc w:val="right"/>
            </w:pPr>
            <w:r>
              <w:rPr>
                <w:color w:val="1C3A36"/>
                <w:sz w:val="17"/>
              </w:rPr>
              <w:t>retrieved 9 August 2026</w:t>
            </w:r>
          </w:p>
        </w:tc>
        <w:tc>
          <w:tcPr>
            <w:tcW w:type="dxa" w:w="3384"/>
          </w:tcPr>
          <w:p>
            <w:pPr>
              <w:spacing w:after="20"/>
              <w:jc w:val="right"/>
            </w:pPr>
            <w:r>
              <w:rPr>
                <w:color w:val="1C3A36"/>
                <w:sz w:val="17"/>
              </w:rPr>
              <w:t>a disclosed beta cross-check, and the regressor this study's first edition used before the Abu Dhabi index history was available</w:t>
            </w:r>
          </w:p>
        </w:tc>
        <w:tc>
          <w:tcPr>
            <w:tcW w:type="dxa" w:w="1224"/>
          </w:tcPr>
          <w:p>
            <w:pPr>
              <w:spacing w:after="20"/>
              <w:jc w:val="right"/>
            </w:pPr>
            <w:r>
              <w:rPr>
                <w:color w:val="1C3A36"/>
                <w:sz w:val="17"/>
              </w:rPr>
              <w:t>cross-check only</w:t>
            </w:r>
          </w:p>
        </w:tc>
      </w:tr>
    </w:tbl>
    <w:p>
      <w:pPr>
        <w:spacing w:after="40"/>
      </w:pPr>
    </w:p>
    <w:p>
      <w:pPr>
        <w:spacing w:after="120" w:before="0"/>
      </w:pPr>
      <w:r>
        <w:rPr>
          <w:b w:val="0"/>
          <w:i w:val="0"/>
          <w:color w:val="1C3A36"/>
          <w:sz w:val="21"/>
        </w:rPr>
        <w:t>No outside source supplies any figure Americana itself reports. The distinction matters: a sovereign risk premium is not something the company can tell us, and a peer's multiple is not something we would take from the company anyway.</w:t>
      </w:r>
    </w:p>
    <w:p>
      <w:r>
        <w:br w:type="page"/>
      </w:r>
    </w:p>
    <w:p>
      <w:pPr>
        <w:spacing w:after="120" w:before="280"/>
      </w:pPr>
      <w:r>
        <w:rPr>
          <w:b/>
          <w:i w:val="0"/>
          <w:color w:val="1C3A36"/>
          <w:sz w:val="30"/>
        </w:rPr>
        <w:t>3  Every input in the study</w:t>
      </w:r>
    </w:p>
    <w:p>
      <w:pPr>
        <w:spacing w:after="120" w:before="0"/>
      </w:pPr>
      <w:r>
        <w:rPr>
          <w:b w:val="0"/>
          <w:i w:val="0"/>
          <w:color w:val="1C3A36"/>
          <w:sz w:val="21"/>
        </w:rPr>
        <w:t>Grouped by research layer. Company figures are the company's own reported numbers; country and industry figures are external and named; house estimates are this study's own judgements and are marked as such, with the reasoning shown.</w:t>
      </w:r>
    </w:p>
    <w:p>
      <w:pPr>
        <w:spacing w:after="80" w:before="200"/>
      </w:pPr>
      <w:r>
        <w:rPr>
          <w:b/>
          <w:i w:val="0"/>
          <w:color w:val="1C3A36"/>
          <w:sz w:val="24"/>
        </w:rPr>
        <w:t>3.1  Company  (211 inputs)</w:t>
      </w:r>
    </w:p>
    <w:p>
      <w:pPr>
        <w:spacing w:after="80" w:before="0"/>
      </w:pPr>
      <w:r>
        <w:rPr>
          <w:b w:val="0"/>
          <w:i/>
          <w:color w:val="6E7B77"/>
          <w:sz w:val="19"/>
        </w:rPr>
        <w:t>Read from the audited consolidated financial statements or the reviewed interim statements.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368"/>
        <w:gridCol w:w="1037"/>
        <w:gridCol w:w="5731"/>
      </w:tblGrid>
      <w:tr>
        <w:tc>
          <w:tcPr>
            <w:tcW w:type="dxa" w:w="1944"/>
            <w:shd w:val="clear" w:color="auto" w:fill="EAF0EE"/>
          </w:tcPr>
          <w:p>
            <w:pPr>
              <w:spacing w:after="20"/>
            </w:pPr>
            <w:r>
              <w:rPr>
                <w:b/>
                <w:color w:val="1C3A36"/>
                <w:sz w:val="14"/>
              </w:rPr>
              <w:t>Input</w:t>
            </w:r>
          </w:p>
        </w:tc>
        <w:tc>
          <w:tcPr>
            <w:tcW w:type="dxa" w:w="1368"/>
            <w:shd w:val="clear" w:color="auto" w:fill="EAF0EE"/>
          </w:tcPr>
          <w:p>
            <w:pPr>
              <w:spacing w:after="20"/>
            </w:pPr>
            <w:r>
              <w:rPr>
                <w:b/>
                <w:color w:val="1C3A36"/>
                <w:sz w:val="14"/>
              </w:rPr>
              <w:t>Value</w:t>
            </w:r>
          </w:p>
        </w:tc>
        <w:tc>
          <w:tcPr>
            <w:tcW w:type="dxa" w:w="1037"/>
            <w:shd w:val="clear" w:color="auto" w:fill="EAF0EE"/>
          </w:tcPr>
          <w:p>
            <w:pPr>
              <w:spacing w:after="20"/>
            </w:pPr>
            <w:r>
              <w:rPr>
                <w:b/>
                <w:color w:val="1C3A36"/>
                <w:sz w:val="14"/>
              </w:rPr>
              <w:t>Date</w:t>
            </w:r>
          </w:p>
        </w:tc>
        <w:tc>
          <w:tcPr>
            <w:tcW w:type="dxa" w:w="5731"/>
            <w:shd w:val="clear" w:color="auto" w:fill="EAF0EE"/>
          </w:tcPr>
          <w:p>
            <w:pPr>
              <w:spacing w:after="20"/>
            </w:pPr>
            <w:r>
              <w:rPr>
                <w:b/>
                <w:color w:val="1C3A36"/>
                <w:sz w:val="14"/>
              </w:rPr>
              <w:t>Source and construction</w:t>
            </w:r>
          </w:p>
        </w:tc>
      </w:tr>
      <w:tr>
        <w:tc>
          <w:tcPr>
            <w:tcW w:type="dxa" w:w="1944"/>
          </w:tcPr>
          <w:p>
            <w:pPr>
              <w:spacing w:after="20"/>
            </w:pPr>
            <w:r>
              <w:rPr>
                <w:color w:val="1C3A36"/>
                <w:sz w:val="14"/>
              </w:rPr>
              <w:t>shares issued mn</w:t>
            </w:r>
          </w:p>
        </w:tc>
        <w:tc>
          <w:tcPr>
            <w:tcW w:type="dxa" w:w="1368"/>
          </w:tcPr>
          <w:p>
            <w:pPr>
              <w:spacing w:after="20"/>
              <w:jc w:val="right"/>
            </w:pPr>
            <w:r>
              <w:rPr>
                <w:color w:val="1C3A36"/>
                <w:sz w:val="14"/>
              </w:rPr>
              <w:t>8,424</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17: authorised, issued and paid-up capital of USD 168,473 thousand comprising 8,423,633,100 shares of USD 0.02 par value</w:t>
            </w:r>
          </w:p>
        </w:tc>
      </w:tr>
      <w:tr>
        <w:tc>
          <w:tcPr>
            <w:tcW w:type="dxa" w:w="1944"/>
          </w:tcPr>
          <w:p>
            <w:pPr>
              <w:spacing w:after="20"/>
            </w:pPr>
            <w:r>
              <w:rPr>
                <w:color w:val="1C3A36"/>
                <w:sz w:val="14"/>
              </w:rPr>
              <w:t>adeptio holding pct</w:t>
            </w:r>
          </w:p>
        </w:tc>
        <w:tc>
          <w:tcPr>
            <w:tcW w:type="dxa" w:w="1368"/>
          </w:tcPr>
          <w:p>
            <w:pPr>
              <w:spacing w:after="20"/>
              <w:jc w:val="right"/>
            </w:pPr>
            <w:r>
              <w:rPr>
                <w:color w:val="1C3A36"/>
                <w:sz w:val="14"/>
              </w:rPr>
              <w:t>0.6603</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1 and the shareholding disclosure: Adeptio AD Investments holds 66.03% of the issued shares; its parent Adeptio AD Holdings is owned equally by Mohamed Ali Rashed Alabbar and a sovereign investor, which is what makes this a controlled company</w:t>
            </w:r>
          </w:p>
        </w:tc>
      </w:tr>
      <w:tr>
        <w:tc>
          <w:tcPr>
            <w:tcW w:type="dxa" w:w="1944"/>
          </w:tcPr>
          <w:p>
            <w:pPr>
              <w:spacing w:after="20"/>
            </w:pPr>
            <w:r>
              <w:rPr>
                <w:color w:val="1C3A36"/>
                <w:sz w:val="14"/>
              </w:rPr>
              <w:t>lebanon revenue pct</w:t>
            </w:r>
          </w:p>
        </w:tc>
        <w:tc>
          <w:tcPr>
            <w:tcW w:type="dxa" w:w="1368"/>
          </w:tcPr>
          <w:p>
            <w:pPr>
              <w:spacing w:after="20"/>
              <w:jc w:val="right"/>
            </w:pPr>
            <w:r>
              <w:rPr>
                <w:color w:val="1C3A36"/>
                <w:sz w:val="14"/>
              </w:rPr>
              <w:t>0.3089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segment note: 30.89% of revenue arises in Lebanon, which is the concentration the currency and country risk sections turn on</w:t>
            </w:r>
          </w:p>
        </w:tc>
      </w:tr>
      <w:tr>
        <w:tc>
          <w:tcPr>
            <w:tcW w:type="dxa" w:w="1944"/>
          </w:tcPr>
          <w:p>
            <w:pPr>
              <w:spacing w:after="20"/>
            </w:pPr>
            <w:r>
              <w:rPr>
                <w:color w:val="1C3A36"/>
                <w:sz w:val="14"/>
              </w:rPr>
              <w:t>shares treasury mn</w:t>
            </w:r>
          </w:p>
        </w:tc>
        <w:tc>
          <w:tcPr>
            <w:tcW w:type="dxa" w:w="1368"/>
          </w:tcPr>
          <w:p>
            <w:pPr>
              <w:spacing w:after="20"/>
              <w:jc w:val="right"/>
            </w:pPr>
            <w:r>
              <w:rPr>
                <w:color w:val="1C3A36"/>
                <w:sz w:val="14"/>
              </w:rPr>
              <w:t>25</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17: 25,000,000 treasury shares held against a consideration of USD 16,749 thousand (USD 0.67 per share) for the long-term incentive plan</w:t>
            </w:r>
          </w:p>
        </w:tc>
      </w:tr>
      <w:tr>
        <w:tc>
          <w:tcPr>
            <w:tcW w:type="dxa" w:w="1944"/>
          </w:tcPr>
          <w:p>
            <w:pPr>
              <w:spacing w:after="20"/>
            </w:pPr>
            <w:r>
              <w:rPr>
                <w:color w:val="1C3A36"/>
                <w:sz w:val="14"/>
              </w:rPr>
              <w:t>rev fy23</w:t>
            </w:r>
          </w:p>
        </w:tc>
        <w:tc>
          <w:tcPr>
            <w:tcW w:type="dxa" w:w="1368"/>
          </w:tcPr>
          <w:p>
            <w:pPr>
              <w:spacing w:after="20"/>
              <w:jc w:val="right"/>
            </w:pPr>
            <w:r>
              <w:rPr>
                <w:color w:val="1C3A36"/>
                <w:sz w:val="14"/>
              </w:rPr>
              <w:t>2,413</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consolidated statement of profit or loss</w:t>
            </w:r>
          </w:p>
        </w:tc>
      </w:tr>
      <w:tr>
        <w:tc>
          <w:tcPr>
            <w:tcW w:type="dxa" w:w="1944"/>
          </w:tcPr>
          <w:p>
            <w:pPr>
              <w:spacing w:after="20"/>
            </w:pPr>
            <w:r>
              <w:rPr>
                <w:color w:val="1C3A36"/>
                <w:sz w:val="14"/>
              </w:rPr>
              <w:t>rev fy24</w:t>
            </w:r>
          </w:p>
        </w:tc>
        <w:tc>
          <w:tcPr>
            <w:tcW w:type="dxa" w:w="1368"/>
          </w:tcPr>
          <w:p>
            <w:pPr>
              <w:spacing w:after="20"/>
              <w:jc w:val="right"/>
            </w:pPr>
            <w:r>
              <w:rPr>
                <w:color w:val="1C3A36"/>
                <w:sz w:val="14"/>
              </w:rPr>
              <w:t>2,197</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consolidated statement of income</w:t>
            </w:r>
          </w:p>
        </w:tc>
      </w:tr>
      <w:tr>
        <w:tc>
          <w:tcPr>
            <w:tcW w:type="dxa" w:w="1944"/>
          </w:tcPr>
          <w:p>
            <w:pPr>
              <w:spacing w:after="20"/>
            </w:pPr>
            <w:r>
              <w:rPr>
                <w:color w:val="1C3A36"/>
                <w:sz w:val="14"/>
              </w:rPr>
              <w:t>rev fy25</w:t>
            </w:r>
          </w:p>
        </w:tc>
        <w:tc>
          <w:tcPr>
            <w:tcW w:type="dxa" w:w="1368"/>
          </w:tcPr>
          <w:p>
            <w:pPr>
              <w:spacing w:after="20"/>
              <w:jc w:val="right"/>
            </w:pPr>
            <w:r>
              <w:rPr>
                <w:color w:val="1C3A36"/>
                <w:sz w:val="14"/>
              </w:rPr>
              <w:t>2,509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consolidated statement of profit or loss</w:t>
            </w:r>
          </w:p>
        </w:tc>
      </w:tr>
      <w:tr>
        <w:tc>
          <w:tcPr>
            <w:tcW w:type="dxa" w:w="1944"/>
          </w:tcPr>
          <w:p>
            <w:pPr>
              <w:spacing w:after="20"/>
            </w:pPr>
            <w:r>
              <w:rPr>
                <w:color w:val="1C3A36"/>
                <w:sz w:val="14"/>
              </w:rPr>
              <w:t>cogs fy23</w:t>
            </w:r>
          </w:p>
        </w:tc>
        <w:tc>
          <w:tcPr>
            <w:tcW w:type="dxa" w:w="1368"/>
          </w:tcPr>
          <w:p>
            <w:pPr>
              <w:spacing w:after="20"/>
              <w:jc w:val="right"/>
            </w:pPr>
            <w:r>
              <w:rPr>
                <w:color w:val="1C3A36"/>
                <w:sz w:val="14"/>
              </w:rPr>
              <w:t>1,152</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consolidated statement of profit or loss</w:t>
            </w:r>
          </w:p>
        </w:tc>
      </w:tr>
      <w:tr>
        <w:tc>
          <w:tcPr>
            <w:tcW w:type="dxa" w:w="1944"/>
          </w:tcPr>
          <w:p>
            <w:pPr>
              <w:spacing w:after="20"/>
            </w:pPr>
            <w:r>
              <w:rPr>
                <w:color w:val="1C3A36"/>
                <w:sz w:val="14"/>
              </w:rPr>
              <w:t>cogs fy24</w:t>
            </w:r>
          </w:p>
        </w:tc>
        <w:tc>
          <w:tcPr>
            <w:tcW w:type="dxa" w:w="1368"/>
          </w:tcPr>
          <w:p>
            <w:pPr>
              <w:spacing w:after="20"/>
              <w:jc w:val="right"/>
            </w:pPr>
            <w:r>
              <w:rPr>
                <w:color w:val="1C3A36"/>
                <w:sz w:val="14"/>
              </w:rPr>
              <w:t>1,029</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consolidated statement of income</w:t>
            </w:r>
          </w:p>
        </w:tc>
      </w:tr>
      <w:tr>
        <w:tc>
          <w:tcPr>
            <w:tcW w:type="dxa" w:w="1944"/>
          </w:tcPr>
          <w:p>
            <w:pPr>
              <w:spacing w:after="20"/>
            </w:pPr>
            <w:r>
              <w:rPr>
                <w:color w:val="1C3A36"/>
                <w:sz w:val="14"/>
              </w:rPr>
              <w:t>cogs fy25</w:t>
            </w:r>
          </w:p>
        </w:tc>
        <w:tc>
          <w:tcPr>
            <w:tcW w:type="dxa" w:w="1368"/>
          </w:tcPr>
          <w:p>
            <w:pPr>
              <w:spacing w:after="20"/>
              <w:jc w:val="right"/>
            </w:pPr>
            <w:r>
              <w:rPr>
                <w:color w:val="1C3A36"/>
                <w:sz w:val="14"/>
              </w:rPr>
              <w:t>1,144</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consolidated statement of profit or loss</w:t>
            </w:r>
          </w:p>
        </w:tc>
      </w:tr>
      <w:tr>
        <w:tc>
          <w:tcPr>
            <w:tcW w:type="dxa" w:w="1944"/>
          </w:tcPr>
          <w:p>
            <w:pPr>
              <w:spacing w:after="20"/>
            </w:pPr>
            <w:r>
              <w:rPr>
                <w:color w:val="1C3A36"/>
                <w:sz w:val="14"/>
              </w:rPr>
              <w:t>sm fy23</w:t>
            </w:r>
          </w:p>
        </w:tc>
        <w:tc>
          <w:tcPr>
            <w:tcW w:type="dxa" w:w="1368"/>
          </w:tcPr>
          <w:p>
            <w:pPr>
              <w:spacing w:after="20"/>
              <w:jc w:val="right"/>
            </w:pPr>
            <w:r>
              <w:rPr>
                <w:color w:val="1C3A36"/>
                <w:sz w:val="14"/>
              </w:rPr>
              <w:t>777.3</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w:t>
            </w:r>
          </w:p>
        </w:tc>
      </w:tr>
      <w:tr>
        <w:tc>
          <w:tcPr>
            <w:tcW w:type="dxa" w:w="1944"/>
          </w:tcPr>
          <w:p>
            <w:pPr>
              <w:spacing w:after="20"/>
            </w:pPr>
            <w:r>
              <w:rPr>
                <w:color w:val="1C3A36"/>
                <w:sz w:val="14"/>
              </w:rPr>
              <w:t>sm fy24</w:t>
            </w:r>
          </w:p>
        </w:tc>
        <w:tc>
          <w:tcPr>
            <w:tcW w:type="dxa" w:w="1368"/>
          </w:tcPr>
          <w:p>
            <w:pPr>
              <w:spacing w:after="20"/>
              <w:jc w:val="right"/>
            </w:pPr>
            <w:r>
              <w:rPr>
                <w:color w:val="1C3A36"/>
                <w:sz w:val="14"/>
              </w:rPr>
              <w:t>784.7</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sm fy25</w:t>
            </w:r>
          </w:p>
        </w:tc>
        <w:tc>
          <w:tcPr>
            <w:tcW w:type="dxa" w:w="1368"/>
          </w:tcPr>
          <w:p>
            <w:pPr>
              <w:spacing w:after="20"/>
              <w:jc w:val="right"/>
            </w:pPr>
            <w:r>
              <w:rPr>
                <w:color w:val="1C3A36"/>
                <w:sz w:val="14"/>
              </w:rPr>
              <w:t>886.1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ga fy23</w:t>
            </w:r>
          </w:p>
        </w:tc>
        <w:tc>
          <w:tcPr>
            <w:tcW w:type="dxa" w:w="1368"/>
          </w:tcPr>
          <w:p>
            <w:pPr>
              <w:spacing w:after="20"/>
              <w:jc w:val="right"/>
            </w:pPr>
            <w:r>
              <w:rPr>
                <w:color w:val="1C3A36"/>
                <w:sz w:val="14"/>
              </w:rPr>
              <w:t>191.8</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w:t>
            </w:r>
          </w:p>
        </w:tc>
      </w:tr>
      <w:tr>
        <w:tc>
          <w:tcPr>
            <w:tcW w:type="dxa" w:w="1944"/>
          </w:tcPr>
          <w:p>
            <w:pPr>
              <w:spacing w:after="20"/>
            </w:pPr>
            <w:r>
              <w:rPr>
                <w:color w:val="1C3A36"/>
                <w:sz w:val="14"/>
              </w:rPr>
              <w:t>ga fy24</w:t>
            </w:r>
          </w:p>
        </w:tc>
        <w:tc>
          <w:tcPr>
            <w:tcW w:type="dxa" w:w="1368"/>
          </w:tcPr>
          <w:p>
            <w:pPr>
              <w:spacing w:after="20"/>
              <w:jc w:val="right"/>
            </w:pPr>
            <w:r>
              <w:rPr>
                <w:color w:val="1C3A36"/>
                <w:sz w:val="14"/>
              </w:rPr>
              <w:t>184.7</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ga fy25</w:t>
            </w:r>
          </w:p>
        </w:tc>
        <w:tc>
          <w:tcPr>
            <w:tcW w:type="dxa" w:w="1368"/>
          </w:tcPr>
          <w:p>
            <w:pPr>
              <w:spacing w:after="20"/>
              <w:jc w:val="right"/>
            </w:pPr>
            <w:r>
              <w:rPr>
                <w:color w:val="1C3A36"/>
                <w:sz w:val="14"/>
              </w:rPr>
              <w:t>202.6</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othinc fy23</w:t>
            </w:r>
          </w:p>
        </w:tc>
        <w:tc>
          <w:tcPr>
            <w:tcW w:type="dxa" w:w="1368"/>
          </w:tcPr>
          <w:p>
            <w:pPr>
              <w:spacing w:after="20"/>
              <w:jc w:val="right"/>
            </w:pPr>
            <w:r>
              <w:rPr>
                <w:color w:val="1C3A36"/>
                <w:sz w:val="14"/>
              </w:rPr>
              <w:t>16.72</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w:t>
            </w:r>
          </w:p>
        </w:tc>
      </w:tr>
      <w:tr>
        <w:tc>
          <w:tcPr>
            <w:tcW w:type="dxa" w:w="1944"/>
          </w:tcPr>
          <w:p>
            <w:pPr>
              <w:spacing w:after="20"/>
            </w:pPr>
            <w:r>
              <w:rPr>
                <w:color w:val="1C3A36"/>
                <w:sz w:val="14"/>
              </w:rPr>
              <w:t>othinc fy24</w:t>
            </w:r>
          </w:p>
        </w:tc>
        <w:tc>
          <w:tcPr>
            <w:tcW w:type="dxa" w:w="1368"/>
          </w:tcPr>
          <w:p>
            <w:pPr>
              <w:spacing w:after="20"/>
              <w:jc w:val="right"/>
            </w:pPr>
            <w:r>
              <w:rPr>
                <w:color w:val="1C3A36"/>
                <w:sz w:val="14"/>
              </w:rPr>
              <w:t>7.461</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othinc fy25</w:t>
            </w:r>
          </w:p>
        </w:tc>
        <w:tc>
          <w:tcPr>
            <w:tcW w:type="dxa" w:w="1368"/>
          </w:tcPr>
          <w:p>
            <w:pPr>
              <w:spacing w:after="20"/>
              <w:jc w:val="right"/>
            </w:pPr>
            <w:r>
              <w:rPr>
                <w:color w:val="1C3A36"/>
                <w:sz w:val="14"/>
              </w:rPr>
              <w:t>13.36</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hyper fy23</w:t>
            </w:r>
          </w:p>
        </w:tc>
        <w:tc>
          <w:tcPr>
            <w:tcW w:type="dxa" w:w="1368"/>
          </w:tcPr>
          <w:p>
            <w:pPr>
              <w:spacing w:after="20"/>
              <w:jc w:val="right"/>
            </w:pPr>
            <w:r>
              <w:rPr>
                <w:color w:val="1C3A36"/>
                <w:sz w:val="14"/>
              </w:rPr>
              <w:t>-4.379</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monetary loss from hyperinflation (Lebanon)</w:t>
            </w:r>
          </w:p>
        </w:tc>
      </w:tr>
      <w:tr>
        <w:tc>
          <w:tcPr>
            <w:tcW w:type="dxa" w:w="1944"/>
          </w:tcPr>
          <w:p>
            <w:pPr>
              <w:spacing w:after="20"/>
            </w:pPr>
            <w:r>
              <w:rPr>
                <w:color w:val="1C3A36"/>
                <w:sz w:val="14"/>
              </w:rPr>
              <w:t>hyper fy24</w:t>
            </w:r>
          </w:p>
        </w:tc>
        <w:tc>
          <w:tcPr>
            <w:tcW w:type="dxa" w:w="1368"/>
          </w:tcPr>
          <w:p>
            <w:pPr>
              <w:spacing w:after="20"/>
              <w:jc w:val="right"/>
            </w:pPr>
            <w:r>
              <w:rPr>
                <w:color w:val="1C3A36"/>
                <w:sz w:val="14"/>
              </w:rPr>
              <w:t>0.125</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monetary gain from hyperinflation</w:t>
            </w:r>
          </w:p>
        </w:tc>
      </w:tr>
      <w:tr>
        <w:tc>
          <w:tcPr>
            <w:tcW w:type="dxa" w:w="1944"/>
          </w:tcPr>
          <w:p>
            <w:pPr>
              <w:spacing w:after="20"/>
            </w:pPr>
            <w:r>
              <w:rPr>
                <w:color w:val="1C3A36"/>
                <w:sz w:val="14"/>
              </w:rPr>
              <w:t>hyper fy25</w:t>
            </w:r>
          </w:p>
        </w:tc>
        <w:tc>
          <w:tcPr>
            <w:tcW w:type="dxa" w:w="1368"/>
          </w:tcPr>
          <w:p>
            <w:pPr>
              <w:spacing w:after="20"/>
              <w:jc w:val="right"/>
            </w:pPr>
            <w:r>
              <w:rPr>
                <w:color w:val="1C3A36"/>
                <w:sz w:val="14"/>
              </w:rPr>
              <w:t>-1.052</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monetary loss from hyperinflation</w:t>
            </w:r>
          </w:p>
        </w:tc>
      </w:tr>
      <w:tr>
        <w:tc>
          <w:tcPr>
            <w:tcW w:type="dxa" w:w="1944"/>
          </w:tcPr>
          <w:p>
            <w:pPr>
              <w:spacing w:after="20"/>
            </w:pPr>
            <w:r>
              <w:rPr>
                <w:color w:val="1C3A36"/>
                <w:sz w:val="14"/>
              </w:rPr>
              <w:t>imp nf fy23</w:t>
            </w:r>
          </w:p>
        </w:tc>
        <w:tc>
          <w:tcPr>
            <w:tcW w:type="dxa" w:w="1368"/>
          </w:tcPr>
          <w:p>
            <w:pPr>
              <w:spacing w:after="20"/>
              <w:jc w:val="right"/>
            </w:pPr>
            <w:r>
              <w:rPr>
                <w:color w:val="1C3A36"/>
                <w:sz w:val="14"/>
              </w:rPr>
              <w:t>0.628</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impairment losses on non-financial assets</w:t>
            </w:r>
          </w:p>
        </w:tc>
      </w:tr>
      <w:tr>
        <w:tc>
          <w:tcPr>
            <w:tcW w:type="dxa" w:w="1944"/>
          </w:tcPr>
          <w:p>
            <w:pPr>
              <w:spacing w:after="20"/>
            </w:pPr>
            <w:r>
              <w:rPr>
                <w:color w:val="1C3A36"/>
                <w:sz w:val="14"/>
              </w:rPr>
              <w:t>imp nf fy24</w:t>
            </w:r>
          </w:p>
        </w:tc>
        <w:tc>
          <w:tcPr>
            <w:tcW w:type="dxa" w:w="1368"/>
          </w:tcPr>
          <w:p>
            <w:pPr>
              <w:spacing w:after="20"/>
              <w:jc w:val="right"/>
            </w:pPr>
            <w:r>
              <w:rPr>
                <w:color w:val="1C3A36"/>
                <w:sz w:val="14"/>
              </w:rPr>
              <w:t>12.63</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imp nf fy25</w:t>
            </w:r>
          </w:p>
        </w:tc>
        <w:tc>
          <w:tcPr>
            <w:tcW w:type="dxa" w:w="1368"/>
          </w:tcPr>
          <w:p>
            <w:pPr>
              <w:spacing w:after="20"/>
              <w:jc w:val="right"/>
            </w:pPr>
            <w:r>
              <w:rPr>
                <w:color w:val="1C3A36"/>
                <w:sz w:val="14"/>
              </w:rPr>
              <w:t>5.559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imp f fy23</w:t>
            </w:r>
          </w:p>
        </w:tc>
        <w:tc>
          <w:tcPr>
            <w:tcW w:type="dxa" w:w="1368"/>
          </w:tcPr>
          <w:p>
            <w:pPr>
              <w:spacing w:after="20"/>
              <w:jc w:val="right"/>
            </w:pPr>
            <w:r>
              <w:rPr>
                <w:color w:val="1C3A36"/>
                <w:sz w:val="14"/>
              </w:rPr>
              <w:t>1.758</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impairment losses on financial assets</w:t>
            </w:r>
          </w:p>
        </w:tc>
      </w:tr>
      <w:tr>
        <w:tc>
          <w:tcPr>
            <w:tcW w:type="dxa" w:w="1944"/>
          </w:tcPr>
          <w:p>
            <w:pPr>
              <w:spacing w:after="20"/>
            </w:pPr>
            <w:r>
              <w:rPr>
                <w:color w:val="1C3A36"/>
                <w:sz w:val="14"/>
              </w:rPr>
              <w:t>imp f fy24</w:t>
            </w:r>
          </w:p>
        </w:tc>
        <w:tc>
          <w:tcPr>
            <w:tcW w:type="dxa" w:w="1368"/>
          </w:tcPr>
          <w:p>
            <w:pPr>
              <w:spacing w:after="20"/>
              <w:jc w:val="right"/>
            </w:pPr>
            <w:r>
              <w:rPr>
                <w:color w:val="1C3A36"/>
                <w:sz w:val="14"/>
              </w:rPr>
              <w:t>1.093</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imp f fy25</w:t>
            </w:r>
          </w:p>
        </w:tc>
        <w:tc>
          <w:tcPr>
            <w:tcW w:type="dxa" w:w="1368"/>
          </w:tcPr>
          <w:p>
            <w:pPr>
              <w:spacing w:after="20"/>
              <w:jc w:val="right"/>
            </w:pPr>
            <w:r>
              <w:rPr>
                <w:color w:val="1C3A36"/>
                <w:sz w:val="14"/>
              </w:rPr>
              <w:t>0.251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fv deriv fy23</w:t>
            </w:r>
          </w:p>
        </w:tc>
        <w:tc>
          <w:tcPr>
            <w:tcW w:type="dxa" w:w="1368"/>
          </w:tcPr>
          <w:p>
            <w:pPr>
              <w:spacing w:after="20"/>
              <w:jc w:val="right"/>
            </w:pPr>
            <w:r>
              <w:rPr>
                <w:color w:val="1C3A36"/>
                <w:sz w:val="14"/>
              </w:rPr>
              <w:t>-11.33</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fair value losses on derivative assets</w:t>
            </w:r>
          </w:p>
        </w:tc>
      </w:tr>
      <w:tr>
        <w:tc>
          <w:tcPr>
            <w:tcW w:type="dxa" w:w="1944"/>
          </w:tcPr>
          <w:p>
            <w:pPr>
              <w:spacing w:after="20"/>
            </w:pPr>
            <w:r>
              <w:rPr>
                <w:color w:val="1C3A36"/>
                <w:sz w:val="14"/>
              </w:rPr>
              <w:t>opprofit fy23</w:t>
            </w:r>
          </w:p>
        </w:tc>
        <w:tc>
          <w:tcPr>
            <w:tcW w:type="dxa" w:w="1368"/>
          </w:tcPr>
          <w:p>
            <w:pPr>
              <w:spacing w:after="20"/>
              <w:jc w:val="right"/>
            </w:pPr>
            <w:r>
              <w:rPr>
                <w:color w:val="1C3A36"/>
                <w:sz w:val="14"/>
              </w:rPr>
              <w:t>291.1</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w:t>
            </w:r>
          </w:p>
        </w:tc>
      </w:tr>
      <w:tr>
        <w:tc>
          <w:tcPr>
            <w:tcW w:type="dxa" w:w="1944"/>
          </w:tcPr>
          <w:p>
            <w:pPr>
              <w:spacing w:after="20"/>
            </w:pPr>
            <w:r>
              <w:rPr>
                <w:color w:val="1C3A36"/>
                <w:sz w:val="14"/>
              </w:rPr>
              <w:t>opprofit fy24</w:t>
            </w:r>
          </w:p>
        </w:tc>
        <w:tc>
          <w:tcPr>
            <w:tcW w:type="dxa" w:w="1368"/>
          </w:tcPr>
          <w:p>
            <w:pPr>
              <w:spacing w:after="20"/>
              <w:jc w:val="right"/>
            </w:pPr>
            <w:r>
              <w:rPr>
                <w:color w:val="1C3A36"/>
                <w:sz w:val="14"/>
              </w:rPr>
              <w:t>191.8</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opprofit fy25</w:t>
            </w:r>
          </w:p>
        </w:tc>
        <w:tc>
          <w:tcPr>
            <w:tcW w:type="dxa" w:w="1368"/>
          </w:tcPr>
          <w:p>
            <w:pPr>
              <w:spacing w:after="20"/>
              <w:jc w:val="right"/>
            </w:pPr>
            <w:r>
              <w:rPr>
                <w:color w:val="1C3A36"/>
                <w:sz w:val="14"/>
              </w:rPr>
              <w:t>282.7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fininc fy23</w:t>
            </w:r>
          </w:p>
        </w:tc>
        <w:tc>
          <w:tcPr>
            <w:tcW w:type="dxa" w:w="1368"/>
          </w:tcPr>
          <w:p>
            <w:pPr>
              <w:spacing w:after="20"/>
              <w:jc w:val="right"/>
            </w:pPr>
            <w:r>
              <w:rPr>
                <w:color w:val="1C3A36"/>
                <w:sz w:val="14"/>
              </w:rPr>
              <w:t>15.31</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note 27</w:t>
            </w:r>
          </w:p>
        </w:tc>
      </w:tr>
      <w:tr>
        <w:tc>
          <w:tcPr>
            <w:tcW w:type="dxa" w:w="1944"/>
          </w:tcPr>
          <w:p>
            <w:pPr>
              <w:spacing w:after="20"/>
            </w:pPr>
            <w:r>
              <w:rPr>
                <w:color w:val="1C3A36"/>
                <w:sz w:val="14"/>
              </w:rPr>
              <w:t>fininc fy24</w:t>
            </w:r>
          </w:p>
        </w:tc>
        <w:tc>
          <w:tcPr>
            <w:tcW w:type="dxa" w:w="1368"/>
          </w:tcPr>
          <w:p>
            <w:pPr>
              <w:spacing w:after="20"/>
              <w:jc w:val="right"/>
            </w:pPr>
            <w:r>
              <w:rPr>
                <w:color w:val="1C3A36"/>
                <w:sz w:val="14"/>
              </w:rPr>
              <w:t>16.12</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 27</w:t>
            </w:r>
          </w:p>
        </w:tc>
      </w:tr>
      <w:tr>
        <w:tc>
          <w:tcPr>
            <w:tcW w:type="dxa" w:w="1944"/>
          </w:tcPr>
          <w:p>
            <w:pPr>
              <w:spacing w:after="20"/>
            </w:pPr>
            <w:r>
              <w:rPr>
                <w:color w:val="1C3A36"/>
                <w:sz w:val="14"/>
              </w:rPr>
              <w:t>fininc fy25</w:t>
            </w:r>
          </w:p>
        </w:tc>
        <w:tc>
          <w:tcPr>
            <w:tcW w:type="dxa" w:w="1368"/>
          </w:tcPr>
          <w:p>
            <w:pPr>
              <w:spacing w:after="20"/>
              <w:jc w:val="right"/>
            </w:pPr>
            <w:r>
              <w:rPr>
                <w:color w:val="1C3A36"/>
                <w:sz w:val="14"/>
              </w:rPr>
              <w:t>15.51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25</w:t>
            </w:r>
          </w:p>
        </w:tc>
      </w:tr>
      <w:tr>
        <w:tc>
          <w:tcPr>
            <w:tcW w:type="dxa" w:w="1944"/>
          </w:tcPr>
          <w:p>
            <w:pPr>
              <w:spacing w:after="20"/>
            </w:pPr>
            <w:r>
              <w:rPr>
                <w:color w:val="1C3A36"/>
                <w:sz w:val="14"/>
              </w:rPr>
              <w:t>fincost fy23</w:t>
            </w:r>
          </w:p>
        </w:tc>
        <w:tc>
          <w:tcPr>
            <w:tcW w:type="dxa" w:w="1368"/>
          </w:tcPr>
          <w:p>
            <w:pPr>
              <w:spacing w:after="20"/>
              <w:jc w:val="right"/>
            </w:pPr>
            <w:r>
              <w:rPr>
                <w:color w:val="1C3A36"/>
                <w:sz w:val="14"/>
              </w:rPr>
              <w:t>31.01</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note 27</w:t>
            </w:r>
          </w:p>
        </w:tc>
      </w:tr>
      <w:tr>
        <w:tc>
          <w:tcPr>
            <w:tcW w:type="dxa" w:w="1944"/>
          </w:tcPr>
          <w:p>
            <w:pPr>
              <w:spacing w:after="20"/>
            </w:pPr>
            <w:r>
              <w:rPr>
                <w:color w:val="1C3A36"/>
                <w:sz w:val="14"/>
              </w:rPr>
              <w:t>fincost fy24</w:t>
            </w:r>
          </w:p>
        </w:tc>
        <w:tc>
          <w:tcPr>
            <w:tcW w:type="dxa" w:w="1368"/>
          </w:tcPr>
          <w:p>
            <w:pPr>
              <w:spacing w:after="20"/>
              <w:jc w:val="right"/>
            </w:pPr>
            <w:r>
              <w:rPr>
                <w:color w:val="1C3A36"/>
                <w:sz w:val="14"/>
              </w:rPr>
              <w:t>35.79</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 27</w:t>
            </w:r>
          </w:p>
        </w:tc>
      </w:tr>
      <w:tr>
        <w:tc>
          <w:tcPr>
            <w:tcW w:type="dxa" w:w="1944"/>
          </w:tcPr>
          <w:p>
            <w:pPr>
              <w:spacing w:after="20"/>
            </w:pPr>
            <w:r>
              <w:rPr>
                <w:color w:val="1C3A36"/>
                <w:sz w:val="14"/>
              </w:rPr>
              <w:t>fincost fy25</w:t>
            </w:r>
          </w:p>
        </w:tc>
        <w:tc>
          <w:tcPr>
            <w:tcW w:type="dxa" w:w="1368"/>
          </w:tcPr>
          <w:p>
            <w:pPr>
              <w:spacing w:after="20"/>
              <w:jc w:val="right"/>
            </w:pPr>
            <w:r>
              <w:rPr>
                <w:color w:val="1C3A36"/>
                <w:sz w:val="14"/>
              </w:rPr>
              <w:t>44.13</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25</w:t>
            </w:r>
          </w:p>
        </w:tc>
      </w:tr>
      <w:tr>
        <w:tc>
          <w:tcPr>
            <w:tcW w:type="dxa" w:w="1944"/>
          </w:tcPr>
          <w:p>
            <w:pPr>
              <w:spacing w:after="20"/>
            </w:pPr>
            <w:r>
              <w:rPr>
                <w:color w:val="1C3A36"/>
                <w:sz w:val="14"/>
              </w:rPr>
              <w:t>lease int fy23</w:t>
            </w:r>
          </w:p>
        </w:tc>
        <w:tc>
          <w:tcPr>
            <w:tcW w:type="dxa" w:w="1368"/>
          </w:tcPr>
          <w:p>
            <w:pPr>
              <w:spacing w:after="20"/>
              <w:jc w:val="right"/>
            </w:pPr>
            <w:r>
              <w:rPr>
                <w:color w:val="1C3A36"/>
                <w:sz w:val="14"/>
              </w:rPr>
              <w:t>26.62</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note 27: finance costs on lease liabilities</w:t>
            </w:r>
          </w:p>
        </w:tc>
      </w:tr>
      <w:tr>
        <w:tc>
          <w:tcPr>
            <w:tcW w:type="dxa" w:w="1944"/>
          </w:tcPr>
          <w:p>
            <w:pPr>
              <w:spacing w:after="20"/>
            </w:pPr>
            <w:r>
              <w:rPr>
                <w:color w:val="1C3A36"/>
                <w:sz w:val="14"/>
              </w:rPr>
              <w:t>lease int fy24</w:t>
            </w:r>
          </w:p>
        </w:tc>
        <w:tc>
          <w:tcPr>
            <w:tcW w:type="dxa" w:w="1368"/>
          </w:tcPr>
          <w:p>
            <w:pPr>
              <w:spacing w:after="20"/>
              <w:jc w:val="right"/>
            </w:pPr>
            <w:r>
              <w:rPr>
                <w:color w:val="1C3A36"/>
                <w:sz w:val="14"/>
              </w:rPr>
              <w:t>32.32</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 27</w:t>
            </w:r>
          </w:p>
        </w:tc>
      </w:tr>
      <w:tr>
        <w:tc>
          <w:tcPr>
            <w:tcW w:type="dxa" w:w="1944"/>
          </w:tcPr>
          <w:p>
            <w:pPr>
              <w:spacing w:after="20"/>
            </w:pPr>
            <w:r>
              <w:rPr>
                <w:color w:val="1C3A36"/>
                <w:sz w:val="14"/>
              </w:rPr>
              <w:t>lease int fy25</w:t>
            </w:r>
          </w:p>
        </w:tc>
        <w:tc>
          <w:tcPr>
            <w:tcW w:type="dxa" w:w="1368"/>
          </w:tcPr>
          <w:p>
            <w:pPr>
              <w:spacing w:after="20"/>
              <w:jc w:val="right"/>
            </w:pPr>
            <w:r>
              <w:rPr>
                <w:color w:val="1C3A36"/>
                <w:sz w:val="14"/>
              </w:rPr>
              <w:t>40.87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25</w:t>
            </w:r>
          </w:p>
        </w:tc>
      </w:tr>
      <w:tr>
        <w:tc>
          <w:tcPr>
            <w:tcW w:type="dxa" w:w="1944"/>
          </w:tcPr>
          <w:p>
            <w:pPr>
              <w:spacing w:after="20"/>
            </w:pPr>
            <w:r>
              <w:rPr>
                <w:color w:val="1C3A36"/>
                <w:sz w:val="14"/>
              </w:rPr>
              <w:t>pbt fy23</w:t>
            </w:r>
          </w:p>
        </w:tc>
        <w:tc>
          <w:tcPr>
            <w:tcW w:type="dxa" w:w="1368"/>
          </w:tcPr>
          <w:p>
            <w:pPr>
              <w:spacing w:after="20"/>
              <w:jc w:val="right"/>
            </w:pPr>
            <w:r>
              <w:rPr>
                <w:color w:val="1C3A36"/>
                <w:sz w:val="14"/>
              </w:rPr>
              <w:t>275.4</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w:t>
            </w:r>
          </w:p>
        </w:tc>
      </w:tr>
      <w:tr>
        <w:tc>
          <w:tcPr>
            <w:tcW w:type="dxa" w:w="1944"/>
          </w:tcPr>
          <w:p>
            <w:pPr>
              <w:spacing w:after="20"/>
            </w:pPr>
            <w:r>
              <w:rPr>
                <w:color w:val="1C3A36"/>
                <w:sz w:val="14"/>
              </w:rPr>
              <w:t>pbt fy24</w:t>
            </w:r>
          </w:p>
        </w:tc>
        <w:tc>
          <w:tcPr>
            <w:tcW w:type="dxa" w:w="1368"/>
          </w:tcPr>
          <w:p>
            <w:pPr>
              <w:spacing w:after="20"/>
              <w:jc w:val="right"/>
            </w:pPr>
            <w:r>
              <w:rPr>
                <w:color w:val="1C3A36"/>
                <w:sz w:val="14"/>
              </w:rPr>
              <w:t>172.1</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pbt fy25</w:t>
            </w:r>
          </w:p>
        </w:tc>
        <w:tc>
          <w:tcPr>
            <w:tcW w:type="dxa" w:w="1368"/>
          </w:tcPr>
          <w:p>
            <w:pPr>
              <w:spacing w:after="20"/>
              <w:jc w:val="right"/>
            </w:pPr>
            <w:r>
              <w:rPr>
                <w:color w:val="1C3A36"/>
                <w:sz w:val="14"/>
              </w:rPr>
              <w:t>254.1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tax fy23</w:t>
            </w:r>
          </w:p>
        </w:tc>
        <w:tc>
          <w:tcPr>
            <w:tcW w:type="dxa" w:w="1368"/>
          </w:tcPr>
          <w:p>
            <w:pPr>
              <w:spacing w:after="20"/>
              <w:jc w:val="right"/>
            </w:pPr>
            <w:r>
              <w:rPr>
                <w:color w:val="1C3A36"/>
                <w:sz w:val="14"/>
              </w:rPr>
              <w:t>13.04</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note 30</w:t>
            </w:r>
          </w:p>
        </w:tc>
      </w:tr>
      <w:tr>
        <w:tc>
          <w:tcPr>
            <w:tcW w:type="dxa" w:w="1944"/>
          </w:tcPr>
          <w:p>
            <w:pPr>
              <w:spacing w:after="20"/>
            </w:pPr>
            <w:r>
              <w:rPr>
                <w:color w:val="1C3A36"/>
                <w:sz w:val="14"/>
              </w:rPr>
              <w:t>tax fy24</w:t>
            </w:r>
          </w:p>
        </w:tc>
        <w:tc>
          <w:tcPr>
            <w:tcW w:type="dxa" w:w="1368"/>
          </w:tcPr>
          <w:p>
            <w:pPr>
              <w:spacing w:after="20"/>
              <w:jc w:val="right"/>
            </w:pPr>
            <w:r>
              <w:rPr>
                <w:color w:val="1C3A36"/>
                <w:sz w:val="14"/>
              </w:rPr>
              <w:t>20.73</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 30</w:t>
            </w:r>
          </w:p>
        </w:tc>
      </w:tr>
      <w:tr>
        <w:tc>
          <w:tcPr>
            <w:tcW w:type="dxa" w:w="1944"/>
          </w:tcPr>
          <w:p>
            <w:pPr>
              <w:spacing w:after="20"/>
            </w:pPr>
            <w:r>
              <w:rPr>
                <w:color w:val="1C3A36"/>
                <w:sz w:val="14"/>
              </w:rPr>
              <w:t>tax fy25</w:t>
            </w:r>
          </w:p>
        </w:tc>
        <w:tc>
          <w:tcPr>
            <w:tcW w:type="dxa" w:w="1368"/>
          </w:tcPr>
          <w:p>
            <w:pPr>
              <w:spacing w:after="20"/>
              <w:jc w:val="right"/>
            </w:pPr>
            <w:r>
              <w:rPr>
                <w:color w:val="1C3A36"/>
                <w:sz w:val="14"/>
              </w:rPr>
              <w:t>35.65</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28, including USD 14,040 thousand of domestic minimum top-up tax under the OECD Pillar Two rules</w:t>
            </w:r>
          </w:p>
        </w:tc>
      </w:tr>
      <w:tr>
        <w:tc>
          <w:tcPr>
            <w:tcW w:type="dxa" w:w="1944"/>
          </w:tcPr>
          <w:p>
            <w:pPr>
              <w:spacing w:after="20"/>
            </w:pPr>
            <w:r>
              <w:rPr>
                <w:color w:val="1C3A36"/>
                <w:sz w:val="14"/>
              </w:rPr>
              <w:t>pat fy23</w:t>
            </w:r>
          </w:p>
        </w:tc>
        <w:tc>
          <w:tcPr>
            <w:tcW w:type="dxa" w:w="1368"/>
          </w:tcPr>
          <w:p>
            <w:pPr>
              <w:spacing w:after="20"/>
              <w:jc w:val="right"/>
            </w:pPr>
            <w:r>
              <w:rPr>
                <w:color w:val="1C3A36"/>
                <w:sz w:val="14"/>
              </w:rPr>
              <w:t>262.3</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w:t>
            </w:r>
          </w:p>
        </w:tc>
      </w:tr>
      <w:tr>
        <w:tc>
          <w:tcPr>
            <w:tcW w:type="dxa" w:w="1944"/>
          </w:tcPr>
          <w:p>
            <w:pPr>
              <w:spacing w:after="20"/>
            </w:pPr>
            <w:r>
              <w:rPr>
                <w:color w:val="1C3A36"/>
                <w:sz w:val="14"/>
              </w:rPr>
              <w:t>pat fy24</w:t>
            </w:r>
          </w:p>
        </w:tc>
        <w:tc>
          <w:tcPr>
            <w:tcW w:type="dxa" w:w="1368"/>
          </w:tcPr>
          <w:p>
            <w:pPr>
              <w:spacing w:after="20"/>
              <w:jc w:val="right"/>
            </w:pPr>
            <w:r>
              <w:rPr>
                <w:color w:val="1C3A36"/>
                <w:sz w:val="14"/>
              </w:rPr>
              <w:t>151.4</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pat fy25</w:t>
            </w:r>
          </w:p>
        </w:tc>
        <w:tc>
          <w:tcPr>
            <w:tcW w:type="dxa" w:w="1368"/>
          </w:tcPr>
          <w:p>
            <w:pPr>
              <w:spacing w:after="20"/>
              <w:jc w:val="right"/>
            </w:pPr>
            <w:r>
              <w:rPr>
                <w:color w:val="1C3A36"/>
                <w:sz w:val="14"/>
              </w:rPr>
              <w:t>218.4</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patsh fy23</w:t>
            </w:r>
          </w:p>
        </w:tc>
        <w:tc>
          <w:tcPr>
            <w:tcW w:type="dxa" w:w="1368"/>
          </w:tcPr>
          <w:p>
            <w:pPr>
              <w:spacing w:after="20"/>
              <w:jc w:val="right"/>
            </w:pPr>
            <w:r>
              <w:rPr>
                <w:color w:val="1C3A36"/>
                <w:sz w:val="14"/>
              </w:rPr>
              <w:t>259.5</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profit attributable to shareholders</w:t>
            </w:r>
          </w:p>
        </w:tc>
      </w:tr>
      <w:tr>
        <w:tc>
          <w:tcPr>
            <w:tcW w:type="dxa" w:w="1944"/>
          </w:tcPr>
          <w:p>
            <w:pPr>
              <w:spacing w:after="20"/>
            </w:pPr>
            <w:r>
              <w:rPr>
                <w:color w:val="1C3A36"/>
                <w:sz w:val="14"/>
              </w:rPr>
              <w:t>patsh fy24</w:t>
            </w:r>
          </w:p>
        </w:tc>
        <w:tc>
          <w:tcPr>
            <w:tcW w:type="dxa" w:w="1368"/>
          </w:tcPr>
          <w:p>
            <w:pPr>
              <w:spacing w:after="20"/>
              <w:jc w:val="right"/>
            </w:pPr>
            <w:r>
              <w:rPr>
                <w:color w:val="1C3A36"/>
                <w:sz w:val="14"/>
              </w:rPr>
              <w:t>158.8</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patsh fy25</w:t>
            </w:r>
          </w:p>
        </w:tc>
        <w:tc>
          <w:tcPr>
            <w:tcW w:type="dxa" w:w="1368"/>
          </w:tcPr>
          <w:p>
            <w:pPr>
              <w:spacing w:after="20"/>
              <w:jc w:val="right"/>
            </w:pPr>
            <w:r>
              <w:rPr>
                <w:color w:val="1C3A36"/>
                <w:sz w:val="14"/>
              </w:rPr>
              <w:t>219.1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dna fy23</w:t>
            </w:r>
          </w:p>
        </w:tc>
        <w:tc>
          <w:tcPr>
            <w:tcW w:type="dxa" w:w="1368"/>
          </w:tcPr>
          <w:p>
            <w:pPr>
              <w:spacing w:after="20"/>
              <w:jc w:val="right"/>
            </w:pPr>
            <w:r>
              <w:rPr>
                <w:color w:val="1C3A36"/>
                <w:sz w:val="14"/>
              </w:rPr>
              <w:t>252.5</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note 26</w:t>
            </w:r>
          </w:p>
        </w:tc>
      </w:tr>
      <w:tr>
        <w:tc>
          <w:tcPr>
            <w:tcW w:type="dxa" w:w="1944"/>
          </w:tcPr>
          <w:p>
            <w:pPr>
              <w:spacing w:after="20"/>
            </w:pPr>
            <w:r>
              <w:rPr>
                <w:color w:val="1C3A36"/>
                <w:sz w:val="14"/>
              </w:rPr>
              <w:t>dna fy24</w:t>
            </w:r>
          </w:p>
        </w:tc>
        <w:tc>
          <w:tcPr>
            <w:tcW w:type="dxa" w:w="1368"/>
          </w:tcPr>
          <w:p>
            <w:pPr>
              <w:spacing w:after="20"/>
              <w:jc w:val="right"/>
            </w:pPr>
            <w:r>
              <w:rPr>
                <w:color w:val="1C3A36"/>
                <w:sz w:val="14"/>
              </w:rPr>
              <w:t>278.2</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 26</w:t>
            </w:r>
          </w:p>
        </w:tc>
      </w:tr>
      <w:tr>
        <w:tc>
          <w:tcPr>
            <w:tcW w:type="dxa" w:w="1944"/>
          </w:tcPr>
          <w:p>
            <w:pPr>
              <w:spacing w:after="20"/>
            </w:pPr>
            <w:r>
              <w:rPr>
                <w:color w:val="1C3A36"/>
                <w:sz w:val="14"/>
              </w:rPr>
              <w:t>dna fy25</w:t>
            </w:r>
          </w:p>
        </w:tc>
        <w:tc>
          <w:tcPr>
            <w:tcW w:type="dxa" w:w="1368"/>
          </w:tcPr>
          <w:p>
            <w:pPr>
              <w:spacing w:after="20"/>
              <w:jc w:val="right"/>
            </w:pPr>
            <w:r>
              <w:rPr>
                <w:color w:val="1C3A36"/>
                <w:sz w:val="14"/>
              </w:rPr>
              <w:t>307.1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24</w:t>
            </w:r>
          </w:p>
        </w:tc>
      </w:tr>
      <w:tr>
        <w:tc>
          <w:tcPr>
            <w:tcW w:type="dxa" w:w="1944"/>
          </w:tcPr>
          <w:p>
            <w:pPr>
              <w:spacing w:after="20"/>
            </w:pPr>
            <w:r>
              <w:rPr>
                <w:color w:val="1C3A36"/>
                <w:sz w:val="14"/>
              </w:rPr>
              <w:t>rou dep fy23</w:t>
            </w:r>
          </w:p>
        </w:tc>
        <w:tc>
          <w:tcPr>
            <w:tcW w:type="dxa" w:w="1368"/>
          </w:tcPr>
          <w:p>
            <w:pPr>
              <w:spacing w:after="20"/>
              <w:jc w:val="right"/>
            </w:pPr>
            <w:r>
              <w:rPr>
                <w:color w:val="1C3A36"/>
                <w:sz w:val="14"/>
              </w:rPr>
              <w:t>172.7</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2023, Americana Restaurants International PLC, published on the company investor-relations site, note 26</w:t>
            </w:r>
          </w:p>
        </w:tc>
      </w:tr>
      <w:tr>
        <w:tc>
          <w:tcPr>
            <w:tcW w:type="dxa" w:w="1944"/>
          </w:tcPr>
          <w:p>
            <w:pPr>
              <w:spacing w:after="20"/>
            </w:pPr>
            <w:r>
              <w:rPr>
                <w:color w:val="1C3A36"/>
                <w:sz w:val="14"/>
              </w:rPr>
              <w:t>rou dep fy24</w:t>
            </w:r>
          </w:p>
        </w:tc>
        <w:tc>
          <w:tcPr>
            <w:tcW w:type="dxa" w:w="1368"/>
          </w:tcPr>
          <w:p>
            <w:pPr>
              <w:spacing w:after="20"/>
              <w:jc w:val="right"/>
            </w:pPr>
            <w:r>
              <w:rPr>
                <w:color w:val="1C3A36"/>
                <w:sz w:val="14"/>
              </w:rPr>
              <w:t>183.8</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 26</w:t>
            </w:r>
          </w:p>
        </w:tc>
      </w:tr>
      <w:tr>
        <w:tc>
          <w:tcPr>
            <w:tcW w:type="dxa" w:w="1944"/>
          </w:tcPr>
          <w:p>
            <w:pPr>
              <w:spacing w:after="20"/>
            </w:pPr>
            <w:r>
              <w:rPr>
                <w:color w:val="1C3A36"/>
                <w:sz w:val="14"/>
              </w:rPr>
              <w:t>rou dep fy25</w:t>
            </w:r>
          </w:p>
        </w:tc>
        <w:tc>
          <w:tcPr>
            <w:tcW w:type="dxa" w:w="1368"/>
          </w:tcPr>
          <w:p>
            <w:pPr>
              <w:spacing w:after="20"/>
              <w:jc w:val="right"/>
            </w:pPr>
            <w:r>
              <w:rPr>
                <w:color w:val="1C3A36"/>
                <w:sz w:val="14"/>
              </w:rPr>
              <w:t>205.6</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24</w:t>
            </w:r>
          </w:p>
        </w:tc>
      </w:tr>
      <w:tr>
        <w:tc>
          <w:tcPr>
            <w:tcW w:type="dxa" w:w="1944"/>
          </w:tcPr>
          <w:p>
            <w:pPr>
              <w:spacing w:after="20"/>
            </w:pPr>
            <w:r>
              <w:rPr>
                <w:color w:val="1C3A36"/>
                <w:sz w:val="14"/>
              </w:rPr>
              <w:t>ppe fy23</w:t>
            </w:r>
          </w:p>
        </w:tc>
        <w:tc>
          <w:tcPr>
            <w:tcW w:type="dxa" w:w="1368"/>
          </w:tcPr>
          <w:p>
            <w:pPr>
              <w:spacing w:after="20"/>
              <w:jc w:val="right"/>
            </w:pPr>
            <w:r>
              <w:rPr>
                <w:color w:val="1C3A36"/>
                <w:sz w:val="14"/>
              </w:rPr>
              <w:t>327.2</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comparative column</w:t>
            </w:r>
          </w:p>
        </w:tc>
      </w:tr>
      <w:tr>
        <w:tc>
          <w:tcPr>
            <w:tcW w:type="dxa" w:w="1944"/>
          </w:tcPr>
          <w:p>
            <w:pPr>
              <w:spacing w:after="20"/>
            </w:pPr>
            <w:r>
              <w:rPr>
                <w:color w:val="1C3A36"/>
                <w:sz w:val="14"/>
              </w:rPr>
              <w:t>ppe fy24</w:t>
            </w:r>
          </w:p>
        </w:tc>
        <w:tc>
          <w:tcPr>
            <w:tcW w:type="dxa" w:w="1368"/>
          </w:tcPr>
          <w:p>
            <w:pPr>
              <w:spacing w:after="20"/>
              <w:jc w:val="right"/>
            </w:pPr>
            <w:r>
              <w:rPr>
                <w:color w:val="1C3A36"/>
                <w:sz w:val="14"/>
              </w:rPr>
              <w:t>328.8</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ppe fy25</w:t>
            </w:r>
          </w:p>
        </w:tc>
        <w:tc>
          <w:tcPr>
            <w:tcW w:type="dxa" w:w="1368"/>
          </w:tcPr>
          <w:p>
            <w:pPr>
              <w:spacing w:after="20"/>
              <w:jc w:val="right"/>
            </w:pPr>
            <w:r>
              <w:rPr>
                <w:color w:val="1C3A36"/>
                <w:sz w:val="14"/>
              </w:rPr>
              <w:t>341.4</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rou fy23</w:t>
            </w:r>
          </w:p>
        </w:tc>
        <w:tc>
          <w:tcPr>
            <w:tcW w:type="dxa" w:w="1368"/>
          </w:tcPr>
          <w:p>
            <w:pPr>
              <w:spacing w:after="20"/>
              <w:jc w:val="right"/>
            </w:pPr>
            <w:r>
              <w:rPr>
                <w:color w:val="1C3A36"/>
                <w:sz w:val="14"/>
              </w:rPr>
              <w:t>498.5</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comparative column</w:t>
            </w:r>
          </w:p>
        </w:tc>
      </w:tr>
      <w:tr>
        <w:tc>
          <w:tcPr>
            <w:tcW w:type="dxa" w:w="1944"/>
          </w:tcPr>
          <w:p>
            <w:pPr>
              <w:spacing w:after="20"/>
            </w:pPr>
            <w:r>
              <w:rPr>
                <w:color w:val="1C3A36"/>
                <w:sz w:val="14"/>
              </w:rPr>
              <w:t>rou fy24</w:t>
            </w:r>
          </w:p>
        </w:tc>
        <w:tc>
          <w:tcPr>
            <w:tcW w:type="dxa" w:w="1368"/>
          </w:tcPr>
          <w:p>
            <w:pPr>
              <w:spacing w:after="20"/>
              <w:jc w:val="right"/>
            </w:pPr>
            <w:r>
              <w:rPr>
                <w:color w:val="1C3A36"/>
                <w:sz w:val="14"/>
              </w:rPr>
              <w:t>566.1</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rou fy25</w:t>
            </w:r>
          </w:p>
        </w:tc>
        <w:tc>
          <w:tcPr>
            <w:tcW w:type="dxa" w:w="1368"/>
          </w:tcPr>
          <w:p>
            <w:pPr>
              <w:spacing w:after="20"/>
              <w:jc w:val="right"/>
            </w:pPr>
            <w:r>
              <w:rPr>
                <w:color w:val="1C3A36"/>
                <w:sz w:val="14"/>
              </w:rPr>
              <w:t>610.8</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intang fy23</w:t>
            </w:r>
          </w:p>
        </w:tc>
        <w:tc>
          <w:tcPr>
            <w:tcW w:type="dxa" w:w="1368"/>
          </w:tcPr>
          <w:p>
            <w:pPr>
              <w:spacing w:after="20"/>
              <w:jc w:val="right"/>
            </w:pPr>
            <w:r>
              <w:rPr>
                <w:color w:val="1C3A36"/>
                <w:sz w:val="14"/>
              </w:rPr>
              <w:t>67.42</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comparative column</w:t>
            </w:r>
          </w:p>
        </w:tc>
      </w:tr>
      <w:tr>
        <w:tc>
          <w:tcPr>
            <w:tcW w:type="dxa" w:w="1944"/>
          </w:tcPr>
          <w:p>
            <w:pPr>
              <w:spacing w:after="20"/>
            </w:pPr>
            <w:r>
              <w:rPr>
                <w:color w:val="1C3A36"/>
                <w:sz w:val="14"/>
              </w:rPr>
              <w:t>intang fy24</w:t>
            </w:r>
          </w:p>
        </w:tc>
        <w:tc>
          <w:tcPr>
            <w:tcW w:type="dxa" w:w="1368"/>
          </w:tcPr>
          <w:p>
            <w:pPr>
              <w:spacing w:after="20"/>
              <w:jc w:val="right"/>
            </w:pPr>
            <w:r>
              <w:rPr>
                <w:color w:val="1C3A36"/>
                <w:sz w:val="14"/>
              </w:rPr>
              <w:t>59.2</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intang fy25</w:t>
            </w:r>
          </w:p>
        </w:tc>
        <w:tc>
          <w:tcPr>
            <w:tcW w:type="dxa" w:w="1368"/>
          </w:tcPr>
          <w:p>
            <w:pPr>
              <w:spacing w:after="20"/>
              <w:jc w:val="right"/>
            </w:pPr>
            <w:r>
              <w:rPr>
                <w:color w:val="1C3A36"/>
                <w:sz w:val="14"/>
              </w:rPr>
              <w:t>63.31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invprop fy23</w:t>
            </w:r>
          </w:p>
        </w:tc>
        <w:tc>
          <w:tcPr>
            <w:tcW w:type="dxa" w:w="1368"/>
          </w:tcPr>
          <w:p>
            <w:pPr>
              <w:spacing w:after="20"/>
              <w:jc w:val="right"/>
            </w:pPr>
            <w:r>
              <w:rPr>
                <w:color w:val="1C3A36"/>
                <w:sz w:val="14"/>
              </w:rPr>
              <w:t>4.821</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comparative column</w:t>
            </w:r>
          </w:p>
        </w:tc>
      </w:tr>
      <w:tr>
        <w:tc>
          <w:tcPr>
            <w:tcW w:type="dxa" w:w="1944"/>
          </w:tcPr>
          <w:p>
            <w:pPr>
              <w:spacing w:after="20"/>
            </w:pPr>
            <w:r>
              <w:rPr>
                <w:color w:val="1C3A36"/>
                <w:sz w:val="14"/>
              </w:rPr>
              <w:t>invprop fy24</w:t>
            </w:r>
          </w:p>
        </w:tc>
        <w:tc>
          <w:tcPr>
            <w:tcW w:type="dxa" w:w="1368"/>
          </w:tcPr>
          <w:p>
            <w:pPr>
              <w:spacing w:after="20"/>
              <w:jc w:val="right"/>
            </w:pPr>
            <w:r>
              <w:rPr>
                <w:color w:val="1C3A36"/>
                <w:sz w:val="14"/>
              </w:rPr>
              <w:t>3.356</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invprop fy25</w:t>
            </w:r>
          </w:p>
        </w:tc>
        <w:tc>
          <w:tcPr>
            <w:tcW w:type="dxa" w:w="1368"/>
          </w:tcPr>
          <w:p>
            <w:pPr>
              <w:spacing w:after="20"/>
              <w:jc w:val="right"/>
            </w:pPr>
            <w:r>
              <w:rPr>
                <w:color w:val="1C3A36"/>
                <w:sz w:val="14"/>
              </w:rPr>
              <w:t>3.712</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invent fy23</w:t>
            </w:r>
          </w:p>
        </w:tc>
        <w:tc>
          <w:tcPr>
            <w:tcW w:type="dxa" w:w="1368"/>
          </w:tcPr>
          <w:p>
            <w:pPr>
              <w:spacing w:after="20"/>
              <w:jc w:val="right"/>
            </w:pPr>
            <w:r>
              <w:rPr>
                <w:color w:val="1C3A36"/>
                <w:sz w:val="14"/>
              </w:rPr>
              <w:t>155.6</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comparative column</w:t>
            </w:r>
          </w:p>
        </w:tc>
      </w:tr>
      <w:tr>
        <w:tc>
          <w:tcPr>
            <w:tcW w:type="dxa" w:w="1944"/>
          </w:tcPr>
          <w:p>
            <w:pPr>
              <w:spacing w:after="20"/>
            </w:pPr>
            <w:r>
              <w:rPr>
                <w:color w:val="1C3A36"/>
                <w:sz w:val="14"/>
              </w:rPr>
              <w:t>invent fy24</w:t>
            </w:r>
          </w:p>
        </w:tc>
        <w:tc>
          <w:tcPr>
            <w:tcW w:type="dxa" w:w="1368"/>
          </w:tcPr>
          <w:p>
            <w:pPr>
              <w:spacing w:after="20"/>
              <w:jc w:val="right"/>
            </w:pPr>
            <w:r>
              <w:rPr>
                <w:color w:val="1C3A36"/>
                <w:sz w:val="14"/>
              </w:rPr>
              <w:t>134.4</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invent fy25</w:t>
            </w:r>
          </w:p>
        </w:tc>
        <w:tc>
          <w:tcPr>
            <w:tcW w:type="dxa" w:w="1368"/>
          </w:tcPr>
          <w:p>
            <w:pPr>
              <w:spacing w:after="20"/>
              <w:jc w:val="right"/>
            </w:pPr>
            <w:r>
              <w:rPr>
                <w:color w:val="1C3A36"/>
                <w:sz w:val="14"/>
              </w:rPr>
              <w:t>155.1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recv fy23</w:t>
            </w:r>
          </w:p>
        </w:tc>
        <w:tc>
          <w:tcPr>
            <w:tcW w:type="dxa" w:w="1368"/>
          </w:tcPr>
          <w:p>
            <w:pPr>
              <w:spacing w:after="20"/>
              <w:jc w:val="right"/>
            </w:pPr>
            <w:r>
              <w:rPr>
                <w:color w:val="1C3A36"/>
                <w:sz w:val="14"/>
              </w:rPr>
              <w:t>109.3</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trade and other receivables, current</w:t>
            </w:r>
          </w:p>
        </w:tc>
      </w:tr>
      <w:tr>
        <w:tc>
          <w:tcPr>
            <w:tcW w:type="dxa" w:w="1944"/>
          </w:tcPr>
          <w:p>
            <w:pPr>
              <w:spacing w:after="20"/>
            </w:pPr>
            <w:r>
              <w:rPr>
                <w:color w:val="1C3A36"/>
                <w:sz w:val="14"/>
              </w:rPr>
              <w:t>recv fy24</w:t>
            </w:r>
          </w:p>
        </w:tc>
        <w:tc>
          <w:tcPr>
            <w:tcW w:type="dxa" w:w="1368"/>
          </w:tcPr>
          <w:p>
            <w:pPr>
              <w:spacing w:after="20"/>
              <w:jc w:val="right"/>
            </w:pPr>
            <w:r>
              <w:rPr>
                <w:color w:val="1C3A36"/>
                <w:sz w:val="14"/>
              </w:rPr>
              <w:t>110.4</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recv fy25</w:t>
            </w:r>
          </w:p>
        </w:tc>
        <w:tc>
          <w:tcPr>
            <w:tcW w:type="dxa" w:w="1368"/>
          </w:tcPr>
          <w:p>
            <w:pPr>
              <w:spacing w:after="20"/>
              <w:jc w:val="right"/>
            </w:pPr>
            <w:r>
              <w:rPr>
                <w:color w:val="1C3A36"/>
                <w:sz w:val="14"/>
              </w:rPr>
              <w:t>128</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payables fy23</w:t>
            </w:r>
          </w:p>
        </w:tc>
        <w:tc>
          <w:tcPr>
            <w:tcW w:type="dxa" w:w="1368"/>
          </w:tcPr>
          <w:p>
            <w:pPr>
              <w:spacing w:after="20"/>
              <w:jc w:val="right"/>
            </w:pPr>
            <w:r>
              <w:rPr>
                <w:color w:val="1C3A36"/>
                <w:sz w:val="14"/>
              </w:rPr>
              <w:t>487.4</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trade and other payables (current) 434,206 + income tax, zakat and other deductions payable 13,894 + provisions for legal, tax and other claims 21,021 + due to related parties 18,248 — the aggregate the company itself reports as "payables" in its working-capital disclosure</w:t>
            </w:r>
          </w:p>
        </w:tc>
      </w:tr>
      <w:tr>
        <w:tc>
          <w:tcPr>
            <w:tcW w:type="dxa" w:w="1944"/>
          </w:tcPr>
          <w:p>
            <w:pPr>
              <w:spacing w:after="20"/>
            </w:pPr>
            <w:r>
              <w:rPr>
                <w:color w:val="1C3A36"/>
                <w:sz w:val="14"/>
              </w:rPr>
              <w:t>payables fy24</w:t>
            </w:r>
          </w:p>
        </w:tc>
        <w:tc>
          <w:tcPr>
            <w:tcW w:type="dxa" w:w="1368"/>
          </w:tcPr>
          <w:p>
            <w:pPr>
              <w:spacing w:after="20"/>
              <w:jc w:val="right"/>
            </w:pPr>
            <w:r>
              <w:rPr>
                <w:color w:val="1C3A36"/>
                <w:sz w:val="14"/>
              </w:rPr>
              <w:t>440.3</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same aggregation</w:t>
            </w:r>
          </w:p>
        </w:tc>
      </w:tr>
      <w:tr>
        <w:tc>
          <w:tcPr>
            <w:tcW w:type="dxa" w:w="1944"/>
          </w:tcPr>
          <w:p>
            <w:pPr>
              <w:spacing w:after="20"/>
            </w:pPr>
            <w:r>
              <w:rPr>
                <w:color w:val="1C3A36"/>
                <w:sz w:val="14"/>
              </w:rPr>
              <w:t>payables fy25</w:t>
            </w:r>
          </w:p>
        </w:tc>
        <w:tc>
          <w:tcPr>
            <w:tcW w:type="dxa" w:w="1368"/>
          </w:tcPr>
          <w:p>
            <w:pPr>
              <w:spacing w:after="20"/>
              <w:jc w:val="right"/>
            </w:pPr>
            <w:r>
              <w:rPr>
                <w:color w:val="1C3A36"/>
                <w:sz w:val="14"/>
              </w:rPr>
              <w:t>531.1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same aggregation; ties to the USD 531 million payables figure and the USD (248) million net working capital shown in H1 2026 earnings presentation, Americana Restaurants International PLC, published 28 July 2026</w:t>
            </w:r>
          </w:p>
        </w:tc>
      </w:tr>
      <w:tr>
        <w:tc>
          <w:tcPr>
            <w:tcW w:type="dxa" w:w="1944"/>
          </w:tcPr>
          <w:p>
            <w:pPr>
              <w:spacing w:after="20"/>
            </w:pPr>
            <w:r>
              <w:rPr>
                <w:color w:val="1C3A36"/>
                <w:sz w:val="14"/>
              </w:rPr>
              <w:t>cash fy23</w:t>
            </w:r>
          </w:p>
        </w:tc>
        <w:tc>
          <w:tcPr>
            <w:tcW w:type="dxa" w:w="1368"/>
          </w:tcPr>
          <w:p>
            <w:pPr>
              <w:spacing w:after="20"/>
              <w:jc w:val="right"/>
            </w:pPr>
            <w:r>
              <w:rPr>
                <w:color w:val="1C3A36"/>
                <w:sz w:val="14"/>
              </w:rPr>
              <w:t>87.61</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comparative column</w:t>
            </w:r>
          </w:p>
        </w:tc>
      </w:tr>
      <w:tr>
        <w:tc>
          <w:tcPr>
            <w:tcW w:type="dxa" w:w="1944"/>
          </w:tcPr>
          <w:p>
            <w:pPr>
              <w:spacing w:after="20"/>
            </w:pPr>
            <w:r>
              <w:rPr>
                <w:color w:val="1C3A36"/>
                <w:sz w:val="14"/>
              </w:rPr>
              <w:t>cash fy24</w:t>
            </w:r>
          </w:p>
        </w:tc>
        <w:tc>
          <w:tcPr>
            <w:tcW w:type="dxa" w:w="1368"/>
          </w:tcPr>
          <w:p>
            <w:pPr>
              <w:spacing w:after="20"/>
              <w:jc w:val="right"/>
            </w:pPr>
            <w:r>
              <w:rPr>
                <w:color w:val="1C3A36"/>
                <w:sz w:val="14"/>
              </w:rPr>
              <w:t>81.47</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cash fy25</w:t>
            </w:r>
          </w:p>
        </w:tc>
        <w:tc>
          <w:tcPr>
            <w:tcW w:type="dxa" w:w="1368"/>
          </w:tcPr>
          <w:p>
            <w:pPr>
              <w:spacing w:after="20"/>
              <w:jc w:val="right"/>
            </w:pPr>
            <w:r>
              <w:rPr>
                <w:color w:val="1C3A36"/>
                <w:sz w:val="14"/>
              </w:rPr>
              <w:t>154.3</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deposits fy23</w:t>
            </w:r>
          </w:p>
        </w:tc>
        <w:tc>
          <w:tcPr>
            <w:tcW w:type="dxa" w:w="1368"/>
          </w:tcPr>
          <w:p>
            <w:pPr>
              <w:spacing w:after="20"/>
              <w:jc w:val="right"/>
            </w:pPr>
            <w:r>
              <w:rPr>
                <w:color w:val="1C3A36"/>
                <w:sz w:val="14"/>
              </w:rPr>
              <w:t>295.9</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short-term deposits with banks, comparative</w:t>
            </w:r>
          </w:p>
        </w:tc>
      </w:tr>
      <w:tr>
        <w:tc>
          <w:tcPr>
            <w:tcW w:type="dxa" w:w="1944"/>
          </w:tcPr>
          <w:p>
            <w:pPr>
              <w:spacing w:after="20"/>
            </w:pPr>
            <w:r>
              <w:rPr>
                <w:color w:val="1C3A36"/>
                <w:sz w:val="14"/>
              </w:rPr>
              <w:t>deposits fy24</w:t>
            </w:r>
          </w:p>
        </w:tc>
        <w:tc>
          <w:tcPr>
            <w:tcW w:type="dxa" w:w="1368"/>
          </w:tcPr>
          <w:p>
            <w:pPr>
              <w:spacing w:after="20"/>
              <w:jc w:val="right"/>
            </w:pPr>
            <w:r>
              <w:rPr>
                <w:color w:val="1C3A36"/>
                <w:sz w:val="14"/>
              </w:rPr>
              <w:t>213.7</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deposits fy25</w:t>
            </w:r>
          </w:p>
        </w:tc>
        <w:tc>
          <w:tcPr>
            <w:tcW w:type="dxa" w:w="1368"/>
          </w:tcPr>
          <w:p>
            <w:pPr>
              <w:spacing w:after="20"/>
              <w:jc w:val="right"/>
            </w:pPr>
            <w:r>
              <w:rPr>
                <w:color w:val="1C3A36"/>
                <w:sz w:val="14"/>
              </w:rPr>
              <w:t>263.1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short-term deposits with banks 145,235 plus long-term deposits with banks 117,838</w:t>
            </w:r>
          </w:p>
        </w:tc>
      </w:tr>
      <w:tr>
        <w:tc>
          <w:tcPr>
            <w:tcW w:type="dxa" w:w="1944"/>
          </w:tcPr>
          <w:p>
            <w:pPr>
              <w:spacing w:after="20"/>
            </w:pPr>
            <w:r>
              <w:rPr>
                <w:color w:val="1C3A36"/>
                <w:sz w:val="14"/>
              </w:rPr>
              <w:t>lease liab fy23</w:t>
            </w:r>
          </w:p>
        </w:tc>
        <w:tc>
          <w:tcPr>
            <w:tcW w:type="dxa" w:w="1368"/>
          </w:tcPr>
          <w:p>
            <w:pPr>
              <w:spacing w:after="20"/>
              <w:jc w:val="right"/>
            </w:pPr>
            <w:r>
              <w:rPr>
                <w:color w:val="1C3A36"/>
                <w:sz w:val="14"/>
              </w:rPr>
              <w:t>507.2</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comparative: non-current 341,223 plus current 165,959</w:t>
            </w:r>
          </w:p>
        </w:tc>
      </w:tr>
      <w:tr>
        <w:tc>
          <w:tcPr>
            <w:tcW w:type="dxa" w:w="1944"/>
          </w:tcPr>
          <w:p>
            <w:pPr>
              <w:spacing w:after="20"/>
            </w:pPr>
            <w:r>
              <w:rPr>
                <w:color w:val="1C3A36"/>
                <w:sz w:val="14"/>
              </w:rPr>
              <w:t>lease liab fy24</w:t>
            </w:r>
          </w:p>
        </w:tc>
        <w:tc>
          <w:tcPr>
            <w:tcW w:type="dxa" w:w="1368"/>
          </w:tcPr>
          <w:p>
            <w:pPr>
              <w:spacing w:after="20"/>
              <w:jc w:val="right"/>
            </w:pPr>
            <w:r>
              <w:rPr>
                <w:color w:val="1C3A36"/>
                <w:sz w:val="14"/>
              </w:rPr>
              <w:t>578.8</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lease liab fy25</w:t>
            </w:r>
          </w:p>
        </w:tc>
        <w:tc>
          <w:tcPr>
            <w:tcW w:type="dxa" w:w="1368"/>
          </w:tcPr>
          <w:p>
            <w:pPr>
              <w:spacing w:after="20"/>
              <w:jc w:val="right"/>
            </w:pPr>
            <w:r>
              <w:rPr>
                <w:color w:val="1C3A36"/>
                <w:sz w:val="14"/>
              </w:rPr>
              <w:t>637.5</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11: non-current 429,297 plus current 208,169</w:t>
            </w:r>
          </w:p>
        </w:tc>
      </w:tr>
      <w:tr>
        <w:tc>
          <w:tcPr>
            <w:tcW w:type="dxa" w:w="1944"/>
          </w:tcPr>
          <w:p>
            <w:pPr>
              <w:spacing w:after="20"/>
            </w:pPr>
            <w:r>
              <w:rPr>
                <w:color w:val="1C3A36"/>
                <w:sz w:val="14"/>
              </w:rPr>
              <w:t>bank debt fy23</w:t>
            </w:r>
          </w:p>
        </w:tc>
        <w:tc>
          <w:tcPr>
            <w:tcW w:type="dxa" w:w="1368"/>
          </w:tcPr>
          <w:p>
            <w:pPr>
              <w:spacing w:after="20"/>
              <w:jc w:val="right"/>
            </w:pPr>
            <w:r>
              <w:rPr>
                <w:color w:val="1C3A36"/>
                <w:sz w:val="14"/>
              </w:rPr>
              <w:t>4.375</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bank facilities, comparative column</w:t>
            </w:r>
          </w:p>
        </w:tc>
      </w:tr>
      <w:tr>
        <w:tc>
          <w:tcPr>
            <w:tcW w:type="dxa" w:w="1944"/>
          </w:tcPr>
          <w:p>
            <w:pPr>
              <w:spacing w:after="20"/>
            </w:pPr>
            <w:r>
              <w:rPr>
                <w:color w:val="1C3A36"/>
                <w:sz w:val="14"/>
              </w:rPr>
              <w:t>bank debt fy24</w:t>
            </w:r>
          </w:p>
        </w:tc>
        <w:tc>
          <w:tcPr>
            <w:tcW w:type="dxa" w:w="1368"/>
          </w:tcPr>
          <w:p>
            <w:pPr>
              <w:spacing w:after="20"/>
              <w:jc w:val="right"/>
            </w:pPr>
            <w:r>
              <w:rPr>
                <w:color w:val="1C3A36"/>
                <w:sz w:val="14"/>
              </w:rPr>
              <w:t>0</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 bank facilities outstanding</w:t>
            </w:r>
          </w:p>
        </w:tc>
      </w:tr>
      <w:tr>
        <w:tc>
          <w:tcPr>
            <w:tcW w:type="dxa" w:w="1944"/>
          </w:tcPr>
          <w:p>
            <w:pPr>
              <w:spacing w:after="20"/>
            </w:pPr>
            <w:r>
              <w:rPr>
                <w:color w:val="1C3A36"/>
                <w:sz w:val="14"/>
              </w:rPr>
              <w:t>bank debt fy25</w:t>
            </w:r>
          </w:p>
        </w:tc>
        <w:tc>
          <w:tcPr>
            <w:tcW w:type="dxa" w:w="1368"/>
          </w:tcPr>
          <w:p>
            <w:pPr>
              <w:spacing w:after="20"/>
              <w:jc w:val="right"/>
            </w:pPr>
            <w:r>
              <w:rPr>
                <w:color w:val="1C3A36"/>
                <w:sz w:val="14"/>
              </w:rPr>
              <w:t>0</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 interest-bearing bank borrowings are recognised; the only finance cost on bank facilities in the year was USD 42 thousand of commitment-type charges</w:t>
            </w:r>
          </w:p>
        </w:tc>
      </w:tr>
      <w:tr>
        <w:tc>
          <w:tcPr>
            <w:tcW w:type="dxa" w:w="1944"/>
          </w:tcPr>
          <w:p>
            <w:pPr>
              <w:spacing w:after="20"/>
            </w:pPr>
            <w:r>
              <w:rPr>
                <w:color w:val="1C3A36"/>
                <w:sz w:val="14"/>
              </w:rPr>
              <w:t>equity fy23</w:t>
            </w:r>
          </w:p>
        </w:tc>
        <w:tc>
          <w:tcPr>
            <w:tcW w:type="dxa" w:w="1368"/>
          </w:tcPr>
          <w:p>
            <w:pPr>
              <w:spacing w:after="20"/>
              <w:jc w:val="right"/>
            </w:pPr>
            <w:r>
              <w:rPr>
                <w:color w:val="1C3A36"/>
                <w:sz w:val="14"/>
              </w:rPr>
              <w:t>439.4</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equity attributable to shareholders, comparative</w:t>
            </w:r>
          </w:p>
        </w:tc>
      </w:tr>
      <w:tr>
        <w:tc>
          <w:tcPr>
            <w:tcW w:type="dxa" w:w="1944"/>
          </w:tcPr>
          <w:p>
            <w:pPr>
              <w:spacing w:after="20"/>
            </w:pPr>
            <w:r>
              <w:rPr>
                <w:color w:val="1C3A36"/>
                <w:sz w:val="14"/>
              </w:rPr>
              <w:t>equity fy24</w:t>
            </w:r>
          </w:p>
        </w:tc>
        <w:tc>
          <w:tcPr>
            <w:tcW w:type="dxa" w:w="1368"/>
          </w:tcPr>
          <w:p>
            <w:pPr>
              <w:spacing w:after="20"/>
              <w:jc w:val="right"/>
            </w:pPr>
            <w:r>
              <w:rPr>
                <w:color w:val="1C3A36"/>
                <w:sz w:val="14"/>
              </w:rPr>
              <w:t>394.4</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equity fy25</w:t>
            </w:r>
          </w:p>
        </w:tc>
        <w:tc>
          <w:tcPr>
            <w:tcW w:type="dxa" w:w="1368"/>
          </w:tcPr>
          <w:p>
            <w:pPr>
              <w:spacing w:after="20"/>
              <w:jc w:val="right"/>
            </w:pPr>
            <w:r>
              <w:rPr>
                <w:color w:val="1C3A36"/>
                <w:sz w:val="14"/>
              </w:rPr>
              <w:t>489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nci fy23</w:t>
            </w:r>
          </w:p>
        </w:tc>
        <w:tc>
          <w:tcPr>
            <w:tcW w:type="dxa" w:w="1368"/>
          </w:tcPr>
          <w:p>
            <w:pPr>
              <w:spacing w:after="20"/>
              <w:jc w:val="right"/>
            </w:pPr>
            <w:r>
              <w:rPr>
                <w:color w:val="1C3A36"/>
                <w:sz w:val="14"/>
              </w:rPr>
              <w:t>12.01</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comparative</w:t>
            </w:r>
          </w:p>
        </w:tc>
      </w:tr>
      <w:tr>
        <w:tc>
          <w:tcPr>
            <w:tcW w:type="dxa" w:w="1944"/>
          </w:tcPr>
          <w:p>
            <w:pPr>
              <w:spacing w:after="20"/>
            </w:pPr>
            <w:r>
              <w:rPr>
                <w:color w:val="1C3A36"/>
                <w:sz w:val="14"/>
              </w:rPr>
              <w:t>nci fy24</w:t>
            </w:r>
          </w:p>
        </w:tc>
        <w:tc>
          <w:tcPr>
            <w:tcW w:type="dxa" w:w="1368"/>
          </w:tcPr>
          <w:p>
            <w:pPr>
              <w:spacing w:after="20"/>
              <w:jc w:val="right"/>
            </w:pPr>
            <w:r>
              <w:rPr>
                <w:color w:val="1C3A36"/>
                <w:sz w:val="14"/>
              </w:rPr>
              <w:t>3.686</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nci fy25</w:t>
            </w:r>
          </w:p>
        </w:tc>
        <w:tc>
          <w:tcPr>
            <w:tcW w:type="dxa" w:w="1368"/>
          </w:tcPr>
          <w:p>
            <w:pPr>
              <w:spacing w:after="20"/>
              <w:jc w:val="right"/>
            </w:pPr>
            <w:r>
              <w:rPr>
                <w:color w:val="1C3A36"/>
                <w:sz w:val="14"/>
              </w:rPr>
              <w:t>0.984</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assets fy23</w:t>
            </w:r>
          </w:p>
        </w:tc>
        <w:tc>
          <w:tcPr>
            <w:tcW w:type="dxa" w:w="1368"/>
          </w:tcPr>
          <w:p>
            <w:pPr>
              <w:spacing w:after="20"/>
              <w:jc w:val="right"/>
            </w:pPr>
            <w:r>
              <w:rPr>
                <w:color w:val="1C3A36"/>
                <w:sz w:val="14"/>
              </w:rPr>
              <w:t>1,557</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comparative</w:t>
            </w:r>
          </w:p>
        </w:tc>
      </w:tr>
      <w:tr>
        <w:tc>
          <w:tcPr>
            <w:tcW w:type="dxa" w:w="1944"/>
          </w:tcPr>
          <w:p>
            <w:pPr>
              <w:spacing w:after="20"/>
            </w:pPr>
            <w:r>
              <w:rPr>
                <w:color w:val="1C3A36"/>
                <w:sz w:val="14"/>
              </w:rPr>
              <w:t>assets fy24</w:t>
            </w:r>
          </w:p>
        </w:tc>
        <w:tc>
          <w:tcPr>
            <w:tcW w:type="dxa" w:w="1368"/>
          </w:tcPr>
          <w:p>
            <w:pPr>
              <w:spacing w:after="20"/>
              <w:jc w:val="right"/>
            </w:pPr>
            <w:r>
              <w:rPr>
                <w:color w:val="1C3A36"/>
                <w:sz w:val="14"/>
              </w:rPr>
              <w:t>1,507</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assets fy25</w:t>
            </w:r>
          </w:p>
        </w:tc>
        <w:tc>
          <w:tcPr>
            <w:tcW w:type="dxa" w:w="1368"/>
          </w:tcPr>
          <w:p>
            <w:pPr>
              <w:spacing w:after="20"/>
              <w:jc w:val="right"/>
            </w:pPr>
            <w:r>
              <w:rPr>
                <w:color w:val="1C3A36"/>
                <w:sz w:val="14"/>
              </w:rPr>
              <w:t>1,734</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eosb fy23</w:t>
            </w:r>
          </w:p>
        </w:tc>
        <w:tc>
          <w:tcPr>
            <w:tcW w:type="dxa" w:w="1368"/>
          </w:tcPr>
          <w:p>
            <w:pPr>
              <w:spacing w:after="20"/>
              <w:jc w:val="right"/>
            </w:pPr>
            <w:r>
              <w:rPr>
                <w:color w:val="1C3A36"/>
                <w:sz w:val="14"/>
              </w:rPr>
              <w:t>68.56</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provision for employees end of service benefits</w:t>
            </w:r>
          </w:p>
        </w:tc>
      </w:tr>
      <w:tr>
        <w:tc>
          <w:tcPr>
            <w:tcW w:type="dxa" w:w="1944"/>
          </w:tcPr>
          <w:p>
            <w:pPr>
              <w:spacing w:after="20"/>
            </w:pPr>
            <w:r>
              <w:rPr>
                <w:color w:val="1C3A36"/>
                <w:sz w:val="14"/>
              </w:rPr>
              <w:t>eosb fy24</w:t>
            </w:r>
          </w:p>
        </w:tc>
        <w:tc>
          <w:tcPr>
            <w:tcW w:type="dxa" w:w="1368"/>
          </w:tcPr>
          <w:p>
            <w:pPr>
              <w:spacing w:after="20"/>
              <w:jc w:val="right"/>
            </w:pPr>
            <w:r>
              <w:rPr>
                <w:color w:val="1C3A36"/>
                <w:sz w:val="14"/>
              </w:rPr>
              <w:t>68.38</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eosb fy25</w:t>
            </w:r>
          </w:p>
        </w:tc>
        <w:tc>
          <w:tcPr>
            <w:tcW w:type="dxa" w:w="1368"/>
          </w:tcPr>
          <w:p>
            <w:pPr>
              <w:spacing w:after="20"/>
              <w:jc w:val="right"/>
            </w:pPr>
            <w:r>
              <w:rPr>
                <w:color w:val="1C3A36"/>
                <w:sz w:val="14"/>
              </w:rPr>
              <w:t>70.75</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capex ppe fy23</w:t>
            </w:r>
          </w:p>
        </w:tc>
        <w:tc>
          <w:tcPr>
            <w:tcW w:type="dxa" w:w="1368"/>
          </w:tcPr>
          <w:p>
            <w:pPr>
              <w:spacing w:after="20"/>
              <w:jc w:val="right"/>
            </w:pPr>
            <w:r>
              <w:rPr>
                <w:color w:val="1C3A36"/>
                <w:sz w:val="14"/>
              </w:rPr>
              <w:t>127.7</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consolidated statement of cash flows, comparative</w:t>
            </w:r>
          </w:p>
        </w:tc>
      </w:tr>
      <w:tr>
        <w:tc>
          <w:tcPr>
            <w:tcW w:type="dxa" w:w="1944"/>
          </w:tcPr>
          <w:p>
            <w:pPr>
              <w:spacing w:after="20"/>
            </w:pPr>
            <w:r>
              <w:rPr>
                <w:color w:val="1C3A36"/>
                <w:sz w:val="14"/>
              </w:rPr>
              <w:t>capex ppe fy24</w:t>
            </w:r>
          </w:p>
        </w:tc>
        <w:tc>
          <w:tcPr>
            <w:tcW w:type="dxa" w:w="1368"/>
          </w:tcPr>
          <w:p>
            <w:pPr>
              <w:spacing w:after="20"/>
              <w:jc w:val="right"/>
            </w:pPr>
            <w:r>
              <w:rPr>
                <w:color w:val="1C3A36"/>
                <w:sz w:val="14"/>
              </w:rPr>
              <w:t>106.6</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capex ppe fy25</w:t>
            </w:r>
          </w:p>
        </w:tc>
        <w:tc>
          <w:tcPr>
            <w:tcW w:type="dxa" w:w="1368"/>
          </w:tcPr>
          <w:p>
            <w:pPr>
              <w:spacing w:after="20"/>
              <w:jc w:val="right"/>
            </w:pPr>
            <w:r>
              <w:rPr>
                <w:color w:val="1C3A36"/>
                <w:sz w:val="14"/>
              </w:rPr>
              <w:t>94.88</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capex intang fy23</w:t>
            </w:r>
          </w:p>
        </w:tc>
        <w:tc>
          <w:tcPr>
            <w:tcW w:type="dxa" w:w="1368"/>
          </w:tcPr>
          <w:p>
            <w:pPr>
              <w:spacing w:after="20"/>
              <w:jc w:val="right"/>
            </w:pPr>
            <w:r>
              <w:rPr>
                <w:color w:val="1C3A36"/>
                <w:sz w:val="14"/>
              </w:rPr>
              <w:t>18.23</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comparative</w:t>
            </w:r>
          </w:p>
        </w:tc>
      </w:tr>
      <w:tr>
        <w:tc>
          <w:tcPr>
            <w:tcW w:type="dxa" w:w="1944"/>
          </w:tcPr>
          <w:p>
            <w:pPr>
              <w:spacing w:after="20"/>
            </w:pPr>
            <w:r>
              <w:rPr>
                <w:color w:val="1C3A36"/>
                <w:sz w:val="14"/>
              </w:rPr>
              <w:t>capex intang fy24</w:t>
            </w:r>
          </w:p>
        </w:tc>
        <w:tc>
          <w:tcPr>
            <w:tcW w:type="dxa" w:w="1368"/>
          </w:tcPr>
          <w:p>
            <w:pPr>
              <w:spacing w:after="20"/>
              <w:jc w:val="right"/>
            </w:pPr>
            <w:r>
              <w:rPr>
                <w:color w:val="1C3A36"/>
                <w:sz w:val="14"/>
              </w:rPr>
              <w:t>17.2</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capex intang fy25</w:t>
            </w:r>
          </w:p>
        </w:tc>
        <w:tc>
          <w:tcPr>
            <w:tcW w:type="dxa" w:w="1368"/>
          </w:tcPr>
          <w:p>
            <w:pPr>
              <w:spacing w:after="20"/>
              <w:jc w:val="right"/>
            </w:pPr>
            <w:r>
              <w:rPr>
                <w:color w:val="1C3A36"/>
                <w:sz w:val="14"/>
              </w:rPr>
              <w:t>12.21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capex keymoney fy23</w:t>
            </w:r>
          </w:p>
        </w:tc>
        <w:tc>
          <w:tcPr>
            <w:tcW w:type="dxa" w:w="1368"/>
          </w:tcPr>
          <w:p>
            <w:pPr>
              <w:spacing w:after="20"/>
              <w:jc w:val="right"/>
            </w:pPr>
            <w:r>
              <w:rPr>
                <w:color w:val="1C3A36"/>
                <w:sz w:val="14"/>
              </w:rPr>
              <w:t>3.929</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payments for key money, comparative</w:t>
            </w:r>
          </w:p>
        </w:tc>
      </w:tr>
      <w:tr>
        <w:tc>
          <w:tcPr>
            <w:tcW w:type="dxa" w:w="1944"/>
          </w:tcPr>
          <w:p>
            <w:pPr>
              <w:spacing w:after="20"/>
            </w:pPr>
            <w:r>
              <w:rPr>
                <w:color w:val="1C3A36"/>
                <w:sz w:val="14"/>
              </w:rPr>
              <w:t>capex keymoney fy24</w:t>
            </w:r>
          </w:p>
        </w:tc>
        <w:tc>
          <w:tcPr>
            <w:tcW w:type="dxa" w:w="1368"/>
          </w:tcPr>
          <w:p>
            <w:pPr>
              <w:spacing w:after="20"/>
              <w:jc w:val="right"/>
            </w:pPr>
            <w:r>
              <w:rPr>
                <w:color w:val="1C3A36"/>
                <w:sz w:val="14"/>
              </w:rPr>
              <w:t>0.504</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capex keymoney fy25</w:t>
            </w:r>
          </w:p>
        </w:tc>
        <w:tc>
          <w:tcPr>
            <w:tcW w:type="dxa" w:w="1368"/>
          </w:tcPr>
          <w:p>
            <w:pPr>
              <w:spacing w:after="20"/>
              <w:jc w:val="right"/>
            </w:pPr>
            <w:r>
              <w:rPr>
                <w:color w:val="1C3A36"/>
                <w:sz w:val="14"/>
              </w:rPr>
              <w:t>1.68</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cfo fy23</w:t>
            </w:r>
          </w:p>
        </w:tc>
        <w:tc>
          <w:tcPr>
            <w:tcW w:type="dxa" w:w="1368"/>
          </w:tcPr>
          <w:p>
            <w:pPr>
              <w:spacing w:after="20"/>
              <w:jc w:val="right"/>
            </w:pPr>
            <w:r>
              <w:rPr>
                <w:color w:val="1C3A36"/>
                <w:sz w:val="14"/>
              </w:rPr>
              <w:t>539.8</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net cash generated from operating activities, comparative</w:t>
            </w:r>
          </w:p>
        </w:tc>
      </w:tr>
      <w:tr>
        <w:tc>
          <w:tcPr>
            <w:tcW w:type="dxa" w:w="1944"/>
          </w:tcPr>
          <w:p>
            <w:pPr>
              <w:spacing w:after="20"/>
            </w:pPr>
            <w:r>
              <w:rPr>
                <w:color w:val="1C3A36"/>
                <w:sz w:val="14"/>
              </w:rPr>
              <w:t>cfo fy24</w:t>
            </w:r>
          </w:p>
        </w:tc>
        <w:tc>
          <w:tcPr>
            <w:tcW w:type="dxa" w:w="1368"/>
          </w:tcPr>
          <w:p>
            <w:pPr>
              <w:spacing w:after="20"/>
              <w:jc w:val="right"/>
            </w:pPr>
            <w:r>
              <w:rPr>
                <w:color w:val="1C3A36"/>
                <w:sz w:val="14"/>
              </w:rPr>
              <w:t>432.8</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cfo fy25</w:t>
            </w:r>
          </w:p>
        </w:tc>
        <w:tc>
          <w:tcPr>
            <w:tcW w:type="dxa" w:w="1368"/>
          </w:tcPr>
          <w:p>
            <w:pPr>
              <w:spacing w:after="20"/>
              <w:jc w:val="right"/>
            </w:pPr>
            <w:r>
              <w:rPr>
                <w:color w:val="1C3A36"/>
                <w:sz w:val="14"/>
              </w:rPr>
              <w:t>589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lease principal fy23</w:t>
            </w:r>
          </w:p>
        </w:tc>
        <w:tc>
          <w:tcPr>
            <w:tcW w:type="dxa" w:w="1368"/>
          </w:tcPr>
          <w:p>
            <w:pPr>
              <w:spacing w:after="20"/>
              <w:jc w:val="right"/>
            </w:pPr>
            <w:r>
              <w:rPr>
                <w:color w:val="1C3A36"/>
                <w:sz w:val="14"/>
              </w:rPr>
              <w:t>173.5</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lease payments, principal element, comparative</w:t>
            </w:r>
          </w:p>
        </w:tc>
      </w:tr>
      <w:tr>
        <w:tc>
          <w:tcPr>
            <w:tcW w:type="dxa" w:w="1944"/>
          </w:tcPr>
          <w:p>
            <w:pPr>
              <w:spacing w:after="20"/>
            </w:pPr>
            <w:r>
              <w:rPr>
                <w:color w:val="1C3A36"/>
                <w:sz w:val="14"/>
              </w:rPr>
              <w:t>lease principal fy24</w:t>
            </w:r>
          </w:p>
        </w:tc>
        <w:tc>
          <w:tcPr>
            <w:tcW w:type="dxa" w:w="1368"/>
          </w:tcPr>
          <w:p>
            <w:pPr>
              <w:spacing w:after="20"/>
              <w:jc w:val="right"/>
            </w:pPr>
            <w:r>
              <w:rPr>
                <w:color w:val="1C3A36"/>
                <w:sz w:val="14"/>
              </w:rPr>
              <w:t>179.6</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lease principal fy25</w:t>
            </w:r>
          </w:p>
        </w:tc>
        <w:tc>
          <w:tcPr>
            <w:tcW w:type="dxa" w:w="1368"/>
          </w:tcPr>
          <w:p>
            <w:pPr>
              <w:spacing w:after="20"/>
              <w:jc w:val="right"/>
            </w:pPr>
            <w:r>
              <w:rPr>
                <w:color w:val="1C3A36"/>
                <w:sz w:val="14"/>
              </w:rPr>
              <w:t>192.4</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rou additions fy23</w:t>
            </w:r>
          </w:p>
        </w:tc>
        <w:tc>
          <w:tcPr>
            <w:tcW w:type="dxa" w:w="1368"/>
          </w:tcPr>
          <w:p>
            <w:pPr>
              <w:spacing w:after="20"/>
              <w:jc w:val="right"/>
            </w:pPr>
            <w:r>
              <w:rPr>
                <w:color w:val="1C3A36"/>
                <w:sz w:val="14"/>
              </w:rPr>
              <w:t>0</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Not separately disclosed in the FY2023 filing; the right-of-use roll-forward for FY2024 and FY2025 is used instead</w:t>
            </w:r>
          </w:p>
        </w:tc>
      </w:tr>
      <w:tr>
        <w:tc>
          <w:tcPr>
            <w:tcW w:type="dxa" w:w="1944"/>
          </w:tcPr>
          <w:p>
            <w:pPr>
              <w:spacing w:after="20"/>
            </w:pPr>
            <w:r>
              <w:rPr>
                <w:color w:val="1C3A36"/>
                <w:sz w:val="14"/>
              </w:rPr>
              <w:t>rou additions fy24</w:t>
            </w:r>
          </w:p>
        </w:tc>
        <w:tc>
          <w:tcPr>
            <w:tcW w:type="dxa" w:w="1368"/>
          </w:tcPr>
          <w:p>
            <w:pPr>
              <w:spacing w:after="20"/>
              <w:jc w:val="right"/>
            </w:pPr>
            <w:r>
              <w:rPr>
                <w:color w:val="1C3A36"/>
                <w:sz w:val="14"/>
              </w:rPr>
              <w:t>279.4</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 12, additions to right-of-use assets</w:t>
            </w:r>
          </w:p>
        </w:tc>
      </w:tr>
      <w:tr>
        <w:tc>
          <w:tcPr>
            <w:tcW w:type="dxa" w:w="1944"/>
          </w:tcPr>
          <w:p>
            <w:pPr>
              <w:spacing w:after="20"/>
            </w:pPr>
            <w:r>
              <w:rPr>
                <w:color w:val="1C3A36"/>
                <w:sz w:val="14"/>
              </w:rPr>
              <w:t>rou additions fy25</w:t>
            </w:r>
          </w:p>
        </w:tc>
        <w:tc>
          <w:tcPr>
            <w:tcW w:type="dxa" w:w="1368"/>
          </w:tcPr>
          <w:p>
            <w:pPr>
              <w:spacing w:after="20"/>
              <w:jc w:val="right"/>
            </w:pPr>
            <w:r>
              <w:rPr>
                <w:color w:val="1C3A36"/>
                <w:sz w:val="14"/>
              </w:rPr>
              <w:t>255.2</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11, additions to right-of-use assets</w:t>
            </w:r>
          </w:p>
        </w:tc>
      </w:tr>
      <w:tr>
        <w:tc>
          <w:tcPr>
            <w:tcW w:type="dxa" w:w="1944"/>
          </w:tcPr>
          <w:p>
            <w:pPr>
              <w:spacing w:after="20"/>
            </w:pPr>
            <w:r>
              <w:rPr>
                <w:color w:val="1C3A36"/>
                <w:sz w:val="14"/>
              </w:rPr>
              <w:t>div paid fy23</w:t>
            </w:r>
          </w:p>
        </w:tc>
        <w:tc>
          <w:tcPr>
            <w:tcW w:type="dxa" w:w="1368"/>
          </w:tcPr>
          <w:p>
            <w:pPr>
              <w:spacing w:after="20"/>
              <w:jc w:val="right"/>
            </w:pPr>
            <w:r>
              <w:rPr>
                <w:color w:val="1C3A36"/>
                <w:sz w:val="14"/>
              </w:rPr>
              <w:t>103.3</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dividends paid to shareholders, comparative</w:t>
            </w:r>
          </w:p>
        </w:tc>
      </w:tr>
      <w:tr>
        <w:tc>
          <w:tcPr>
            <w:tcW w:type="dxa" w:w="1944"/>
          </w:tcPr>
          <w:p>
            <w:pPr>
              <w:spacing w:after="20"/>
            </w:pPr>
            <w:r>
              <w:rPr>
                <w:color w:val="1C3A36"/>
                <w:sz w:val="14"/>
              </w:rPr>
              <w:t>div paid fy24</w:t>
            </w:r>
          </w:p>
        </w:tc>
        <w:tc>
          <w:tcPr>
            <w:tcW w:type="dxa" w:w="1368"/>
          </w:tcPr>
          <w:p>
            <w:pPr>
              <w:spacing w:after="20"/>
              <w:jc w:val="right"/>
            </w:pPr>
            <w:r>
              <w:rPr>
                <w:color w:val="1C3A36"/>
                <w:sz w:val="14"/>
              </w:rPr>
              <w:t>179.4</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div paid fy25</w:t>
            </w:r>
          </w:p>
        </w:tc>
        <w:tc>
          <w:tcPr>
            <w:tcW w:type="dxa" w:w="1368"/>
          </w:tcPr>
          <w:p>
            <w:pPr>
              <w:spacing w:after="20"/>
              <w:jc w:val="right"/>
            </w:pPr>
            <w:r>
              <w:rPr>
                <w:color w:val="1C3A36"/>
                <w:sz w:val="14"/>
              </w:rPr>
              <w:t>127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rev h1 26</w:t>
            </w:r>
          </w:p>
        </w:tc>
        <w:tc>
          <w:tcPr>
            <w:tcW w:type="dxa" w:w="1368"/>
          </w:tcPr>
          <w:p>
            <w:pPr>
              <w:spacing w:after="20"/>
              <w:jc w:val="right"/>
            </w:pPr>
            <w:r>
              <w:rPr>
                <w:color w:val="1C3A36"/>
                <w:sz w:val="14"/>
              </w:rPr>
              <w:t>1,365</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 condensed consolidated interim statement of profit or loss</w:t>
            </w:r>
          </w:p>
        </w:tc>
      </w:tr>
      <w:tr>
        <w:tc>
          <w:tcPr>
            <w:tcW w:type="dxa" w:w="1944"/>
          </w:tcPr>
          <w:p>
            <w:pPr>
              <w:spacing w:after="20"/>
            </w:pPr>
            <w:r>
              <w:rPr>
                <w:color w:val="1C3A36"/>
                <w:sz w:val="14"/>
              </w:rPr>
              <w:t>rev h1 25</w:t>
            </w:r>
          </w:p>
        </w:tc>
        <w:tc>
          <w:tcPr>
            <w:tcW w:type="dxa" w:w="1368"/>
          </w:tcPr>
          <w:p>
            <w:pPr>
              <w:spacing w:after="20"/>
              <w:jc w:val="right"/>
            </w:pPr>
            <w:r>
              <w:rPr>
                <w:color w:val="1C3A36"/>
                <w:sz w:val="14"/>
              </w:rPr>
              <w:t>1,217</w:t>
            </w:r>
          </w:p>
        </w:tc>
        <w:tc>
          <w:tcPr>
            <w:tcW w:type="dxa" w:w="1037"/>
          </w:tcPr>
          <w:p>
            <w:pPr>
              <w:spacing w:after="20"/>
              <w:jc w:val="right"/>
            </w:pPr>
            <w:r>
              <w:rPr>
                <w:color w:val="1C3A36"/>
                <w:sz w:val="14"/>
              </w:rPr>
              <w:t>2025-06-30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 comparative period</w:t>
            </w:r>
          </w:p>
        </w:tc>
      </w:tr>
      <w:tr>
        <w:tc>
          <w:tcPr>
            <w:tcW w:type="dxa" w:w="1944"/>
          </w:tcPr>
          <w:p>
            <w:pPr>
              <w:spacing w:after="20"/>
            </w:pPr>
            <w:r>
              <w:rPr>
                <w:color w:val="1C3A36"/>
                <w:sz w:val="14"/>
              </w:rPr>
              <w:t>rev q1 26</w:t>
            </w:r>
          </w:p>
        </w:tc>
        <w:tc>
          <w:tcPr>
            <w:tcW w:type="dxa" w:w="1368"/>
          </w:tcPr>
          <w:p>
            <w:pPr>
              <w:spacing w:after="20"/>
              <w:jc w:val="right"/>
            </w:pPr>
            <w:r>
              <w:rPr>
                <w:color w:val="1C3A36"/>
                <w:sz w:val="14"/>
              </w:rPr>
              <w:t>649.7</w:t>
            </w:r>
          </w:p>
        </w:tc>
        <w:tc>
          <w:tcPr>
            <w:tcW w:type="dxa" w:w="1037"/>
          </w:tcPr>
          <w:p>
            <w:pPr>
              <w:spacing w:after="20"/>
              <w:jc w:val="right"/>
            </w:pPr>
            <w:r>
              <w:rPr>
                <w:color w:val="1C3A36"/>
                <w:sz w:val="14"/>
              </w:rPr>
              <w:t>2026-03-31</w:t>
            </w:r>
          </w:p>
        </w:tc>
        <w:tc>
          <w:tcPr>
            <w:tcW w:type="dxa" w:w="5731"/>
          </w:tcPr>
          <w:p>
            <w:pPr>
              <w:spacing w:after="20"/>
              <w:jc w:val="right"/>
            </w:pPr>
            <w:r>
              <w:rPr>
                <w:color w:val="1C3A36"/>
                <w:sz w:val="14"/>
              </w:rPr>
              <w:t>Reviewed condensed consolidated interim financial statements for the three months ended 31 March 2026, Americana Restaurants International PLC, three months ended 31 March 2026 (1,364,520 less the 714,784 reported for the three months ended 30 June 2026)</w:t>
            </w:r>
          </w:p>
        </w:tc>
      </w:tr>
      <w:tr>
        <w:tc>
          <w:tcPr>
            <w:tcW w:type="dxa" w:w="1944"/>
          </w:tcPr>
          <w:p>
            <w:pPr>
              <w:spacing w:after="20"/>
            </w:pPr>
            <w:r>
              <w:rPr>
                <w:color w:val="1C3A36"/>
                <w:sz w:val="14"/>
              </w:rPr>
              <w:t>rev q2 26</w:t>
            </w:r>
          </w:p>
        </w:tc>
        <w:tc>
          <w:tcPr>
            <w:tcW w:type="dxa" w:w="1368"/>
          </w:tcPr>
          <w:p>
            <w:pPr>
              <w:spacing w:after="20"/>
              <w:jc w:val="right"/>
            </w:pPr>
            <w:r>
              <w:rPr>
                <w:color w:val="1C3A36"/>
                <w:sz w:val="14"/>
              </w:rPr>
              <w:t>714.8</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 three-month period ended 30 June 2026</w:t>
            </w:r>
          </w:p>
        </w:tc>
      </w:tr>
      <w:tr>
        <w:tc>
          <w:tcPr>
            <w:tcW w:type="dxa" w:w="1944"/>
          </w:tcPr>
          <w:p>
            <w:pPr>
              <w:spacing w:after="20"/>
            </w:pPr>
            <w:r>
              <w:rPr>
                <w:color w:val="1C3A36"/>
                <w:sz w:val="14"/>
              </w:rPr>
              <w:t>cogs h1 26</w:t>
            </w:r>
          </w:p>
        </w:tc>
        <w:tc>
          <w:tcPr>
            <w:tcW w:type="dxa" w:w="1368"/>
          </w:tcPr>
          <w:p>
            <w:pPr>
              <w:spacing w:after="20"/>
              <w:jc w:val="right"/>
            </w:pPr>
            <w:r>
              <w:rPr>
                <w:color w:val="1C3A36"/>
                <w:sz w:val="14"/>
              </w:rPr>
              <w:t>598.5</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w:t>
            </w:r>
          </w:p>
        </w:tc>
      </w:tr>
      <w:tr>
        <w:tc>
          <w:tcPr>
            <w:tcW w:type="dxa" w:w="1944"/>
          </w:tcPr>
          <w:p>
            <w:pPr>
              <w:spacing w:after="20"/>
            </w:pPr>
            <w:r>
              <w:rPr>
                <w:color w:val="1C3A36"/>
                <w:sz w:val="14"/>
              </w:rPr>
              <w:t>sm h1 26</w:t>
            </w:r>
          </w:p>
        </w:tc>
        <w:tc>
          <w:tcPr>
            <w:tcW w:type="dxa" w:w="1368"/>
          </w:tcPr>
          <w:p>
            <w:pPr>
              <w:spacing w:after="20"/>
              <w:jc w:val="right"/>
            </w:pPr>
            <w:r>
              <w:rPr>
                <w:color w:val="1C3A36"/>
                <w:sz w:val="14"/>
              </w:rPr>
              <w:t>479.6</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w:t>
            </w:r>
          </w:p>
        </w:tc>
      </w:tr>
      <w:tr>
        <w:tc>
          <w:tcPr>
            <w:tcW w:type="dxa" w:w="1944"/>
          </w:tcPr>
          <w:p>
            <w:pPr>
              <w:spacing w:after="20"/>
            </w:pPr>
            <w:r>
              <w:rPr>
                <w:color w:val="1C3A36"/>
                <w:sz w:val="14"/>
              </w:rPr>
              <w:t>ga h1 26</w:t>
            </w:r>
          </w:p>
        </w:tc>
        <w:tc>
          <w:tcPr>
            <w:tcW w:type="dxa" w:w="1368"/>
          </w:tcPr>
          <w:p>
            <w:pPr>
              <w:spacing w:after="20"/>
              <w:jc w:val="right"/>
            </w:pPr>
            <w:r>
              <w:rPr>
                <w:color w:val="1C3A36"/>
                <w:sz w:val="14"/>
              </w:rPr>
              <w:t>109.2</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w:t>
            </w:r>
          </w:p>
        </w:tc>
      </w:tr>
      <w:tr>
        <w:tc>
          <w:tcPr>
            <w:tcW w:type="dxa" w:w="1944"/>
          </w:tcPr>
          <w:p>
            <w:pPr>
              <w:spacing w:after="20"/>
            </w:pPr>
            <w:r>
              <w:rPr>
                <w:color w:val="1C3A36"/>
                <w:sz w:val="14"/>
              </w:rPr>
              <w:t>opprofit h1 26</w:t>
            </w:r>
          </w:p>
        </w:tc>
        <w:tc>
          <w:tcPr>
            <w:tcW w:type="dxa" w:w="1368"/>
          </w:tcPr>
          <w:p>
            <w:pPr>
              <w:spacing w:after="20"/>
              <w:jc w:val="right"/>
            </w:pPr>
            <w:r>
              <w:rPr>
                <w:color w:val="1C3A36"/>
                <w:sz w:val="14"/>
              </w:rPr>
              <w:t>184.1</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w:t>
            </w:r>
          </w:p>
        </w:tc>
      </w:tr>
      <w:tr>
        <w:tc>
          <w:tcPr>
            <w:tcW w:type="dxa" w:w="1944"/>
          </w:tcPr>
          <w:p>
            <w:pPr>
              <w:spacing w:after="20"/>
            </w:pPr>
            <w:r>
              <w:rPr>
                <w:color w:val="1C3A36"/>
                <w:sz w:val="14"/>
              </w:rPr>
              <w:t>dna h1 26</w:t>
            </w:r>
          </w:p>
        </w:tc>
        <w:tc>
          <w:tcPr>
            <w:tcW w:type="dxa" w:w="1368"/>
          </w:tcPr>
          <w:p>
            <w:pPr>
              <w:spacing w:after="20"/>
              <w:jc w:val="right"/>
            </w:pPr>
            <w:r>
              <w:rPr>
                <w:color w:val="1C3A36"/>
                <w:sz w:val="14"/>
              </w:rPr>
              <w:t>161.2</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 note 20 segment disclosure</w:t>
            </w:r>
          </w:p>
        </w:tc>
      </w:tr>
      <w:tr>
        <w:tc>
          <w:tcPr>
            <w:tcW w:type="dxa" w:w="1944"/>
          </w:tcPr>
          <w:p>
            <w:pPr>
              <w:spacing w:after="20"/>
            </w:pPr>
            <w:r>
              <w:rPr>
                <w:color w:val="1C3A36"/>
                <w:sz w:val="14"/>
              </w:rPr>
              <w:t>imp nf h1 26</w:t>
            </w:r>
          </w:p>
        </w:tc>
        <w:tc>
          <w:tcPr>
            <w:tcW w:type="dxa" w:w="1368"/>
          </w:tcPr>
          <w:p>
            <w:pPr>
              <w:spacing w:after="20"/>
              <w:jc w:val="right"/>
            </w:pPr>
            <w:r>
              <w:rPr>
                <w:color w:val="1C3A36"/>
                <w:sz w:val="14"/>
              </w:rPr>
              <w:t>2.141</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w:t>
            </w:r>
          </w:p>
        </w:tc>
      </w:tr>
      <w:tr>
        <w:tc>
          <w:tcPr>
            <w:tcW w:type="dxa" w:w="1944"/>
          </w:tcPr>
          <w:p>
            <w:pPr>
              <w:spacing w:after="20"/>
            </w:pPr>
            <w:r>
              <w:rPr>
                <w:color w:val="1C3A36"/>
                <w:sz w:val="14"/>
              </w:rPr>
              <w:t>imp f h1 26</w:t>
            </w:r>
          </w:p>
        </w:tc>
        <w:tc>
          <w:tcPr>
            <w:tcW w:type="dxa" w:w="1368"/>
          </w:tcPr>
          <w:p>
            <w:pPr>
              <w:spacing w:after="20"/>
              <w:jc w:val="right"/>
            </w:pPr>
            <w:r>
              <w:rPr>
                <w:color w:val="1C3A36"/>
                <w:sz w:val="14"/>
              </w:rPr>
              <w:t>0.735</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w:t>
            </w:r>
          </w:p>
        </w:tc>
      </w:tr>
      <w:tr>
        <w:tc>
          <w:tcPr>
            <w:tcW w:type="dxa" w:w="1944"/>
          </w:tcPr>
          <w:p>
            <w:pPr>
              <w:spacing w:after="20"/>
            </w:pPr>
            <w:r>
              <w:rPr>
                <w:color w:val="1C3A36"/>
                <w:sz w:val="14"/>
              </w:rPr>
              <w:t>pbt h1 26</w:t>
            </w:r>
          </w:p>
        </w:tc>
        <w:tc>
          <w:tcPr>
            <w:tcW w:type="dxa" w:w="1368"/>
          </w:tcPr>
          <w:p>
            <w:pPr>
              <w:spacing w:after="20"/>
              <w:jc w:val="right"/>
            </w:pPr>
            <w:r>
              <w:rPr>
                <w:color w:val="1C3A36"/>
                <w:sz w:val="14"/>
              </w:rPr>
              <w:t>171.1</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w:t>
            </w:r>
          </w:p>
        </w:tc>
      </w:tr>
      <w:tr>
        <w:tc>
          <w:tcPr>
            <w:tcW w:type="dxa" w:w="1944"/>
          </w:tcPr>
          <w:p>
            <w:pPr>
              <w:spacing w:after="20"/>
            </w:pPr>
            <w:r>
              <w:rPr>
                <w:color w:val="1C3A36"/>
                <w:sz w:val="14"/>
              </w:rPr>
              <w:t>tax h1 26</w:t>
            </w:r>
          </w:p>
        </w:tc>
        <w:tc>
          <w:tcPr>
            <w:tcW w:type="dxa" w:w="1368"/>
          </w:tcPr>
          <w:p>
            <w:pPr>
              <w:spacing w:after="20"/>
              <w:jc w:val="right"/>
            </w:pPr>
            <w:r>
              <w:rPr>
                <w:color w:val="1C3A36"/>
                <w:sz w:val="14"/>
              </w:rPr>
              <w:t>24.1</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w:t>
            </w:r>
          </w:p>
        </w:tc>
      </w:tr>
      <w:tr>
        <w:tc>
          <w:tcPr>
            <w:tcW w:type="dxa" w:w="1944"/>
          </w:tcPr>
          <w:p>
            <w:pPr>
              <w:spacing w:after="20"/>
            </w:pPr>
            <w:r>
              <w:rPr>
                <w:color w:val="1C3A36"/>
                <w:sz w:val="14"/>
              </w:rPr>
              <w:t>patsh h1 26</w:t>
            </w:r>
          </w:p>
        </w:tc>
        <w:tc>
          <w:tcPr>
            <w:tcW w:type="dxa" w:w="1368"/>
          </w:tcPr>
          <w:p>
            <w:pPr>
              <w:spacing w:after="20"/>
              <w:jc w:val="right"/>
            </w:pPr>
            <w:r>
              <w:rPr>
                <w:color w:val="1C3A36"/>
                <w:sz w:val="14"/>
              </w:rPr>
              <w:t>147.2</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w:t>
            </w:r>
          </w:p>
        </w:tc>
      </w:tr>
      <w:tr>
        <w:tc>
          <w:tcPr>
            <w:tcW w:type="dxa" w:w="1944"/>
          </w:tcPr>
          <w:p>
            <w:pPr>
              <w:spacing w:after="20"/>
            </w:pPr>
            <w:r>
              <w:rPr>
                <w:color w:val="1C3A36"/>
                <w:sz w:val="14"/>
              </w:rPr>
              <w:t>lease liab h1 26</w:t>
            </w:r>
          </w:p>
        </w:tc>
        <w:tc>
          <w:tcPr>
            <w:tcW w:type="dxa" w:w="1368"/>
          </w:tcPr>
          <w:p>
            <w:pPr>
              <w:spacing w:after="20"/>
              <w:jc w:val="right"/>
            </w:pPr>
            <w:r>
              <w:rPr>
                <w:color w:val="1C3A36"/>
                <w:sz w:val="14"/>
              </w:rPr>
              <w:t>641.6</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 non-current 421,451 plus current 220,107</w:t>
            </w:r>
          </w:p>
        </w:tc>
      </w:tr>
      <w:tr>
        <w:tc>
          <w:tcPr>
            <w:tcW w:type="dxa" w:w="1944"/>
          </w:tcPr>
          <w:p>
            <w:pPr>
              <w:spacing w:after="20"/>
            </w:pPr>
            <w:r>
              <w:rPr>
                <w:color w:val="1C3A36"/>
                <w:sz w:val="14"/>
              </w:rPr>
              <w:t>cash h1 26</w:t>
            </w:r>
          </w:p>
        </w:tc>
        <w:tc>
          <w:tcPr>
            <w:tcW w:type="dxa" w:w="1368"/>
          </w:tcPr>
          <w:p>
            <w:pPr>
              <w:spacing w:after="20"/>
              <w:jc w:val="right"/>
            </w:pPr>
            <w:r>
              <w:rPr>
                <w:color w:val="1C3A36"/>
                <w:sz w:val="14"/>
              </w:rPr>
              <w:t>140.2</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w:t>
            </w:r>
          </w:p>
        </w:tc>
      </w:tr>
      <w:tr>
        <w:tc>
          <w:tcPr>
            <w:tcW w:type="dxa" w:w="1944"/>
          </w:tcPr>
          <w:p>
            <w:pPr>
              <w:spacing w:after="20"/>
            </w:pPr>
            <w:r>
              <w:rPr>
                <w:color w:val="1C3A36"/>
                <w:sz w:val="14"/>
              </w:rPr>
              <w:t>deposits h1 26</w:t>
            </w:r>
          </w:p>
        </w:tc>
        <w:tc>
          <w:tcPr>
            <w:tcW w:type="dxa" w:w="1368"/>
          </w:tcPr>
          <w:p>
            <w:pPr>
              <w:spacing w:after="20"/>
              <w:jc w:val="right"/>
            </w:pPr>
            <w:r>
              <w:rPr>
                <w:color w:val="1C3A36"/>
                <w:sz w:val="14"/>
              </w:rPr>
              <w:t>242.9</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 short-term deposits with banks 220,728 plus investments in financial assets 22,195</w:t>
            </w:r>
          </w:p>
        </w:tc>
      </w:tr>
      <w:tr>
        <w:tc>
          <w:tcPr>
            <w:tcW w:type="dxa" w:w="1944"/>
          </w:tcPr>
          <w:p>
            <w:pPr>
              <w:spacing w:after="20"/>
            </w:pPr>
            <w:r>
              <w:rPr>
                <w:color w:val="1C3A36"/>
                <w:sz w:val="14"/>
              </w:rPr>
              <w:t>equity h1 26</w:t>
            </w:r>
          </w:p>
        </w:tc>
        <w:tc>
          <w:tcPr>
            <w:tcW w:type="dxa" w:w="1368"/>
          </w:tcPr>
          <w:p>
            <w:pPr>
              <w:spacing w:after="20"/>
              <w:jc w:val="right"/>
            </w:pPr>
            <w:r>
              <w:rPr>
                <w:color w:val="1C3A36"/>
                <w:sz w:val="14"/>
              </w:rPr>
              <w:t>435.1</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w:t>
            </w:r>
          </w:p>
        </w:tc>
      </w:tr>
      <w:tr>
        <w:tc>
          <w:tcPr>
            <w:tcW w:type="dxa" w:w="1944"/>
          </w:tcPr>
          <w:p>
            <w:pPr>
              <w:spacing w:after="20"/>
            </w:pPr>
            <w:r>
              <w:rPr>
                <w:color w:val="1C3A36"/>
                <w:sz w:val="14"/>
              </w:rPr>
              <w:t>rev unit uae fy23</w:t>
            </w:r>
          </w:p>
        </w:tc>
        <w:tc>
          <w:tcPr>
            <w:tcW w:type="dxa" w:w="1368"/>
          </w:tcPr>
          <w:p>
            <w:pPr>
              <w:spacing w:after="20"/>
              <w:jc w:val="right"/>
            </w:pPr>
            <w:r>
              <w:rPr>
                <w:color w:val="1C3A36"/>
                <w:sz w:val="14"/>
              </w:rPr>
              <w:t>751</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disclosed separately in the segment note</w:t>
            </w:r>
          </w:p>
        </w:tc>
      </w:tr>
      <w:tr>
        <w:tc>
          <w:tcPr>
            <w:tcW w:type="dxa" w:w="1944"/>
          </w:tcPr>
          <w:p>
            <w:pPr>
              <w:spacing w:after="20"/>
            </w:pPr>
            <w:r>
              <w:rPr>
                <w:color w:val="1C3A36"/>
                <w:sz w:val="14"/>
              </w:rPr>
              <w:t>rev unit uae fy24</w:t>
            </w:r>
          </w:p>
        </w:tc>
        <w:tc>
          <w:tcPr>
            <w:tcW w:type="dxa" w:w="1368"/>
          </w:tcPr>
          <w:p>
            <w:pPr>
              <w:spacing w:after="20"/>
              <w:jc w:val="right"/>
            </w:pPr>
            <w:r>
              <w:rPr>
                <w:color w:val="1C3A36"/>
                <w:sz w:val="14"/>
              </w:rPr>
              <w:t>748.8</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disclosed separately in the segment note</w:t>
            </w:r>
          </w:p>
        </w:tc>
      </w:tr>
      <w:tr>
        <w:tc>
          <w:tcPr>
            <w:tcW w:type="dxa" w:w="1944"/>
          </w:tcPr>
          <w:p>
            <w:pPr>
              <w:spacing w:after="20"/>
            </w:pPr>
            <w:r>
              <w:rPr>
                <w:color w:val="1C3A36"/>
                <w:sz w:val="14"/>
              </w:rPr>
              <w:t>rev unit uae fy25</w:t>
            </w:r>
          </w:p>
        </w:tc>
        <w:tc>
          <w:tcPr>
            <w:tcW w:type="dxa" w:w="1368"/>
          </w:tcPr>
          <w:p>
            <w:pPr>
              <w:spacing w:after="20"/>
              <w:jc w:val="right"/>
            </w:pPr>
            <w:r>
              <w:rPr>
                <w:color w:val="1C3A36"/>
                <w:sz w:val="14"/>
              </w:rPr>
              <w:t>844.7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disclosed separately in the segment note</w:t>
            </w:r>
          </w:p>
        </w:tc>
      </w:tr>
      <w:tr>
        <w:tc>
          <w:tcPr>
            <w:tcW w:type="dxa" w:w="1944"/>
          </w:tcPr>
          <w:p>
            <w:pPr>
              <w:spacing w:after="20"/>
            </w:pPr>
            <w:r>
              <w:rPr>
                <w:color w:val="1C3A36"/>
                <w:sz w:val="14"/>
              </w:rPr>
              <w:t>rev unit saudi arabia fy23</w:t>
            </w:r>
          </w:p>
        </w:tc>
        <w:tc>
          <w:tcPr>
            <w:tcW w:type="dxa" w:w="1368"/>
          </w:tcPr>
          <w:p>
            <w:pPr>
              <w:spacing w:after="20"/>
              <w:jc w:val="right"/>
            </w:pPr>
            <w:r>
              <w:rPr>
                <w:color w:val="1C3A36"/>
                <w:sz w:val="14"/>
              </w:rPr>
              <w:t>594.5</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disclosed separately in the segment note</w:t>
            </w:r>
          </w:p>
        </w:tc>
      </w:tr>
      <w:tr>
        <w:tc>
          <w:tcPr>
            <w:tcW w:type="dxa" w:w="1944"/>
          </w:tcPr>
          <w:p>
            <w:pPr>
              <w:spacing w:after="20"/>
            </w:pPr>
            <w:r>
              <w:rPr>
                <w:color w:val="1C3A36"/>
                <w:sz w:val="14"/>
              </w:rPr>
              <w:t>rev unit saudi arabia fy24</w:t>
            </w:r>
          </w:p>
        </w:tc>
        <w:tc>
          <w:tcPr>
            <w:tcW w:type="dxa" w:w="1368"/>
          </w:tcPr>
          <w:p>
            <w:pPr>
              <w:spacing w:after="20"/>
              <w:jc w:val="right"/>
            </w:pPr>
            <w:r>
              <w:rPr>
                <w:color w:val="1C3A36"/>
                <w:sz w:val="14"/>
              </w:rPr>
              <w:t>583</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disclosed separately in the segment note</w:t>
            </w:r>
          </w:p>
        </w:tc>
      </w:tr>
      <w:tr>
        <w:tc>
          <w:tcPr>
            <w:tcW w:type="dxa" w:w="1944"/>
          </w:tcPr>
          <w:p>
            <w:pPr>
              <w:spacing w:after="20"/>
            </w:pPr>
            <w:r>
              <w:rPr>
                <w:color w:val="1C3A36"/>
                <w:sz w:val="14"/>
              </w:rPr>
              <w:t>rev unit saudi arabia fy25</w:t>
            </w:r>
          </w:p>
        </w:tc>
        <w:tc>
          <w:tcPr>
            <w:tcW w:type="dxa" w:w="1368"/>
          </w:tcPr>
          <w:p>
            <w:pPr>
              <w:spacing w:after="20"/>
              <w:jc w:val="right"/>
            </w:pPr>
            <w:r>
              <w:rPr>
                <w:color w:val="1C3A36"/>
                <w:sz w:val="14"/>
              </w:rPr>
              <w:t>629.9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disclosed separately in the segment note</w:t>
            </w:r>
          </w:p>
        </w:tc>
      </w:tr>
      <w:tr>
        <w:tc>
          <w:tcPr>
            <w:tcW w:type="dxa" w:w="1944"/>
          </w:tcPr>
          <w:p>
            <w:pPr>
              <w:spacing w:after="20"/>
            </w:pPr>
            <w:r>
              <w:rPr>
                <w:color w:val="1C3A36"/>
                <w:sz w:val="14"/>
              </w:rPr>
              <w:t>rev unit kuwait fy23</w:t>
            </w:r>
          </w:p>
        </w:tc>
        <w:tc>
          <w:tcPr>
            <w:tcW w:type="dxa" w:w="1368"/>
          </w:tcPr>
          <w:p>
            <w:pPr>
              <w:spacing w:after="20"/>
              <w:jc w:val="right"/>
            </w:pPr>
            <w:r>
              <w:rPr>
                <w:color w:val="1C3A36"/>
                <w:sz w:val="14"/>
              </w:rPr>
              <w:t>339.2</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disclosed separately in the segment note</w:t>
            </w:r>
          </w:p>
        </w:tc>
      </w:tr>
      <w:tr>
        <w:tc>
          <w:tcPr>
            <w:tcW w:type="dxa" w:w="1944"/>
          </w:tcPr>
          <w:p>
            <w:pPr>
              <w:spacing w:after="20"/>
            </w:pPr>
            <w:r>
              <w:rPr>
                <w:color w:val="1C3A36"/>
                <w:sz w:val="14"/>
              </w:rPr>
              <w:t>rev unit kuwait fy24</w:t>
            </w:r>
          </w:p>
        </w:tc>
        <w:tc>
          <w:tcPr>
            <w:tcW w:type="dxa" w:w="1368"/>
          </w:tcPr>
          <w:p>
            <w:pPr>
              <w:spacing w:after="20"/>
              <w:jc w:val="right"/>
            </w:pPr>
            <w:r>
              <w:rPr>
                <w:color w:val="1C3A36"/>
                <w:sz w:val="14"/>
              </w:rPr>
              <w:t>305.9</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disclosed separately in the segment note</w:t>
            </w:r>
          </w:p>
        </w:tc>
      </w:tr>
      <w:tr>
        <w:tc>
          <w:tcPr>
            <w:tcW w:type="dxa" w:w="1944"/>
          </w:tcPr>
          <w:p>
            <w:pPr>
              <w:spacing w:after="20"/>
            </w:pPr>
            <w:r>
              <w:rPr>
                <w:color w:val="1C3A36"/>
                <w:sz w:val="14"/>
              </w:rPr>
              <w:t>rev unit kuwait fy25</w:t>
            </w:r>
          </w:p>
        </w:tc>
        <w:tc>
          <w:tcPr>
            <w:tcW w:type="dxa" w:w="1368"/>
          </w:tcPr>
          <w:p>
            <w:pPr>
              <w:spacing w:after="20"/>
              <w:jc w:val="right"/>
            </w:pPr>
            <w:r>
              <w:rPr>
                <w:color w:val="1C3A36"/>
                <w:sz w:val="14"/>
              </w:rPr>
              <w:t>347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disclosed separately in the segment note</w:t>
            </w:r>
          </w:p>
        </w:tc>
      </w:tr>
      <w:tr>
        <w:tc>
          <w:tcPr>
            <w:tcW w:type="dxa" w:w="1944"/>
          </w:tcPr>
          <w:p>
            <w:pPr>
              <w:spacing w:after="20"/>
            </w:pPr>
            <w:r>
              <w:rPr>
                <w:color w:val="1C3A36"/>
                <w:sz w:val="14"/>
              </w:rPr>
              <w:t>rev unit egypt fy23</w:t>
            </w:r>
          </w:p>
        </w:tc>
        <w:tc>
          <w:tcPr>
            <w:tcW w:type="dxa" w:w="1368"/>
          </w:tcPr>
          <w:p>
            <w:pPr>
              <w:spacing w:after="20"/>
              <w:jc w:val="right"/>
            </w:pPr>
            <w:r>
              <w:rPr>
                <w:color w:val="1C3A36"/>
                <w:sz w:val="14"/>
              </w:rPr>
              <w:t>195</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disclosed separately in the segment note</w:t>
            </w:r>
          </w:p>
        </w:tc>
      </w:tr>
      <w:tr>
        <w:tc>
          <w:tcPr>
            <w:tcW w:type="dxa" w:w="1944"/>
          </w:tcPr>
          <w:p>
            <w:pPr>
              <w:spacing w:after="20"/>
            </w:pPr>
            <w:r>
              <w:rPr>
                <w:color w:val="1C3A36"/>
                <w:sz w:val="14"/>
              </w:rPr>
              <w:t>rev unit egypt fy24</w:t>
            </w:r>
          </w:p>
        </w:tc>
        <w:tc>
          <w:tcPr>
            <w:tcW w:type="dxa" w:w="1368"/>
          </w:tcPr>
          <w:p>
            <w:pPr>
              <w:spacing w:after="20"/>
              <w:jc w:val="right"/>
            </w:pPr>
            <w:r>
              <w:rPr>
                <w:color w:val="1C3A36"/>
                <w:sz w:val="14"/>
              </w:rPr>
              <w:t>133.4</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disclosed separately in the segment note</w:t>
            </w:r>
          </w:p>
        </w:tc>
      </w:tr>
      <w:tr>
        <w:tc>
          <w:tcPr>
            <w:tcW w:type="dxa" w:w="1944"/>
          </w:tcPr>
          <w:p>
            <w:pPr>
              <w:spacing w:after="20"/>
            </w:pPr>
            <w:r>
              <w:rPr>
                <w:color w:val="1C3A36"/>
                <w:sz w:val="14"/>
              </w:rPr>
              <w:t>rev unit egypt fy25</w:t>
            </w:r>
          </w:p>
        </w:tc>
        <w:tc>
          <w:tcPr>
            <w:tcW w:type="dxa" w:w="1368"/>
          </w:tcPr>
          <w:p>
            <w:pPr>
              <w:spacing w:after="20"/>
              <w:jc w:val="right"/>
            </w:pPr>
            <w:r>
              <w:rPr>
                <w:color w:val="1C3A36"/>
                <w:sz w:val="14"/>
              </w:rPr>
              <w:t>172.6</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disclosed separately in the segment note</w:t>
            </w:r>
          </w:p>
        </w:tc>
      </w:tr>
      <w:tr>
        <w:tc>
          <w:tcPr>
            <w:tcW w:type="dxa" w:w="1944"/>
          </w:tcPr>
          <w:p>
            <w:pPr>
              <w:spacing w:after="20"/>
            </w:pPr>
            <w:r>
              <w:rPr>
                <w:color w:val="1C3A36"/>
                <w:sz w:val="14"/>
              </w:rPr>
              <w:t>rev unit morocco fy23</w:t>
            </w:r>
          </w:p>
        </w:tc>
        <w:tc>
          <w:tcPr>
            <w:tcW w:type="dxa" w:w="1368"/>
          </w:tcPr>
          <w:p>
            <w:pPr>
              <w:spacing w:after="20"/>
              <w:jc w:val="right"/>
            </w:pPr>
            <w:r>
              <w:rPr>
                <w:color w:val="1C3A36"/>
                <w:sz w:val="14"/>
              </w:rPr>
              <w:t>42.81</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North Africa segment revenue less the separately disclosed Egypt revenue</w:t>
            </w:r>
          </w:p>
        </w:tc>
      </w:tr>
      <w:tr>
        <w:tc>
          <w:tcPr>
            <w:tcW w:type="dxa" w:w="1944"/>
          </w:tcPr>
          <w:p>
            <w:pPr>
              <w:spacing w:after="20"/>
            </w:pPr>
            <w:r>
              <w:rPr>
                <w:color w:val="1C3A36"/>
                <w:sz w:val="14"/>
              </w:rPr>
              <w:t>rev unit morocco fy24</w:t>
            </w:r>
          </w:p>
        </w:tc>
        <w:tc>
          <w:tcPr>
            <w:tcW w:type="dxa" w:w="1368"/>
          </w:tcPr>
          <w:p>
            <w:pPr>
              <w:spacing w:after="20"/>
              <w:jc w:val="right"/>
            </w:pPr>
            <w:r>
              <w:rPr>
                <w:color w:val="1C3A36"/>
                <w:sz w:val="14"/>
              </w:rPr>
              <w:t>41.35</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North Africa segment revenue less the separately disclosed Egypt revenue</w:t>
            </w:r>
          </w:p>
        </w:tc>
      </w:tr>
      <w:tr>
        <w:tc>
          <w:tcPr>
            <w:tcW w:type="dxa" w:w="1944"/>
          </w:tcPr>
          <w:p>
            <w:pPr>
              <w:spacing w:after="20"/>
            </w:pPr>
            <w:r>
              <w:rPr>
                <w:color w:val="1C3A36"/>
                <w:sz w:val="14"/>
              </w:rPr>
              <w:t>rev unit morocco fy25</w:t>
            </w:r>
          </w:p>
        </w:tc>
        <w:tc>
          <w:tcPr>
            <w:tcW w:type="dxa" w:w="1368"/>
          </w:tcPr>
          <w:p>
            <w:pPr>
              <w:spacing w:after="20"/>
              <w:jc w:val="right"/>
            </w:pPr>
            <w:r>
              <w:rPr>
                <w:color w:val="1C3A36"/>
                <w:sz w:val="14"/>
              </w:rPr>
              <w:t>50.68</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North Africa segment revenue less the separately disclosed Egypt revenue</w:t>
            </w:r>
          </w:p>
        </w:tc>
      </w:tr>
      <w:tr>
        <w:tc>
          <w:tcPr>
            <w:tcW w:type="dxa" w:w="1944"/>
          </w:tcPr>
          <w:p>
            <w:pPr>
              <w:spacing w:after="20"/>
            </w:pPr>
            <w:r>
              <w:rPr>
                <w:color w:val="1C3A36"/>
                <w:sz w:val="14"/>
              </w:rPr>
              <w:t>rev unit lower gulf fy23</w:t>
            </w:r>
          </w:p>
        </w:tc>
        <w:tc>
          <w:tcPr>
            <w:tcW w:type="dxa" w:w="1368"/>
          </w:tcPr>
          <w:p>
            <w:pPr>
              <w:spacing w:after="20"/>
              <w:jc w:val="right"/>
            </w:pPr>
            <w:r>
              <w:rPr>
                <w:color w:val="1C3A36"/>
                <w:sz w:val="14"/>
              </w:rPr>
              <w:t>278.1</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Qatar, Oman and Bahrain — a disclosed reportable segment</w:t>
            </w:r>
          </w:p>
        </w:tc>
      </w:tr>
      <w:tr>
        <w:tc>
          <w:tcPr>
            <w:tcW w:type="dxa" w:w="1944"/>
          </w:tcPr>
          <w:p>
            <w:pPr>
              <w:spacing w:after="20"/>
            </w:pPr>
            <w:r>
              <w:rPr>
                <w:color w:val="1C3A36"/>
                <w:sz w:val="14"/>
              </w:rPr>
              <w:t>rev unit lower gulf fy24</w:t>
            </w:r>
          </w:p>
        </w:tc>
        <w:tc>
          <w:tcPr>
            <w:tcW w:type="dxa" w:w="1368"/>
          </w:tcPr>
          <w:p>
            <w:pPr>
              <w:spacing w:after="20"/>
              <w:jc w:val="right"/>
            </w:pPr>
            <w:r>
              <w:rPr>
                <w:color w:val="1C3A36"/>
                <w:sz w:val="14"/>
              </w:rPr>
              <w:t>194.2</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Qatar, Oman and Bahrain — a disclosed reportable segment</w:t>
            </w:r>
          </w:p>
        </w:tc>
      </w:tr>
      <w:tr>
        <w:tc>
          <w:tcPr>
            <w:tcW w:type="dxa" w:w="1944"/>
          </w:tcPr>
          <w:p>
            <w:pPr>
              <w:spacing w:after="20"/>
            </w:pPr>
            <w:r>
              <w:rPr>
                <w:color w:val="1C3A36"/>
                <w:sz w:val="14"/>
              </w:rPr>
              <w:t>rev unit lower gulf fy25</w:t>
            </w:r>
          </w:p>
        </w:tc>
        <w:tc>
          <w:tcPr>
            <w:tcW w:type="dxa" w:w="1368"/>
          </w:tcPr>
          <w:p>
            <w:pPr>
              <w:spacing w:after="20"/>
              <w:jc w:val="right"/>
            </w:pPr>
            <w:r>
              <w:rPr>
                <w:color w:val="1C3A36"/>
                <w:sz w:val="14"/>
              </w:rPr>
              <w:t>257.9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Qatar, Oman and Bahrain — a disclosed reportable segment</w:t>
            </w:r>
          </w:p>
        </w:tc>
      </w:tr>
      <w:tr>
        <w:tc>
          <w:tcPr>
            <w:tcW w:type="dxa" w:w="1944"/>
          </w:tcPr>
          <w:p>
            <w:pPr>
              <w:spacing w:after="20"/>
            </w:pPr>
            <w:r>
              <w:rPr>
                <w:color w:val="1C3A36"/>
                <w:sz w:val="14"/>
              </w:rPr>
              <w:t>rev unit other markets fy23</w:t>
            </w:r>
          </w:p>
        </w:tc>
        <w:tc>
          <w:tcPr>
            <w:tcW w:type="dxa" w:w="1368"/>
          </w:tcPr>
          <w:p>
            <w:pPr>
              <w:spacing w:after="20"/>
              <w:jc w:val="right"/>
            </w:pPr>
            <w:r>
              <w:rPr>
                <w:color w:val="1C3A36"/>
                <w:sz w:val="14"/>
              </w:rPr>
              <w:t>249.3</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Kazakhstan, Iraq, Lebanon and Jordan — a disclosed reportable segment</w:t>
            </w:r>
          </w:p>
        </w:tc>
      </w:tr>
      <w:tr>
        <w:tc>
          <w:tcPr>
            <w:tcW w:type="dxa" w:w="1944"/>
          </w:tcPr>
          <w:p>
            <w:pPr>
              <w:spacing w:after="20"/>
            </w:pPr>
            <w:r>
              <w:rPr>
                <w:color w:val="1C3A36"/>
                <w:sz w:val="14"/>
              </w:rPr>
              <w:t>rev unit other markets fy24</w:t>
            </w:r>
          </w:p>
        </w:tc>
        <w:tc>
          <w:tcPr>
            <w:tcW w:type="dxa" w:w="1368"/>
          </w:tcPr>
          <w:p>
            <w:pPr>
              <w:spacing w:after="20"/>
              <w:jc w:val="right"/>
            </w:pPr>
            <w:r>
              <w:rPr>
                <w:color w:val="1C3A36"/>
                <w:sz w:val="14"/>
              </w:rPr>
              <w:t>214.3</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Kazakhstan, Iraq, Lebanon and Jordan — a disclosed reportable segment</w:t>
            </w:r>
          </w:p>
        </w:tc>
      </w:tr>
      <w:tr>
        <w:tc>
          <w:tcPr>
            <w:tcW w:type="dxa" w:w="1944"/>
          </w:tcPr>
          <w:p>
            <w:pPr>
              <w:spacing w:after="20"/>
            </w:pPr>
            <w:r>
              <w:rPr>
                <w:color w:val="1C3A36"/>
                <w:sz w:val="14"/>
              </w:rPr>
              <w:t>rev unit other markets fy25</w:t>
            </w:r>
          </w:p>
        </w:tc>
        <w:tc>
          <w:tcPr>
            <w:tcW w:type="dxa" w:w="1368"/>
          </w:tcPr>
          <w:p>
            <w:pPr>
              <w:spacing w:after="20"/>
              <w:jc w:val="right"/>
            </w:pPr>
            <w:r>
              <w:rPr>
                <w:color w:val="1C3A36"/>
                <w:sz w:val="14"/>
              </w:rPr>
              <w:t>238.1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revenue before eliminations for the significant geographical locations and the four reportable segments; Audited consolidated financial statements for the year ended 31 December 2024, Americana Restaurants International PLC, audited by Deloitte &amp; Touche (M.E.) LLP, published on the company investor-relations site, note 35, for the FY2024 and FY2023 columns — Kazakhstan, Iraq, Lebanon and Jordan — a disclosed reportable segment</w:t>
            </w:r>
          </w:p>
        </w:tc>
      </w:tr>
      <w:tr>
        <w:tc>
          <w:tcPr>
            <w:tcW w:type="dxa" w:w="1944"/>
          </w:tcPr>
          <w:p>
            <w:pPr>
              <w:spacing w:after="20"/>
            </w:pPr>
            <w:r>
              <w:rPr>
                <w:color w:val="1C3A36"/>
                <w:sz w:val="14"/>
              </w:rPr>
              <w:t>cost inventory fy23</w:t>
            </w:r>
          </w:p>
        </w:tc>
        <w:tc>
          <w:tcPr>
            <w:tcW w:type="dxa" w:w="1368"/>
          </w:tcPr>
          <w:p>
            <w:pPr>
              <w:spacing w:after="20"/>
              <w:jc w:val="right"/>
            </w:pPr>
            <w:r>
              <w:rPr>
                <w:color w:val="1C3A36"/>
                <w:sz w:val="14"/>
              </w:rPr>
              <w:t>750.2</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Cost of inventory — food, filling and packing materials. Escalated on its own driver class: Traded food commodity basket</w:t>
            </w:r>
          </w:p>
        </w:tc>
      </w:tr>
      <w:tr>
        <w:tc>
          <w:tcPr>
            <w:tcW w:type="dxa" w:w="1944"/>
          </w:tcPr>
          <w:p>
            <w:pPr>
              <w:spacing w:after="20"/>
            </w:pPr>
            <w:r>
              <w:rPr>
                <w:color w:val="1C3A36"/>
                <w:sz w:val="14"/>
              </w:rPr>
              <w:t>cost inventory fy24</w:t>
            </w:r>
          </w:p>
        </w:tc>
        <w:tc>
          <w:tcPr>
            <w:tcW w:type="dxa" w:w="1368"/>
          </w:tcPr>
          <w:p>
            <w:pPr>
              <w:spacing w:after="20"/>
              <w:jc w:val="right"/>
            </w:pPr>
            <w:r>
              <w:rPr>
                <w:color w:val="1C3A36"/>
                <w:sz w:val="14"/>
              </w:rPr>
              <w:t>642</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Cost of inventory — food, filling and packing materials. Escalated on its own driver class: Traded food commodity basket</w:t>
            </w:r>
          </w:p>
        </w:tc>
      </w:tr>
      <w:tr>
        <w:tc>
          <w:tcPr>
            <w:tcW w:type="dxa" w:w="1944"/>
          </w:tcPr>
          <w:p>
            <w:pPr>
              <w:spacing w:after="20"/>
            </w:pPr>
            <w:r>
              <w:rPr>
                <w:color w:val="1C3A36"/>
                <w:sz w:val="14"/>
              </w:rPr>
              <w:t>cost inventory fy25</w:t>
            </w:r>
          </w:p>
        </w:tc>
        <w:tc>
          <w:tcPr>
            <w:tcW w:type="dxa" w:w="1368"/>
          </w:tcPr>
          <w:p>
            <w:pPr>
              <w:spacing w:after="20"/>
              <w:jc w:val="right"/>
            </w:pPr>
            <w:r>
              <w:rPr>
                <w:color w:val="1C3A36"/>
                <w:sz w:val="14"/>
              </w:rPr>
              <w:t>714.3</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notes 21, 22 and 23 — Cost of inventory — food, filling and packing materials. Escalated on its own driver class: Traded food commodity basket</w:t>
            </w:r>
          </w:p>
        </w:tc>
      </w:tr>
      <w:tr>
        <w:tc>
          <w:tcPr>
            <w:tcW w:type="dxa" w:w="1944"/>
          </w:tcPr>
          <w:p>
            <w:pPr>
              <w:spacing w:after="20"/>
            </w:pPr>
            <w:r>
              <w:rPr>
                <w:color w:val="1C3A36"/>
                <w:sz w:val="14"/>
              </w:rPr>
              <w:t>cost royalties fy23</w:t>
            </w:r>
          </w:p>
        </w:tc>
        <w:tc>
          <w:tcPr>
            <w:tcW w:type="dxa" w:w="1368"/>
          </w:tcPr>
          <w:p>
            <w:pPr>
              <w:spacing w:after="20"/>
              <w:jc w:val="right"/>
            </w:pPr>
            <w:r>
              <w:rPr>
                <w:color w:val="1C3A36"/>
                <w:sz w:val="14"/>
              </w:rPr>
              <w:t>132.2</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Royalties payable to the brand franchisors. Escalated on its own driver class: Contractual percentage of branded food and beverage sales</w:t>
            </w:r>
          </w:p>
        </w:tc>
      </w:tr>
      <w:tr>
        <w:tc>
          <w:tcPr>
            <w:tcW w:type="dxa" w:w="1944"/>
          </w:tcPr>
          <w:p>
            <w:pPr>
              <w:spacing w:after="20"/>
            </w:pPr>
            <w:r>
              <w:rPr>
                <w:color w:val="1C3A36"/>
                <w:sz w:val="14"/>
              </w:rPr>
              <w:t>cost royalties fy24</w:t>
            </w:r>
          </w:p>
        </w:tc>
        <w:tc>
          <w:tcPr>
            <w:tcW w:type="dxa" w:w="1368"/>
          </w:tcPr>
          <w:p>
            <w:pPr>
              <w:spacing w:after="20"/>
              <w:jc w:val="right"/>
            </w:pPr>
            <w:r>
              <w:rPr>
                <w:color w:val="1C3A36"/>
                <w:sz w:val="14"/>
              </w:rPr>
              <w:t>121.3</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Royalties payable to the brand franchisors. Escalated on its own driver class: Contractual percentage of branded food and beverage sales</w:t>
            </w:r>
          </w:p>
        </w:tc>
      </w:tr>
      <w:tr>
        <w:tc>
          <w:tcPr>
            <w:tcW w:type="dxa" w:w="1944"/>
          </w:tcPr>
          <w:p>
            <w:pPr>
              <w:spacing w:after="20"/>
            </w:pPr>
            <w:r>
              <w:rPr>
                <w:color w:val="1C3A36"/>
                <w:sz w:val="14"/>
              </w:rPr>
              <w:t>cost royalties fy25</w:t>
            </w:r>
          </w:p>
        </w:tc>
        <w:tc>
          <w:tcPr>
            <w:tcW w:type="dxa" w:w="1368"/>
          </w:tcPr>
          <w:p>
            <w:pPr>
              <w:spacing w:after="20"/>
              <w:jc w:val="right"/>
            </w:pPr>
            <w:r>
              <w:rPr>
                <w:color w:val="1C3A36"/>
                <w:sz w:val="14"/>
              </w:rPr>
              <w:t>139.1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notes 21, 22 and 23 — Royalties payable to the brand franchisors. Escalated on its own driver class: Contractual percentage of branded food and beverage sales</w:t>
            </w:r>
          </w:p>
        </w:tc>
      </w:tr>
      <w:tr>
        <w:tc>
          <w:tcPr>
            <w:tcW w:type="dxa" w:w="1944"/>
          </w:tcPr>
          <w:p>
            <w:pPr>
              <w:spacing w:after="20"/>
            </w:pPr>
            <w:r>
              <w:rPr>
                <w:color w:val="1C3A36"/>
                <w:sz w:val="14"/>
              </w:rPr>
              <w:t>cost staff fy23</w:t>
            </w:r>
          </w:p>
        </w:tc>
        <w:tc>
          <w:tcPr>
            <w:tcW w:type="dxa" w:w="1368"/>
          </w:tcPr>
          <w:p>
            <w:pPr>
              <w:spacing w:after="20"/>
              <w:jc w:val="right"/>
            </w:pPr>
            <w:r>
              <w:rPr>
                <w:color w:val="1C3A36"/>
                <w:sz w:val="14"/>
              </w:rPr>
              <w:t>455.6</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Total staff costs across cost of revenues, selling and marketing and general and administrative expenses. Escalated on its own driver class: Wages in the operating countries</w:t>
            </w:r>
          </w:p>
        </w:tc>
      </w:tr>
      <w:tr>
        <w:tc>
          <w:tcPr>
            <w:tcW w:type="dxa" w:w="1944"/>
          </w:tcPr>
          <w:p>
            <w:pPr>
              <w:spacing w:after="20"/>
            </w:pPr>
            <w:r>
              <w:rPr>
                <w:color w:val="1C3A36"/>
                <w:sz w:val="14"/>
              </w:rPr>
              <w:t>cost staff fy24</w:t>
            </w:r>
          </w:p>
        </w:tc>
        <w:tc>
          <w:tcPr>
            <w:tcW w:type="dxa" w:w="1368"/>
          </w:tcPr>
          <w:p>
            <w:pPr>
              <w:spacing w:after="20"/>
              <w:jc w:val="right"/>
            </w:pPr>
            <w:r>
              <w:rPr>
                <w:color w:val="1C3A36"/>
                <w:sz w:val="14"/>
              </w:rPr>
              <w:t>422.1</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Total staff costs across cost of revenues, selling and marketing and general and administrative expenses. Escalated on its own driver class: Wages in the operating countries</w:t>
            </w:r>
          </w:p>
        </w:tc>
      </w:tr>
      <w:tr>
        <w:tc>
          <w:tcPr>
            <w:tcW w:type="dxa" w:w="1944"/>
          </w:tcPr>
          <w:p>
            <w:pPr>
              <w:spacing w:after="20"/>
            </w:pPr>
            <w:r>
              <w:rPr>
                <w:color w:val="1C3A36"/>
                <w:sz w:val="14"/>
              </w:rPr>
              <w:t>cost staff fy25</w:t>
            </w:r>
          </w:p>
        </w:tc>
        <w:tc>
          <w:tcPr>
            <w:tcW w:type="dxa" w:w="1368"/>
          </w:tcPr>
          <w:p>
            <w:pPr>
              <w:spacing w:after="20"/>
              <w:jc w:val="right"/>
            </w:pPr>
            <w:r>
              <w:rPr>
                <w:color w:val="1C3A36"/>
                <w:sz w:val="14"/>
              </w:rPr>
              <w:t>461.1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notes 21, 22 and 23 — Total staff costs across cost of revenues, selling and marketing and general and administrative expenses. Escalated on its own driver class: Wages in the operating countries</w:t>
            </w:r>
          </w:p>
        </w:tc>
      </w:tr>
      <w:tr>
        <w:tc>
          <w:tcPr>
            <w:tcW w:type="dxa" w:w="1944"/>
          </w:tcPr>
          <w:p>
            <w:pPr>
              <w:spacing w:after="20"/>
            </w:pPr>
            <w:r>
              <w:rPr>
                <w:color w:val="1C3A36"/>
                <w:sz w:val="14"/>
              </w:rPr>
              <w:t>cost delivery fy23</w:t>
            </w:r>
          </w:p>
        </w:tc>
        <w:tc>
          <w:tcPr>
            <w:tcW w:type="dxa" w:w="1368"/>
          </w:tcPr>
          <w:p>
            <w:pPr>
              <w:spacing w:after="20"/>
              <w:jc w:val="right"/>
            </w:pPr>
            <w:r>
              <w:rPr>
                <w:color w:val="1C3A36"/>
                <w:sz w:val="14"/>
              </w:rPr>
              <w:t>106.2</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Home delivery and transportation. Escalated on its own driver class: Delivery-channel volume and fuel</w:t>
            </w:r>
          </w:p>
        </w:tc>
      </w:tr>
      <w:tr>
        <w:tc>
          <w:tcPr>
            <w:tcW w:type="dxa" w:w="1944"/>
          </w:tcPr>
          <w:p>
            <w:pPr>
              <w:spacing w:after="20"/>
            </w:pPr>
            <w:r>
              <w:rPr>
                <w:color w:val="1C3A36"/>
                <w:sz w:val="14"/>
              </w:rPr>
              <w:t>cost delivery fy24</w:t>
            </w:r>
          </w:p>
        </w:tc>
        <w:tc>
          <w:tcPr>
            <w:tcW w:type="dxa" w:w="1368"/>
          </w:tcPr>
          <w:p>
            <w:pPr>
              <w:spacing w:after="20"/>
              <w:jc w:val="right"/>
            </w:pPr>
            <w:r>
              <w:rPr>
                <w:color w:val="1C3A36"/>
                <w:sz w:val="14"/>
              </w:rPr>
              <w:t>133.7</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Home delivery and transportation. Escalated on its own driver class: Delivery-channel volume and fuel</w:t>
            </w:r>
          </w:p>
        </w:tc>
      </w:tr>
      <w:tr>
        <w:tc>
          <w:tcPr>
            <w:tcW w:type="dxa" w:w="1944"/>
          </w:tcPr>
          <w:p>
            <w:pPr>
              <w:spacing w:after="20"/>
            </w:pPr>
            <w:r>
              <w:rPr>
                <w:color w:val="1C3A36"/>
                <w:sz w:val="14"/>
              </w:rPr>
              <w:t>cost delivery fy25</w:t>
            </w:r>
          </w:p>
        </w:tc>
        <w:tc>
          <w:tcPr>
            <w:tcW w:type="dxa" w:w="1368"/>
          </w:tcPr>
          <w:p>
            <w:pPr>
              <w:spacing w:after="20"/>
              <w:jc w:val="right"/>
            </w:pPr>
            <w:r>
              <w:rPr>
                <w:color w:val="1C3A36"/>
                <w:sz w:val="14"/>
              </w:rPr>
              <w:t>180.6</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notes 21, 22 and 23 — Home delivery and transportation. Escalated on its own driver class: Delivery-channel volume and fuel</w:t>
            </w:r>
          </w:p>
        </w:tc>
      </w:tr>
      <w:tr>
        <w:tc>
          <w:tcPr>
            <w:tcW w:type="dxa" w:w="1944"/>
          </w:tcPr>
          <w:p>
            <w:pPr>
              <w:spacing w:after="20"/>
            </w:pPr>
            <w:r>
              <w:rPr>
                <w:color w:val="1C3A36"/>
                <w:sz w:val="14"/>
              </w:rPr>
              <w:t>cost advertising fy23</w:t>
            </w:r>
          </w:p>
        </w:tc>
        <w:tc>
          <w:tcPr>
            <w:tcW w:type="dxa" w:w="1368"/>
          </w:tcPr>
          <w:p>
            <w:pPr>
              <w:spacing w:after="20"/>
              <w:jc w:val="right"/>
            </w:pPr>
            <w:r>
              <w:rPr>
                <w:color w:val="1C3A36"/>
                <w:sz w:val="14"/>
              </w:rPr>
              <w:t>113.6</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Advertisement and business development. Escalated on its own driver class: Managed percentage of sales</w:t>
            </w:r>
          </w:p>
        </w:tc>
      </w:tr>
      <w:tr>
        <w:tc>
          <w:tcPr>
            <w:tcW w:type="dxa" w:w="1944"/>
          </w:tcPr>
          <w:p>
            <w:pPr>
              <w:spacing w:after="20"/>
            </w:pPr>
            <w:r>
              <w:rPr>
                <w:color w:val="1C3A36"/>
                <w:sz w:val="14"/>
              </w:rPr>
              <w:t>cost advertising fy24</w:t>
            </w:r>
          </w:p>
        </w:tc>
        <w:tc>
          <w:tcPr>
            <w:tcW w:type="dxa" w:w="1368"/>
          </w:tcPr>
          <w:p>
            <w:pPr>
              <w:spacing w:after="20"/>
              <w:jc w:val="right"/>
            </w:pPr>
            <w:r>
              <w:rPr>
                <w:color w:val="1C3A36"/>
                <w:sz w:val="14"/>
              </w:rPr>
              <w:t>98.17</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Advertisement and business development. Escalated on its own driver class: Managed percentage of sales</w:t>
            </w:r>
          </w:p>
        </w:tc>
      </w:tr>
      <w:tr>
        <w:tc>
          <w:tcPr>
            <w:tcW w:type="dxa" w:w="1944"/>
          </w:tcPr>
          <w:p>
            <w:pPr>
              <w:spacing w:after="20"/>
            </w:pPr>
            <w:r>
              <w:rPr>
                <w:color w:val="1C3A36"/>
                <w:sz w:val="14"/>
              </w:rPr>
              <w:t>cost advertising fy25</w:t>
            </w:r>
          </w:p>
        </w:tc>
        <w:tc>
          <w:tcPr>
            <w:tcW w:type="dxa" w:w="1368"/>
          </w:tcPr>
          <w:p>
            <w:pPr>
              <w:spacing w:after="20"/>
              <w:jc w:val="right"/>
            </w:pPr>
            <w:r>
              <w:rPr>
                <w:color w:val="1C3A36"/>
                <w:sz w:val="14"/>
              </w:rPr>
              <w:t>109.2</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notes 21, 22 and 23 — Advertisement and business development. Escalated on its own driver class: Managed percentage of sales</w:t>
            </w:r>
          </w:p>
        </w:tc>
      </w:tr>
      <w:tr>
        <w:tc>
          <w:tcPr>
            <w:tcW w:type="dxa" w:w="1944"/>
          </w:tcPr>
          <w:p>
            <w:pPr>
              <w:spacing w:after="20"/>
            </w:pPr>
            <w:r>
              <w:rPr>
                <w:color w:val="1C3A36"/>
                <w:sz w:val="14"/>
              </w:rPr>
              <w:t>cost utilities fy23</w:t>
            </w:r>
          </w:p>
        </w:tc>
        <w:tc>
          <w:tcPr>
            <w:tcW w:type="dxa" w:w="1368"/>
          </w:tcPr>
          <w:p>
            <w:pPr>
              <w:spacing w:after="20"/>
              <w:jc w:val="right"/>
            </w:pPr>
            <w:r>
              <w:rPr>
                <w:color w:val="1C3A36"/>
                <w:sz w:val="14"/>
              </w:rPr>
              <w:t>66.75</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Utilities and communication in selling and marketing plus utilities in general and administrative expenses. Escalated on its own driver class: Energy tariffs</w:t>
            </w:r>
          </w:p>
        </w:tc>
      </w:tr>
      <w:tr>
        <w:tc>
          <w:tcPr>
            <w:tcW w:type="dxa" w:w="1944"/>
          </w:tcPr>
          <w:p>
            <w:pPr>
              <w:spacing w:after="20"/>
            </w:pPr>
            <w:r>
              <w:rPr>
                <w:color w:val="1C3A36"/>
                <w:sz w:val="14"/>
              </w:rPr>
              <w:t>cost utilities fy24</w:t>
            </w:r>
          </w:p>
        </w:tc>
        <w:tc>
          <w:tcPr>
            <w:tcW w:type="dxa" w:w="1368"/>
          </w:tcPr>
          <w:p>
            <w:pPr>
              <w:spacing w:after="20"/>
              <w:jc w:val="right"/>
            </w:pPr>
            <w:r>
              <w:rPr>
                <w:color w:val="1C3A36"/>
                <w:sz w:val="14"/>
              </w:rPr>
              <w:t>66.1</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Utilities and communication in selling and marketing plus utilities in general and administrative expenses. Escalated on its own driver class: Energy tariffs</w:t>
            </w:r>
          </w:p>
        </w:tc>
      </w:tr>
      <w:tr>
        <w:tc>
          <w:tcPr>
            <w:tcW w:type="dxa" w:w="1944"/>
          </w:tcPr>
          <w:p>
            <w:pPr>
              <w:spacing w:after="20"/>
            </w:pPr>
            <w:r>
              <w:rPr>
                <w:color w:val="1C3A36"/>
                <w:sz w:val="14"/>
              </w:rPr>
              <w:t>cost utilities fy25</w:t>
            </w:r>
          </w:p>
        </w:tc>
        <w:tc>
          <w:tcPr>
            <w:tcW w:type="dxa" w:w="1368"/>
          </w:tcPr>
          <w:p>
            <w:pPr>
              <w:spacing w:after="20"/>
              <w:jc w:val="right"/>
            </w:pPr>
            <w:r>
              <w:rPr>
                <w:color w:val="1C3A36"/>
                <w:sz w:val="14"/>
              </w:rPr>
              <w:t>71.69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notes 21, 22 and 23 — Utilities and communication in selling and marketing plus utilities in general and administrative expenses. Escalated on its own driver class: Energy tariffs</w:t>
            </w:r>
          </w:p>
        </w:tc>
      </w:tr>
      <w:tr>
        <w:tc>
          <w:tcPr>
            <w:tcW w:type="dxa" w:w="1944"/>
          </w:tcPr>
          <w:p>
            <w:pPr>
              <w:spacing w:after="20"/>
            </w:pPr>
            <w:r>
              <w:rPr>
                <w:color w:val="1C3A36"/>
                <w:sz w:val="14"/>
              </w:rPr>
              <w:t>cost rent other fy23</w:t>
            </w:r>
          </w:p>
        </w:tc>
        <w:tc>
          <w:tcPr>
            <w:tcW w:type="dxa" w:w="1368"/>
          </w:tcPr>
          <w:p>
            <w:pPr>
              <w:spacing w:after="20"/>
              <w:jc w:val="right"/>
            </w:pPr>
            <w:r>
              <w:rPr>
                <w:color w:val="1C3A36"/>
                <w:sz w:val="14"/>
              </w:rPr>
              <w:t>50.69</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Short-term, low-value and variable lease payments outside the capitalised lease liability. Escalated on its own driver class: Property rents</w:t>
            </w:r>
          </w:p>
        </w:tc>
      </w:tr>
      <w:tr>
        <w:tc>
          <w:tcPr>
            <w:tcW w:type="dxa" w:w="1944"/>
          </w:tcPr>
          <w:p>
            <w:pPr>
              <w:spacing w:after="20"/>
            </w:pPr>
            <w:r>
              <w:rPr>
                <w:color w:val="1C3A36"/>
                <w:sz w:val="14"/>
              </w:rPr>
              <w:t>cost rent other fy24</w:t>
            </w:r>
          </w:p>
        </w:tc>
        <w:tc>
          <w:tcPr>
            <w:tcW w:type="dxa" w:w="1368"/>
          </w:tcPr>
          <w:p>
            <w:pPr>
              <w:spacing w:after="20"/>
              <w:jc w:val="right"/>
            </w:pPr>
            <w:r>
              <w:rPr>
                <w:color w:val="1C3A36"/>
                <w:sz w:val="14"/>
              </w:rPr>
              <w:t>44.28</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Short-term, low-value and variable lease payments outside the capitalised lease liability. Escalated on its own driver class: Property rents</w:t>
            </w:r>
          </w:p>
        </w:tc>
      </w:tr>
      <w:tr>
        <w:tc>
          <w:tcPr>
            <w:tcW w:type="dxa" w:w="1944"/>
          </w:tcPr>
          <w:p>
            <w:pPr>
              <w:spacing w:after="20"/>
            </w:pPr>
            <w:r>
              <w:rPr>
                <w:color w:val="1C3A36"/>
                <w:sz w:val="14"/>
              </w:rPr>
              <w:t>cost rent other fy25</w:t>
            </w:r>
          </w:p>
        </w:tc>
        <w:tc>
          <w:tcPr>
            <w:tcW w:type="dxa" w:w="1368"/>
          </w:tcPr>
          <w:p>
            <w:pPr>
              <w:spacing w:after="20"/>
              <w:jc w:val="right"/>
            </w:pPr>
            <w:r>
              <w:rPr>
                <w:color w:val="1C3A36"/>
                <w:sz w:val="14"/>
              </w:rPr>
              <w:t>43.6</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notes 21, 22 and 23 — Short-term, low-value and variable lease payments outside the capitalised lease liability. Escalated on its own driver class: Property rents</w:t>
            </w:r>
          </w:p>
        </w:tc>
      </w:tr>
      <w:tr>
        <w:tc>
          <w:tcPr>
            <w:tcW w:type="dxa" w:w="1944"/>
          </w:tcPr>
          <w:p>
            <w:pPr>
              <w:spacing w:after="20"/>
            </w:pPr>
            <w:r>
              <w:rPr>
                <w:color w:val="1C3A36"/>
                <w:sz w:val="14"/>
              </w:rPr>
              <w:t>cost maintenance fy23</w:t>
            </w:r>
          </w:p>
        </w:tc>
        <w:tc>
          <w:tcPr>
            <w:tcW w:type="dxa" w:w="1368"/>
          </w:tcPr>
          <w:p>
            <w:pPr>
              <w:spacing w:after="20"/>
              <w:jc w:val="right"/>
            </w:pPr>
            <w:r>
              <w:rPr>
                <w:color w:val="1C3A36"/>
                <w:sz w:val="14"/>
              </w:rPr>
              <w:t>69.64</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Maintenance and other operating expenses plus repairs and maintenance. Escalated on its own driver class: Domestic services</w:t>
            </w:r>
          </w:p>
        </w:tc>
      </w:tr>
      <w:tr>
        <w:tc>
          <w:tcPr>
            <w:tcW w:type="dxa" w:w="1944"/>
          </w:tcPr>
          <w:p>
            <w:pPr>
              <w:spacing w:after="20"/>
            </w:pPr>
            <w:r>
              <w:rPr>
                <w:color w:val="1C3A36"/>
                <w:sz w:val="14"/>
              </w:rPr>
              <w:t>cost maintenance fy24</w:t>
            </w:r>
          </w:p>
        </w:tc>
        <w:tc>
          <w:tcPr>
            <w:tcW w:type="dxa" w:w="1368"/>
          </w:tcPr>
          <w:p>
            <w:pPr>
              <w:spacing w:after="20"/>
              <w:jc w:val="right"/>
            </w:pPr>
            <w:r>
              <w:rPr>
                <w:color w:val="1C3A36"/>
                <w:sz w:val="14"/>
              </w:rPr>
              <w:t>65.86</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notes 23, 24 and 25 — Maintenance and other operating expenses plus repairs and maintenance. Escalated on its own driver class: Domestic services</w:t>
            </w:r>
          </w:p>
        </w:tc>
      </w:tr>
      <w:tr>
        <w:tc>
          <w:tcPr>
            <w:tcW w:type="dxa" w:w="1944"/>
          </w:tcPr>
          <w:p>
            <w:pPr>
              <w:spacing w:after="20"/>
            </w:pPr>
            <w:r>
              <w:rPr>
                <w:color w:val="1C3A36"/>
                <w:sz w:val="14"/>
              </w:rPr>
              <w:t>cost maintenance fy25</w:t>
            </w:r>
          </w:p>
        </w:tc>
        <w:tc>
          <w:tcPr>
            <w:tcW w:type="dxa" w:w="1368"/>
          </w:tcPr>
          <w:p>
            <w:pPr>
              <w:spacing w:after="20"/>
              <w:jc w:val="right"/>
            </w:pPr>
            <w:r>
              <w:rPr>
                <w:color w:val="1C3A36"/>
                <w:sz w:val="14"/>
              </w:rPr>
              <w:t>72.59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notes 21, 22 and 23 — Maintenance and other operating expenses plus repairs and maintenance. Escalated on its own driver class: Domestic services</w:t>
            </w:r>
          </w:p>
        </w:tc>
      </w:tr>
      <w:tr>
        <w:tc>
          <w:tcPr>
            <w:tcW w:type="dxa" w:w="1944"/>
          </w:tcPr>
          <w:p>
            <w:pPr>
              <w:spacing w:after="20"/>
            </w:pPr>
            <w:r>
              <w:rPr>
                <w:color w:val="1C3A36"/>
                <w:sz w:val="14"/>
              </w:rPr>
              <w:t>cost inventory pct fy25</w:t>
            </w:r>
          </w:p>
        </w:tc>
        <w:tc>
          <w:tcPr>
            <w:tcW w:type="dxa" w:w="1368"/>
          </w:tcPr>
          <w:p>
            <w:pPr>
              <w:spacing w:after="20"/>
              <w:jc w:val="right"/>
            </w:pPr>
            <w:r>
              <w:rPr>
                <w:color w:val="1C3A36"/>
                <w:sz w:val="14"/>
              </w:rPr>
              <w:t>0.28472</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notes 21, 22 and 23 — cost of inventory as a share of revenue</w:t>
            </w:r>
          </w:p>
        </w:tc>
      </w:tr>
      <w:tr>
        <w:tc>
          <w:tcPr>
            <w:tcW w:type="dxa" w:w="1944"/>
          </w:tcPr>
          <w:p>
            <w:pPr>
              <w:spacing w:after="20"/>
            </w:pPr>
            <w:r>
              <w:rPr>
                <w:color w:val="1C3A36"/>
                <w:sz w:val="14"/>
              </w:rPr>
              <w:t>fte fy23</w:t>
            </w:r>
          </w:p>
        </w:tc>
        <w:tc>
          <w:tcPr>
            <w:tcW w:type="dxa" w:w="1368"/>
          </w:tcPr>
          <w:p>
            <w:pPr>
              <w:spacing w:after="20"/>
              <w:jc w:val="right"/>
            </w:pPr>
            <w:r>
              <w:rPr>
                <w:color w:val="1C3A36"/>
                <w:sz w:val="14"/>
              </w:rPr>
              <w:t>4.158e+04</w:t>
            </w:r>
          </w:p>
        </w:tc>
        <w:tc>
          <w:tcPr>
            <w:tcW w:type="dxa" w:w="1037"/>
          </w:tcPr>
          <w:p>
            <w:pPr>
              <w:spacing w:after="20"/>
              <w:jc w:val="right"/>
            </w:pPr>
            <w:r>
              <w:rPr>
                <w:color w:val="1C3A36"/>
                <w:sz w:val="14"/>
              </w:rPr>
              <w:t>2023-12-31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 28</w:t>
            </w:r>
          </w:p>
        </w:tc>
      </w:tr>
      <w:tr>
        <w:tc>
          <w:tcPr>
            <w:tcW w:type="dxa" w:w="1944"/>
          </w:tcPr>
          <w:p>
            <w:pPr>
              <w:spacing w:after="20"/>
            </w:pPr>
            <w:r>
              <w:rPr>
                <w:color w:val="1C3A36"/>
                <w:sz w:val="14"/>
              </w:rPr>
              <w:t>fte fy24</w:t>
            </w:r>
          </w:p>
        </w:tc>
        <w:tc>
          <w:tcPr>
            <w:tcW w:type="dxa" w:w="1368"/>
          </w:tcPr>
          <w:p>
            <w:pPr>
              <w:spacing w:after="20"/>
              <w:jc w:val="right"/>
            </w:pPr>
            <w:r>
              <w:rPr>
                <w:color w:val="1C3A36"/>
                <w:sz w:val="14"/>
              </w:rPr>
              <w:t>3.823e+04</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Audited consolidated financial statements for the year ended 31 December 2024, Americana Restaurants International PLC, audited by Deloitte &amp; Touche (M.E.) LLP, published on the company investor-relations site, note 28</w:t>
            </w:r>
          </w:p>
        </w:tc>
      </w:tr>
      <w:tr>
        <w:tc>
          <w:tcPr>
            <w:tcW w:type="dxa" w:w="1944"/>
          </w:tcPr>
          <w:p>
            <w:pPr>
              <w:spacing w:after="20"/>
            </w:pPr>
            <w:r>
              <w:rPr>
                <w:color w:val="1C3A36"/>
                <w:sz w:val="14"/>
              </w:rPr>
              <w:t>fte fy25</w:t>
            </w:r>
          </w:p>
        </w:tc>
        <w:tc>
          <w:tcPr>
            <w:tcW w:type="dxa" w:w="1368"/>
          </w:tcPr>
          <w:p>
            <w:pPr>
              <w:spacing w:after="20"/>
              <w:jc w:val="right"/>
            </w:pPr>
            <w:r>
              <w:rPr>
                <w:color w:val="1C3A36"/>
                <w:sz w:val="14"/>
              </w:rPr>
              <w:t>3.721e+04</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26: average full-time-equivalent staff count of 37,207, of which 33,324 restaurant-level</w:t>
            </w:r>
          </w:p>
        </w:tc>
      </w:tr>
      <w:tr>
        <w:tc>
          <w:tcPr>
            <w:tcW w:type="dxa" w:w="1944"/>
          </w:tcPr>
          <w:p>
            <w:pPr>
              <w:spacing w:after="20"/>
            </w:pPr>
            <w:r>
              <w:rPr>
                <w:color w:val="1C3A36"/>
                <w:sz w:val="14"/>
              </w:rPr>
              <w:t>pillar two minimum rate</w:t>
            </w:r>
          </w:p>
        </w:tc>
        <w:tc>
          <w:tcPr>
            <w:tcW w:type="dxa" w:w="1368"/>
          </w:tcPr>
          <w:p>
            <w:pPr>
              <w:spacing w:after="20"/>
              <w:jc w:val="right"/>
            </w:pPr>
            <w:r>
              <w:rPr>
                <w:color w:val="1C3A36"/>
                <w:sz w:val="14"/>
              </w:rPr>
              <w:t>0.15</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28: the OECD Pillar Two global minimum effective rate of 15% applies to the group, and domestic minimum top-up tax legislation was effective at the reporting date in the United Arab Emirates, Kuwait, Qatar, Bahrain and Oman</w:t>
            </w:r>
          </w:p>
        </w:tc>
      </w:tr>
      <w:tr>
        <w:tc>
          <w:tcPr>
            <w:tcW w:type="dxa" w:w="1944"/>
          </w:tcPr>
          <w:p>
            <w:pPr>
              <w:spacing w:after="20"/>
            </w:pPr>
            <w:r>
              <w:rPr>
                <w:color w:val="1C3A36"/>
                <w:sz w:val="14"/>
              </w:rPr>
              <w:t>etr fy25</w:t>
            </w:r>
          </w:p>
        </w:tc>
        <w:tc>
          <w:tcPr>
            <w:tcW w:type="dxa" w:w="1368"/>
          </w:tcPr>
          <w:p>
            <w:pPr>
              <w:spacing w:after="20"/>
              <w:jc w:val="right"/>
            </w:pPr>
            <w:r>
              <w:rPr>
                <w:color w:val="1C3A36"/>
                <w:sz w:val="14"/>
              </w:rPr>
              <w:t>0.14</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28: effective tax rate of 14% (2024: 11%, 2023: 4%)</w:t>
            </w:r>
          </w:p>
        </w:tc>
      </w:tr>
      <w:tr>
        <w:tc>
          <w:tcPr>
            <w:tcW w:type="dxa" w:w="1944"/>
          </w:tcPr>
          <w:p>
            <w:pPr>
              <w:spacing w:after="20"/>
            </w:pPr>
            <w:r>
              <w:rPr>
                <w:color w:val="1C3A36"/>
                <w:sz w:val="14"/>
              </w:rPr>
              <w:t>etr h1 26</w:t>
            </w:r>
          </w:p>
        </w:tc>
        <w:tc>
          <w:tcPr>
            <w:tcW w:type="dxa" w:w="1368"/>
          </w:tcPr>
          <w:p>
            <w:pPr>
              <w:spacing w:after="20"/>
              <w:jc w:val="right"/>
            </w:pPr>
            <w:r>
              <w:rPr>
                <w:color w:val="1C3A36"/>
                <w:sz w:val="14"/>
              </w:rPr>
              <w:t>0.14087</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Reviewed condensed consolidated interim financial statements for the six months ended 30 June 2026, Americana Restaurants International PLC, review report by Deloitte &amp; Touche (M.E.) LLP dated 28 July 2026: income tax and zakat of USD 24,101 thousand on profit before tax of USD 171,084 thousand</w:t>
            </w:r>
          </w:p>
        </w:tc>
      </w:tr>
      <w:tr>
        <w:tc>
          <w:tcPr>
            <w:tcW w:type="dxa" w:w="1944"/>
          </w:tcPr>
          <w:p>
            <w:pPr>
              <w:spacing w:after="20"/>
            </w:pPr>
            <w:r>
              <w:rPr>
                <w:color w:val="1C3A36"/>
                <w:sz w:val="14"/>
              </w:rPr>
              <w:t>cost of debt</w:t>
            </w:r>
          </w:p>
        </w:tc>
        <w:tc>
          <w:tcPr>
            <w:tcW w:type="dxa" w:w="1368"/>
          </w:tcPr>
          <w:p>
            <w:pPr>
              <w:spacing w:after="20"/>
              <w:jc w:val="right"/>
            </w:pPr>
            <w:r>
              <w:rPr>
                <w:color w:val="1C3A36"/>
                <w:sz w:val="14"/>
              </w:rPr>
              <w:t>0.067199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The group's own incremental borrowing rate, read out of its lease accounting: finance costs on lease liabilities of USD 40,867 thousand in FY2025 over the average lease liability of USD 608.1 million. Determining the incremental borrowing rate is identified as a key audit matter in the filing. This is the only borrowing cost the company actually pays — it carries no bank debt — and it sits above the Abu Dhabi sovereign, as a corporate in the same currency must.</w:t>
            </w:r>
          </w:p>
        </w:tc>
      </w:tr>
      <w:tr>
        <w:tc>
          <w:tcPr>
            <w:tcW w:type="dxa" w:w="1944"/>
          </w:tcPr>
          <w:p>
            <w:pPr>
              <w:spacing w:after="20"/>
            </w:pPr>
            <w:r>
              <w:rPr>
                <w:color w:val="1C3A36"/>
                <w:sz w:val="14"/>
              </w:rPr>
              <w:t>cost of debt fy24</w:t>
            </w:r>
          </w:p>
        </w:tc>
        <w:tc>
          <w:tcPr>
            <w:tcW w:type="dxa" w:w="1368"/>
          </w:tcPr>
          <w:p>
            <w:pPr>
              <w:spacing w:after="20"/>
              <w:jc w:val="right"/>
            </w:pPr>
            <w:r>
              <w:rPr>
                <w:color w:val="1C3A36"/>
                <w:sz w:val="14"/>
              </w:rPr>
              <w:t>0.059519</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The same construction on the FY2024 accounts: lease finance cost of USD 32,319 thousand over an average lease liability of USD 543.0 million</w:t>
            </w:r>
          </w:p>
        </w:tc>
      </w:tr>
      <w:tr>
        <w:tc>
          <w:tcPr>
            <w:tcW w:type="dxa" w:w="1944"/>
          </w:tcPr>
          <w:p>
            <w:pPr>
              <w:spacing w:after="20"/>
            </w:pPr>
            <w:r>
              <w:rPr>
                <w:color w:val="1C3A36"/>
                <w:sz w:val="14"/>
              </w:rPr>
              <w:t>elimination pct</w:t>
            </w:r>
          </w:p>
        </w:tc>
        <w:tc>
          <w:tcPr>
            <w:tcW w:type="dxa" w:w="1368"/>
          </w:tcPr>
          <w:p>
            <w:pPr>
              <w:spacing w:after="20"/>
              <w:jc w:val="right"/>
            </w:pPr>
            <w:r>
              <w:rPr>
                <w:color w:val="1C3A36"/>
                <w:sz w:val="14"/>
              </w:rPr>
              <w:t>0.012564</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Audited consolidated financial statements for the year ended 31 December 2025, Americana Restaurants International PLC, audited by Deloitte &amp; Touche (M.E.) LLP, signed 6 February 2026, published on the company investor-relations site, note 33: intercompany eliminations of USD 31,923 thousand against segment revenue before eliminations of USD 2,540,744 thousand</w:t>
            </w:r>
          </w:p>
        </w:tc>
      </w:tr>
      <w:tr>
        <w:tc>
          <w:tcPr>
            <w:tcW w:type="dxa" w:w="1944"/>
          </w:tcPr>
          <w:p>
            <w:pPr>
              <w:spacing w:after="20"/>
            </w:pPr>
            <w:r>
              <w:rPr>
                <w:color w:val="1C3A36"/>
                <w:sz w:val="14"/>
              </w:rPr>
              <w:t>h1 share of year</w:t>
            </w:r>
          </w:p>
        </w:tc>
        <w:tc>
          <w:tcPr>
            <w:tcW w:type="dxa" w:w="1368"/>
          </w:tcPr>
          <w:p>
            <w:pPr>
              <w:spacing w:after="20"/>
              <w:jc w:val="right"/>
            </w:pPr>
            <w:r>
              <w:rPr>
                <w:color w:val="1C3A36"/>
                <w:sz w:val="14"/>
              </w:rPr>
              <w:t>0.48508</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The first half produced 48.5% of FY2025 revenue (USD 1,216.969 million of USD 2,508.821 million); the same seasonal shape carries the disclosed H1 2026 outturn to a full-year figure. Sources: Reviewed condensed consolidated interim financial statements for the six months ended 30 June 2026, Americana Restaurants International PLC, review report by Deloitte &amp; Touche (M.E.) LLP dated 28 July 2026; Audited consolidated financial statements for the year ended 31 December 2025, Americana Restaurants International PLC, audited by Deloitte &amp; Touche (M.E.) LLP, signed 6 February 2026, published on the company investor-relations site</w:t>
            </w:r>
          </w:p>
        </w:tc>
      </w:tr>
      <w:tr>
        <w:tc>
          <w:tcPr>
            <w:tcW w:type="dxa" w:w="1944"/>
          </w:tcPr>
          <w:p>
            <w:pPr>
              <w:spacing w:after="20"/>
            </w:pPr>
            <w:r>
              <w:rPr>
                <w:color w:val="1C3A36"/>
                <w:sz w:val="14"/>
              </w:rPr>
              <w:t>wage per fte</w:t>
            </w:r>
          </w:p>
        </w:tc>
        <w:tc>
          <w:tcPr>
            <w:tcW w:type="dxa" w:w="1368"/>
          </w:tcPr>
          <w:p>
            <w:pPr>
              <w:spacing w:after="20"/>
              <w:jc w:val="right"/>
            </w:pPr>
            <w:r>
              <w:rPr>
                <w:color w:val="1C3A36"/>
                <w:sz w:val="14"/>
              </w:rPr>
              <w:t>12.39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Average staff cost per full-time equivalent: USD 12,394 in FY2025 (staff costs USD 461.118m over 37,207 average FTEs, note 26). Implied growth from FY2023 (USD 10,959) is 6.3% a year.</w:t>
            </w:r>
          </w:p>
        </w:tc>
      </w:tr>
      <w:tr>
        <w:tc>
          <w:tcPr>
            <w:tcW w:type="dxa" w:w="1944"/>
          </w:tcPr>
          <w:p>
            <w:pPr>
              <w:spacing w:after="20"/>
            </w:pPr>
            <w:r>
              <w:rPr>
                <w:color w:val="1C3A36"/>
                <w:sz w:val="14"/>
              </w:rPr>
              <w:t>above restaurant fte</w:t>
            </w:r>
          </w:p>
        </w:tc>
        <w:tc>
          <w:tcPr>
            <w:tcW w:type="dxa" w:w="1368"/>
          </w:tcPr>
          <w:p>
            <w:pPr>
              <w:spacing w:after="20"/>
              <w:jc w:val="right"/>
            </w:pPr>
            <w:r>
              <w:rPr>
                <w:color w:val="1C3A36"/>
                <w:sz w:val="14"/>
              </w:rPr>
              <w:t>3.883</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Above-restaurant staff: 3,883 average FTEs in FY2025 (note 26), held flat — scale leverage in headcount, cost growth through the wage line only.</w:t>
            </w:r>
          </w:p>
        </w:tc>
      </w:tr>
      <w:tr>
        <w:tc>
          <w:tcPr>
            <w:tcW w:type="dxa" w:w="1944"/>
          </w:tcPr>
          <w:p>
            <w:pPr>
              <w:spacing w:after="20"/>
            </w:pPr>
            <w:r>
              <w:rPr>
                <w:color w:val="1C3A36"/>
                <w:sz w:val="14"/>
              </w:rPr>
              <w:t>cost residual pct</w:t>
            </w:r>
          </w:p>
        </w:tc>
        <w:tc>
          <w:tcPr>
            <w:tcW w:type="dxa" w:w="1368"/>
          </w:tcPr>
          <w:p>
            <w:pPr>
              <w:spacing w:after="20"/>
              <w:jc w:val="right"/>
            </w:pPr>
            <w:r>
              <w:rPr>
                <w:color w:val="1C3A36"/>
                <w:sz w:val="14"/>
              </w:rPr>
              <w:t>0.053137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Everything in the three expense notes not separately named above — the residual "others" lines, professional fees, travel, office administration and provisions for legal and tax claims. Carried at its FY2025 share of revenue. Source: Audited consolidated financial statements for the year ended 31 December 2025, Americana Restaurants International PLC, audited by Deloitte &amp; Touche (M.E.) LLP, signed 6 February 2026, published on the company investor-relations site, notes 21, 22 and 23</w:t>
            </w:r>
          </w:p>
        </w:tc>
      </w:tr>
      <w:tr>
        <w:tc>
          <w:tcPr>
            <w:tcW w:type="dxa" w:w="1944"/>
          </w:tcPr>
          <w:p>
            <w:pPr>
              <w:spacing w:after="20"/>
            </w:pPr>
            <w:r>
              <w:rPr>
                <w:color w:val="1C3A36"/>
                <w:sz w:val="14"/>
              </w:rPr>
              <w:t>margin history average</w:t>
            </w:r>
          </w:p>
        </w:tc>
        <w:tc>
          <w:tcPr>
            <w:tcW w:type="dxa" w:w="1368"/>
          </w:tcPr>
          <w:p>
            <w:pPr>
              <w:spacing w:after="20"/>
              <w:jc w:val="right"/>
            </w:pPr>
            <w:r>
              <w:rPr>
                <w:color w:val="1C3A36"/>
                <w:sz w:val="14"/>
              </w:rPr>
              <w:t>0.22794</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Average EBITDA margin across the three audited years — 22.6% in FY2023, 22.0% in FY2024 and 23.7% in FY2025. This is the level the cyclical reading reverts to. Source: Audited consolidated financial statements for the year ended 31 December 2025, Americana Restaurants International PLC, audited by Deloitte &amp; Touche (M.E.) LLP, signed 6 February 2026, published on the company investor-relations site and Audited consolidated financial statements for the year ended 31 December 2024, Americana Restaurants International PLC, audited by Deloitte &amp; Touche (M.E.) LLP, published on the company investor-relations site</w:t>
            </w:r>
          </w:p>
        </w:tc>
      </w:tr>
      <w:tr>
        <w:tc>
          <w:tcPr>
            <w:tcW w:type="dxa" w:w="1944"/>
          </w:tcPr>
          <w:p>
            <w:pPr>
              <w:spacing w:after="20"/>
            </w:pPr>
            <w:r>
              <w:rPr>
                <w:color w:val="1C3A36"/>
                <w:sz w:val="14"/>
              </w:rPr>
              <w:t>impairment rate recurring</w:t>
            </w:r>
          </w:p>
        </w:tc>
        <w:tc>
          <w:tcPr>
            <w:tcW w:type="dxa" w:w="1368"/>
          </w:tcPr>
          <w:p>
            <w:pPr>
              <w:spacing w:after="20"/>
              <w:jc w:val="right"/>
            </w:pPr>
            <w:r>
              <w:rPr>
                <w:color w:val="1C3A36"/>
                <w:sz w:val="14"/>
              </w:rPr>
              <w:t>0.0030792</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Recurring impairment charge on the estate, as a share of revenue: the three-year audited total of impairments on non-financial and financial assets (USD 2.4m, 13.7m, 5.8m) over three-year revenue = 0.31%. A 2,700-restaurant estate always carries some underperforming brand-country units, so the forecast charges this as a recurring operating line rather than caveating it — adopted from the critique round; the first delivery excluded it and said so in §7.</w:t>
            </w:r>
          </w:p>
        </w:tc>
      </w:tr>
      <w:tr>
        <w:tc>
          <w:tcPr>
            <w:tcW w:type="dxa" w:w="1944"/>
          </w:tcPr>
          <w:p>
            <w:pPr>
              <w:spacing w:after="20"/>
            </w:pPr>
            <w:r>
              <w:rPr>
                <w:color w:val="1C3A36"/>
                <w:sz w:val="14"/>
              </w:rPr>
              <w:t>owned depreciation rate</w:t>
            </w:r>
          </w:p>
        </w:tc>
        <w:tc>
          <w:tcPr>
            <w:tcW w:type="dxa" w:w="1368"/>
          </w:tcPr>
          <w:p>
            <w:pPr>
              <w:spacing w:after="20"/>
              <w:jc w:val="right"/>
            </w:pPr>
            <w:r>
              <w:rPr>
                <w:color w:val="1C3A36"/>
                <w:sz w:val="14"/>
              </w:rPr>
              <w:t>0.25938</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Depreciation and amortisation of owned assets over the opening owned asset base: USD 101.5 million in FY2025 over USD 391.3 million of property, equipment, intangibles and investment property at the start of the year. Source: Audited consolidated financial statements for the year ended 31 December 2025, Americana Restaurants International PLC, audited by Deloitte &amp; Touche (M.E.) LLP, signed 6 February 2026, published on the company investor-relations site, note 24 and the statement of financial position</w:t>
            </w:r>
          </w:p>
        </w:tc>
      </w:tr>
      <w:tr>
        <w:tc>
          <w:tcPr>
            <w:tcW w:type="dxa" w:w="1944"/>
          </w:tcPr>
          <w:p>
            <w:pPr>
              <w:spacing w:after="20"/>
            </w:pPr>
            <w:r>
              <w:rPr>
                <w:color w:val="1C3A36"/>
                <w:sz w:val="14"/>
              </w:rPr>
              <w:t>rou depreciation rate</w:t>
            </w:r>
          </w:p>
        </w:tc>
        <w:tc>
          <w:tcPr>
            <w:tcW w:type="dxa" w:w="1368"/>
          </w:tcPr>
          <w:p>
            <w:pPr>
              <w:spacing w:after="20"/>
              <w:jc w:val="right"/>
            </w:pPr>
            <w:r>
              <w:rPr>
                <w:color w:val="1C3A36"/>
                <w:sz w:val="14"/>
              </w:rPr>
              <w:t>0.36316</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Depreciation of right-of-use assets over the opening right-of-use balance: USD 205.6 million in FY2025 over USD 566.1 million. Source: Audited consolidated financial statements for the year ended 31 December 2025, Americana Restaurants International PLC, audited by Deloitte &amp; Touche (M.E.) LLP, signed 6 February 2026, published on the company investor-relations site, note 11</w:t>
            </w:r>
          </w:p>
        </w:tc>
      </w:tr>
      <w:tr>
        <w:tc>
          <w:tcPr>
            <w:tcW w:type="dxa" w:w="1944"/>
          </w:tcPr>
          <w:p>
            <w:pPr>
              <w:spacing w:after="20"/>
            </w:pPr>
            <w:r>
              <w:rPr>
                <w:color w:val="1C3A36"/>
                <w:sz w:val="14"/>
              </w:rPr>
              <w:t>nwc pct revenue</w:t>
            </w:r>
          </w:p>
        </w:tc>
        <w:tc>
          <w:tcPr>
            <w:tcW w:type="dxa" w:w="1368"/>
          </w:tcPr>
          <w:p>
            <w:pPr>
              <w:spacing w:after="20"/>
              <w:jc w:val="right"/>
            </w:pPr>
            <w:r>
              <w:rPr>
                <w:color w:val="1C3A36"/>
                <w:sz w:val="14"/>
              </w:rPr>
              <w:t>-0.098857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Net working capital as a share of revenue. Negative, because a restaurant business collects at the till and pays its suppliers on terms: USD (248) million on USD 2,508.8 million in FY2025, and USD (266) million on the twelve months to 30 June 2026. Held at the FY2025 ratio. Sources: Audited consolidated financial statements for the year ended 31 December 2025, Americana Restaurants International PLC, audited by Deloitte &amp; Touche (M.E.) LLP, signed 6 February 2026, published on the company investor-relations site; H1 2026 earnings presentation, Americana Restaurants International PLC, published 28 July 2026</w:t>
            </w:r>
          </w:p>
        </w:tc>
      </w:tr>
      <w:tr>
        <w:tc>
          <w:tcPr>
            <w:tcW w:type="dxa" w:w="1944"/>
          </w:tcPr>
          <w:p>
            <w:pPr>
              <w:spacing w:after="20"/>
            </w:pPr>
            <w:r>
              <w:rPr>
                <w:color w:val="1C3A36"/>
                <w:sz w:val="14"/>
              </w:rPr>
              <w:t>maintenance capex pct</w:t>
            </w:r>
          </w:p>
        </w:tc>
        <w:tc>
          <w:tcPr>
            <w:tcW w:type="dxa" w:w="1368"/>
          </w:tcPr>
          <w:p>
            <w:pPr>
              <w:spacing w:after="20"/>
              <w:jc w:val="right"/>
            </w:pPr>
            <w:r>
              <w:rPr>
                <w:color w:val="1C3A36"/>
                <w:sz w:val="14"/>
              </w:rPr>
              <w:t>0.016118</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Maintenance capital expenditure as a share of revenue, derived rather than assumed: FY2025 gross capital expenditure of USD 108.8 million less the 170 gross organic openings at the company's own average of USD 402 thousand each leaves USD 40.4 million, or 1.61% of revenue, spent on the existing estate. Sources: Audited consolidated financial statements for the year ended 31 December 2025, Americana Restaurants International PLC, audited by Deloitte &amp; Touche (M.E.) LLP, signed 6 February 2026, published on the company investor-relations site, statement of cash flows; H1 2026 earnings presentation, Americana Restaurants International PLC, published 28 July 2026</w:t>
            </w:r>
          </w:p>
        </w:tc>
      </w:tr>
      <w:tr>
        <w:tc>
          <w:tcPr>
            <w:tcW w:type="dxa" w:w="1944"/>
          </w:tcPr>
          <w:p>
            <w:pPr>
              <w:spacing w:after="20"/>
            </w:pPr>
            <w:r>
              <w:rPr>
                <w:color w:val="1C3A36"/>
                <w:sz w:val="14"/>
              </w:rPr>
              <w:t>deposit yield</w:t>
            </w:r>
          </w:p>
        </w:tc>
        <w:tc>
          <w:tcPr>
            <w:tcW w:type="dxa" w:w="1368"/>
          </w:tcPr>
          <w:p>
            <w:pPr>
              <w:spacing w:after="20"/>
              <w:jc w:val="right"/>
            </w:pPr>
            <w:r>
              <w:rPr>
                <w:color w:val="1C3A36"/>
                <w:sz w:val="14"/>
              </w:rPr>
              <w:t>0.043527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Yield earned on cash and bank deposits: finance income of USD 15.5 million in FY2025 over average cash and deposits of USD 297.5 million. Source: Audited consolidated financial statements for the year ended 31 December 2025, Americana Restaurants International PLC, audited by Deloitte &amp; Touche (M.E.) LLP, signed 6 February 2026, published on the company investor-relations site, note 25</w:t>
            </w:r>
          </w:p>
        </w:tc>
      </w:tr>
      <w:tr>
        <w:tc>
          <w:tcPr>
            <w:tcW w:type="dxa" w:w="1944"/>
          </w:tcPr>
          <w:p>
            <w:pPr>
              <w:spacing w:after="20"/>
            </w:pPr>
            <w:r>
              <w:rPr>
                <w:color w:val="1C3A36"/>
                <w:sz w:val="14"/>
              </w:rPr>
              <w:t>other finance cost pct</w:t>
            </w:r>
          </w:p>
        </w:tc>
        <w:tc>
          <w:tcPr>
            <w:tcW w:type="dxa" w:w="1368"/>
          </w:tcPr>
          <w:p>
            <w:pPr>
              <w:spacing w:after="20"/>
              <w:jc w:val="right"/>
            </w:pPr>
            <w:r>
              <w:rPr>
                <w:color w:val="1C3A36"/>
                <w:sz w:val="14"/>
              </w:rPr>
              <w:t>0.0013026</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Finance costs other than lease interest — the unwinding of the employees' end-of-service provision and USD 42 thousand of bank commitment charges — as a share of revenue. Source: Audited consolidated financial statements for the year ended 31 December 2025, Americana Restaurants International PLC, audited by Deloitte &amp; Touche (M.E.) LLP, signed 6 February 2026, published on the company investor-relations site, note 25</w:t>
            </w:r>
          </w:p>
        </w:tc>
      </w:tr>
      <w:tr>
        <w:tc>
          <w:tcPr>
            <w:tcW w:type="dxa" w:w="1944"/>
          </w:tcPr>
          <w:p>
            <w:pPr>
              <w:spacing w:after="20"/>
            </w:pPr>
            <w:r>
              <w:rPr>
                <w:color w:val="1C3A36"/>
                <w:sz w:val="14"/>
              </w:rPr>
              <w:t>sustainable roe</w:t>
            </w:r>
          </w:p>
        </w:tc>
        <w:tc>
          <w:tcPr>
            <w:tcW w:type="dxa" w:w="1368"/>
          </w:tcPr>
          <w:p>
            <w:pPr>
              <w:spacing w:after="20"/>
              <w:jc w:val="right"/>
            </w:pPr>
            <w:r>
              <w:rPr>
                <w:color w:val="1C3A36"/>
                <w:sz w:val="14"/>
              </w:rPr>
              <w:t>0.42</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Sustainable return on equity. The company earned 49.6% in FY2025 on average equity, and 41.9% in FY2024, on a book that is small because the estate is leased rather than owned and most of the earnings are paid out. 42% is set below the FY2025 outturn. Source: Audited consolidated financial statements for the year ended 31 December 2025, Americana Restaurants International PLC, audited by Deloitte &amp; Touche (M.E.) LLP, signed 6 February 2026, published on the company investor-relations site</w:t>
            </w:r>
          </w:p>
        </w:tc>
      </w:tr>
    </w:tbl>
    <w:p>
      <w:pPr>
        <w:spacing w:after="40"/>
      </w:pPr>
    </w:p>
    <w:p>
      <w:pPr>
        <w:spacing w:after="80" w:before="200"/>
      </w:pPr>
      <w:r>
        <w:rPr>
          <w:b/>
          <w:i w:val="0"/>
          <w:color w:val="1C3A36"/>
          <w:sz w:val="24"/>
        </w:rPr>
        <w:t>3.2  Company (investor relations)  (48 inputs)</w:t>
      </w:r>
    </w:p>
    <w:p>
      <w:pPr>
        <w:spacing w:after="80" w:before="0"/>
      </w:pPr>
      <w:r>
        <w:rPr>
          <w:b w:val="0"/>
          <w:i/>
          <w:color w:val="6E7B77"/>
          <w:sz w:val="19"/>
        </w:rPr>
        <w:t>Read from the company's own earnings presentations and releases — operating data that appears in no financial 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368"/>
        <w:gridCol w:w="1037"/>
        <w:gridCol w:w="5731"/>
      </w:tblGrid>
      <w:tr>
        <w:tc>
          <w:tcPr>
            <w:tcW w:type="dxa" w:w="1944"/>
            <w:shd w:val="clear" w:color="auto" w:fill="EAF0EE"/>
          </w:tcPr>
          <w:p>
            <w:pPr>
              <w:spacing w:after="20"/>
            </w:pPr>
            <w:r>
              <w:rPr>
                <w:b/>
                <w:color w:val="1C3A36"/>
                <w:sz w:val="14"/>
              </w:rPr>
              <w:t>Input</w:t>
            </w:r>
          </w:p>
        </w:tc>
        <w:tc>
          <w:tcPr>
            <w:tcW w:type="dxa" w:w="1368"/>
            <w:shd w:val="clear" w:color="auto" w:fill="EAF0EE"/>
          </w:tcPr>
          <w:p>
            <w:pPr>
              <w:spacing w:after="20"/>
            </w:pPr>
            <w:r>
              <w:rPr>
                <w:b/>
                <w:color w:val="1C3A36"/>
                <w:sz w:val="14"/>
              </w:rPr>
              <w:t>Value</w:t>
            </w:r>
          </w:p>
        </w:tc>
        <w:tc>
          <w:tcPr>
            <w:tcW w:type="dxa" w:w="1037"/>
            <w:shd w:val="clear" w:color="auto" w:fill="EAF0EE"/>
          </w:tcPr>
          <w:p>
            <w:pPr>
              <w:spacing w:after="20"/>
            </w:pPr>
            <w:r>
              <w:rPr>
                <w:b/>
                <w:color w:val="1C3A36"/>
                <w:sz w:val="14"/>
              </w:rPr>
              <w:t>Date</w:t>
            </w:r>
          </w:p>
        </w:tc>
        <w:tc>
          <w:tcPr>
            <w:tcW w:type="dxa" w:w="5731"/>
            <w:shd w:val="clear" w:color="auto" w:fill="EAF0EE"/>
          </w:tcPr>
          <w:p>
            <w:pPr>
              <w:spacing w:after="20"/>
            </w:pPr>
            <w:r>
              <w:rPr>
                <w:b/>
                <w:color w:val="1C3A36"/>
                <w:sz w:val="14"/>
              </w:rPr>
              <w:t>Source and construction</w:t>
            </w:r>
          </w:p>
        </w:tc>
      </w:tr>
      <w:tr>
        <w:tc>
          <w:tcPr>
            <w:tcW w:type="dxa" w:w="1944"/>
          </w:tcPr>
          <w:p>
            <w:pPr>
              <w:spacing w:after="20"/>
            </w:pPr>
            <w:r>
              <w:rPr>
                <w:color w:val="1C3A36"/>
                <w:sz w:val="14"/>
              </w:rPr>
              <w:t>div fy25 declared</w:t>
            </w:r>
          </w:p>
        </w:tc>
        <w:tc>
          <w:tcPr>
            <w:tcW w:type="dxa" w:w="1368"/>
          </w:tcPr>
          <w:p>
            <w:pPr>
              <w:spacing w:after="20"/>
              <w:jc w:val="right"/>
            </w:pPr>
            <w:r>
              <w:rPr>
                <w:color w:val="1C3A36"/>
                <w:sz w:val="14"/>
              </w:rPr>
              <w:t>201.6</w:t>
            </w:r>
          </w:p>
        </w:tc>
        <w:tc>
          <w:tcPr>
            <w:tcW w:type="dxa" w:w="1037"/>
          </w:tcPr>
          <w:p>
            <w:pPr>
              <w:spacing w:after="20"/>
              <w:jc w:val="right"/>
            </w:pPr>
            <w:r>
              <w:rPr>
                <w:color w:val="1C3A36"/>
                <w:sz w:val="14"/>
              </w:rPr>
              <w:t>2026-02-09</w:t>
            </w:r>
          </w:p>
        </w:tc>
        <w:tc>
          <w:tcPr>
            <w:tcW w:type="dxa" w:w="5731"/>
          </w:tcPr>
          <w:p>
            <w:pPr>
              <w:spacing w:after="20"/>
              <w:jc w:val="right"/>
            </w:pPr>
            <w:r>
              <w:rPr>
                <w:color w:val="1C3A36"/>
                <w:sz w:val="14"/>
              </w:rPr>
              <w:t>FY 2025 earnings presentation, Americana Restaurants International PLC, published 9 February 2026: cash dividends of USD 201.6 million for FY2025, 91.99% of net profit, subject to approval at the annual general meeting</w:t>
            </w:r>
          </w:p>
        </w:tc>
      </w:tr>
      <w:tr>
        <w:tc>
          <w:tcPr>
            <w:tcW w:type="dxa" w:w="1944"/>
          </w:tcPr>
          <w:p>
            <w:pPr>
              <w:spacing w:after="20"/>
            </w:pPr>
            <w:r>
              <w:rPr>
                <w:color w:val="1C3A36"/>
                <w:sz w:val="14"/>
              </w:rPr>
              <w:t>div h1 26 interim</w:t>
            </w:r>
          </w:p>
        </w:tc>
        <w:tc>
          <w:tcPr>
            <w:tcW w:type="dxa" w:w="1368"/>
          </w:tcPr>
          <w:p>
            <w:pPr>
              <w:spacing w:after="20"/>
              <w:jc w:val="right"/>
            </w:pPr>
            <w:r>
              <w:rPr>
                <w:color w:val="1C3A36"/>
                <w:sz w:val="14"/>
              </w:rPr>
              <w:t>100.8</w:t>
            </w:r>
          </w:p>
        </w:tc>
        <w:tc>
          <w:tcPr>
            <w:tcW w:type="dxa" w:w="1037"/>
          </w:tcPr>
          <w:p>
            <w:pPr>
              <w:spacing w:after="20"/>
              <w:jc w:val="right"/>
            </w:pPr>
            <w:r>
              <w:rPr>
                <w:color w:val="1C3A36"/>
                <w:sz w:val="14"/>
              </w:rPr>
              <w:t>2026-07-28</w:t>
            </w:r>
          </w:p>
        </w:tc>
        <w:tc>
          <w:tcPr>
            <w:tcW w:type="dxa" w:w="5731"/>
          </w:tcPr>
          <w:p>
            <w:pPr>
              <w:spacing w:after="20"/>
              <w:jc w:val="right"/>
            </w:pPr>
            <w:r>
              <w:rPr>
                <w:color w:val="1C3A36"/>
                <w:sz w:val="14"/>
              </w:rPr>
              <w:t>H1 2026 earnings press release, Americana Restaurants International PLC, 28 July 2026: interim cash dividend of USD 100.8 million, USD 0.012 per share, approved by the board for the period ended 30 June 2026</w:t>
            </w:r>
          </w:p>
        </w:tc>
      </w:tr>
      <w:tr>
        <w:tc>
          <w:tcPr>
            <w:tcW w:type="dxa" w:w="1944"/>
          </w:tcPr>
          <w:p>
            <w:pPr>
              <w:spacing w:after="20"/>
            </w:pPr>
            <w:r>
              <w:rPr>
                <w:color w:val="1C3A36"/>
                <w:sz w:val="14"/>
              </w:rPr>
              <w:t>ebitda h1 26</w:t>
            </w:r>
          </w:p>
        </w:tc>
        <w:tc>
          <w:tcPr>
            <w:tcW w:type="dxa" w:w="1368"/>
          </w:tcPr>
          <w:p>
            <w:pPr>
              <w:spacing w:after="20"/>
              <w:jc w:val="right"/>
            </w:pPr>
            <w:r>
              <w:rPr>
                <w:color w:val="1C3A36"/>
                <w:sz w:val="14"/>
              </w:rPr>
              <w:t>348.2</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presentation, Americana Restaurants International PLC, published 28 July 2026, EBITDA to net profit reconciliation; independently reproduced here as operating profit 184,120 plus depreciation and amortisation 161,218 plus impairments 2,141 and 735</w:t>
            </w:r>
          </w:p>
        </w:tc>
      </w:tr>
      <w:tr>
        <w:tc>
          <w:tcPr>
            <w:tcW w:type="dxa" w:w="1944"/>
          </w:tcPr>
          <w:p>
            <w:pPr>
              <w:spacing w:after="20"/>
            </w:pPr>
            <w:r>
              <w:rPr>
                <w:color w:val="1C3A36"/>
                <w:sz w:val="14"/>
              </w:rPr>
              <w:t>lfl h1 26</w:t>
            </w:r>
          </w:p>
        </w:tc>
        <w:tc>
          <w:tcPr>
            <w:tcW w:type="dxa" w:w="1368"/>
          </w:tcPr>
          <w:p>
            <w:pPr>
              <w:spacing w:after="20"/>
              <w:jc w:val="right"/>
            </w:pPr>
            <w:r>
              <w:rPr>
                <w:color w:val="1C3A36"/>
                <w:sz w:val="14"/>
              </w:rPr>
              <w:t>0.063</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press release, Americana Restaurants International PLC, 28 July 2026: like-for-like sales growth of 6.3% in the first half of 2026</w:t>
            </w:r>
          </w:p>
        </w:tc>
      </w:tr>
      <w:tr>
        <w:tc>
          <w:tcPr>
            <w:tcW w:type="dxa" w:w="1944"/>
          </w:tcPr>
          <w:p>
            <w:pPr>
              <w:spacing w:after="20"/>
            </w:pPr>
            <w:r>
              <w:rPr>
                <w:color w:val="1C3A36"/>
                <w:sz w:val="14"/>
              </w:rPr>
              <w:t>lfl fy25</w:t>
            </w:r>
          </w:p>
        </w:tc>
        <w:tc>
          <w:tcPr>
            <w:tcW w:type="dxa" w:w="1368"/>
          </w:tcPr>
          <w:p>
            <w:pPr>
              <w:spacing w:after="20"/>
              <w:jc w:val="right"/>
            </w:pPr>
            <w:r>
              <w:rPr>
                <w:color w:val="1C3A36"/>
                <w:sz w:val="14"/>
              </w:rPr>
              <w:t>0.097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like-for-like sales growth of 9.7% for FY2025</w:t>
            </w:r>
          </w:p>
        </w:tc>
      </w:tr>
      <w:tr>
        <w:tc>
          <w:tcPr>
            <w:tcW w:type="dxa" w:w="1944"/>
          </w:tcPr>
          <w:p>
            <w:pPr>
              <w:spacing w:after="20"/>
            </w:pPr>
            <w:r>
              <w:rPr>
                <w:color w:val="1C3A36"/>
                <w:sz w:val="14"/>
              </w:rPr>
              <w:t>stores uae 2024-12</w:t>
            </w:r>
          </w:p>
        </w:tc>
        <w:tc>
          <w:tcPr>
            <w:tcW w:type="dxa" w:w="1368"/>
          </w:tcPr>
          <w:p>
            <w:pPr>
              <w:spacing w:after="20"/>
              <w:jc w:val="right"/>
            </w:pPr>
            <w:r>
              <w:rPr>
                <w:color w:val="1C3A36"/>
                <w:sz w:val="14"/>
              </w:rPr>
              <w:t>605</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FY 2024 earnings presentation, Americana Restaurants International PLC, published 13 February 2025, portfolio evolution appendix: restaurant count by country at 31 December 2024 — disclosed separately in the segment note</w:t>
            </w:r>
          </w:p>
        </w:tc>
      </w:tr>
      <w:tr>
        <w:tc>
          <w:tcPr>
            <w:tcW w:type="dxa" w:w="1944"/>
          </w:tcPr>
          <w:p>
            <w:pPr>
              <w:spacing w:after="20"/>
            </w:pPr>
            <w:r>
              <w:rPr>
                <w:color w:val="1C3A36"/>
                <w:sz w:val="14"/>
              </w:rPr>
              <w:t>stores uae 2025-12</w:t>
            </w:r>
          </w:p>
        </w:tc>
        <w:tc>
          <w:tcPr>
            <w:tcW w:type="dxa" w:w="1368"/>
          </w:tcPr>
          <w:p>
            <w:pPr>
              <w:spacing w:after="20"/>
              <w:jc w:val="right"/>
            </w:pPr>
            <w:r>
              <w:rPr>
                <w:color w:val="1C3A36"/>
                <w:sz w:val="14"/>
              </w:rPr>
              <w:t>652</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disclosed separately in the segment note</w:t>
            </w:r>
          </w:p>
        </w:tc>
      </w:tr>
      <w:tr>
        <w:tc>
          <w:tcPr>
            <w:tcW w:type="dxa" w:w="1944"/>
          </w:tcPr>
          <w:p>
            <w:pPr>
              <w:spacing w:after="20"/>
            </w:pPr>
            <w:r>
              <w:rPr>
                <w:color w:val="1C3A36"/>
                <w:sz w:val="14"/>
              </w:rPr>
              <w:t>stores uae 2026-06</w:t>
            </w:r>
          </w:p>
        </w:tc>
        <w:tc>
          <w:tcPr>
            <w:tcW w:type="dxa" w:w="1368"/>
          </w:tcPr>
          <w:p>
            <w:pPr>
              <w:spacing w:after="20"/>
              <w:jc w:val="right"/>
            </w:pPr>
            <w:r>
              <w:rPr>
                <w:color w:val="1C3A36"/>
                <w:sz w:val="14"/>
              </w:rPr>
              <w:t>664</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presentation, Americana Restaurants International PLC, published 28 July 2026, portfolio evolution appendix: restaurant count by country at 30 June 2026 — disclosed separately in the segment note</w:t>
            </w:r>
          </w:p>
        </w:tc>
      </w:tr>
      <w:tr>
        <w:tc>
          <w:tcPr>
            <w:tcW w:type="dxa" w:w="1944"/>
          </w:tcPr>
          <w:p>
            <w:pPr>
              <w:spacing w:after="20"/>
            </w:pPr>
            <w:r>
              <w:rPr>
                <w:color w:val="1C3A36"/>
                <w:sz w:val="14"/>
              </w:rPr>
              <w:t>stores saudi arabia 2024-12</w:t>
            </w:r>
          </w:p>
        </w:tc>
        <w:tc>
          <w:tcPr>
            <w:tcW w:type="dxa" w:w="1368"/>
          </w:tcPr>
          <w:p>
            <w:pPr>
              <w:spacing w:after="20"/>
              <w:jc w:val="right"/>
            </w:pPr>
            <w:r>
              <w:rPr>
                <w:color w:val="1C3A36"/>
                <w:sz w:val="14"/>
              </w:rPr>
              <w:t>734</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FY 2024 earnings presentation, Americana Restaurants International PLC, published 13 February 2025, portfolio evolution appendix: restaurant count by country at 31 December 2024 — disclosed separately in the segment note</w:t>
            </w:r>
          </w:p>
        </w:tc>
      </w:tr>
      <w:tr>
        <w:tc>
          <w:tcPr>
            <w:tcW w:type="dxa" w:w="1944"/>
          </w:tcPr>
          <w:p>
            <w:pPr>
              <w:spacing w:after="20"/>
            </w:pPr>
            <w:r>
              <w:rPr>
                <w:color w:val="1C3A36"/>
                <w:sz w:val="14"/>
              </w:rPr>
              <w:t>stores saudi arabia 2025-12</w:t>
            </w:r>
          </w:p>
        </w:tc>
        <w:tc>
          <w:tcPr>
            <w:tcW w:type="dxa" w:w="1368"/>
          </w:tcPr>
          <w:p>
            <w:pPr>
              <w:spacing w:after="20"/>
              <w:jc w:val="right"/>
            </w:pPr>
            <w:r>
              <w:rPr>
                <w:color w:val="1C3A36"/>
                <w:sz w:val="14"/>
              </w:rPr>
              <w:t>766</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disclosed separately in the segment note</w:t>
            </w:r>
          </w:p>
        </w:tc>
      </w:tr>
      <w:tr>
        <w:tc>
          <w:tcPr>
            <w:tcW w:type="dxa" w:w="1944"/>
          </w:tcPr>
          <w:p>
            <w:pPr>
              <w:spacing w:after="20"/>
            </w:pPr>
            <w:r>
              <w:rPr>
                <w:color w:val="1C3A36"/>
                <w:sz w:val="14"/>
              </w:rPr>
              <w:t>stores saudi arabia 2026-06</w:t>
            </w:r>
          </w:p>
        </w:tc>
        <w:tc>
          <w:tcPr>
            <w:tcW w:type="dxa" w:w="1368"/>
          </w:tcPr>
          <w:p>
            <w:pPr>
              <w:spacing w:after="20"/>
              <w:jc w:val="right"/>
            </w:pPr>
            <w:r>
              <w:rPr>
                <w:color w:val="1C3A36"/>
                <w:sz w:val="14"/>
              </w:rPr>
              <w:t>761</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presentation, Americana Restaurants International PLC, published 28 July 2026, portfolio evolution appendix: restaurant count by country at 30 June 2026 — disclosed separately in the segment note</w:t>
            </w:r>
          </w:p>
        </w:tc>
      </w:tr>
      <w:tr>
        <w:tc>
          <w:tcPr>
            <w:tcW w:type="dxa" w:w="1944"/>
          </w:tcPr>
          <w:p>
            <w:pPr>
              <w:spacing w:after="20"/>
            </w:pPr>
            <w:r>
              <w:rPr>
                <w:color w:val="1C3A36"/>
                <w:sz w:val="14"/>
              </w:rPr>
              <w:t>stores kuwait 2024-12</w:t>
            </w:r>
          </w:p>
        </w:tc>
        <w:tc>
          <w:tcPr>
            <w:tcW w:type="dxa" w:w="1368"/>
          </w:tcPr>
          <w:p>
            <w:pPr>
              <w:spacing w:after="20"/>
              <w:jc w:val="right"/>
            </w:pPr>
            <w:r>
              <w:rPr>
                <w:color w:val="1C3A36"/>
                <w:sz w:val="14"/>
              </w:rPr>
              <w:t>262</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FY 2024 earnings presentation, Americana Restaurants International PLC, published 13 February 2025, portfolio evolution appendix: restaurant count by country at 31 December 2024 — disclosed separately in the segment note</w:t>
            </w:r>
          </w:p>
        </w:tc>
      </w:tr>
      <w:tr>
        <w:tc>
          <w:tcPr>
            <w:tcW w:type="dxa" w:w="1944"/>
          </w:tcPr>
          <w:p>
            <w:pPr>
              <w:spacing w:after="20"/>
            </w:pPr>
            <w:r>
              <w:rPr>
                <w:color w:val="1C3A36"/>
                <w:sz w:val="14"/>
              </w:rPr>
              <w:t>stores kuwait 2025-12</w:t>
            </w:r>
          </w:p>
        </w:tc>
        <w:tc>
          <w:tcPr>
            <w:tcW w:type="dxa" w:w="1368"/>
          </w:tcPr>
          <w:p>
            <w:pPr>
              <w:spacing w:after="20"/>
              <w:jc w:val="right"/>
            </w:pPr>
            <w:r>
              <w:rPr>
                <w:color w:val="1C3A36"/>
                <w:sz w:val="14"/>
              </w:rPr>
              <w:t>276</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disclosed separately in the segment note</w:t>
            </w:r>
          </w:p>
        </w:tc>
      </w:tr>
      <w:tr>
        <w:tc>
          <w:tcPr>
            <w:tcW w:type="dxa" w:w="1944"/>
          </w:tcPr>
          <w:p>
            <w:pPr>
              <w:spacing w:after="20"/>
            </w:pPr>
            <w:r>
              <w:rPr>
                <w:color w:val="1C3A36"/>
                <w:sz w:val="14"/>
              </w:rPr>
              <w:t>stores kuwait 2026-06</w:t>
            </w:r>
          </w:p>
        </w:tc>
        <w:tc>
          <w:tcPr>
            <w:tcW w:type="dxa" w:w="1368"/>
          </w:tcPr>
          <w:p>
            <w:pPr>
              <w:spacing w:after="20"/>
              <w:jc w:val="right"/>
            </w:pPr>
            <w:r>
              <w:rPr>
                <w:color w:val="1C3A36"/>
                <w:sz w:val="14"/>
              </w:rPr>
              <w:t>274</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presentation, Americana Restaurants International PLC, published 28 July 2026, portfolio evolution appendix: restaurant count by country at 30 June 2026 — disclosed separately in the segment note</w:t>
            </w:r>
          </w:p>
        </w:tc>
      </w:tr>
      <w:tr>
        <w:tc>
          <w:tcPr>
            <w:tcW w:type="dxa" w:w="1944"/>
          </w:tcPr>
          <w:p>
            <w:pPr>
              <w:spacing w:after="20"/>
            </w:pPr>
            <w:r>
              <w:rPr>
                <w:color w:val="1C3A36"/>
                <w:sz w:val="14"/>
              </w:rPr>
              <w:t>stores egypt 2024-12</w:t>
            </w:r>
          </w:p>
        </w:tc>
        <w:tc>
          <w:tcPr>
            <w:tcW w:type="dxa" w:w="1368"/>
          </w:tcPr>
          <w:p>
            <w:pPr>
              <w:spacing w:after="20"/>
              <w:jc w:val="right"/>
            </w:pPr>
            <w:r>
              <w:rPr>
                <w:color w:val="1C3A36"/>
                <w:sz w:val="14"/>
              </w:rPr>
              <w:t>453</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FY 2024 earnings presentation, Americana Restaurants International PLC, published 13 February 2025, portfolio evolution appendix: restaurant count by country at 31 December 2024 — disclosed separately in the segment note</w:t>
            </w:r>
          </w:p>
        </w:tc>
      </w:tr>
      <w:tr>
        <w:tc>
          <w:tcPr>
            <w:tcW w:type="dxa" w:w="1944"/>
          </w:tcPr>
          <w:p>
            <w:pPr>
              <w:spacing w:after="20"/>
            </w:pPr>
            <w:r>
              <w:rPr>
                <w:color w:val="1C3A36"/>
                <w:sz w:val="14"/>
              </w:rPr>
              <w:t>stores egypt 2025-12</w:t>
            </w:r>
          </w:p>
        </w:tc>
        <w:tc>
          <w:tcPr>
            <w:tcW w:type="dxa" w:w="1368"/>
          </w:tcPr>
          <w:p>
            <w:pPr>
              <w:spacing w:after="20"/>
              <w:jc w:val="right"/>
            </w:pPr>
            <w:r>
              <w:rPr>
                <w:color w:val="1C3A36"/>
                <w:sz w:val="14"/>
              </w:rPr>
              <w:t>450</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disclosed separately in the segment note</w:t>
            </w:r>
          </w:p>
        </w:tc>
      </w:tr>
      <w:tr>
        <w:tc>
          <w:tcPr>
            <w:tcW w:type="dxa" w:w="1944"/>
          </w:tcPr>
          <w:p>
            <w:pPr>
              <w:spacing w:after="20"/>
            </w:pPr>
            <w:r>
              <w:rPr>
                <w:color w:val="1C3A36"/>
                <w:sz w:val="14"/>
              </w:rPr>
              <w:t>stores egypt 2026-06</w:t>
            </w:r>
          </w:p>
        </w:tc>
        <w:tc>
          <w:tcPr>
            <w:tcW w:type="dxa" w:w="1368"/>
          </w:tcPr>
          <w:p>
            <w:pPr>
              <w:spacing w:after="20"/>
              <w:jc w:val="right"/>
            </w:pPr>
            <w:r>
              <w:rPr>
                <w:color w:val="1C3A36"/>
                <w:sz w:val="14"/>
              </w:rPr>
              <w:t>447</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presentation, Americana Restaurants International PLC, published 28 July 2026, portfolio evolution appendix: restaurant count by country at 30 June 2026 — disclosed separately in the segment note</w:t>
            </w:r>
          </w:p>
        </w:tc>
      </w:tr>
      <w:tr>
        <w:tc>
          <w:tcPr>
            <w:tcW w:type="dxa" w:w="1944"/>
          </w:tcPr>
          <w:p>
            <w:pPr>
              <w:spacing w:after="20"/>
            </w:pPr>
            <w:r>
              <w:rPr>
                <w:color w:val="1C3A36"/>
                <w:sz w:val="14"/>
              </w:rPr>
              <w:t>stores morocco 2024-12</w:t>
            </w:r>
          </w:p>
        </w:tc>
        <w:tc>
          <w:tcPr>
            <w:tcW w:type="dxa" w:w="1368"/>
          </w:tcPr>
          <w:p>
            <w:pPr>
              <w:spacing w:after="20"/>
              <w:jc w:val="right"/>
            </w:pPr>
            <w:r>
              <w:rPr>
                <w:color w:val="1C3A36"/>
                <w:sz w:val="14"/>
              </w:rPr>
              <w:t>45</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FY 2024 earnings presentation, Americana Restaurants International PLC, published 13 February 2025, portfolio evolution appendix: restaurant count by country at 31 December 2024 — North Africa segment revenue less the separately disclosed Egypt revenue</w:t>
            </w:r>
          </w:p>
        </w:tc>
      </w:tr>
      <w:tr>
        <w:tc>
          <w:tcPr>
            <w:tcW w:type="dxa" w:w="1944"/>
          </w:tcPr>
          <w:p>
            <w:pPr>
              <w:spacing w:after="20"/>
            </w:pPr>
            <w:r>
              <w:rPr>
                <w:color w:val="1C3A36"/>
                <w:sz w:val="14"/>
              </w:rPr>
              <w:t>stores morocco 2025-12</w:t>
            </w:r>
          </w:p>
        </w:tc>
        <w:tc>
          <w:tcPr>
            <w:tcW w:type="dxa" w:w="1368"/>
          </w:tcPr>
          <w:p>
            <w:pPr>
              <w:spacing w:after="20"/>
              <w:jc w:val="right"/>
            </w:pPr>
            <w:r>
              <w:rPr>
                <w:color w:val="1C3A36"/>
                <w:sz w:val="14"/>
              </w:rPr>
              <w:t>55</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North Africa segment revenue less the separately disclosed Egypt revenue</w:t>
            </w:r>
          </w:p>
        </w:tc>
      </w:tr>
      <w:tr>
        <w:tc>
          <w:tcPr>
            <w:tcW w:type="dxa" w:w="1944"/>
          </w:tcPr>
          <w:p>
            <w:pPr>
              <w:spacing w:after="20"/>
            </w:pPr>
            <w:r>
              <w:rPr>
                <w:color w:val="1C3A36"/>
                <w:sz w:val="14"/>
              </w:rPr>
              <w:t>stores morocco 2026-06</w:t>
            </w:r>
          </w:p>
        </w:tc>
        <w:tc>
          <w:tcPr>
            <w:tcW w:type="dxa" w:w="1368"/>
          </w:tcPr>
          <w:p>
            <w:pPr>
              <w:spacing w:after="20"/>
              <w:jc w:val="right"/>
            </w:pPr>
            <w:r>
              <w:rPr>
                <w:color w:val="1C3A36"/>
                <w:sz w:val="14"/>
              </w:rPr>
              <w:t>56</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presentation, Americana Restaurants International PLC, published 28 July 2026, portfolio evolution appendix: restaurant count by country at 30 June 2026 — North Africa segment revenue less the separately disclosed Egypt revenue</w:t>
            </w:r>
          </w:p>
        </w:tc>
      </w:tr>
      <w:tr>
        <w:tc>
          <w:tcPr>
            <w:tcW w:type="dxa" w:w="1944"/>
          </w:tcPr>
          <w:p>
            <w:pPr>
              <w:spacing w:after="20"/>
            </w:pPr>
            <w:r>
              <w:rPr>
                <w:color w:val="1C3A36"/>
                <w:sz w:val="14"/>
              </w:rPr>
              <w:t>stores lower gulf 2024-12</w:t>
            </w:r>
          </w:p>
        </w:tc>
        <w:tc>
          <w:tcPr>
            <w:tcW w:type="dxa" w:w="1368"/>
          </w:tcPr>
          <w:p>
            <w:pPr>
              <w:spacing w:after="20"/>
              <w:jc w:val="right"/>
            </w:pPr>
            <w:r>
              <w:rPr>
                <w:color w:val="1C3A36"/>
                <w:sz w:val="14"/>
              </w:rPr>
              <w:t>250</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FY 2024 earnings presentation, Americana Restaurants International PLC, published 13 February 2025, portfolio evolution appendix: restaurant count by country at 31 December 2024 — Qatar, Oman and Bahrain — a disclosed reportable segment</w:t>
            </w:r>
          </w:p>
        </w:tc>
      </w:tr>
      <w:tr>
        <w:tc>
          <w:tcPr>
            <w:tcW w:type="dxa" w:w="1944"/>
          </w:tcPr>
          <w:p>
            <w:pPr>
              <w:spacing w:after="20"/>
            </w:pPr>
            <w:r>
              <w:rPr>
                <w:color w:val="1C3A36"/>
                <w:sz w:val="14"/>
              </w:rPr>
              <w:t>stores lower gulf 2025-12</w:t>
            </w:r>
          </w:p>
        </w:tc>
        <w:tc>
          <w:tcPr>
            <w:tcW w:type="dxa" w:w="1368"/>
          </w:tcPr>
          <w:p>
            <w:pPr>
              <w:spacing w:after="20"/>
              <w:jc w:val="right"/>
            </w:pPr>
            <w:r>
              <w:rPr>
                <w:color w:val="1C3A36"/>
                <w:sz w:val="14"/>
              </w:rPr>
              <w:t>287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Qatar, Oman and Bahrain — a disclosed reportable segment</w:t>
            </w:r>
          </w:p>
        </w:tc>
      </w:tr>
      <w:tr>
        <w:tc>
          <w:tcPr>
            <w:tcW w:type="dxa" w:w="1944"/>
          </w:tcPr>
          <w:p>
            <w:pPr>
              <w:spacing w:after="20"/>
            </w:pPr>
            <w:r>
              <w:rPr>
                <w:color w:val="1C3A36"/>
                <w:sz w:val="14"/>
              </w:rPr>
              <w:t>stores lower gulf 2026-06</w:t>
            </w:r>
          </w:p>
        </w:tc>
        <w:tc>
          <w:tcPr>
            <w:tcW w:type="dxa" w:w="1368"/>
          </w:tcPr>
          <w:p>
            <w:pPr>
              <w:spacing w:after="20"/>
              <w:jc w:val="right"/>
            </w:pPr>
            <w:r>
              <w:rPr>
                <w:color w:val="1C3A36"/>
                <w:sz w:val="14"/>
              </w:rPr>
              <w:t>279</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presentation, Americana Restaurants International PLC, published 28 July 2026, portfolio evolution appendix: restaurant count by country at 30 June 2026 — Qatar, Oman and Bahrain — a disclosed reportable segment</w:t>
            </w:r>
          </w:p>
        </w:tc>
      </w:tr>
      <w:tr>
        <w:tc>
          <w:tcPr>
            <w:tcW w:type="dxa" w:w="1944"/>
          </w:tcPr>
          <w:p>
            <w:pPr>
              <w:spacing w:after="20"/>
            </w:pPr>
            <w:r>
              <w:rPr>
                <w:color w:val="1C3A36"/>
                <w:sz w:val="14"/>
              </w:rPr>
              <w:t>stores other markets 2024-12</w:t>
            </w:r>
          </w:p>
        </w:tc>
        <w:tc>
          <w:tcPr>
            <w:tcW w:type="dxa" w:w="1368"/>
          </w:tcPr>
          <w:p>
            <w:pPr>
              <w:spacing w:after="20"/>
              <w:jc w:val="right"/>
            </w:pPr>
            <w:r>
              <w:rPr>
                <w:color w:val="1C3A36"/>
                <w:sz w:val="14"/>
              </w:rPr>
              <w:t>241</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FY 2024 earnings presentation, Americana Restaurants International PLC, published 13 February 2025, portfolio evolution appendix: restaurant count by country at 31 December 2024 — Kazakhstan, Iraq, Lebanon and Jordan — a disclosed reportable segment</w:t>
            </w:r>
          </w:p>
        </w:tc>
      </w:tr>
      <w:tr>
        <w:tc>
          <w:tcPr>
            <w:tcW w:type="dxa" w:w="1944"/>
          </w:tcPr>
          <w:p>
            <w:pPr>
              <w:spacing w:after="20"/>
            </w:pPr>
            <w:r>
              <w:rPr>
                <w:color w:val="1C3A36"/>
                <w:sz w:val="14"/>
              </w:rPr>
              <w:t>stores other markets 2025-12</w:t>
            </w:r>
          </w:p>
        </w:tc>
        <w:tc>
          <w:tcPr>
            <w:tcW w:type="dxa" w:w="1368"/>
          </w:tcPr>
          <w:p>
            <w:pPr>
              <w:spacing w:after="20"/>
              <w:jc w:val="right"/>
            </w:pPr>
            <w:r>
              <w:rPr>
                <w:color w:val="1C3A36"/>
                <w:sz w:val="14"/>
              </w:rPr>
              <w:t>263</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Kazakhstan, Iraq, Lebanon and Jordan — a disclosed reportable segment</w:t>
            </w:r>
          </w:p>
        </w:tc>
      </w:tr>
      <w:tr>
        <w:tc>
          <w:tcPr>
            <w:tcW w:type="dxa" w:w="1944"/>
          </w:tcPr>
          <w:p>
            <w:pPr>
              <w:spacing w:after="20"/>
            </w:pPr>
            <w:r>
              <w:rPr>
                <w:color w:val="1C3A36"/>
                <w:sz w:val="14"/>
              </w:rPr>
              <w:t>stores other markets 2026-06</w:t>
            </w:r>
          </w:p>
        </w:tc>
        <w:tc>
          <w:tcPr>
            <w:tcW w:type="dxa" w:w="1368"/>
          </w:tcPr>
          <w:p>
            <w:pPr>
              <w:spacing w:after="20"/>
              <w:jc w:val="right"/>
            </w:pPr>
            <w:r>
              <w:rPr>
                <w:color w:val="1C3A36"/>
                <w:sz w:val="14"/>
              </w:rPr>
              <w:t>265</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presentation, Americana Restaurants International PLC, published 28 July 2026, portfolio evolution appendix: restaurant count by country at 30 June 2026 — Kazakhstan, Iraq, Lebanon and Jordan — a disclosed reportable segment</w:t>
            </w:r>
          </w:p>
        </w:tc>
      </w:tr>
      <w:tr>
        <w:tc>
          <w:tcPr>
            <w:tcW w:type="dxa" w:w="1944"/>
          </w:tcPr>
          <w:p>
            <w:pPr>
              <w:spacing w:after="20"/>
            </w:pPr>
            <w:r>
              <w:rPr>
                <w:color w:val="1C3A36"/>
                <w:sz w:val="14"/>
              </w:rPr>
              <w:t>stores total 2024</w:t>
            </w:r>
          </w:p>
        </w:tc>
        <w:tc>
          <w:tcPr>
            <w:tcW w:type="dxa" w:w="1368"/>
          </w:tcPr>
          <w:p>
            <w:pPr>
              <w:spacing w:after="20"/>
              <w:jc w:val="right"/>
            </w:pPr>
            <w:r>
              <w:rPr>
                <w:color w:val="1C3A36"/>
                <w:sz w:val="14"/>
              </w:rPr>
              <w:t>2,590</w:t>
            </w:r>
          </w:p>
        </w:tc>
        <w:tc>
          <w:tcPr>
            <w:tcW w:type="dxa" w:w="1037"/>
          </w:tcPr>
          <w:p>
            <w:pPr>
              <w:spacing w:after="20"/>
              <w:jc w:val="right"/>
            </w:pPr>
            <w:r>
              <w:rPr>
                <w:color w:val="1C3A36"/>
                <w:sz w:val="14"/>
              </w:rPr>
              <w:t>2024-12-31</w:t>
            </w:r>
          </w:p>
        </w:tc>
        <w:tc>
          <w:tcPr>
            <w:tcW w:type="dxa" w:w="5731"/>
          </w:tcPr>
          <w:p>
            <w:pPr>
              <w:spacing w:after="20"/>
              <w:jc w:val="right"/>
            </w:pPr>
            <w:r>
              <w:rPr>
                <w:color w:val="1C3A36"/>
                <w:sz w:val="14"/>
              </w:rPr>
              <w:t>FY 2024 earnings presentation, Americana Restaurants International PLC, published 13 February 2025, portfolio evolution appendix: restaurant count by country at 31 December 2024</w:t>
            </w:r>
          </w:p>
        </w:tc>
      </w:tr>
      <w:tr>
        <w:tc>
          <w:tcPr>
            <w:tcW w:type="dxa" w:w="1944"/>
          </w:tcPr>
          <w:p>
            <w:pPr>
              <w:spacing w:after="20"/>
            </w:pPr>
            <w:r>
              <w:rPr>
                <w:color w:val="1C3A36"/>
                <w:sz w:val="14"/>
              </w:rPr>
              <w:t>stores total 2025</w:t>
            </w:r>
          </w:p>
        </w:tc>
        <w:tc>
          <w:tcPr>
            <w:tcW w:type="dxa" w:w="1368"/>
          </w:tcPr>
          <w:p>
            <w:pPr>
              <w:spacing w:after="20"/>
              <w:jc w:val="right"/>
            </w:pPr>
            <w:r>
              <w:rPr>
                <w:color w:val="1C3A36"/>
                <w:sz w:val="14"/>
              </w:rPr>
              <w:t>2,749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w:t>
            </w:r>
          </w:p>
        </w:tc>
      </w:tr>
      <w:tr>
        <w:tc>
          <w:tcPr>
            <w:tcW w:type="dxa" w:w="1944"/>
          </w:tcPr>
          <w:p>
            <w:pPr>
              <w:spacing w:after="20"/>
            </w:pPr>
            <w:r>
              <w:rPr>
                <w:color w:val="1C3A36"/>
                <w:sz w:val="14"/>
              </w:rPr>
              <w:t>stores total h1 26</w:t>
            </w:r>
          </w:p>
        </w:tc>
        <w:tc>
          <w:tcPr>
            <w:tcW w:type="dxa" w:w="1368"/>
          </w:tcPr>
          <w:p>
            <w:pPr>
              <w:spacing w:after="20"/>
              <w:jc w:val="right"/>
            </w:pPr>
            <w:r>
              <w:rPr>
                <w:color w:val="1C3A36"/>
                <w:sz w:val="14"/>
              </w:rPr>
              <w:t>2,746</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presentation, Americana Restaurants International PLC, published 28 July 2026, portfolio evolution appendix: restaurant count by country at 30 June 2026</w:t>
            </w:r>
          </w:p>
        </w:tc>
      </w:tr>
      <w:tr>
        <w:tc>
          <w:tcPr>
            <w:tcW w:type="dxa" w:w="1944"/>
          </w:tcPr>
          <w:p>
            <w:pPr>
              <w:spacing w:after="20"/>
            </w:pPr>
            <w:r>
              <w:rPr>
                <w:color w:val="1C3A36"/>
                <w:sz w:val="14"/>
              </w:rPr>
              <w:t>nso guidance low</w:t>
            </w:r>
          </w:p>
        </w:tc>
        <w:tc>
          <w:tcPr>
            <w:tcW w:type="dxa" w:w="1368"/>
          </w:tcPr>
          <w:p>
            <w:pPr>
              <w:spacing w:after="20"/>
              <w:jc w:val="right"/>
            </w:pPr>
            <w:r>
              <w:rPr>
                <w:color w:val="1C3A36"/>
                <w:sz w:val="14"/>
              </w:rPr>
              <w:t>120</w:t>
            </w:r>
          </w:p>
        </w:tc>
        <w:tc>
          <w:tcPr>
            <w:tcW w:type="dxa" w:w="1037"/>
          </w:tcPr>
          <w:p>
            <w:pPr>
              <w:spacing w:after="20"/>
              <w:jc w:val="right"/>
            </w:pPr>
            <w:r>
              <w:rPr>
                <w:color w:val="1C3A36"/>
                <w:sz w:val="14"/>
              </w:rPr>
              <w:t>2026-07-28</w:t>
            </w:r>
          </w:p>
        </w:tc>
        <w:tc>
          <w:tcPr>
            <w:tcW w:type="dxa" w:w="5731"/>
          </w:tcPr>
          <w:p>
            <w:pPr>
              <w:spacing w:after="20"/>
              <w:jc w:val="right"/>
            </w:pPr>
            <w:r>
              <w:rPr>
                <w:color w:val="1C3A36"/>
                <w:sz w:val="14"/>
              </w:rPr>
              <w:t>H1 2026 earnings presentation, Americana Restaurants International PLC, published 28 July 2026 and H1 2026 earnings press release, Americana Restaurants International PLC, 28 July 2026: the company expects to add 120 to 130 net new stores in 2026</w:t>
            </w:r>
          </w:p>
        </w:tc>
      </w:tr>
      <w:tr>
        <w:tc>
          <w:tcPr>
            <w:tcW w:type="dxa" w:w="1944"/>
          </w:tcPr>
          <w:p>
            <w:pPr>
              <w:spacing w:after="20"/>
            </w:pPr>
            <w:r>
              <w:rPr>
                <w:color w:val="1C3A36"/>
                <w:sz w:val="14"/>
              </w:rPr>
              <w:t>nso guidance high</w:t>
            </w:r>
          </w:p>
        </w:tc>
        <w:tc>
          <w:tcPr>
            <w:tcW w:type="dxa" w:w="1368"/>
          </w:tcPr>
          <w:p>
            <w:pPr>
              <w:spacing w:after="20"/>
              <w:jc w:val="right"/>
            </w:pPr>
            <w:r>
              <w:rPr>
                <w:color w:val="1C3A36"/>
                <w:sz w:val="14"/>
              </w:rPr>
              <w:t>130</w:t>
            </w:r>
          </w:p>
        </w:tc>
        <w:tc>
          <w:tcPr>
            <w:tcW w:type="dxa" w:w="1037"/>
          </w:tcPr>
          <w:p>
            <w:pPr>
              <w:spacing w:after="20"/>
              <w:jc w:val="right"/>
            </w:pPr>
            <w:r>
              <w:rPr>
                <w:color w:val="1C3A36"/>
                <w:sz w:val="14"/>
              </w:rPr>
              <w:t>2026-07-28</w:t>
            </w:r>
          </w:p>
        </w:tc>
        <w:tc>
          <w:tcPr>
            <w:tcW w:type="dxa" w:w="5731"/>
          </w:tcPr>
          <w:p>
            <w:pPr>
              <w:spacing w:after="20"/>
              <w:jc w:val="right"/>
            </w:pPr>
            <w:r>
              <w:rPr>
                <w:color w:val="1C3A36"/>
                <w:sz w:val="14"/>
              </w:rPr>
              <w:t>H1 2026 earnings presentation, Americana Restaurants International PLC, published 28 July 2026 and H1 2026 earnings press release, Americana Restaurants International PLC, 28 July 2026</w:t>
            </w:r>
          </w:p>
        </w:tc>
      </w:tr>
      <w:tr>
        <w:tc>
          <w:tcPr>
            <w:tcW w:type="dxa" w:w="1944"/>
          </w:tcPr>
          <w:p>
            <w:pPr>
              <w:spacing w:after="20"/>
            </w:pPr>
            <w:r>
              <w:rPr>
                <w:color w:val="1C3A36"/>
                <w:sz w:val="14"/>
              </w:rPr>
              <w:t>capex per store k</w:t>
            </w:r>
          </w:p>
        </w:tc>
        <w:tc>
          <w:tcPr>
            <w:tcW w:type="dxa" w:w="1368"/>
          </w:tcPr>
          <w:p>
            <w:pPr>
              <w:spacing w:after="20"/>
              <w:jc w:val="right"/>
            </w:pPr>
            <w:r>
              <w:rPr>
                <w:color w:val="1C3A36"/>
                <w:sz w:val="14"/>
              </w:rPr>
              <w:t>402</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presentation, Americana Restaurants International PLC, published 28 July 2026, key metrics by restaurant: average capital expenditure per restaurant of USD 402 thousand across 356 gross openings from 1 April 2024 to 31 March 2026, with an average payback of 3.0 years</w:t>
            </w:r>
          </w:p>
        </w:tc>
      </w:tr>
      <w:tr>
        <w:tc>
          <w:tcPr>
            <w:tcW w:type="dxa" w:w="1944"/>
          </w:tcPr>
          <w:p>
            <w:pPr>
              <w:spacing w:after="20"/>
            </w:pPr>
            <w:r>
              <w:rPr>
                <w:color w:val="1C3A36"/>
                <w:sz w:val="14"/>
              </w:rPr>
              <w:t>gross openings fy25</w:t>
            </w:r>
          </w:p>
        </w:tc>
        <w:tc>
          <w:tcPr>
            <w:tcW w:type="dxa" w:w="1368"/>
          </w:tcPr>
          <w:p>
            <w:pPr>
              <w:spacing w:after="20"/>
              <w:jc w:val="right"/>
            </w:pPr>
            <w:r>
              <w:rPr>
                <w:color w:val="1C3A36"/>
                <w:sz w:val="14"/>
              </w:rPr>
              <w:t>170</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170 gross organic openings in FY2025 (a further 46 arrived with the Pizza Hut Oman acquisition)</w:t>
            </w:r>
          </w:p>
        </w:tc>
      </w:tr>
      <w:tr>
        <w:tc>
          <w:tcPr>
            <w:tcW w:type="dxa" w:w="1944"/>
          </w:tcPr>
          <w:p>
            <w:pPr>
              <w:spacing w:after="20"/>
            </w:pPr>
            <w:r>
              <w:rPr>
                <w:color w:val="1C3A36"/>
                <w:sz w:val="14"/>
              </w:rPr>
              <w:t>cost inventory pct h1 26</w:t>
            </w:r>
          </w:p>
        </w:tc>
        <w:tc>
          <w:tcPr>
            <w:tcW w:type="dxa" w:w="1368"/>
          </w:tcPr>
          <w:p>
            <w:pPr>
              <w:spacing w:after="20"/>
              <w:jc w:val="right"/>
            </w:pPr>
            <w:r>
              <w:rPr>
                <w:color w:val="1C3A36"/>
                <w:sz w:val="14"/>
              </w:rPr>
              <w:t>0.274</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presentation, Americana Restaurants International PLC, published 28 July 2026, cost of inventory evolution: 27.4% of revenue in H1 2026 against 29.2% in H1 2025 — the disclosed, dated near-term anchor for the food input line</w:t>
            </w:r>
          </w:p>
        </w:tc>
      </w:tr>
      <w:tr>
        <w:tc>
          <w:tcPr>
            <w:tcW w:type="dxa" w:w="1944"/>
          </w:tcPr>
          <w:p>
            <w:pPr>
              <w:spacing w:after="20"/>
            </w:pPr>
            <w:r>
              <w:rPr>
                <w:color w:val="1C3A36"/>
                <w:sz w:val="14"/>
              </w:rPr>
              <w:t>stores qatar 2025</w:t>
            </w:r>
          </w:p>
        </w:tc>
        <w:tc>
          <w:tcPr>
            <w:tcW w:type="dxa" w:w="1368"/>
          </w:tcPr>
          <w:p>
            <w:pPr>
              <w:spacing w:after="20"/>
              <w:jc w:val="right"/>
            </w:pPr>
            <w:r>
              <w:rPr>
                <w:color w:val="1C3A36"/>
                <w:sz w:val="14"/>
              </w:rPr>
              <w:t>109</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Qatar</w:t>
            </w:r>
          </w:p>
        </w:tc>
      </w:tr>
      <w:tr>
        <w:tc>
          <w:tcPr>
            <w:tcW w:type="dxa" w:w="1944"/>
          </w:tcPr>
          <w:p>
            <w:pPr>
              <w:spacing w:after="20"/>
            </w:pPr>
            <w:r>
              <w:rPr>
                <w:color w:val="1C3A36"/>
                <w:sz w:val="14"/>
              </w:rPr>
              <w:t>stores oman 2025</w:t>
            </w:r>
          </w:p>
        </w:tc>
        <w:tc>
          <w:tcPr>
            <w:tcW w:type="dxa" w:w="1368"/>
          </w:tcPr>
          <w:p>
            <w:pPr>
              <w:spacing w:after="20"/>
              <w:jc w:val="right"/>
            </w:pPr>
            <w:r>
              <w:rPr>
                <w:color w:val="1C3A36"/>
                <w:sz w:val="14"/>
              </w:rPr>
              <w:t>101</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Oman</w:t>
            </w:r>
          </w:p>
        </w:tc>
      </w:tr>
      <w:tr>
        <w:tc>
          <w:tcPr>
            <w:tcW w:type="dxa" w:w="1944"/>
          </w:tcPr>
          <w:p>
            <w:pPr>
              <w:spacing w:after="20"/>
            </w:pPr>
            <w:r>
              <w:rPr>
                <w:color w:val="1C3A36"/>
                <w:sz w:val="14"/>
              </w:rPr>
              <w:t>stores bahrain 2025</w:t>
            </w:r>
          </w:p>
        </w:tc>
        <w:tc>
          <w:tcPr>
            <w:tcW w:type="dxa" w:w="1368"/>
          </w:tcPr>
          <w:p>
            <w:pPr>
              <w:spacing w:after="20"/>
              <w:jc w:val="right"/>
            </w:pPr>
            <w:r>
              <w:rPr>
                <w:color w:val="1C3A36"/>
                <w:sz w:val="14"/>
              </w:rPr>
              <w:t>77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Bahrain</w:t>
            </w:r>
          </w:p>
        </w:tc>
      </w:tr>
      <w:tr>
        <w:tc>
          <w:tcPr>
            <w:tcW w:type="dxa" w:w="1944"/>
          </w:tcPr>
          <w:p>
            <w:pPr>
              <w:spacing w:after="20"/>
            </w:pPr>
            <w:r>
              <w:rPr>
                <w:color w:val="1C3A36"/>
                <w:sz w:val="14"/>
              </w:rPr>
              <w:t>stores kazakhstan 2025</w:t>
            </w:r>
          </w:p>
        </w:tc>
        <w:tc>
          <w:tcPr>
            <w:tcW w:type="dxa" w:w="1368"/>
          </w:tcPr>
          <w:p>
            <w:pPr>
              <w:spacing w:after="20"/>
              <w:jc w:val="right"/>
            </w:pPr>
            <w:r>
              <w:rPr>
                <w:color w:val="1C3A36"/>
                <w:sz w:val="14"/>
              </w:rPr>
              <w:t>147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Kazakhstan</w:t>
            </w:r>
          </w:p>
        </w:tc>
      </w:tr>
      <w:tr>
        <w:tc>
          <w:tcPr>
            <w:tcW w:type="dxa" w:w="1944"/>
          </w:tcPr>
          <w:p>
            <w:pPr>
              <w:spacing w:after="20"/>
            </w:pPr>
            <w:r>
              <w:rPr>
                <w:color w:val="1C3A36"/>
                <w:sz w:val="14"/>
              </w:rPr>
              <w:t>stores iraq 2025</w:t>
            </w:r>
          </w:p>
        </w:tc>
        <w:tc>
          <w:tcPr>
            <w:tcW w:type="dxa" w:w="1368"/>
          </w:tcPr>
          <w:p>
            <w:pPr>
              <w:spacing w:after="20"/>
              <w:jc w:val="right"/>
            </w:pPr>
            <w:r>
              <w:rPr>
                <w:color w:val="1C3A36"/>
                <w:sz w:val="14"/>
              </w:rPr>
              <w:t>42</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Iraq</w:t>
            </w:r>
          </w:p>
        </w:tc>
      </w:tr>
      <w:tr>
        <w:tc>
          <w:tcPr>
            <w:tcW w:type="dxa" w:w="1944"/>
          </w:tcPr>
          <w:p>
            <w:pPr>
              <w:spacing w:after="20"/>
            </w:pPr>
            <w:r>
              <w:rPr>
                <w:color w:val="1C3A36"/>
                <w:sz w:val="14"/>
              </w:rPr>
              <w:t>stores lebanon 2025</w:t>
            </w:r>
          </w:p>
        </w:tc>
        <w:tc>
          <w:tcPr>
            <w:tcW w:type="dxa" w:w="1368"/>
          </w:tcPr>
          <w:p>
            <w:pPr>
              <w:spacing w:after="20"/>
              <w:jc w:val="right"/>
            </w:pPr>
            <w:r>
              <w:rPr>
                <w:color w:val="1C3A36"/>
                <w:sz w:val="14"/>
              </w:rPr>
              <w:t>17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Lebanon</w:t>
            </w:r>
          </w:p>
        </w:tc>
      </w:tr>
      <w:tr>
        <w:tc>
          <w:tcPr>
            <w:tcW w:type="dxa" w:w="1944"/>
          </w:tcPr>
          <w:p>
            <w:pPr>
              <w:spacing w:after="20"/>
            </w:pPr>
            <w:r>
              <w:rPr>
                <w:color w:val="1C3A36"/>
                <w:sz w:val="14"/>
              </w:rPr>
              <w:t>stores jordan 2025</w:t>
            </w:r>
          </w:p>
        </w:tc>
        <w:tc>
          <w:tcPr>
            <w:tcW w:type="dxa" w:w="1368"/>
          </w:tcPr>
          <w:p>
            <w:pPr>
              <w:spacing w:after="20"/>
              <w:jc w:val="right"/>
            </w:pPr>
            <w:r>
              <w:rPr>
                <w:color w:val="1C3A36"/>
                <w:sz w:val="14"/>
              </w:rPr>
              <w:t>57</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FY 2025 earnings presentation, Americana Restaurants International PLC, published 9 February 2026, portfolio evolution appendix: restaurant count by country at 31 December 2025 — Jordan</w:t>
            </w:r>
          </w:p>
        </w:tc>
      </w:tr>
      <w:tr>
        <w:tc>
          <w:tcPr>
            <w:tcW w:type="dxa" w:w="1944"/>
          </w:tcPr>
          <w:p>
            <w:pPr>
              <w:spacing w:after="20"/>
            </w:pPr>
            <w:r>
              <w:rPr>
                <w:color w:val="1C3A36"/>
                <w:sz w:val="14"/>
              </w:rPr>
              <w:t>nso path</w:t>
            </w:r>
          </w:p>
        </w:tc>
        <w:tc>
          <w:tcPr>
            <w:tcW w:type="dxa" w:w="1368"/>
          </w:tcPr>
          <w:p>
            <w:pPr>
              <w:spacing w:after="20"/>
              <w:jc w:val="right"/>
            </w:pPr>
            <w:r>
              <w:rPr>
                <w:color w:val="1C3A36"/>
                <w:sz w:val="14"/>
              </w:rPr>
              <w:t>125, 130, 130, 125, 120</w:t>
            </w:r>
          </w:p>
        </w:tc>
        <w:tc>
          <w:tcPr>
            <w:tcW w:type="dxa" w:w="1037"/>
          </w:tcPr>
          <w:p>
            <w:pPr>
              <w:spacing w:after="20"/>
              <w:jc w:val="right"/>
            </w:pPr>
            <w:r>
              <w:rPr>
                <w:color w:val="1C3A36"/>
                <w:sz w:val="14"/>
              </w:rPr>
              <w:t>2026-07-28</w:t>
            </w:r>
          </w:p>
        </w:tc>
        <w:tc>
          <w:tcPr>
            <w:tcW w:type="dxa" w:w="5731"/>
          </w:tcPr>
          <w:p>
            <w:pPr>
              <w:spacing w:after="20"/>
              <w:jc w:val="right"/>
            </w:pPr>
            <w:r>
              <w:rPr>
                <w:color w:val="1C3A36"/>
                <w:sz w:val="14"/>
              </w:rPr>
              <w:t>Net new restaurants a year. FY2026 is the midpoint of the company's published guidance of 120 to 130; the following years hold near that pace and taper gently as the estate matures. Source of the guidance: H1 2026 earnings presentation, Americana Restaurants International PLC, published 28 July 2026</w:t>
            </w:r>
          </w:p>
        </w:tc>
      </w:tr>
      <w:tr>
        <w:tc>
          <w:tcPr>
            <w:tcW w:type="dxa" w:w="1944"/>
          </w:tcPr>
          <w:p>
            <w:pPr>
              <w:spacing w:after="20"/>
            </w:pPr>
            <w:r>
              <w:rPr>
                <w:color w:val="1C3A36"/>
                <w:sz w:val="14"/>
              </w:rPr>
              <w:t>brand build</w:t>
            </w:r>
          </w:p>
        </w:tc>
        <w:tc>
          <w:tcPr>
            <w:tcW w:type="dxa" w:w="1368"/>
          </w:tcPr>
          <w:p>
            <w:pPr>
              <w:spacing w:after="20"/>
              <w:jc w:val="right"/>
            </w:pPr>
            <w:r>
              <w:rPr>
                <w:color w:val="1C3A36"/>
                <w:sz w:val="14"/>
              </w:rPr>
              <w:t>brands KFC, Pizza Hut, Hardee's, Krispy Kreme, Growth, niche and other brands; stores_2024 1,089, 43 …</w:t>
            </w:r>
          </w:p>
        </w:tc>
        <w:tc>
          <w:tcPr>
            <w:tcW w:type="dxa" w:w="1037"/>
          </w:tcPr>
          <w:p>
            <w:pPr>
              <w:spacing w:after="20"/>
              <w:jc w:val="right"/>
            </w:pPr>
            <w:r>
              <w:rPr>
                <w:color w:val="1C3A36"/>
                <w:sz w:val="14"/>
              </w:rPr>
              <w:t>2026-02-09</w:t>
            </w:r>
          </w:p>
        </w:tc>
        <w:tc>
          <w:tcPr>
            <w:tcW w:type="dxa" w:w="5731"/>
          </w:tcPr>
          <w:p>
            <w:pPr>
              <w:spacing w:after="20"/>
              <w:jc w:val="right"/>
            </w:pPr>
            <w:r>
              <w:rPr>
                <w:color w:val="1C3A36"/>
                <w:sz w:val="14"/>
              </w:rPr>
              <w:t>FY 2025 earnings presentation, Americana Restaurants International PLC, published 9 February 2026, portfolio appendix (restaurants by brand at 31 December 2025: KFC 1,146, Pizza Hut 457, Hardee's 458, Krispy Kreme 395, growth/niche 290, other 3) and revenue by power brand (FY2024 -&gt; FY2025: KFC 1,325 -&gt; 1,494, Pizza Hut 367 -&gt; 433, Hardee's 275 -&gt; 330, Krispy Kreme 87 -&gt; 94); FY 2024 earnings presentation, Americana Restaurants International PLC, published 13 February 2025 for the 31 December 2024 brand estate; H1 2026 earnings presentation, Americana Restaurants International PLC, published 28 July 2026 for 30 June 2026. The residual brand revenue is total audited revenue less the four disclosed power brands, so the brand build ties to the audited total by construction in both years. The opening mix is the company's own new-restaurant pie (KFC 40%, Hardee's 16%, Pizza Hut 15%, Krispy Kreme 12%, other 17%).</w:t>
            </w:r>
          </w:p>
        </w:tc>
      </w:tr>
      <w:tr>
        <w:tc>
          <w:tcPr>
            <w:tcW w:type="dxa" w:w="1944"/>
          </w:tcPr>
          <w:p>
            <w:pPr>
              <w:spacing w:after="20"/>
            </w:pPr>
            <w:r>
              <w:rPr>
                <w:color w:val="1C3A36"/>
                <w:sz w:val="14"/>
              </w:rPr>
              <w:t>delivery share path</w:t>
            </w:r>
          </w:p>
        </w:tc>
        <w:tc>
          <w:tcPr>
            <w:tcW w:type="dxa" w:w="1368"/>
          </w:tcPr>
          <w:p>
            <w:pPr>
              <w:spacing w:after="20"/>
              <w:jc w:val="right"/>
            </w:pPr>
            <w:r>
              <w:rPr>
                <w:color w:val="1C3A36"/>
                <w:sz w:val="14"/>
              </w:rPr>
              <w:t>0.52, 0.535, 0.55, 0.56, 0.565</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Home delivery share of revenue: 44% in FY2024, 48% in FY2025, 52% in H1 2026 (channel-mix slides). The path continues the shift and flattens near 56%.</w:t>
            </w:r>
          </w:p>
        </w:tc>
      </w:tr>
      <w:tr>
        <w:tc>
          <w:tcPr>
            <w:tcW w:type="dxa" w:w="1944"/>
          </w:tcPr>
          <w:p>
            <w:pPr>
              <w:spacing w:after="20"/>
            </w:pPr>
            <w:r>
              <w:rPr>
                <w:color w:val="1C3A36"/>
                <w:sz w:val="14"/>
              </w:rPr>
              <w:t>closure rate</w:t>
            </w:r>
          </w:p>
        </w:tc>
        <w:tc>
          <w:tcPr>
            <w:tcW w:type="dxa" w:w="1368"/>
          </w:tcPr>
          <w:p>
            <w:pPr>
              <w:spacing w:after="20"/>
              <w:jc w:val="right"/>
            </w:pPr>
            <w:r>
              <w:rPr>
                <w:color w:val="1C3A36"/>
                <w:sz w:val="14"/>
              </w:rPr>
              <w:t>0.020735</w:t>
            </w:r>
          </w:p>
        </w:tc>
        <w:tc>
          <w:tcPr>
            <w:tcW w:type="dxa" w:w="1037"/>
          </w:tcPr>
          <w:p>
            <w:pPr>
              <w:spacing w:after="20"/>
              <w:jc w:val="right"/>
            </w:pPr>
            <w:r>
              <w:rPr>
                <w:color w:val="1C3A36"/>
                <w:sz w:val="14"/>
              </w:rPr>
              <w:t>2025-12-31</w:t>
            </w:r>
          </w:p>
        </w:tc>
        <w:tc>
          <w:tcPr>
            <w:tcW w:type="dxa" w:w="5731"/>
          </w:tcPr>
          <w:p>
            <w:pPr>
              <w:spacing w:after="20"/>
              <w:jc w:val="right"/>
            </w:pPr>
            <w:r>
              <w:rPr>
                <w:color w:val="1C3A36"/>
                <w:sz w:val="14"/>
              </w:rPr>
              <w:t>Restaurant closures as a share of the estate: 57 closures in FY2025 against 2,749 restaurants, or 2.1%. Gross openings are therefore net additions plus closures, and capital expenditure is charged on gross openings. Source: FY 2025 earnings presentation, Americana Restaurants International PLC, published 9 February 2026</w:t>
            </w:r>
          </w:p>
        </w:tc>
      </w:tr>
      <w:tr>
        <w:tc>
          <w:tcPr>
            <w:tcW w:type="dxa" w:w="1944"/>
          </w:tcPr>
          <w:p>
            <w:pPr>
              <w:spacing w:after="20"/>
            </w:pPr>
            <w:r>
              <w:rPr>
                <w:color w:val="1C3A36"/>
                <w:sz w:val="14"/>
              </w:rPr>
              <w:t>dividend paid in window</w:t>
            </w:r>
          </w:p>
        </w:tc>
        <w:tc>
          <w:tcPr>
            <w:tcW w:type="dxa" w:w="1368"/>
          </w:tcPr>
          <w:p>
            <w:pPr>
              <w:spacing w:after="20"/>
              <w:jc w:val="right"/>
            </w:pPr>
            <w:r>
              <w:rPr>
                <w:color w:val="1C3A36"/>
                <w:sz w:val="14"/>
              </w:rPr>
              <w:t>0.024004</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The FY2025 dividend of USD 201.6 million (USD 0.024 a share), approved at the annual general meeting and paid in June 2026 — inside the roll window. The USD 100.8 million interim declared 28 July 2026 had not been paid by the anchor date and is excluded.</w:t>
            </w:r>
          </w:p>
        </w:tc>
      </w:tr>
      <w:tr>
        <w:tc>
          <w:tcPr>
            <w:tcW w:type="dxa" w:w="1944"/>
          </w:tcPr>
          <w:p>
            <w:pPr>
              <w:spacing w:after="20"/>
            </w:pPr>
            <w:r>
              <w:rPr>
                <w:color w:val="1C3A36"/>
                <w:sz w:val="14"/>
              </w:rPr>
              <w:t>terminal roic</w:t>
            </w:r>
          </w:p>
        </w:tc>
        <w:tc>
          <w:tcPr>
            <w:tcW w:type="dxa" w:w="1368"/>
          </w:tcPr>
          <w:p>
            <w:pPr>
              <w:spacing w:after="20"/>
              <w:jc w:val="right"/>
            </w:pPr>
            <w:r>
              <w:rPr>
                <w:color w:val="1C3A36"/>
                <w:sz w:val="14"/>
              </w:rPr>
              <w:t>0.3</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Terminal return on incremental invested capital, faded to 30% from the model-implied average of ~55%. Anchored on the company's own store-economics disclosure: USD 402 thousand average capital cost and a 3.0-year average payback imply roughly a 33% pre-tax cash-on-cash return on the AVERAGE new store, and the same table shows the MARGINAL brands (Pizza Hut, Krispy Kreme, growth brands) beyond five years — materially below the average. Continuing the average net-book return into perpetuity was the largest judgement defect raised in the critique round, conceded in the study's own expert cross-examination; the fade prices it. The 55% continuation is published as the bull reading in the sensitivity.</w:t>
            </w:r>
          </w:p>
        </w:tc>
      </w:tr>
      <w:tr>
        <w:tc>
          <w:tcPr>
            <w:tcW w:type="dxa" w:w="1944"/>
          </w:tcPr>
          <w:p>
            <w:pPr>
              <w:spacing w:after="20"/>
            </w:pPr>
            <w:r>
              <w:rPr>
                <w:color w:val="1C3A36"/>
                <w:sz w:val="14"/>
              </w:rPr>
              <w:t>four wall ebitda h1 26</w:t>
            </w:r>
          </w:p>
        </w:tc>
        <w:tc>
          <w:tcPr>
            <w:tcW w:type="dxa" w:w="1368"/>
          </w:tcPr>
          <w:p>
            <w:pPr>
              <w:spacing w:after="20"/>
              <w:jc w:val="right"/>
            </w:pPr>
            <w:r>
              <w:rPr>
                <w:color w:val="1C3A36"/>
                <w:sz w:val="14"/>
              </w:rPr>
              <w:t>433</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H1 2026 earnings presentation, Americana Restaurants International PLC, published 28 July 2026: four-wall EBITDA of USD 433 million in the first half of 2026, a margin of 31.7% of revenue</w:t>
            </w:r>
          </w:p>
        </w:tc>
      </w:tr>
    </w:tbl>
    <w:p>
      <w:pPr>
        <w:spacing w:after="40"/>
      </w:pPr>
    </w:p>
    <w:p>
      <w:pPr>
        <w:spacing w:after="80" w:before="200"/>
      </w:pPr>
      <w:r>
        <w:rPr>
          <w:b/>
          <w:i w:val="0"/>
          <w:color w:val="1C3A36"/>
          <w:sz w:val="24"/>
        </w:rPr>
        <w:t>3.3  Market  (3 inputs)</w:t>
      </w:r>
    </w:p>
    <w:p>
      <w:pPr>
        <w:spacing w:after="80" w:before="0"/>
      </w:pPr>
      <w:r>
        <w:rPr>
          <w:b w:val="0"/>
          <w:i/>
          <w:color w:val="6E7B77"/>
          <w:sz w:val="19"/>
        </w:rPr>
        <w:t>Traded prices and figures derived from them.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368"/>
        <w:gridCol w:w="1037"/>
        <w:gridCol w:w="5731"/>
      </w:tblGrid>
      <w:tr>
        <w:tc>
          <w:tcPr>
            <w:tcW w:type="dxa" w:w="1944"/>
            <w:shd w:val="clear" w:color="auto" w:fill="EAF0EE"/>
          </w:tcPr>
          <w:p>
            <w:pPr>
              <w:spacing w:after="20"/>
            </w:pPr>
            <w:r>
              <w:rPr>
                <w:b/>
                <w:color w:val="1C3A36"/>
                <w:sz w:val="14"/>
              </w:rPr>
              <w:t>Input</w:t>
            </w:r>
          </w:p>
        </w:tc>
        <w:tc>
          <w:tcPr>
            <w:tcW w:type="dxa" w:w="1368"/>
            <w:shd w:val="clear" w:color="auto" w:fill="EAF0EE"/>
          </w:tcPr>
          <w:p>
            <w:pPr>
              <w:spacing w:after="20"/>
            </w:pPr>
            <w:r>
              <w:rPr>
                <w:b/>
                <w:color w:val="1C3A36"/>
                <w:sz w:val="14"/>
              </w:rPr>
              <w:t>Value</w:t>
            </w:r>
          </w:p>
        </w:tc>
        <w:tc>
          <w:tcPr>
            <w:tcW w:type="dxa" w:w="1037"/>
            <w:shd w:val="clear" w:color="auto" w:fill="EAF0EE"/>
          </w:tcPr>
          <w:p>
            <w:pPr>
              <w:spacing w:after="20"/>
            </w:pPr>
            <w:r>
              <w:rPr>
                <w:b/>
                <w:color w:val="1C3A36"/>
                <w:sz w:val="14"/>
              </w:rPr>
              <w:t>Date</w:t>
            </w:r>
          </w:p>
        </w:tc>
        <w:tc>
          <w:tcPr>
            <w:tcW w:type="dxa" w:w="5731"/>
            <w:shd w:val="clear" w:color="auto" w:fill="EAF0EE"/>
          </w:tcPr>
          <w:p>
            <w:pPr>
              <w:spacing w:after="20"/>
            </w:pPr>
            <w:r>
              <w:rPr>
                <w:b/>
                <w:color w:val="1C3A36"/>
                <w:sz w:val="14"/>
              </w:rPr>
              <w:t>Source and construction</w:t>
            </w:r>
          </w:p>
        </w:tc>
      </w:tr>
      <w:tr>
        <w:tc>
          <w:tcPr>
            <w:tcW w:type="dxa" w:w="1944"/>
          </w:tcPr>
          <w:p>
            <w:pPr>
              <w:spacing w:after="20"/>
            </w:pPr>
            <w:r>
              <w:rPr>
                <w:color w:val="1C3A36"/>
                <w:sz w:val="14"/>
              </w:rPr>
              <w:t>spot aed</w:t>
            </w:r>
          </w:p>
        </w:tc>
        <w:tc>
          <w:tcPr>
            <w:tcW w:type="dxa" w:w="1368"/>
          </w:tcPr>
          <w:p>
            <w:pPr>
              <w:spacing w:after="20"/>
              <w:jc w:val="right"/>
            </w:pPr>
            <w:r>
              <w:rPr>
                <w:color w:val="1C3A36"/>
                <w:sz w:val="14"/>
              </w:rPr>
              <w:t>2.39</w:t>
            </w:r>
          </w:p>
        </w:tc>
        <w:tc>
          <w:tcPr>
            <w:tcW w:type="dxa" w:w="1037"/>
          </w:tcPr>
          <w:p>
            <w:pPr>
              <w:spacing w:after="20"/>
              <w:jc w:val="right"/>
            </w:pPr>
            <w:r>
              <w:rPr>
                <w:color w:val="1C3A36"/>
                <w:sz w:val="14"/>
              </w:rPr>
              <w:t>2026-09-03</w:t>
            </w:r>
          </w:p>
        </w:tc>
        <w:tc>
          <w:tcPr>
            <w:tcW w:type="dxa" w:w="5731"/>
          </w:tcPr>
          <w:p>
            <w:pPr>
              <w:spacing w:after="20"/>
              <w:jc w:val="right"/>
            </w:pPr>
            <w:r>
              <w:rPr>
                <w:color w:val="1C3A36"/>
                <w:sz w:val="14"/>
              </w:rPr>
              <w:t>Closing price on the Abu Dhabi Securities Exchange, 3 September 2026, the latest price supplied to this repository (SUPPLIED_03-09-2026.json). Superseded: AED 2.23 of 7 August 2026 (open 2.26, high 2.26, low 2.21), on which every edition before this one was struck</w:t>
            </w:r>
          </w:p>
        </w:tc>
      </w:tr>
      <w:tr>
        <w:tc>
          <w:tcPr>
            <w:tcW w:type="dxa" w:w="1944"/>
          </w:tcPr>
          <w:p>
            <w:pPr>
              <w:spacing w:after="20"/>
            </w:pPr>
            <w:r>
              <w:rPr>
                <w:color w:val="1C3A36"/>
                <w:sz w:val="14"/>
              </w:rPr>
              <w:t>beta</w:t>
            </w:r>
          </w:p>
        </w:tc>
        <w:tc>
          <w:tcPr>
            <w:tcW w:type="dxa" w:w="1368"/>
          </w:tcPr>
          <w:p>
            <w:pPr>
              <w:spacing w:after="20"/>
              <w:jc w:val="right"/>
            </w:pPr>
            <w:r>
              <w:rPr>
                <w:color w:val="1C3A36"/>
                <w:sz w:val="14"/>
              </w:rPr>
              <w:t>0.93</w:t>
            </w:r>
          </w:p>
        </w:tc>
        <w:tc>
          <w:tcPr>
            <w:tcW w:type="dxa" w:w="1037"/>
          </w:tcPr>
          <w:p>
            <w:pPr>
              <w:spacing w:after="20"/>
              <w:jc w:val="right"/>
            </w:pPr>
            <w:r>
              <w:rPr>
                <w:color w:val="1C3A36"/>
                <w:sz w:val="14"/>
              </w:rPr>
              <w:t>2026-08-10</w:t>
            </w:r>
          </w:p>
        </w:tc>
        <w:tc>
          <w:tcPr>
            <w:tcW w:type="dxa" w:w="5731"/>
          </w:tcPr>
          <w:p>
            <w:pPr>
              <w:spacing w:after="20"/>
              <w:jc w:val="right"/>
            </w:pPr>
            <w:r>
              <w:rPr>
                <w:color w:val="1C3A36"/>
                <w:sz w:val="14"/>
              </w:rPr>
              <w:t>Ordinary least squares regression of 183 complete weekly logarithmic returns of the company's own Abu Dhabi-listed shares against the FTSE ADX General Index — the published index of the exchange those shares trade on — over windows labelled 30 December 2022 to 17 July 2026, which is the whole life of the listing, the company having floated in December 2022. The figure carries the Dimson lead-lag correction, and both series pass the data-quality screen first. Standard error 0.412, R-squared 8.4%: it clears the usability gate of at least 24 observations, R-squared of at least 5% and a standard error below the absolute coefficient, but only just, and the imprecision is the honest headline — a 90% confidence interval runs from 0.25 to 1.61, so this estimate cannot be told apart from most plausible alternatives. A Blume adjustment towards the market gives 0.953, close enough to confirm the level. The index is quoted in dirhams, the same currency the shares trade in, and strikes at the same closing auction on the same exchange. Cross-checks from earlier editions of this study, all disclosed and none adopted, and every one now known to be non-conforming: the company's Riyadh line against the Saudi index gave 0.894 — a different country's market cycle, and the input the first edition used before the Abu Dhabi index was available; an equally weighted composite of eighteen covered UAE names gave 0.586; and a US-listed UAE index fund, which prices hours after the Abu Dhabi close, gave 0.469. The composite and the fund understated the beta by roughly half. A composite is not a substitute and not a tier: it is a coverage artefact that changes whenever a stock is added, it mixes two exchanges inside one market code, and it shares its constituents with the company being priced.</w:t>
            </w:r>
          </w:p>
        </w:tc>
      </w:tr>
      <w:tr>
        <w:tc>
          <w:tcPr>
            <w:tcW w:type="dxa" w:w="1944"/>
          </w:tcPr>
          <w:p>
            <w:pPr>
              <w:spacing w:after="20"/>
            </w:pPr>
            <w:r>
              <w:rPr>
                <w:color w:val="1C3A36"/>
                <w:sz w:val="14"/>
              </w:rPr>
              <w:t>days to anchor</w:t>
            </w:r>
          </w:p>
        </w:tc>
        <w:tc>
          <w:tcPr>
            <w:tcW w:type="dxa" w:w="1368"/>
          </w:tcPr>
          <w:p>
            <w:pPr>
              <w:spacing w:after="20"/>
              <w:jc w:val="right"/>
            </w:pPr>
            <w:r>
              <w:rPr>
                <w:color w:val="1C3A36"/>
                <w:sz w:val="14"/>
              </w:rPr>
              <w:t>219</w:t>
            </w:r>
          </w:p>
        </w:tc>
        <w:tc>
          <w:tcPr>
            <w:tcW w:type="dxa" w:w="1037"/>
          </w:tcPr>
          <w:p>
            <w:pPr>
              <w:spacing w:after="20"/>
              <w:jc w:val="right"/>
            </w:pPr>
            <w:r>
              <w:rPr>
                <w:color w:val="1C3A36"/>
                <w:sz w:val="14"/>
              </w:rPr>
              <w:t>2026-08-07</w:t>
            </w:r>
          </w:p>
        </w:tc>
        <w:tc>
          <w:tcPr>
            <w:tcW w:type="dxa" w:w="5731"/>
          </w:tcPr>
          <w:p>
            <w:pPr>
              <w:spacing w:after="20"/>
              <w:jc w:val="right"/>
            </w:pPr>
            <w:r>
              <w:rPr>
                <w:color w:val="1C3A36"/>
                <w:sz w:val="14"/>
              </w:rPr>
              <w:t>Calendar days from the 31 December 2025 valuation date — the audited balance sheet the bridge deducts net debt at, and the date the year-1 discount factor runs from — to the 7 August 2026 price anchor. Every published per-share value is rolled forward across this window at the cost of equity, net of the dividend paid inside it, so the valuation and the market price are compared on the same date. The first delivery omitted this roll (the model-study convention) entirely — the largest single correction of the critique-response round, found by self-audit.</w:t>
            </w:r>
          </w:p>
        </w:tc>
      </w:tr>
    </w:tbl>
    <w:p>
      <w:pPr>
        <w:spacing w:after="40"/>
      </w:pPr>
    </w:p>
    <w:p>
      <w:pPr>
        <w:spacing w:after="80" w:before="200"/>
      </w:pPr>
      <w:r>
        <w:rPr>
          <w:b/>
          <w:i w:val="0"/>
          <w:color w:val="1C3A36"/>
          <w:sz w:val="24"/>
        </w:rPr>
        <w:t>3.4  Country  (32 inputs)</w:t>
      </w:r>
    </w:p>
    <w:p>
      <w:pPr>
        <w:spacing w:after="80" w:before="0"/>
      </w:pPr>
      <w:r>
        <w:rPr>
          <w:b w:val="0"/>
          <w:i/>
          <w:color w:val="6E7B77"/>
          <w:sz w:val="19"/>
        </w:rPr>
        <w:t>External, sourced and dated; used only in the cost of capital and the macro drivers.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368"/>
        <w:gridCol w:w="1037"/>
        <w:gridCol w:w="5731"/>
      </w:tblGrid>
      <w:tr>
        <w:tc>
          <w:tcPr>
            <w:tcW w:type="dxa" w:w="1944"/>
            <w:shd w:val="clear" w:color="auto" w:fill="EAF0EE"/>
          </w:tcPr>
          <w:p>
            <w:pPr>
              <w:spacing w:after="20"/>
            </w:pPr>
            <w:r>
              <w:rPr>
                <w:b/>
                <w:color w:val="1C3A36"/>
                <w:sz w:val="14"/>
              </w:rPr>
              <w:t>Input</w:t>
            </w:r>
          </w:p>
        </w:tc>
        <w:tc>
          <w:tcPr>
            <w:tcW w:type="dxa" w:w="1368"/>
            <w:shd w:val="clear" w:color="auto" w:fill="EAF0EE"/>
          </w:tcPr>
          <w:p>
            <w:pPr>
              <w:spacing w:after="20"/>
            </w:pPr>
            <w:r>
              <w:rPr>
                <w:b/>
                <w:color w:val="1C3A36"/>
                <w:sz w:val="14"/>
              </w:rPr>
              <w:t>Value</w:t>
            </w:r>
          </w:p>
        </w:tc>
        <w:tc>
          <w:tcPr>
            <w:tcW w:type="dxa" w:w="1037"/>
            <w:shd w:val="clear" w:color="auto" w:fill="EAF0EE"/>
          </w:tcPr>
          <w:p>
            <w:pPr>
              <w:spacing w:after="20"/>
            </w:pPr>
            <w:r>
              <w:rPr>
                <w:b/>
                <w:color w:val="1C3A36"/>
                <w:sz w:val="14"/>
              </w:rPr>
              <w:t>Date</w:t>
            </w:r>
          </w:p>
        </w:tc>
        <w:tc>
          <w:tcPr>
            <w:tcW w:type="dxa" w:w="5731"/>
            <w:shd w:val="clear" w:color="auto" w:fill="EAF0EE"/>
          </w:tcPr>
          <w:p>
            <w:pPr>
              <w:spacing w:after="20"/>
            </w:pPr>
            <w:r>
              <w:rPr>
                <w:b/>
                <w:color w:val="1C3A36"/>
                <w:sz w:val="14"/>
              </w:rPr>
              <w:t>Source and construction</w:t>
            </w:r>
          </w:p>
        </w:tc>
      </w:tr>
      <w:tr>
        <w:tc>
          <w:tcPr>
            <w:tcW w:type="dxa" w:w="1944"/>
          </w:tcPr>
          <w:p>
            <w:pPr>
              <w:spacing w:after="20"/>
            </w:pPr>
            <w:r>
              <w:rPr>
                <w:color w:val="1C3A36"/>
                <w:sz w:val="14"/>
              </w:rPr>
              <w:t>aed usd peg</w:t>
            </w:r>
          </w:p>
        </w:tc>
        <w:tc>
          <w:tcPr>
            <w:tcW w:type="dxa" w:w="1368"/>
          </w:tcPr>
          <w:p>
            <w:pPr>
              <w:spacing w:after="20"/>
              <w:jc w:val="right"/>
            </w:pPr>
            <w:r>
              <w:rPr>
                <w:color w:val="1C3A36"/>
                <w:sz w:val="14"/>
              </w:rPr>
              <w:t>3.672</w:t>
            </w:r>
          </w:p>
        </w:tc>
        <w:tc>
          <w:tcPr>
            <w:tcW w:type="dxa" w:w="1037"/>
          </w:tcPr>
          <w:p>
            <w:pPr>
              <w:spacing w:after="20"/>
              <w:jc w:val="right"/>
            </w:pPr>
            <w:r>
              <w:rPr>
                <w:color w:val="1C3A36"/>
                <w:sz w:val="14"/>
              </w:rPr>
              <w:t>2026-08-07</w:t>
            </w:r>
          </w:p>
        </w:tc>
        <w:tc>
          <w:tcPr>
            <w:tcW w:type="dxa" w:w="5731"/>
          </w:tcPr>
          <w:p>
            <w:pPr>
              <w:spacing w:after="20"/>
              <w:jc w:val="right"/>
            </w:pPr>
            <w:r>
              <w:rPr>
                <w:color w:val="1C3A36"/>
                <w:sz w:val="14"/>
              </w:rPr>
              <w:t>The UAE dirham has been pegged to the US dollar at 3.6725 since 1997; the peg is the conversion used between the traded price and the reporting currency</w:t>
            </w:r>
          </w:p>
        </w:tc>
      </w:tr>
      <w:tr>
        <w:tc>
          <w:tcPr>
            <w:tcW w:type="dxa" w:w="1944"/>
          </w:tcPr>
          <w:p>
            <w:pPr>
              <w:spacing w:after="20"/>
            </w:pPr>
            <w:r>
              <w:rPr>
                <w:color w:val="1C3A36"/>
                <w:sz w:val="14"/>
              </w:rPr>
              <w:t>ust 10y</w:t>
            </w:r>
          </w:p>
        </w:tc>
        <w:tc>
          <w:tcPr>
            <w:tcW w:type="dxa" w:w="1368"/>
          </w:tcPr>
          <w:p>
            <w:pPr>
              <w:spacing w:after="20"/>
              <w:jc w:val="right"/>
            </w:pPr>
            <w:r>
              <w:rPr>
                <w:color w:val="1C3A36"/>
                <w:sz w:val="14"/>
              </w:rPr>
              <w:t>0.0465</w:t>
            </w:r>
          </w:p>
        </w:tc>
        <w:tc>
          <w:tcPr>
            <w:tcW w:type="dxa" w:w="1037"/>
          </w:tcPr>
          <w:p>
            <w:pPr>
              <w:spacing w:after="20"/>
              <w:jc w:val="right"/>
            </w:pPr>
            <w:r>
              <w:rPr>
                <w:color w:val="1C3A36"/>
                <w:sz w:val="14"/>
              </w:rPr>
              <w:t>2026-08-07</w:t>
            </w:r>
          </w:p>
        </w:tc>
        <w:tc>
          <w:tcPr>
            <w:tcW w:type="dxa" w:w="5731"/>
          </w:tcPr>
          <w:p>
            <w:pPr>
              <w:spacing w:after="20"/>
              <w:jc w:val="right"/>
            </w:pPr>
            <w:r>
              <w:rPr>
                <w:color w:val="1C3A36"/>
                <w:sz w:val="14"/>
              </w:rPr>
              <w:t>US 10-year Treasury par yield, 4.65% at the close of 7 August 2026, read from the Treasury daily par yield curve CSV (the 4.66% previously carried was a secondary-source transcription, corrected against the primary)</w:t>
            </w:r>
          </w:p>
        </w:tc>
      </w:tr>
      <w:tr>
        <w:tc>
          <w:tcPr>
            <w:tcW w:type="dxa" w:w="1944"/>
          </w:tcPr>
          <w:p>
            <w:pPr>
              <w:spacing w:after="20"/>
            </w:pPr>
            <w:r>
              <w:rPr>
                <w:color w:val="1C3A36"/>
                <w:sz w:val="14"/>
              </w:rPr>
              <w:t>us default spread</w:t>
            </w:r>
          </w:p>
        </w:tc>
        <w:tc>
          <w:tcPr>
            <w:tcW w:type="dxa" w:w="1368"/>
          </w:tcPr>
          <w:p>
            <w:pPr>
              <w:spacing w:after="20"/>
              <w:jc w:val="right"/>
            </w:pPr>
            <w:r>
              <w:rPr>
                <w:color w:val="1C3A36"/>
                <w:sz w:val="14"/>
              </w:rPr>
              <w:t>0.0022</w:t>
            </w:r>
          </w:p>
        </w:tc>
        <w:tc>
          <w:tcPr>
            <w:tcW w:type="dxa" w:w="1037"/>
          </w:tcPr>
          <w:p>
            <w:pPr>
              <w:spacing w:after="20"/>
              <w:jc w:val="right"/>
            </w:pPr>
            <w:r>
              <w:rPr>
                <w:color w:val="1C3A36"/>
                <w:sz w:val="14"/>
              </w:rPr>
              <w:t>2026-07-15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United States, Moody's Aa1, adjusted default spread 0.22%</w:t>
            </w:r>
          </w:p>
        </w:tc>
      </w:tr>
      <w:tr>
        <w:tc>
          <w:tcPr>
            <w:tcW w:type="dxa" w:w="1944"/>
          </w:tcPr>
          <w:p>
            <w:pPr>
              <w:spacing w:after="20"/>
            </w:pPr>
            <w:r>
              <w:rPr>
                <w:color w:val="1C3A36"/>
                <w:sz w:val="14"/>
              </w:rPr>
              <w:t>us cds</w:t>
            </w:r>
          </w:p>
        </w:tc>
        <w:tc>
          <w:tcPr>
            <w:tcW w:type="dxa" w:w="1368"/>
          </w:tcPr>
          <w:p>
            <w:pPr>
              <w:spacing w:after="20"/>
              <w:jc w:val="right"/>
            </w:pPr>
            <w:r>
              <w:rPr>
                <w:color w:val="1C3A36"/>
                <w:sz w:val="14"/>
              </w:rPr>
              <w:t>0.0043</w:t>
            </w:r>
          </w:p>
        </w:tc>
        <w:tc>
          <w:tcPr>
            <w:tcW w:type="dxa" w:w="1037"/>
          </w:tcPr>
          <w:p>
            <w:pPr>
              <w:spacing w:after="20"/>
              <w:jc w:val="right"/>
            </w:pPr>
            <w:r>
              <w:rPr>
                <w:color w:val="1C3A36"/>
                <w:sz w:val="14"/>
              </w:rPr>
              <w:t>2026-07-15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United States sovereign credit default swap spread 0.43%</w:t>
            </w:r>
          </w:p>
        </w:tc>
      </w:tr>
      <w:tr>
        <w:tc>
          <w:tcPr>
            <w:tcW w:type="dxa" w:w="1944"/>
          </w:tcPr>
          <w:p>
            <w:pPr>
              <w:spacing w:after="20"/>
            </w:pPr>
            <w:r>
              <w:rPr>
                <w:color w:val="1C3A36"/>
                <w:sz w:val="14"/>
              </w:rPr>
              <w:t>abu dhabi new issue spread</w:t>
            </w:r>
          </w:p>
        </w:tc>
        <w:tc>
          <w:tcPr>
            <w:tcW w:type="dxa" w:w="1368"/>
          </w:tcPr>
          <w:p>
            <w:pPr>
              <w:spacing w:after="20"/>
              <w:jc w:val="right"/>
            </w:pPr>
            <w:r>
              <w:rPr>
                <w:color w:val="1C3A36"/>
                <w:sz w:val="14"/>
              </w:rPr>
              <w:t>0.0025</w:t>
            </w:r>
          </w:p>
        </w:tc>
        <w:tc>
          <w:tcPr>
            <w:tcW w:type="dxa" w:w="1037"/>
          </w:tcPr>
          <w:p>
            <w:pPr>
              <w:spacing w:after="20"/>
              <w:jc w:val="right"/>
            </w:pPr>
            <w:r>
              <w:rPr>
                <w:color w:val="1C3A36"/>
                <w:sz w:val="14"/>
              </w:rPr>
              <w:t>2026-02-01</w:t>
            </w:r>
          </w:p>
        </w:tc>
        <w:tc>
          <w:tcPr>
            <w:tcW w:type="dxa" w:w="5731"/>
          </w:tcPr>
          <w:p>
            <w:pPr>
              <w:spacing w:after="20"/>
              <w:jc w:val="right"/>
            </w:pPr>
            <w:r>
              <w:rPr>
                <w:color w:val="1C3A36"/>
                <w:sz w:val="14"/>
              </w:rPr>
              <w:t>Abu Dhabi sovereign dual-tranche US dollar benchmark, February 2026: final re-offer spread of 25 basis points over US Treasuries on the ten-year tranche (initial price thoughts were +55; the final pricing is the market evidence)</w:t>
            </w:r>
          </w:p>
        </w:tc>
      </w:tr>
      <w:tr>
        <w:tc>
          <w:tcPr>
            <w:tcW w:type="dxa" w:w="1944"/>
          </w:tcPr>
          <w:p>
            <w:pPr>
              <w:spacing w:after="20"/>
            </w:pPr>
            <w:r>
              <w:rPr>
                <w:color w:val="1C3A36"/>
                <w:sz w:val="14"/>
              </w:rPr>
              <w:t>uae default spread</w:t>
            </w:r>
          </w:p>
        </w:tc>
        <w:tc>
          <w:tcPr>
            <w:tcW w:type="dxa" w:w="1368"/>
          </w:tcPr>
          <w:p>
            <w:pPr>
              <w:spacing w:after="20"/>
              <w:jc w:val="right"/>
            </w:pPr>
            <w:r>
              <w:rPr>
                <w:color w:val="1C3A36"/>
                <w:sz w:val="14"/>
              </w:rPr>
              <w:t>0.0042</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United Arab Emirates, Moody's Aa2, adjusted default spread 0.42%</w:t>
            </w:r>
          </w:p>
        </w:tc>
      </w:tr>
      <w:tr>
        <w:tc>
          <w:tcPr>
            <w:tcW w:type="dxa" w:w="1944"/>
          </w:tcPr>
          <w:p>
            <w:pPr>
              <w:spacing w:after="20"/>
            </w:pPr>
            <w:r>
              <w:rPr>
                <w:color w:val="1C3A36"/>
                <w:sz w:val="14"/>
              </w:rPr>
              <w:t>erp rating uae</w:t>
            </w:r>
          </w:p>
        </w:tc>
        <w:tc>
          <w:tcPr>
            <w:tcW w:type="dxa" w:w="1368"/>
          </w:tcPr>
          <w:p>
            <w:pPr>
              <w:spacing w:after="20"/>
              <w:jc w:val="right"/>
            </w:pPr>
            <w:r>
              <w:rPr>
                <w:color w:val="1C3A36"/>
                <w:sz w:val="14"/>
              </w:rPr>
              <w:t>0.0481</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UAE, total equity risk premium on the ratings basis</w:t>
            </w:r>
          </w:p>
        </w:tc>
      </w:tr>
      <w:tr>
        <w:tc>
          <w:tcPr>
            <w:tcW w:type="dxa" w:w="1944"/>
          </w:tcPr>
          <w:p>
            <w:pPr>
              <w:spacing w:after="20"/>
            </w:pPr>
            <w:r>
              <w:rPr>
                <w:color w:val="1C3A36"/>
                <w:sz w:val="14"/>
              </w:rPr>
              <w:t>erp cds uae</w:t>
            </w:r>
          </w:p>
        </w:tc>
        <w:tc>
          <w:tcPr>
            <w:tcW w:type="dxa" w:w="1368"/>
          </w:tcPr>
          <w:p>
            <w:pPr>
              <w:spacing w:after="20"/>
              <w:jc w:val="right"/>
            </w:pPr>
            <w:r>
              <w:rPr>
                <w:color w:val="1C3A36"/>
                <w:sz w:val="14"/>
              </w:rPr>
              <w:t>0.0481</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UAE, equity risk premium on the sovereign credit-default-swap basis — no CDS is published for this sovereign, so the ratings-basis premium is carried here and the substitution is flagged</w:t>
            </w:r>
          </w:p>
        </w:tc>
      </w:tr>
      <w:tr>
        <w:tc>
          <w:tcPr>
            <w:tcW w:type="dxa" w:w="1944"/>
          </w:tcPr>
          <w:p>
            <w:pPr>
              <w:spacing w:after="20"/>
            </w:pPr>
            <w:r>
              <w:rPr>
                <w:color w:val="1C3A36"/>
                <w:sz w:val="14"/>
              </w:rPr>
              <w:t>erp rating saudi arabia</w:t>
            </w:r>
          </w:p>
        </w:tc>
        <w:tc>
          <w:tcPr>
            <w:tcW w:type="dxa" w:w="1368"/>
          </w:tcPr>
          <w:p>
            <w:pPr>
              <w:spacing w:after="20"/>
              <w:jc w:val="right"/>
            </w:pPr>
            <w:r>
              <w:rPr>
                <w:color w:val="1C3A36"/>
                <w:sz w:val="14"/>
              </w:rPr>
              <w:t>0.0494</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Saudi Arabia, total equity risk premium on the ratings basis</w:t>
            </w:r>
          </w:p>
        </w:tc>
      </w:tr>
      <w:tr>
        <w:tc>
          <w:tcPr>
            <w:tcW w:type="dxa" w:w="1944"/>
          </w:tcPr>
          <w:p>
            <w:pPr>
              <w:spacing w:after="20"/>
            </w:pPr>
            <w:r>
              <w:rPr>
                <w:color w:val="1C3A36"/>
                <w:sz w:val="14"/>
              </w:rPr>
              <w:t>erp cds saudi arabia</w:t>
            </w:r>
          </w:p>
        </w:tc>
        <w:tc>
          <w:tcPr>
            <w:tcW w:type="dxa" w:w="1368"/>
          </w:tcPr>
          <w:p>
            <w:pPr>
              <w:spacing w:after="20"/>
              <w:jc w:val="right"/>
            </w:pPr>
            <w:r>
              <w:rPr>
                <w:color w:val="1C3A36"/>
                <w:sz w:val="14"/>
              </w:rPr>
              <w:t>0.0551</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Saudi Arabia, equity risk premium on the sovereign credit-default-swap basis</w:t>
            </w:r>
          </w:p>
        </w:tc>
      </w:tr>
      <w:tr>
        <w:tc>
          <w:tcPr>
            <w:tcW w:type="dxa" w:w="1944"/>
          </w:tcPr>
          <w:p>
            <w:pPr>
              <w:spacing w:after="20"/>
            </w:pPr>
            <w:r>
              <w:rPr>
                <w:color w:val="1C3A36"/>
                <w:sz w:val="14"/>
              </w:rPr>
              <w:t>erp rating kuwait</w:t>
            </w:r>
          </w:p>
        </w:tc>
        <w:tc>
          <w:tcPr>
            <w:tcW w:type="dxa" w:w="1368"/>
          </w:tcPr>
          <w:p>
            <w:pPr>
              <w:spacing w:after="20"/>
              <w:jc w:val="right"/>
            </w:pPr>
            <w:r>
              <w:rPr>
                <w:color w:val="1C3A36"/>
                <w:sz w:val="14"/>
              </w:rPr>
              <w:t>0.0507</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Kuwait, total equity risk premium on the ratings basis</w:t>
            </w:r>
          </w:p>
        </w:tc>
      </w:tr>
      <w:tr>
        <w:tc>
          <w:tcPr>
            <w:tcW w:type="dxa" w:w="1944"/>
          </w:tcPr>
          <w:p>
            <w:pPr>
              <w:spacing w:after="20"/>
            </w:pPr>
            <w:r>
              <w:rPr>
                <w:color w:val="1C3A36"/>
                <w:sz w:val="14"/>
              </w:rPr>
              <w:t>erp cds kuwait</w:t>
            </w:r>
          </w:p>
        </w:tc>
        <w:tc>
          <w:tcPr>
            <w:tcW w:type="dxa" w:w="1368"/>
          </w:tcPr>
          <w:p>
            <w:pPr>
              <w:spacing w:after="20"/>
              <w:jc w:val="right"/>
            </w:pPr>
            <w:r>
              <w:rPr>
                <w:color w:val="1C3A36"/>
                <w:sz w:val="14"/>
              </w:rPr>
              <w:t>0.054</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Kuwait, equity risk premium on the sovereign credit-default-swap basis</w:t>
            </w:r>
          </w:p>
        </w:tc>
      </w:tr>
      <w:tr>
        <w:tc>
          <w:tcPr>
            <w:tcW w:type="dxa" w:w="1944"/>
          </w:tcPr>
          <w:p>
            <w:pPr>
              <w:spacing w:after="20"/>
            </w:pPr>
            <w:r>
              <w:rPr>
                <w:color w:val="1C3A36"/>
                <w:sz w:val="14"/>
              </w:rPr>
              <w:t>erp rating egypt</w:t>
            </w:r>
          </w:p>
        </w:tc>
        <w:tc>
          <w:tcPr>
            <w:tcW w:type="dxa" w:w="1368"/>
          </w:tcPr>
          <w:p>
            <w:pPr>
              <w:spacing w:after="20"/>
              <w:jc w:val="right"/>
            </w:pPr>
            <w:r>
              <w:rPr>
                <w:color w:val="1C3A36"/>
                <w:sz w:val="14"/>
              </w:rPr>
              <w:t>0.1348</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Egypt, total equity risk premium on the ratings basis</w:t>
            </w:r>
          </w:p>
        </w:tc>
      </w:tr>
      <w:tr>
        <w:tc>
          <w:tcPr>
            <w:tcW w:type="dxa" w:w="1944"/>
          </w:tcPr>
          <w:p>
            <w:pPr>
              <w:spacing w:after="20"/>
            </w:pPr>
            <w:r>
              <w:rPr>
                <w:color w:val="1C3A36"/>
                <w:sz w:val="14"/>
              </w:rPr>
              <w:t>erp cds egypt</w:t>
            </w:r>
          </w:p>
        </w:tc>
        <w:tc>
          <w:tcPr>
            <w:tcW w:type="dxa" w:w="1368"/>
          </w:tcPr>
          <w:p>
            <w:pPr>
              <w:spacing w:after="20"/>
              <w:jc w:val="right"/>
            </w:pPr>
            <w:r>
              <w:rPr>
                <w:color w:val="1C3A36"/>
                <w:sz w:val="14"/>
              </w:rPr>
              <w:t>0.0952</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Egypt, equity risk premium on the sovereign credit-default-swap basis</w:t>
            </w:r>
          </w:p>
        </w:tc>
      </w:tr>
      <w:tr>
        <w:tc>
          <w:tcPr>
            <w:tcW w:type="dxa" w:w="1944"/>
          </w:tcPr>
          <w:p>
            <w:pPr>
              <w:spacing w:after="20"/>
            </w:pPr>
            <w:r>
              <w:rPr>
                <w:color w:val="1C3A36"/>
                <w:sz w:val="14"/>
              </w:rPr>
              <w:t>erp rating morocco</w:t>
            </w:r>
          </w:p>
        </w:tc>
        <w:tc>
          <w:tcPr>
            <w:tcW w:type="dxa" w:w="1368"/>
          </w:tcPr>
          <w:p>
            <w:pPr>
              <w:spacing w:after="20"/>
              <w:jc w:val="right"/>
            </w:pPr>
            <w:r>
              <w:rPr>
                <w:color w:val="1C3A36"/>
                <w:sz w:val="14"/>
              </w:rPr>
              <w:t>0.073</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Morocco, total equity risk premium on the ratings basis</w:t>
            </w:r>
          </w:p>
        </w:tc>
      </w:tr>
      <w:tr>
        <w:tc>
          <w:tcPr>
            <w:tcW w:type="dxa" w:w="1944"/>
          </w:tcPr>
          <w:p>
            <w:pPr>
              <w:spacing w:after="20"/>
            </w:pPr>
            <w:r>
              <w:rPr>
                <w:color w:val="1C3A36"/>
                <w:sz w:val="14"/>
              </w:rPr>
              <w:t>erp cds morocco</w:t>
            </w:r>
          </w:p>
        </w:tc>
        <w:tc>
          <w:tcPr>
            <w:tcW w:type="dxa" w:w="1368"/>
          </w:tcPr>
          <w:p>
            <w:pPr>
              <w:spacing w:after="20"/>
              <w:jc w:val="right"/>
            </w:pPr>
            <w:r>
              <w:rPr>
                <w:color w:val="1C3A36"/>
                <w:sz w:val="14"/>
              </w:rPr>
              <w:t>0.06</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Morocco, equity risk premium on the sovereign credit-default-swap basis</w:t>
            </w:r>
          </w:p>
        </w:tc>
      </w:tr>
      <w:tr>
        <w:tc>
          <w:tcPr>
            <w:tcW w:type="dxa" w:w="1944"/>
          </w:tcPr>
          <w:p>
            <w:pPr>
              <w:spacing w:after="20"/>
            </w:pPr>
            <w:r>
              <w:rPr>
                <w:color w:val="1C3A36"/>
                <w:sz w:val="14"/>
              </w:rPr>
              <w:t>erp rating qatar</w:t>
            </w:r>
          </w:p>
        </w:tc>
        <w:tc>
          <w:tcPr>
            <w:tcW w:type="dxa" w:w="1368"/>
          </w:tcPr>
          <w:p>
            <w:pPr>
              <w:spacing w:after="20"/>
              <w:jc w:val="right"/>
            </w:pPr>
            <w:r>
              <w:rPr>
                <w:color w:val="1C3A36"/>
                <w:sz w:val="14"/>
              </w:rPr>
              <w:t>0.0481</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Qatar, total equity risk premium on the ratings basis</w:t>
            </w:r>
          </w:p>
        </w:tc>
      </w:tr>
      <w:tr>
        <w:tc>
          <w:tcPr>
            <w:tcW w:type="dxa" w:w="1944"/>
          </w:tcPr>
          <w:p>
            <w:pPr>
              <w:spacing w:after="20"/>
            </w:pPr>
            <w:r>
              <w:rPr>
                <w:color w:val="1C3A36"/>
                <w:sz w:val="14"/>
              </w:rPr>
              <w:t>erp cds qatar</w:t>
            </w:r>
          </w:p>
        </w:tc>
        <w:tc>
          <w:tcPr>
            <w:tcW w:type="dxa" w:w="1368"/>
          </w:tcPr>
          <w:p>
            <w:pPr>
              <w:spacing w:after="20"/>
              <w:jc w:val="right"/>
            </w:pPr>
            <w:r>
              <w:rPr>
                <w:color w:val="1C3A36"/>
                <w:sz w:val="14"/>
              </w:rPr>
              <w:t>0.049</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Qatar, equity risk premium on the sovereign credit-default-swap basis</w:t>
            </w:r>
          </w:p>
        </w:tc>
      </w:tr>
      <w:tr>
        <w:tc>
          <w:tcPr>
            <w:tcW w:type="dxa" w:w="1944"/>
          </w:tcPr>
          <w:p>
            <w:pPr>
              <w:spacing w:after="20"/>
            </w:pPr>
            <w:r>
              <w:rPr>
                <w:color w:val="1C3A36"/>
                <w:sz w:val="14"/>
              </w:rPr>
              <w:t>erp rating oman</w:t>
            </w:r>
          </w:p>
        </w:tc>
        <w:tc>
          <w:tcPr>
            <w:tcW w:type="dxa" w:w="1368"/>
          </w:tcPr>
          <w:p>
            <w:pPr>
              <w:spacing w:after="20"/>
              <w:jc w:val="right"/>
            </w:pPr>
            <w:r>
              <w:rPr>
                <w:color w:val="1C3A36"/>
                <w:sz w:val="14"/>
              </w:rPr>
              <w:t>0.0692</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Oman, total equity risk premium on the ratings basis</w:t>
            </w:r>
          </w:p>
        </w:tc>
      </w:tr>
      <w:tr>
        <w:tc>
          <w:tcPr>
            <w:tcW w:type="dxa" w:w="1944"/>
          </w:tcPr>
          <w:p>
            <w:pPr>
              <w:spacing w:after="20"/>
            </w:pPr>
            <w:r>
              <w:rPr>
                <w:color w:val="1C3A36"/>
                <w:sz w:val="14"/>
              </w:rPr>
              <w:t>erp cds oman</w:t>
            </w:r>
          </w:p>
        </w:tc>
        <w:tc>
          <w:tcPr>
            <w:tcW w:type="dxa" w:w="1368"/>
          </w:tcPr>
          <w:p>
            <w:pPr>
              <w:spacing w:after="20"/>
              <w:jc w:val="right"/>
            </w:pPr>
            <w:r>
              <w:rPr>
                <w:color w:val="1C3A36"/>
                <w:sz w:val="14"/>
              </w:rPr>
              <w:t>0.0589</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Oman, equity risk premium on the sovereign credit-default-swap basis</w:t>
            </w:r>
          </w:p>
        </w:tc>
      </w:tr>
      <w:tr>
        <w:tc>
          <w:tcPr>
            <w:tcW w:type="dxa" w:w="1944"/>
          </w:tcPr>
          <w:p>
            <w:pPr>
              <w:spacing w:after="20"/>
            </w:pPr>
            <w:r>
              <w:rPr>
                <w:color w:val="1C3A36"/>
                <w:sz w:val="14"/>
              </w:rPr>
              <w:t>erp rating bahrain</w:t>
            </w:r>
          </w:p>
        </w:tc>
        <w:tc>
          <w:tcPr>
            <w:tcW w:type="dxa" w:w="1368"/>
          </w:tcPr>
          <w:p>
            <w:pPr>
              <w:spacing w:after="20"/>
              <w:jc w:val="right"/>
            </w:pPr>
            <w:r>
              <w:rPr>
                <w:color w:val="1C3A36"/>
                <w:sz w:val="14"/>
              </w:rPr>
              <w:t>0.1101</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Bahrain, total equity risk premium on the ratings basis</w:t>
            </w:r>
          </w:p>
        </w:tc>
      </w:tr>
      <w:tr>
        <w:tc>
          <w:tcPr>
            <w:tcW w:type="dxa" w:w="1944"/>
          </w:tcPr>
          <w:p>
            <w:pPr>
              <w:spacing w:after="20"/>
            </w:pPr>
            <w:r>
              <w:rPr>
                <w:color w:val="1C3A36"/>
                <w:sz w:val="14"/>
              </w:rPr>
              <w:t>erp cds bahrain</w:t>
            </w:r>
          </w:p>
        </w:tc>
        <w:tc>
          <w:tcPr>
            <w:tcW w:type="dxa" w:w="1368"/>
          </w:tcPr>
          <w:p>
            <w:pPr>
              <w:spacing w:after="20"/>
              <w:jc w:val="right"/>
            </w:pPr>
            <w:r>
              <w:rPr>
                <w:color w:val="1C3A36"/>
                <w:sz w:val="14"/>
              </w:rPr>
              <w:t>0.0865</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Bahrain, equity risk premium on the sovereign credit-default-swap basis</w:t>
            </w:r>
          </w:p>
        </w:tc>
      </w:tr>
      <w:tr>
        <w:tc>
          <w:tcPr>
            <w:tcW w:type="dxa" w:w="1944"/>
          </w:tcPr>
          <w:p>
            <w:pPr>
              <w:spacing w:after="20"/>
            </w:pPr>
            <w:r>
              <w:rPr>
                <w:color w:val="1C3A36"/>
                <w:sz w:val="14"/>
              </w:rPr>
              <w:t>erp rating kazakhstan</w:t>
            </w:r>
          </w:p>
        </w:tc>
        <w:tc>
          <w:tcPr>
            <w:tcW w:type="dxa" w:w="1368"/>
          </w:tcPr>
          <w:p>
            <w:pPr>
              <w:spacing w:after="20"/>
              <w:jc w:val="right"/>
            </w:pPr>
            <w:r>
              <w:rPr>
                <w:color w:val="1C3A36"/>
                <w:sz w:val="14"/>
              </w:rPr>
              <w:t>0.0618</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Kazakhstan, total equity risk premium on the ratings basis</w:t>
            </w:r>
          </w:p>
        </w:tc>
      </w:tr>
      <w:tr>
        <w:tc>
          <w:tcPr>
            <w:tcW w:type="dxa" w:w="1944"/>
          </w:tcPr>
          <w:p>
            <w:pPr>
              <w:spacing w:after="20"/>
            </w:pPr>
            <w:r>
              <w:rPr>
                <w:color w:val="1C3A36"/>
                <w:sz w:val="14"/>
              </w:rPr>
              <w:t>erp cds kazakhstan</w:t>
            </w:r>
          </w:p>
        </w:tc>
        <w:tc>
          <w:tcPr>
            <w:tcW w:type="dxa" w:w="1368"/>
          </w:tcPr>
          <w:p>
            <w:pPr>
              <w:spacing w:after="20"/>
              <w:jc w:val="right"/>
            </w:pPr>
            <w:r>
              <w:rPr>
                <w:color w:val="1C3A36"/>
                <w:sz w:val="14"/>
              </w:rPr>
              <w:t>0.0589</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Kazakhstan, equity risk premium on the sovereign credit-default-swap basis</w:t>
            </w:r>
          </w:p>
        </w:tc>
      </w:tr>
      <w:tr>
        <w:tc>
          <w:tcPr>
            <w:tcW w:type="dxa" w:w="1944"/>
          </w:tcPr>
          <w:p>
            <w:pPr>
              <w:spacing w:after="20"/>
            </w:pPr>
            <w:r>
              <w:rPr>
                <w:color w:val="1C3A36"/>
                <w:sz w:val="14"/>
              </w:rPr>
              <w:t>erp rating iraq</w:t>
            </w:r>
          </w:p>
        </w:tc>
        <w:tc>
          <w:tcPr>
            <w:tcW w:type="dxa" w:w="1368"/>
          </w:tcPr>
          <w:p>
            <w:pPr>
              <w:spacing w:after="20"/>
              <w:jc w:val="right"/>
            </w:pPr>
            <w:r>
              <w:rPr>
                <w:color w:val="1C3A36"/>
                <w:sz w:val="14"/>
              </w:rPr>
              <w:t>0.1348</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Iraq, total equity risk premium on the ratings basis</w:t>
            </w:r>
          </w:p>
        </w:tc>
      </w:tr>
      <w:tr>
        <w:tc>
          <w:tcPr>
            <w:tcW w:type="dxa" w:w="1944"/>
          </w:tcPr>
          <w:p>
            <w:pPr>
              <w:spacing w:after="20"/>
            </w:pPr>
            <w:r>
              <w:rPr>
                <w:color w:val="1C3A36"/>
                <w:sz w:val="14"/>
              </w:rPr>
              <w:t>erp cds iraq</w:t>
            </w:r>
          </w:p>
        </w:tc>
        <w:tc>
          <w:tcPr>
            <w:tcW w:type="dxa" w:w="1368"/>
          </w:tcPr>
          <w:p>
            <w:pPr>
              <w:spacing w:after="20"/>
              <w:jc w:val="right"/>
            </w:pPr>
            <w:r>
              <w:rPr>
                <w:color w:val="1C3A36"/>
                <w:sz w:val="14"/>
              </w:rPr>
              <w:t>0.1</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Iraq, equity risk premium on the sovereign credit-default-swap basis</w:t>
            </w:r>
          </w:p>
        </w:tc>
      </w:tr>
      <w:tr>
        <w:tc>
          <w:tcPr>
            <w:tcW w:type="dxa" w:w="1944"/>
          </w:tcPr>
          <w:p>
            <w:pPr>
              <w:spacing w:after="20"/>
            </w:pPr>
            <w:r>
              <w:rPr>
                <w:color w:val="1C3A36"/>
                <w:sz w:val="14"/>
              </w:rPr>
              <w:t>erp rating lebanon</w:t>
            </w:r>
          </w:p>
        </w:tc>
        <w:tc>
          <w:tcPr>
            <w:tcW w:type="dxa" w:w="1368"/>
          </w:tcPr>
          <w:p>
            <w:pPr>
              <w:spacing w:after="20"/>
              <w:jc w:val="right"/>
            </w:pPr>
            <w:r>
              <w:rPr>
                <w:color w:val="1C3A36"/>
                <w:sz w:val="14"/>
              </w:rPr>
              <w:t>0.314</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Lebanon, total equity risk premium on the ratings basis</w:t>
            </w:r>
          </w:p>
        </w:tc>
      </w:tr>
      <w:tr>
        <w:tc>
          <w:tcPr>
            <w:tcW w:type="dxa" w:w="1944"/>
          </w:tcPr>
          <w:p>
            <w:pPr>
              <w:spacing w:after="20"/>
            </w:pPr>
            <w:r>
              <w:rPr>
                <w:color w:val="1C3A36"/>
                <w:sz w:val="14"/>
              </w:rPr>
              <w:t>erp cds lebanon</w:t>
            </w:r>
          </w:p>
        </w:tc>
        <w:tc>
          <w:tcPr>
            <w:tcW w:type="dxa" w:w="1368"/>
          </w:tcPr>
          <w:p>
            <w:pPr>
              <w:spacing w:after="20"/>
              <w:jc w:val="right"/>
            </w:pPr>
            <w:r>
              <w:rPr>
                <w:color w:val="1C3A36"/>
                <w:sz w:val="14"/>
              </w:rPr>
              <w:t>0.314</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Lebanon, equity risk premium on the sovereign credit-default-swap basis — no CDS is published for this sovereign, so the ratings-basis premium is carried here and the substitution is flagged</w:t>
            </w:r>
          </w:p>
        </w:tc>
      </w:tr>
      <w:tr>
        <w:tc>
          <w:tcPr>
            <w:tcW w:type="dxa" w:w="1944"/>
          </w:tcPr>
          <w:p>
            <w:pPr>
              <w:spacing w:after="20"/>
            </w:pPr>
            <w:r>
              <w:rPr>
                <w:color w:val="1C3A36"/>
                <w:sz w:val="14"/>
              </w:rPr>
              <w:t>erp rating jordan</w:t>
            </w:r>
          </w:p>
        </w:tc>
        <w:tc>
          <w:tcPr>
            <w:tcW w:type="dxa" w:w="1368"/>
          </w:tcPr>
          <w:p>
            <w:pPr>
              <w:spacing w:after="20"/>
              <w:jc w:val="right"/>
            </w:pPr>
            <w:r>
              <w:rPr>
                <w:color w:val="1C3A36"/>
                <w:sz w:val="14"/>
              </w:rPr>
              <w:t>0.0865</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Jordan, total equity risk premium on the ratings basis</w:t>
            </w:r>
          </w:p>
        </w:tc>
      </w:tr>
      <w:tr>
        <w:tc>
          <w:tcPr>
            <w:tcW w:type="dxa" w:w="1944"/>
          </w:tcPr>
          <w:p>
            <w:pPr>
              <w:spacing w:after="20"/>
            </w:pPr>
            <w:r>
              <w:rPr>
                <w:color w:val="1C3A36"/>
                <w:sz w:val="14"/>
              </w:rPr>
              <w:t>erp cds jordan</w:t>
            </w:r>
          </w:p>
        </w:tc>
        <w:tc>
          <w:tcPr>
            <w:tcW w:type="dxa" w:w="1368"/>
          </w:tcPr>
          <w:p>
            <w:pPr>
              <w:spacing w:after="20"/>
              <w:jc w:val="right"/>
            </w:pPr>
            <w:r>
              <w:rPr>
                <w:color w:val="1C3A36"/>
                <w:sz w:val="14"/>
              </w:rPr>
              <w:t>0.0865</w:t>
            </w:r>
          </w:p>
        </w:tc>
        <w:tc>
          <w:tcPr>
            <w:tcW w:type="dxa" w:w="1037"/>
          </w:tcPr>
          <w:p>
            <w:pPr>
              <w:spacing w:after="20"/>
              <w:jc w:val="right"/>
            </w:pPr>
            <w:r>
              <w:rPr>
                <w:color w:val="1C3A36"/>
                <w:sz w:val="14"/>
              </w:rPr>
              <w:t>2026-01-05</w:t>
            </w:r>
          </w:p>
        </w:tc>
        <w:tc>
          <w:tcPr>
            <w:tcW w:type="dxa" w:w="5731"/>
          </w:tcPr>
          <w:p>
            <w:pPr>
              <w:spacing w:after="20"/>
              <w:jc w:val="right"/>
            </w:pPr>
            <w:r>
              <w:rPr>
                <w:color w:val="1C3A36"/>
                <w:sz w:val="14"/>
              </w:rPr>
              <w:t>Country default spreads and risk premiums, Aswath Damodaran (NYU Stern), ctrypremJuly26 data file, published 15 July 2026, read from the original file — the edition current at the anchor date, adopted in the critique-response round in place of the January 2026 vintage used at first delivery: Jordan, equity risk premium on the sovereign credit-default-swap basis — no CDS is published for this sovereign, so the ratings-basis premium is carried here and the substitution is flagged</w:t>
            </w:r>
          </w:p>
        </w:tc>
      </w:tr>
      <w:tr>
        <w:tc>
          <w:tcPr>
            <w:tcW w:type="dxa" w:w="1944"/>
          </w:tcPr>
          <w:p>
            <w:pPr>
              <w:spacing w:after="20"/>
            </w:pPr>
            <w:r>
              <w:rPr>
                <w:color w:val="1C3A36"/>
                <w:sz w:val="14"/>
              </w:rPr>
              <w:t>terminal growth</w:t>
            </w:r>
          </w:p>
        </w:tc>
        <w:tc>
          <w:tcPr>
            <w:tcW w:type="dxa" w:w="1368"/>
          </w:tcPr>
          <w:p>
            <w:pPr>
              <w:spacing w:after="20"/>
              <w:jc w:val="right"/>
            </w:pPr>
            <w:r>
              <w:rPr>
                <w:color w:val="1C3A36"/>
                <w:sz w:val="14"/>
              </w:rPr>
              <w:t>0.03</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Long-run growth in US dollars. The pegged Gulf markets that produce most of the revenue are projected by the IMF at about 2% inflation from 2028 onward, and a mature restaurant estate can add roughly one point of real volume on top. The figure is deliberately set far below the risk-free rate, which is the ceiling any perpetual growth assumption has to respect. Source for the inflation and real-growth paths: IMF World Economic Outlook, retrieved through the IMF DataMapper API, 9 August 2026</w:t>
            </w:r>
          </w:p>
        </w:tc>
      </w:tr>
      <w:tr>
        <w:tc>
          <w:tcPr>
            <w:tcW w:type="dxa" w:w="1944"/>
          </w:tcPr>
          <w:p>
            <w:pPr>
              <w:spacing w:after="20"/>
            </w:pPr>
            <w:r>
              <w:rPr>
                <w:color w:val="1C3A36"/>
                <w:sz w:val="14"/>
              </w:rPr>
              <w:t>terminal risk free</w:t>
            </w:r>
          </w:p>
        </w:tc>
        <w:tc>
          <w:tcPr>
            <w:tcW w:type="dxa" w:w="1368"/>
          </w:tcPr>
          <w:p>
            <w:pPr>
              <w:spacing w:after="20"/>
              <w:jc w:val="right"/>
            </w:pPr>
            <w:r>
              <w:rPr>
                <w:color w:val="1C3A36"/>
                <w:sz w:val="14"/>
              </w:rPr>
              <w:t>0.0445</w:t>
            </w:r>
          </w:p>
        </w:tc>
        <w:tc>
          <w:tcPr>
            <w:tcW w:type="dxa" w:w="1037"/>
          </w:tcPr>
          <w:p>
            <w:pPr>
              <w:spacing w:after="20"/>
              <w:jc w:val="right"/>
            </w:pPr>
            <w:r>
              <w:rPr>
                <w:color w:val="1C3A36"/>
                <w:sz w:val="14"/>
              </w:rPr>
              <w:t>2026-08-07</w:t>
            </w:r>
          </w:p>
        </w:tc>
        <w:tc>
          <w:tcPr>
            <w:tcW w:type="dxa" w:w="5731"/>
          </w:tcPr>
          <w:p>
            <w:pPr>
              <w:spacing w:after="20"/>
              <w:jc w:val="right"/>
            </w:pPr>
            <w:r>
              <w:rPr>
                <w:color w:val="1C3A36"/>
                <w:sz w:val="14"/>
              </w:rPr>
              <w:t>Terminal US dollar risk-free rate: the ten-year Treasury par yield of 4.65% less the US sovereign default spread of 0.22%, rounded to the nearest five basis points (4.43% -&gt; 4.45%) and held flat. The first delivery carried 4.30%, which did not follow this stated construction; corrected in the critique-response round.</w:t>
            </w:r>
          </w:p>
        </w:tc>
      </w:tr>
    </w:tbl>
    <w:p>
      <w:pPr>
        <w:spacing w:after="40"/>
      </w:pPr>
    </w:p>
    <w:p>
      <w:pPr>
        <w:spacing w:after="80" w:before="200"/>
      </w:pPr>
      <w:r>
        <w:rPr>
          <w:b/>
          <w:i w:val="0"/>
          <w:color w:val="1C3A36"/>
          <w:sz w:val="24"/>
        </w:rPr>
        <w:t>3.5  Industry  (3 inputs)</w:t>
      </w:r>
    </w:p>
    <w:p>
      <w:pPr>
        <w:spacing w:after="80" w:before="0"/>
      </w:pPr>
      <w:r>
        <w:rPr>
          <w:b w:val="0"/>
          <w:i/>
          <w:color w:val="6E7B77"/>
          <w:sz w:val="19"/>
        </w:rPr>
        <w:t>External, used as a cross-check.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368"/>
        <w:gridCol w:w="1037"/>
        <w:gridCol w:w="5731"/>
      </w:tblGrid>
      <w:tr>
        <w:tc>
          <w:tcPr>
            <w:tcW w:type="dxa" w:w="1944"/>
            <w:shd w:val="clear" w:color="auto" w:fill="EAF0EE"/>
          </w:tcPr>
          <w:p>
            <w:pPr>
              <w:spacing w:after="20"/>
            </w:pPr>
            <w:r>
              <w:rPr>
                <w:b/>
                <w:color w:val="1C3A36"/>
                <w:sz w:val="14"/>
              </w:rPr>
              <w:t>Input</w:t>
            </w:r>
          </w:p>
        </w:tc>
        <w:tc>
          <w:tcPr>
            <w:tcW w:type="dxa" w:w="1368"/>
            <w:shd w:val="clear" w:color="auto" w:fill="EAF0EE"/>
          </w:tcPr>
          <w:p>
            <w:pPr>
              <w:spacing w:after="20"/>
            </w:pPr>
            <w:r>
              <w:rPr>
                <w:b/>
                <w:color w:val="1C3A36"/>
                <w:sz w:val="14"/>
              </w:rPr>
              <w:t>Value</w:t>
            </w:r>
          </w:p>
        </w:tc>
        <w:tc>
          <w:tcPr>
            <w:tcW w:type="dxa" w:w="1037"/>
            <w:shd w:val="clear" w:color="auto" w:fill="EAF0EE"/>
          </w:tcPr>
          <w:p>
            <w:pPr>
              <w:spacing w:after="20"/>
            </w:pPr>
            <w:r>
              <w:rPr>
                <w:b/>
                <w:color w:val="1C3A36"/>
                <w:sz w:val="14"/>
              </w:rPr>
              <w:t>Date</w:t>
            </w:r>
          </w:p>
        </w:tc>
        <w:tc>
          <w:tcPr>
            <w:tcW w:type="dxa" w:w="5731"/>
            <w:shd w:val="clear" w:color="auto" w:fill="EAF0EE"/>
          </w:tcPr>
          <w:p>
            <w:pPr>
              <w:spacing w:after="20"/>
            </w:pPr>
            <w:r>
              <w:rPr>
                <w:b/>
                <w:color w:val="1C3A36"/>
                <w:sz w:val="14"/>
              </w:rPr>
              <w:t>Source and construction</w:t>
            </w:r>
          </w:p>
        </w:tc>
      </w:tr>
      <w:tr>
        <w:tc>
          <w:tcPr>
            <w:tcW w:type="dxa" w:w="1944"/>
          </w:tcPr>
          <w:p>
            <w:pPr>
              <w:spacing w:after="20"/>
            </w:pPr>
            <w:r>
              <w:rPr>
                <w:color w:val="1C3A36"/>
                <w:sz w:val="14"/>
              </w:rPr>
              <w:t>peer frame</w:t>
            </w:r>
          </w:p>
        </w:tc>
        <w:tc>
          <w:tcPr>
            <w:tcW w:type="dxa" w:w="1368"/>
          </w:tcPr>
          <w:p>
            <w:pPr>
              <w:spacing w:after="20"/>
              <w:jc w:val="right"/>
            </w:pPr>
            <w:r>
              <w:rPr>
                <w:color w:val="1C3A36"/>
                <w:sz w:val="14"/>
              </w:rPr>
              <w:t>see the peer table</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Yahoo Finance quoteSummary API (query2.finance.yahoo.com/v10/finance/quoteSummary), trailing-twelve-month figures as published, retrieved 9 August 2026. CROSS-CHECK ONLY — no figure here enters the Americana build; Americana’s own historicals come exclusively from its audited consolidated financial statements.</w:t>
            </w:r>
          </w:p>
        </w:tc>
      </w:tr>
      <w:tr>
        <w:tc>
          <w:tcPr>
            <w:tcW w:type="dxa" w:w="1944"/>
          </w:tcPr>
          <w:p>
            <w:pPr>
              <w:spacing w:after="20"/>
            </w:pPr>
            <w:r>
              <w:rPr>
                <w:color w:val="1C3A36"/>
                <w:sz w:val="14"/>
              </w:rPr>
              <w:t>justified ev ebitda</w:t>
            </w:r>
          </w:p>
        </w:tc>
        <w:tc>
          <w:tcPr>
            <w:tcW w:type="dxa" w:w="1368"/>
          </w:tcPr>
          <w:p>
            <w:pPr>
              <w:spacing w:after="20"/>
              <w:jc w:val="right"/>
            </w:pPr>
            <w:r>
              <w:rPr>
                <w:color w:val="1C3A36"/>
                <w:sz w:val="14"/>
              </w:rPr>
              <w:t>8.5</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Justified enterprise value to EBITDA. The peer median on a post-lease basis is 16.9 times across the usable comparators, but every one of them is either a franchisor keeping a royalty margin rather than an operator, or a listed franchisee on a different growth and currency profile. 8.5 times is set below the peer median to reflect that Americana is the operator, not the brand owner, and carries the whole lease estate on its balance sheet. Source of the peer figures, as a cross-check only: Yahoo Finance quoteSummary API (query2.finance.yahoo.com/v10/finance/quoteSummary), trailing-twelve-month figures as published, retrieved 9 August 2026. CROSS-CHECK ONLY — no figure here enters the Americana build; Americana’s own historicals come exclusively from its audited consolidated financial statements.</w:t>
            </w:r>
          </w:p>
        </w:tc>
      </w:tr>
      <w:tr>
        <w:tc>
          <w:tcPr>
            <w:tcW w:type="dxa" w:w="1944"/>
          </w:tcPr>
          <w:p>
            <w:pPr>
              <w:spacing w:after="20"/>
            </w:pPr>
            <w:r>
              <w:rPr>
                <w:color w:val="1C3A36"/>
                <w:sz w:val="14"/>
              </w:rPr>
              <w:t>justified pe</w:t>
            </w:r>
          </w:p>
        </w:tc>
        <w:tc>
          <w:tcPr>
            <w:tcW w:type="dxa" w:w="1368"/>
          </w:tcPr>
          <w:p>
            <w:pPr>
              <w:spacing w:after="20"/>
              <w:jc w:val="right"/>
            </w:pPr>
            <w:r>
              <w:rPr>
                <w:color w:val="1C3A36"/>
                <w:sz w:val="14"/>
              </w:rPr>
              <w:t>17</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Justified price to earnings. The usable peer median is 18.8 times; 17 times sits just below it, which is where a high-return, cash-generative operator with a mid-single-digit like-for-like growth rate and a heavy dividend belongs. Source of the peer figures, as a cross-check only: Yahoo Finance quoteSummary API (query2.finance.yahoo.com/v10/finance/quoteSummary), trailing-twelve-month figures as published, retrieved 9 August 2026. CROSS-CHECK ONLY — no figure here enters the Americana build; Americana’s own historicals come exclusively from its audited consolidated financial statements.</w:t>
            </w:r>
          </w:p>
        </w:tc>
      </w:tr>
    </w:tbl>
    <w:p>
      <w:pPr>
        <w:spacing w:after="40"/>
      </w:pPr>
    </w:p>
    <w:p>
      <w:pPr>
        <w:spacing w:after="80" w:before="200"/>
      </w:pPr>
      <w:r>
        <w:rPr>
          <w:b/>
          <w:i w:val="0"/>
          <w:color w:val="1C3A36"/>
          <w:sz w:val="24"/>
        </w:rPr>
        <w:t>3.6  House estimate  (21 inputs)</w:t>
      </w:r>
    </w:p>
    <w:p>
      <w:pPr>
        <w:spacing w:after="80" w:before="0"/>
      </w:pPr>
      <w:r>
        <w:rPr>
          <w:b w:val="0"/>
          <w:i/>
          <w:color w:val="6E7B77"/>
          <w:sz w:val="19"/>
        </w:rPr>
        <w:t>This study's own judgement. Each one states its reasoning and what it rests 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368"/>
        <w:gridCol w:w="1037"/>
        <w:gridCol w:w="5731"/>
      </w:tblGrid>
      <w:tr>
        <w:tc>
          <w:tcPr>
            <w:tcW w:type="dxa" w:w="1944"/>
            <w:shd w:val="clear" w:color="auto" w:fill="EAF0EE"/>
          </w:tcPr>
          <w:p>
            <w:pPr>
              <w:spacing w:after="20"/>
            </w:pPr>
            <w:r>
              <w:rPr>
                <w:b/>
                <w:color w:val="1C3A36"/>
                <w:sz w:val="14"/>
              </w:rPr>
              <w:t>Input</w:t>
            </w:r>
          </w:p>
        </w:tc>
        <w:tc>
          <w:tcPr>
            <w:tcW w:type="dxa" w:w="1368"/>
            <w:shd w:val="clear" w:color="auto" w:fill="EAF0EE"/>
          </w:tcPr>
          <w:p>
            <w:pPr>
              <w:spacing w:after="20"/>
            </w:pPr>
            <w:r>
              <w:rPr>
                <w:b/>
                <w:color w:val="1C3A36"/>
                <w:sz w:val="14"/>
              </w:rPr>
              <w:t>Value</w:t>
            </w:r>
          </w:p>
        </w:tc>
        <w:tc>
          <w:tcPr>
            <w:tcW w:type="dxa" w:w="1037"/>
            <w:shd w:val="clear" w:color="auto" w:fill="EAF0EE"/>
          </w:tcPr>
          <w:p>
            <w:pPr>
              <w:spacing w:after="20"/>
            </w:pPr>
            <w:r>
              <w:rPr>
                <w:b/>
                <w:color w:val="1C3A36"/>
                <w:sz w:val="14"/>
              </w:rPr>
              <w:t>Date</w:t>
            </w:r>
          </w:p>
        </w:tc>
        <w:tc>
          <w:tcPr>
            <w:tcW w:type="dxa" w:w="5731"/>
            <w:shd w:val="clear" w:color="auto" w:fill="EAF0EE"/>
          </w:tcPr>
          <w:p>
            <w:pPr>
              <w:spacing w:after="20"/>
            </w:pPr>
            <w:r>
              <w:rPr>
                <w:b/>
                <w:color w:val="1C3A36"/>
                <w:sz w:val="14"/>
              </w:rPr>
              <w:t>Source and construction</w:t>
            </w:r>
          </w:p>
        </w:tc>
      </w:tr>
      <w:tr>
        <w:tc>
          <w:tcPr>
            <w:tcW w:type="dxa" w:w="1944"/>
          </w:tcPr>
          <w:p>
            <w:pPr>
              <w:spacing w:after="20"/>
            </w:pPr>
            <w:r>
              <w:rPr>
                <w:color w:val="1C3A36"/>
                <w:sz w:val="14"/>
              </w:rPr>
              <w:t>nso mix</w:t>
            </w:r>
          </w:p>
        </w:tc>
        <w:tc>
          <w:tcPr>
            <w:tcW w:type="dxa" w:w="1368"/>
          </w:tcPr>
          <w:p>
            <w:pPr>
              <w:spacing w:after="20"/>
              <w:jc w:val="right"/>
            </w:pPr>
            <w:r>
              <w:rPr>
                <w:color w:val="1C3A36"/>
                <w:sz w:val="14"/>
              </w:rPr>
              <w:t>UAE 0.26; Saudi Arabia 0.3; Kuwait 0.06; Egypt 0.12</w:t>
            </w:r>
          </w:p>
        </w:tc>
        <w:tc>
          <w:tcPr>
            <w:tcW w:type="dxa" w:w="1037"/>
          </w:tcPr>
          <w:p>
            <w:pPr>
              <w:spacing w:after="20"/>
              <w:jc w:val="right"/>
            </w:pPr>
            <w:r>
              <w:rPr>
                <w:color w:val="1C3A36"/>
                <w:sz w:val="14"/>
              </w:rPr>
              <w:t>2026-07-28</w:t>
            </w:r>
          </w:p>
        </w:tc>
        <w:tc>
          <w:tcPr>
            <w:tcW w:type="dxa" w:w="5731"/>
          </w:tcPr>
          <w:p>
            <w:pPr>
              <w:spacing w:after="20"/>
              <w:jc w:val="right"/>
            </w:pPr>
            <w:r>
              <w:rPr>
                <w:color w:val="1C3A36"/>
                <w:sz w:val="14"/>
              </w:rPr>
              <w:t>Allocation of net new restaurants across markets. Set from where the estate has actually been growing: over the eighteen months to 30 June 2026 Saudi Arabia and the UAE together took roughly 56% of net additions, and the split here holds that shape. An estimate at the allocation step only — the total is the company's own guidance, and the group revenue result is insensitive to the split because revenue per restaurant differs across markets by less than the growth rates do.</w:t>
            </w:r>
          </w:p>
        </w:tc>
      </w:tr>
      <w:tr>
        <w:tc>
          <w:tcPr>
            <w:tcW w:type="dxa" w:w="1944"/>
          </w:tcPr>
          <w:p>
            <w:pPr>
              <w:spacing w:after="20"/>
            </w:pPr>
            <w:r>
              <w:rPr>
                <w:color w:val="1C3A36"/>
                <w:sz w:val="14"/>
              </w:rPr>
              <w:t>lfl path</w:t>
            </w:r>
          </w:p>
        </w:tc>
        <w:tc>
          <w:tcPr>
            <w:tcW w:type="dxa" w:w="1368"/>
          </w:tcPr>
          <w:p>
            <w:pPr>
              <w:spacing w:after="20"/>
              <w:jc w:val="right"/>
            </w:pPr>
            <w:r>
              <w:rPr>
                <w:color w:val="1C3A36"/>
                <w:sz w:val="14"/>
              </w:rPr>
              <w:t>0.055, 0.045, 0.04, 0.037, 0.035</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Like-for-like sales growth. FY2026 is set just below the 6.3% the company actually delivered in the first half and consistent with its own guidance of mid-single-digit like-for-like growth for the full year; the path then converges toward the roughly 2% long-run inflation the IMF projects for the pegged Gulf markets plus continued menu and mix work. Sources: H1 2026 earnings press release, Americana Restaurants International PLC, 28 July 2026; IMF World Economic Outlook, retrieved through the IMF DataMapper API, 9 August 2026</w:t>
            </w:r>
          </w:p>
        </w:tc>
      </w:tr>
      <w:tr>
        <w:tc>
          <w:tcPr>
            <w:tcW w:type="dxa" w:w="1944"/>
          </w:tcPr>
          <w:p>
            <w:pPr>
              <w:spacing w:after="20"/>
            </w:pPr>
            <w:r>
              <w:rPr>
                <w:color w:val="1C3A36"/>
                <w:sz w:val="14"/>
              </w:rPr>
              <w:t>fx drag</w:t>
            </w:r>
          </w:p>
        </w:tc>
        <w:tc>
          <w:tcPr>
            <w:tcW w:type="dxa" w:w="1368"/>
          </w:tcPr>
          <w:p>
            <w:pPr>
              <w:spacing w:after="20"/>
              <w:jc w:val="right"/>
            </w:pPr>
            <w:r>
              <w:rPr>
                <w:color w:val="1C3A36"/>
                <w:sz w:val="14"/>
              </w:rPr>
              <w:t>UAE 0; Saudi Arabia 0; Kuwait 0; Egypt 0.025</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Annual drag on US dollar revenue per restaurant from currency. Zero wherever the currency is pegged to the dollar — the company reports that 83% of revenue is earned in stable pegged currencies. Egypt and the Kazakhstan-led Other-markets segment carry a drag equal to the excess of their projected inflation over US inflation, damped for the pass-through a restaurant business achieves through its own menu prices. Sources: H1 2026 earnings presentation, Americana Restaurants International PLC, published 28 July 2026; IMF World Economic Outlook, retrieved through the IMF DataMapper API, 9 August 2026</w:t>
            </w:r>
          </w:p>
        </w:tc>
      </w:tr>
      <w:tr>
        <w:tc>
          <w:tcPr>
            <w:tcW w:type="dxa" w:w="1944"/>
          </w:tcPr>
          <w:p>
            <w:pPr>
              <w:spacing w:after="20"/>
            </w:pPr>
            <w:r>
              <w:rPr>
                <w:color w:val="1C3A36"/>
                <w:sz w:val="14"/>
              </w:rPr>
              <w:t>cost path inventory</w:t>
            </w:r>
          </w:p>
        </w:tc>
        <w:tc>
          <w:tcPr>
            <w:tcW w:type="dxa" w:w="1368"/>
          </w:tcPr>
          <w:p>
            <w:pPr>
              <w:spacing w:after="20"/>
              <w:jc w:val="right"/>
            </w:pPr>
            <w:r>
              <w:rPr>
                <w:color w:val="1C3A36"/>
                <w:sz w:val="14"/>
              </w:rPr>
              <w:t>0.274, 0.2725, 0.2715, 0.271, 0.2705</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Food, filling and packing materials. Held at the 27.4% of revenue the company actually recorded in the first half of 2026 — down from 29.2% a year earlier on procurement and menu work — and then flat to marginally better as those programmes mature. This line is escalated on a traded food basket, never on a domestic price index. Base year from Audited consolidated financial statements for the year ended 31 December 2025, Americana Restaurants International PLC, audited by Deloitte &amp; Touche (M.E.) LLP, signed 6 February 2026, published on the company investor-relations site, notes 21, 22 and 23.</w:t>
            </w:r>
          </w:p>
        </w:tc>
      </w:tr>
      <w:tr>
        <w:tc>
          <w:tcPr>
            <w:tcW w:type="dxa" w:w="1944"/>
          </w:tcPr>
          <w:p>
            <w:pPr>
              <w:spacing w:after="20"/>
            </w:pPr>
            <w:r>
              <w:rPr>
                <w:color w:val="1C3A36"/>
                <w:sz w:val="14"/>
              </w:rPr>
              <w:t>cost path royalties</w:t>
            </w:r>
          </w:p>
        </w:tc>
        <w:tc>
          <w:tcPr>
            <w:tcW w:type="dxa" w:w="1368"/>
          </w:tcPr>
          <w:p>
            <w:pPr>
              <w:spacing w:after="20"/>
              <w:jc w:val="right"/>
            </w:pPr>
            <w:r>
              <w:rPr>
                <w:color w:val="1C3A36"/>
                <w:sz w:val="14"/>
              </w:rPr>
              <w:t>0.0555, 0.0555, 0.0555, 0.0555, 0.0555</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Royalties to the brand franchisors. A contractual percentage of branded sales, not an inflating cost: 5.55% of revenue in FY2025 and 5.52% in FY2024. Held flat. Base year from Audited consolidated financial statements for the year ended 31 December 2025, Americana Restaurants International PLC, audited by Deloitte &amp; Touche (M.E.) LLP, signed 6 February 2026, published on the company investor-relations site, notes 21, 22 and 23.</w:t>
            </w:r>
          </w:p>
        </w:tc>
      </w:tr>
      <w:tr>
        <w:tc>
          <w:tcPr>
            <w:tcW w:type="dxa" w:w="1944"/>
          </w:tcPr>
          <w:p>
            <w:pPr>
              <w:spacing w:after="20"/>
            </w:pPr>
            <w:r>
              <w:rPr>
                <w:color w:val="1C3A36"/>
                <w:sz w:val="14"/>
              </w:rPr>
              <w:t>cost path advertising</w:t>
            </w:r>
          </w:p>
        </w:tc>
        <w:tc>
          <w:tcPr>
            <w:tcW w:type="dxa" w:w="1368"/>
          </w:tcPr>
          <w:p>
            <w:pPr>
              <w:spacing w:after="20"/>
              <w:jc w:val="right"/>
            </w:pPr>
            <w:r>
              <w:rPr>
                <w:color w:val="1C3A36"/>
                <w:sz w:val="14"/>
              </w:rPr>
              <w:t>0.0425, 0.0425, 0.0425, 0.0425, 0.0425</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Advertisement and business development. A managed percentage of sales set with the franchisors. 4.35% of revenue in FY2025. Base year from Audited consolidated financial statements for the year ended 31 December 2025, Americana Restaurants International PLC, audited by Deloitte &amp; Touche (M.E.) LLP, signed 6 February 2026, published on the company investor-relations site, notes 21, 22 and 23.</w:t>
            </w:r>
          </w:p>
        </w:tc>
      </w:tr>
      <w:tr>
        <w:tc>
          <w:tcPr>
            <w:tcW w:type="dxa" w:w="1944"/>
          </w:tcPr>
          <w:p>
            <w:pPr>
              <w:spacing w:after="20"/>
            </w:pPr>
            <w:r>
              <w:rPr>
                <w:color w:val="1C3A36"/>
                <w:sz w:val="14"/>
              </w:rPr>
              <w:t>cost path utilities</w:t>
            </w:r>
          </w:p>
        </w:tc>
        <w:tc>
          <w:tcPr>
            <w:tcW w:type="dxa" w:w="1368"/>
          </w:tcPr>
          <w:p>
            <w:pPr>
              <w:spacing w:after="20"/>
              <w:jc w:val="right"/>
            </w:pPr>
            <w:r>
              <w:rPr>
                <w:color w:val="1C3A36"/>
                <w:sz w:val="14"/>
              </w:rPr>
              <w:t>0.0283, 0.0282, 0.0281, 0.028, 0.0279</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Utilities and communication. Driven by energy tariffs in the operating countries. 2.86% of revenue in FY2025. Base year from Audited consolidated financial statements for the year ended 31 December 2025, Americana Restaurants International PLC, audited by Deloitte &amp; Touche (M.E.) LLP, signed 6 February 2026, published on the company investor-relations site, notes 21, 22 and 23.</w:t>
            </w:r>
          </w:p>
        </w:tc>
      </w:tr>
      <w:tr>
        <w:tc>
          <w:tcPr>
            <w:tcW w:type="dxa" w:w="1944"/>
          </w:tcPr>
          <w:p>
            <w:pPr>
              <w:spacing w:after="20"/>
            </w:pPr>
            <w:r>
              <w:rPr>
                <w:color w:val="1C3A36"/>
                <w:sz w:val="14"/>
              </w:rPr>
              <w:t>cost path rent other</w:t>
            </w:r>
          </w:p>
        </w:tc>
        <w:tc>
          <w:tcPr>
            <w:tcW w:type="dxa" w:w="1368"/>
          </w:tcPr>
          <w:p>
            <w:pPr>
              <w:spacing w:after="20"/>
              <w:jc w:val="right"/>
            </w:pPr>
            <w:r>
              <w:rPr>
                <w:color w:val="1C3A36"/>
                <w:sz w:val="14"/>
              </w:rPr>
              <w:t>0.017, 0.0169, 0.0168, 0.0167, 0.0166</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Short-term, low-value and variable lease payments that sit outside the capitalised lease liability. Driven by property rents. 1.74% of revenue in FY2025. Base year from Audited consolidated financial statements for the year ended 31 December 2025, Americana Restaurants International PLC, audited by Deloitte &amp; Touche (M.E.) LLP, signed 6 February 2026, published on the company investor-relations site, notes 21, 22 and 23.</w:t>
            </w:r>
          </w:p>
        </w:tc>
      </w:tr>
      <w:tr>
        <w:tc>
          <w:tcPr>
            <w:tcW w:type="dxa" w:w="1944"/>
          </w:tcPr>
          <w:p>
            <w:pPr>
              <w:spacing w:after="20"/>
            </w:pPr>
            <w:r>
              <w:rPr>
                <w:color w:val="1C3A36"/>
                <w:sz w:val="14"/>
              </w:rPr>
              <w:t>cost path maintenance</w:t>
            </w:r>
          </w:p>
        </w:tc>
        <w:tc>
          <w:tcPr>
            <w:tcW w:type="dxa" w:w="1368"/>
          </w:tcPr>
          <w:p>
            <w:pPr>
              <w:spacing w:after="20"/>
              <w:jc w:val="right"/>
            </w:pPr>
            <w:r>
              <w:rPr>
                <w:color w:val="1C3A36"/>
                <w:sz w:val="14"/>
              </w:rPr>
              <w:t>0.0288, 0.0287, 0.0286, 0.0285, 0.0284</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Maintenance, repairs and other restaurant operating costs. Driven by domestic services. 2.89% of revenue in FY2025. Base year from Audited consolidated financial statements for the year ended 31 December 2025, Americana Restaurants International PLC, audited by Deloitte &amp; Touche (M.E.) LLP, signed 6 February 2026, published on the company investor-relations site, notes 21, 22 and 23.</w:t>
            </w:r>
          </w:p>
        </w:tc>
      </w:tr>
      <w:tr>
        <w:tc>
          <w:tcPr>
            <w:tcW w:type="dxa" w:w="1944"/>
          </w:tcPr>
          <w:p>
            <w:pPr>
              <w:spacing w:after="20"/>
            </w:pPr>
            <w:r>
              <w:rPr>
                <w:color w:val="1C3A36"/>
                <w:sz w:val="14"/>
              </w:rPr>
              <w:t>fte per store path</w:t>
            </w:r>
          </w:p>
        </w:tc>
        <w:tc>
          <w:tcPr>
            <w:tcW w:type="dxa" w:w="1368"/>
          </w:tcPr>
          <w:p>
            <w:pPr>
              <w:spacing w:after="20"/>
              <w:jc w:val="right"/>
            </w:pPr>
            <w:r>
              <w:rPr>
                <w:color w:val="1C3A36"/>
                <w:sz w:val="14"/>
              </w:rPr>
              <w:t>12.05, 11.85, 11.65, 11.45, 11.25</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Restaurant-level full-time equivalents per restaurant. Disclosed trend: 15.4 in FY2023, 13.3 in FY2024, 12.12 in FY2025 (note 26 of each filing over the year-end estate) — kiosks, the ordering application and delivery mix keep pulling it down; the path slows the decline to about 1.7% a year.</w:t>
            </w:r>
          </w:p>
        </w:tc>
      </w:tr>
      <w:tr>
        <w:tc>
          <w:tcPr>
            <w:tcW w:type="dxa" w:w="1944"/>
          </w:tcPr>
          <w:p>
            <w:pPr>
              <w:spacing w:after="20"/>
            </w:pPr>
            <w:r>
              <w:rPr>
                <w:color w:val="1C3A36"/>
                <w:sz w:val="14"/>
              </w:rPr>
              <w:t>wage growth</w:t>
            </w:r>
          </w:p>
        </w:tc>
        <w:tc>
          <w:tcPr>
            <w:tcW w:type="dxa" w:w="1368"/>
          </w:tcPr>
          <w:p>
            <w:pPr>
              <w:spacing w:after="20"/>
              <w:jc w:val="right"/>
            </w:pPr>
            <w:r>
              <w:rPr>
                <w:color w:val="1C3A36"/>
                <w:sz w:val="14"/>
              </w:rPr>
              <w:t>0.06</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Wage cost per full-time equivalent grows 6% a year, the rate the audited notes imply for FY2023 to FY2025 — deliberately above Gulf CPI, because the mix shifts toward delivery-capable and above-restaurant staff.</w:t>
            </w:r>
          </w:p>
        </w:tc>
      </w:tr>
      <w:tr>
        <w:tc>
          <w:tcPr>
            <w:tcW w:type="dxa" w:w="1944"/>
          </w:tcPr>
          <w:p>
            <w:pPr>
              <w:spacing w:after="20"/>
            </w:pPr>
            <w:r>
              <w:rPr>
                <w:color w:val="1C3A36"/>
                <w:sz w:val="14"/>
              </w:rPr>
              <w:t>delivery cost ratio path</w:t>
            </w:r>
          </w:p>
        </w:tc>
        <w:tc>
          <w:tcPr>
            <w:tcW w:type="dxa" w:w="1368"/>
          </w:tcPr>
          <w:p>
            <w:pPr>
              <w:spacing w:after="20"/>
              <w:jc w:val="right"/>
            </w:pPr>
            <w:r>
              <w:rPr>
                <w:color w:val="1C3A36"/>
                <w:sz w:val="14"/>
              </w:rPr>
              <w:t>0.1425, 0.142, 0.1415, 0.141, 0.1405</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Delivery and transportation cost per dollar of delivered revenue: 13.8% in FY2024 (133.7/966.6), 15.0% in FY2025 (180.6/1,204.2). FY2026 is calibrated at 14.25% so the line reproduces the disclosed H1 2026 margin at the disclosed 52% share — consistent with the company's claim of improving unit economics in the channel — then improves only five basis points a year. The channel mix keeps rising, so the LINE as a share of group revenue rises from 7.4% to 7.9%: the unit build caps the margin expansion in a way the flat-share treatment at first delivery did not.</w:t>
            </w:r>
          </w:p>
        </w:tc>
      </w:tr>
      <w:tr>
        <w:tc>
          <w:tcPr>
            <w:tcW w:type="dxa" w:w="1944"/>
          </w:tcPr>
          <w:p>
            <w:pPr>
              <w:spacing w:after="20"/>
            </w:pPr>
            <w:r>
              <w:rPr>
                <w:color w:val="1C3A36"/>
                <w:sz w:val="14"/>
              </w:rPr>
              <w:t>margin path cyclical</w:t>
            </w:r>
          </w:p>
        </w:tc>
        <w:tc>
          <w:tcPr>
            <w:tcW w:type="dxa" w:w="1368"/>
          </w:tcPr>
          <w:p>
            <w:pPr>
              <w:spacing w:after="20"/>
              <w:jc w:val="right"/>
            </w:pPr>
            <w:r>
              <w:rPr>
                <w:color w:val="1C3A36"/>
                <w:sz w:val="14"/>
              </w:rPr>
              <w:t>0.25398, 0.24747, 0.24096, 0.23445, 0.22794</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The cyclical reading of the margin: the first half of 2026 is banked, and the margin then reverts in a straight line to the three-year audited average by FY2030. Constructed from the audited history; no forecast is taken from any outside party.</w:t>
            </w:r>
          </w:p>
        </w:tc>
      </w:tr>
      <w:tr>
        <w:tc>
          <w:tcPr>
            <w:tcW w:type="dxa" w:w="1944"/>
          </w:tcPr>
          <w:p>
            <w:pPr>
              <w:spacing w:after="20"/>
            </w:pPr>
            <w:r>
              <w:rPr>
                <w:color w:val="1C3A36"/>
                <w:sz w:val="14"/>
              </w:rPr>
              <w:t>rou additions pct</w:t>
            </w:r>
          </w:p>
        </w:tc>
        <w:tc>
          <w:tcPr>
            <w:tcW w:type="dxa" w:w="1368"/>
          </w:tcPr>
          <w:p>
            <w:pPr>
              <w:spacing w:after="20"/>
              <w:jc w:val="right"/>
            </w:pPr>
            <w:r>
              <w:rPr>
                <w:color w:val="1C3A36"/>
                <w:sz w:val="14"/>
              </w:rPr>
              <w:t>0.085</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Additions to right-of-use assets as a share of revenue. The company added 10.2% of revenue in FY2025 and 12.7% in FY2024, but only 7.7% in the first half of 2026 as the opening programme normalised; 8.5% is set between the first-half run rate and the FY2025 figure. Sources: Audited consolidated financial statements for the year ended 31 December 2025, Americana Restaurants International PLC, audited by Deloitte &amp; Touche (M.E.) LLP, signed 6 February 2026, published on the company investor-relations site, note 11; Reviewed condensed consolidated interim financial statements for the six months ended 30 June 2026, Americana Restaurants International PLC, review report by Deloitte &amp; Touche (M.E.) LLP dated 28 July 2026, note 10</w:t>
            </w:r>
          </w:p>
        </w:tc>
      </w:tr>
      <w:tr>
        <w:tc>
          <w:tcPr>
            <w:tcW w:type="dxa" w:w="1944"/>
          </w:tcPr>
          <w:p>
            <w:pPr>
              <w:spacing w:after="20"/>
            </w:pPr>
            <w:r>
              <w:rPr>
                <w:color w:val="1C3A36"/>
                <w:sz w:val="14"/>
              </w:rPr>
              <w:t>lease payments pct</w:t>
            </w:r>
          </w:p>
        </w:tc>
        <w:tc>
          <w:tcPr>
            <w:tcW w:type="dxa" w:w="1368"/>
          </w:tcPr>
          <w:p>
            <w:pPr>
              <w:spacing w:after="20"/>
              <w:jc w:val="right"/>
            </w:pPr>
            <w:r>
              <w:rPr>
                <w:color w:val="1C3A36"/>
                <w:sz w:val="14"/>
              </w:rPr>
              <w:t>0.089</w:t>
            </w:r>
          </w:p>
        </w:tc>
        <w:tc>
          <w:tcPr>
            <w:tcW w:type="dxa" w:w="1037"/>
          </w:tcPr>
          <w:p>
            <w:pPr>
              <w:spacing w:after="20"/>
              <w:jc w:val="right"/>
            </w:pPr>
            <w:r>
              <w:rPr>
                <w:color w:val="1C3A36"/>
                <w:sz w:val="14"/>
              </w:rPr>
              <w:t>2026-06-30</w:t>
            </w:r>
          </w:p>
        </w:tc>
        <w:tc>
          <w:tcPr>
            <w:tcW w:type="dxa" w:w="5731"/>
          </w:tcPr>
          <w:p>
            <w:pPr>
              <w:spacing w:after="20"/>
              <w:jc w:val="right"/>
            </w:pPr>
            <w:r>
              <w:rPr>
                <w:color w:val="1C3A36"/>
                <w:sz w:val="14"/>
              </w:rPr>
              <w:t>Total lease payments — principal and interest — as a share of revenue. USD 233.3 million on USD 2,508.8 million of revenue in FY2025, or 9.3%, against USD 120 million on USD 1,364.5 million in the first half of 2026, or 8.8%. Sources: Audited consolidated financial statements for the year ended 31 December 2025, Americana Restaurants International PLC, audited by Deloitte &amp; Touche (M.E.) LLP, signed 6 February 2026, published on the company investor-relations site, statement of cash flows; H1 2026 earnings presentation, Americana Restaurants International PLC, published 28 July 2026</w:t>
            </w:r>
          </w:p>
        </w:tc>
      </w:tr>
      <w:tr>
        <w:tc>
          <w:tcPr>
            <w:tcW w:type="dxa" w:w="1944"/>
          </w:tcPr>
          <w:p>
            <w:pPr>
              <w:spacing w:after="20"/>
            </w:pPr>
            <w:r>
              <w:rPr>
                <w:color w:val="1C3A36"/>
                <w:sz w:val="14"/>
              </w:rPr>
              <w:t>etr path</w:t>
            </w:r>
          </w:p>
        </w:tc>
        <w:tc>
          <w:tcPr>
            <w:tcW w:type="dxa" w:w="1368"/>
          </w:tcPr>
          <w:p>
            <w:pPr>
              <w:spacing w:after="20"/>
              <w:jc w:val="right"/>
            </w:pPr>
            <w:r>
              <w:rPr>
                <w:color w:val="1C3A36"/>
                <w:sz w:val="14"/>
              </w:rPr>
              <w:t>0.145, 0.15, 0.155, 0.16, 0.16</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Effective tax rate. The group paid 4% in FY2023, 11% in FY2024 and 14% in FY2025 as the UAE introduced corporate tax and the first domestic minimum top-up taxes landed; the first half of 2026 ran at 14.1%. The path converges on the 15% Pillar Two minimum plus a modest drag for withholding taxes and non-deductible items, which is where a group of this footprint settles once every jurisdiction has adopted the rules. Sources: Audited consolidated financial statements for the year ended 31 December 2025, Americana Restaurants International PLC, audited by Deloitte &amp; Touche (M.E.) LLP, signed 6 February 2026, published on the company investor-relations site, note 28; Reviewed condensed consolidated interim financial statements for the six months ended 30 June 2026, Americana Restaurants International PLC, review report by Deloitte &amp; Touche (M.E.) LLP dated 28 July 2026; FY 2024 earnings presentation, Americana Restaurants International PLC, published 13 February 2025, changes in corporate income tax</w:t>
            </w:r>
          </w:p>
        </w:tc>
      </w:tr>
      <w:tr>
        <w:tc>
          <w:tcPr>
            <w:tcW w:type="dxa" w:w="1944"/>
          </w:tcPr>
          <w:p>
            <w:pPr>
              <w:spacing w:after="20"/>
            </w:pPr>
            <w:r>
              <w:rPr>
                <w:color w:val="1C3A36"/>
                <w:sz w:val="14"/>
              </w:rPr>
              <w:t>payout ratio</w:t>
            </w:r>
          </w:p>
        </w:tc>
        <w:tc>
          <w:tcPr>
            <w:tcW w:type="dxa" w:w="1368"/>
          </w:tcPr>
          <w:p>
            <w:pPr>
              <w:spacing w:after="20"/>
              <w:jc w:val="right"/>
            </w:pPr>
            <w:r>
              <w:rPr>
                <w:color w:val="1C3A36"/>
                <w:sz w:val="14"/>
              </w:rPr>
              <w:t>0.85</w:t>
            </w:r>
          </w:p>
        </w:tc>
        <w:tc>
          <w:tcPr>
            <w:tcW w:type="dxa" w:w="1037"/>
          </w:tcPr>
          <w:p>
            <w:pPr>
              <w:spacing w:after="20"/>
              <w:jc w:val="right"/>
            </w:pPr>
            <w:r>
              <w:rPr>
                <w:color w:val="1C3A36"/>
                <w:sz w:val="14"/>
              </w:rPr>
              <w:t>2026-07-28</w:t>
            </w:r>
          </w:p>
        </w:tc>
        <w:tc>
          <w:tcPr>
            <w:tcW w:type="dxa" w:w="5731"/>
          </w:tcPr>
          <w:p>
            <w:pPr>
              <w:spacing w:after="20"/>
              <w:jc w:val="right"/>
            </w:pPr>
            <w:r>
              <w:rPr>
                <w:color w:val="1C3A36"/>
                <w:sz w:val="14"/>
              </w:rPr>
              <w:t>Dividend payout ratio. The board declared USD 201.6 million against FY2025, which the company states is 91.99% of net profit, and has already declared USD 100.8 million as an interim against 2026. The forecast holds 85%, a little below the FY2025 rate, because the estate is still growing. Sources: FY 2025 earnings presentation, Americana Restaurants International PLC, published 9 February 2026; H1 2026 earnings press release, Americana Restaurants International PLC, 28 July 2026</w:t>
            </w:r>
          </w:p>
        </w:tc>
      </w:tr>
      <w:tr>
        <w:tc>
          <w:tcPr>
            <w:tcW w:type="dxa" w:w="1944"/>
          </w:tcPr>
          <w:p>
            <w:pPr>
              <w:spacing w:after="20"/>
            </w:pPr>
            <w:r>
              <w:rPr>
                <w:color w:val="1C3A36"/>
                <w:sz w:val="14"/>
              </w:rPr>
              <w:t>weight dcf</w:t>
            </w:r>
          </w:p>
        </w:tc>
        <w:tc>
          <w:tcPr>
            <w:tcW w:type="dxa" w:w="1368"/>
          </w:tcPr>
          <w:p>
            <w:pPr>
              <w:spacing w:after="20"/>
              <w:jc w:val="right"/>
            </w:pPr>
            <w:r>
              <w:rPr>
                <w:color w:val="1C3A36"/>
                <w:sz w:val="14"/>
              </w:rPr>
              <w:t>0.5</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Weight on the cash-flow lens. It carries the most because the business is cash-generative, the estate is knowable restaurant by restaurant, and the company publishes the store-level economics the model is built on.</w:t>
            </w:r>
          </w:p>
        </w:tc>
      </w:tr>
      <w:tr>
        <w:tc>
          <w:tcPr>
            <w:tcW w:type="dxa" w:w="1944"/>
          </w:tcPr>
          <w:p>
            <w:pPr>
              <w:spacing w:after="20"/>
            </w:pPr>
            <w:r>
              <w:rPr>
                <w:color w:val="1C3A36"/>
                <w:sz w:val="14"/>
              </w:rPr>
              <w:t>weight relative</w:t>
            </w:r>
          </w:p>
        </w:tc>
        <w:tc>
          <w:tcPr>
            <w:tcW w:type="dxa" w:w="1368"/>
          </w:tcPr>
          <w:p>
            <w:pPr>
              <w:spacing w:after="20"/>
              <w:jc w:val="right"/>
            </w:pPr>
            <w:r>
              <w:rPr>
                <w:color w:val="1C3A36"/>
                <w:sz w:val="14"/>
              </w:rPr>
              <w:t>0.2</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Weight on relative multiples. Held down because no clean comparable exists: the global names are franchisors, not operators.</w:t>
            </w:r>
          </w:p>
        </w:tc>
      </w:tr>
      <w:tr>
        <w:tc>
          <w:tcPr>
            <w:tcW w:type="dxa" w:w="1944"/>
          </w:tcPr>
          <w:p>
            <w:pPr>
              <w:spacing w:after="20"/>
            </w:pPr>
            <w:r>
              <w:rPr>
                <w:color w:val="1C3A36"/>
                <w:sz w:val="14"/>
              </w:rPr>
              <w:t>weight normalised</w:t>
            </w:r>
          </w:p>
        </w:tc>
        <w:tc>
          <w:tcPr>
            <w:tcW w:type="dxa" w:w="1368"/>
          </w:tcPr>
          <w:p>
            <w:pPr>
              <w:spacing w:after="20"/>
              <w:jc w:val="right"/>
            </w:pPr>
            <w:r>
              <w:rPr>
                <w:color w:val="1C3A36"/>
                <w:sz w:val="14"/>
              </w:rPr>
              <w:t>0.2</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Weight on normalised earnings power.</w:t>
            </w:r>
          </w:p>
        </w:tc>
      </w:tr>
      <w:tr>
        <w:tc>
          <w:tcPr>
            <w:tcW w:type="dxa" w:w="1944"/>
          </w:tcPr>
          <w:p>
            <w:pPr>
              <w:spacing w:after="20"/>
            </w:pPr>
            <w:r>
              <w:rPr>
                <w:color w:val="1C3A36"/>
                <w:sz w:val="14"/>
              </w:rPr>
              <w:t>weight book</w:t>
            </w:r>
          </w:p>
        </w:tc>
        <w:tc>
          <w:tcPr>
            <w:tcW w:type="dxa" w:w="1368"/>
          </w:tcPr>
          <w:p>
            <w:pPr>
              <w:spacing w:after="20"/>
              <w:jc w:val="right"/>
            </w:pPr>
            <w:r>
              <w:rPr>
                <w:color w:val="1C3A36"/>
                <w:sz w:val="14"/>
              </w:rPr>
              <w:t>0.1</w:t>
            </w:r>
          </w:p>
        </w:tc>
        <w:tc>
          <w:tcPr>
            <w:tcW w:type="dxa" w:w="1037"/>
          </w:tcPr>
          <w:p>
            <w:pPr>
              <w:spacing w:after="20"/>
              <w:jc w:val="right"/>
            </w:pPr>
            <w:r>
              <w:rPr>
                <w:color w:val="1C3A36"/>
                <w:sz w:val="14"/>
              </w:rPr>
              <w:t>2026-08-09</w:t>
            </w:r>
          </w:p>
        </w:tc>
        <w:tc>
          <w:tcPr>
            <w:tcW w:type="dxa" w:w="5731"/>
          </w:tcPr>
          <w:p>
            <w:pPr>
              <w:spacing w:after="20"/>
              <w:jc w:val="right"/>
            </w:pPr>
            <w:r>
              <w:rPr>
                <w:color w:val="1C3A36"/>
                <w:sz w:val="14"/>
              </w:rPr>
              <w:t>Weight on book value and sustainable return. The lowest, because an operator that leases its estate carries very little book equity and the lens is correspondingly unstable here.</w:t>
            </w:r>
          </w:p>
        </w:tc>
      </w:tr>
    </w:tbl>
    <w:p>
      <w:pPr>
        <w:spacing w:after="40"/>
      </w:pPr>
    </w:p>
    <w:p>
      <w:pPr>
        <w:spacing w:after="120" w:before="0"/>
      </w:pPr>
      <w:r>
        <w:rPr>
          <w:b w:val="0"/>
          <w:i/>
          <w:color w:val="6E7B77"/>
          <w:sz w:val="19"/>
        </w:rPr>
        <w:t>318 inputs in total. Every one carries a value, a source, a date and a layer; the build refuses to run if any of the four is missing.</w:t>
      </w:r>
    </w:p>
    <w:p>
      <w:r>
        <w:br w:type="page"/>
      </w:r>
    </w:p>
    <w:p>
      <w:pPr>
        <w:spacing w:after="120" w:before="280"/>
      </w:pPr>
      <w:r>
        <w:rPr>
          <w:b/>
          <w:i w:val="0"/>
          <w:color w:val="1C3A36"/>
          <w:sz w:val="30"/>
        </w:rPr>
        <w:t>4  Judgements, and what would overturn each one</w:t>
      </w:r>
    </w:p>
    <w:p>
      <w:pPr>
        <w:spacing w:after="120" w:before="0"/>
      </w:pPr>
      <w:r>
        <w:rPr>
          <w:b w:val="0"/>
          <w:i w:val="0"/>
          <w:color w:val="1C3A36"/>
          <w:sz w:val="21"/>
        </w:rPr>
        <w:t>These are the places where this study exercised judgement rather than read a number. Each is stated with the evidence behind it and the observation that would prove it wrong.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744"/>
        <w:gridCol w:w="3672"/>
      </w:tblGrid>
      <w:tr>
        <w:tc>
          <w:tcPr>
            <w:tcW w:type="dxa" w:w="2664"/>
            <w:shd w:val="clear" w:color="auto" w:fill="EAF0EE"/>
          </w:tcPr>
          <w:p>
            <w:pPr>
              <w:spacing w:after="20"/>
            </w:pPr>
            <w:r>
              <w:rPr>
                <w:b/>
                <w:color w:val="1C3A36"/>
                <w:sz w:val="16"/>
              </w:rPr>
              <w:t>The judgement</w:t>
            </w:r>
          </w:p>
        </w:tc>
        <w:tc>
          <w:tcPr>
            <w:tcW w:type="dxa" w:w="3744"/>
            <w:shd w:val="clear" w:color="auto" w:fill="EAF0EE"/>
          </w:tcPr>
          <w:p>
            <w:pPr>
              <w:spacing w:after="20"/>
            </w:pPr>
            <w:r>
              <w:rPr>
                <w:b/>
                <w:color w:val="1C3A36"/>
                <w:sz w:val="16"/>
              </w:rPr>
              <w:t>What it rests on</w:t>
            </w:r>
          </w:p>
        </w:tc>
        <w:tc>
          <w:tcPr>
            <w:tcW w:type="dxa" w:w="3672"/>
            <w:shd w:val="clear" w:color="auto" w:fill="EAF0EE"/>
          </w:tcPr>
          <w:p>
            <w:pPr>
              <w:spacing w:after="20"/>
            </w:pPr>
            <w:r>
              <w:rPr>
                <w:b/>
                <w:color w:val="1C3A36"/>
                <w:sz w:val="16"/>
              </w:rPr>
              <w:t>What would overturn it</w:t>
            </w:r>
          </w:p>
        </w:tc>
      </w:tr>
      <w:tr>
        <w:tc>
          <w:tcPr>
            <w:tcW w:type="dxa" w:w="2664"/>
          </w:tcPr>
          <w:p>
            <w:pPr>
              <w:spacing w:after="20"/>
            </w:pPr>
            <w:r>
              <w:rPr>
                <w:color w:val="1C3A36"/>
                <w:sz w:val="16"/>
              </w:rPr>
              <w:t>The margin gain is structural (the base case), and the cyclical reading is published beside it</w:t>
            </w:r>
          </w:p>
        </w:tc>
        <w:tc>
          <w:tcPr>
            <w:tcW w:type="dxa" w:w="3744"/>
          </w:tcPr>
          <w:p>
            <w:pPr>
              <w:spacing w:after="20"/>
              <w:jc w:val="right"/>
            </w:pPr>
            <w:r>
              <w:rPr>
                <w:color w:val="1C3A36"/>
                <w:sz w:val="16"/>
              </w:rPr>
              <w:t>The company names procurement scale, menu optimisation and improving delivery economics, and the cost of food and packaging has fallen for four consecutive quarters. The same evidence is consistent with a favourable turn in traded food prices.</w:t>
            </w:r>
          </w:p>
        </w:tc>
        <w:tc>
          <w:tcPr>
            <w:tcW w:type="dxa" w:w="3672"/>
          </w:tcPr>
          <w:p>
            <w:pPr>
              <w:spacing w:after="20"/>
              <w:jc w:val="right"/>
            </w:pPr>
            <w:r>
              <w:rPr>
                <w:color w:val="1C3A36"/>
                <w:sz w:val="16"/>
              </w:rPr>
              <w:t>Food and packaging cost back above 29% of revenue for two consecutive quarters. The study does not resolve this — it computes both readings, AED 2.22 against AED 1.91.</w:t>
            </w:r>
          </w:p>
        </w:tc>
      </w:tr>
      <w:tr>
        <w:tc>
          <w:tcPr>
            <w:tcW w:type="dxa" w:w="2664"/>
          </w:tcPr>
          <w:p>
            <w:pPr>
              <w:spacing w:after="20"/>
            </w:pPr>
            <w:r>
              <w:rPr>
                <w:color w:val="1C3A36"/>
                <w:sz w:val="16"/>
              </w:rPr>
              <w:t>Leases are treated as debt, with right-of-use additions charged as investment</w:t>
            </w:r>
          </w:p>
        </w:tc>
        <w:tc>
          <w:tcPr>
            <w:tcW w:type="dxa" w:w="3744"/>
          </w:tcPr>
          <w:p>
            <w:pPr>
              <w:spacing w:after="20"/>
              <w:jc w:val="right"/>
            </w:pPr>
            <w:r>
              <w:rPr>
                <w:color w:val="1C3A36"/>
                <w:sz w:val="16"/>
              </w:rPr>
              <w:t>It is how the accounts present them, and it is internally consistent as long as taking a lease is charged as investment rather than only depreciated.</w:t>
            </w:r>
          </w:p>
        </w:tc>
        <w:tc>
          <w:tcPr>
            <w:tcW w:type="dxa" w:w="3672"/>
          </w:tcPr>
          <w:p>
            <w:pPr>
              <w:spacing w:after="20"/>
              <w:jc w:val="right"/>
            </w:pPr>
            <w:r>
              <w:rPr>
                <w:color w:val="1C3A36"/>
                <w:sz w:val="16"/>
              </w:rPr>
              <w:t>Nothing much — this was computed both ways and the answer moves by 1.2%. The judgement turns out not to matter, which is itself worth knowing.</w:t>
            </w:r>
          </w:p>
        </w:tc>
      </w:tr>
      <w:tr>
        <w:tc>
          <w:tcPr>
            <w:tcW w:type="dxa" w:w="2664"/>
          </w:tcPr>
          <w:p>
            <w:pPr>
              <w:spacing w:after="20"/>
            </w:pPr>
            <w:r>
              <w:rPr>
                <w:color w:val="1C3A36"/>
                <w:sz w:val="16"/>
              </w:rPr>
              <w:t>Beta of 0.930, from the company's own shares against the FTSE ADX General Index</w:t>
            </w:r>
          </w:p>
        </w:tc>
        <w:tc>
          <w:tcPr>
            <w:tcW w:type="dxa" w:w="3744"/>
          </w:tcPr>
          <w:p>
            <w:pPr>
              <w:spacing w:after="20"/>
              <w:jc w:val="right"/>
            </w:pPr>
            <w:r>
              <w:rPr>
                <w:color w:val="1C3A36"/>
                <w:sz w:val="16"/>
              </w:rPr>
              <w:t>183 weekly observations over 3.55 years — the whole life of the listing — standard error 0.412, R-squared 8.4%, lead-lag corrected, both series screened for data quality first. The regressor is the published index of the exchange the shares trade on (raw_indices/AE/FADGI.csv, history to 2026-07-24), in the same currency and struck at the same closing auction.</w:t>
            </w:r>
          </w:p>
        </w:tc>
        <w:tc>
          <w:tcPr>
            <w:tcW w:type="dxa" w:w="3672"/>
          </w:tcPr>
          <w:p>
            <w:pPr>
              <w:spacing w:after="20"/>
              <w:jc w:val="right"/>
            </w:pPr>
            <w:r>
              <w:rPr>
                <w:color w:val="1C3A36"/>
                <w:sz w:val="16"/>
              </w:rPr>
              <w:t>Almost anything, and that is the point: the 90% confidence interval runs from 0.25 to 1.61. Three earlier estimates are on the record and none is used — the Riyadh line against the Saudi index 0.894 (a different country's market cycle, and this study's first published input, before the Abu Dhabi index was available), a basket of eighteen covered UAE names 0.586, and a US-listed UAE index fund pricing hours after the Abu Dhabi close 0.469.</w:t>
            </w:r>
          </w:p>
        </w:tc>
      </w:tr>
      <w:tr>
        <w:tc>
          <w:tcPr>
            <w:tcW w:type="dxa" w:w="2664"/>
          </w:tcPr>
          <w:p>
            <w:pPr>
              <w:spacing w:after="20"/>
            </w:pPr>
            <w:r>
              <w:rPr>
                <w:color w:val="1C3A36"/>
                <w:sz w:val="16"/>
              </w:rPr>
              <w:t>Cost of debt of 6.72%, the company's own lease borrowing rate</w:t>
            </w:r>
          </w:p>
        </w:tc>
        <w:tc>
          <w:tcPr>
            <w:tcW w:type="dxa" w:w="3744"/>
          </w:tcPr>
          <w:p>
            <w:pPr>
              <w:spacing w:after="20"/>
              <w:jc w:val="right"/>
            </w:pPr>
            <w:r>
              <w:rPr>
                <w:color w:val="1C3A36"/>
                <w:sz w:val="16"/>
              </w:rPr>
              <w:t>The company has no bank debt. Its lease finance cost over its average lease liability is the only borrowing rate it actually pays, and determining that rate is a key audit matter in the filing.</w:t>
            </w:r>
          </w:p>
        </w:tc>
        <w:tc>
          <w:tcPr>
            <w:tcW w:type="dxa" w:w="3672"/>
          </w:tcPr>
          <w:p>
            <w:pPr>
              <w:spacing w:after="20"/>
              <w:jc w:val="right"/>
            </w:pPr>
            <w:r>
              <w:rPr>
                <w:color w:val="1C3A36"/>
                <w:sz w:val="16"/>
              </w:rPr>
              <w:t>A bond or bank facility priced away from this level. The 2024 accounts give 5.95% on the same construction, so the figure is stable.</w:t>
            </w:r>
          </w:p>
        </w:tc>
      </w:tr>
      <w:tr>
        <w:tc>
          <w:tcPr>
            <w:tcW w:type="dxa" w:w="2664"/>
          </w:tcPr>
          <w:p>
            <w:pPr>
              <w:spacing w:after="20"/>
            </w:pPr>
            <w:r>
              <w:rPr>
                <w:color w:val="1C3A36"/>
                <w:sz w:val="16"/>
              </w:rPr>
              <w:t>Terminal growth of 3.0% in US dollars</w:t>
            </w:r>
          </w:p>
        </w:tc>
        <w:tc>
          <w:tcPr>
            <w:tcW w:type="dxa" w:w="3744"/>
          </w:tcPr>
          <w:p>
            <w:pPr>
              <w:spacing w:after="20"/>
              <w:jc w:val="right"/>
            </w:pPr>
            <w:r>
              <w:rPr>
                <w:color w:val="1C3A36"/>
                <w:sz w:val="16"/>
              </w:rPr>
              <w:t>The IMF projects about 2% long-run inflation in the pegged Gulf markets that produce most of the revenue; a mature estate can add roughly a point of real volume. The figure is set well below the risk-free rate, which is the ceiling any perpetual growth rate must respect.</w:t>
            </w:r>
          </w:p>
        </w:tc>
        <w:tc>
          <w:tcPr>
            <w:tcW w:type="dxa" w:w="3672"/>
          </w:tcPr>
          <w:p>
            <w:pPr>
              <w:spacing w:after="20"/>
              <w:jc w:val="right"/>
            </w:pPr>
            <w:r>
              <w:rPr>
                <w:color w:val="1C3A36"/>
                <w:sz w:val="16"/>
              </w:rPr>
              <w:t>Nothing observable in the short run. It is sensitised from 2.0% to 4.0% in the study, a range worth about 0.44 dirhams a share.</w:t>
            </w:r>
          </w:p>
        </w:tc>
      </w:tr>
      <w:tr>
        <w:tc>
          <w:tcPr>
            <w:tcW w:type="dxa" w:w="2664"/>
          </w:tcPr>
          <w:p>
            <w:pPr>
              <w:spacing w:after="20"/>
            </w:pPr>
            <w:r>
              <w:rPr>
                <w:color w:val="1C3A36"/>
                <w:sz w:val="16"/>
              </w:rPr>
              <w:t>Effective tax rate rising from 14.5% to 16.0%</w:t>
            </w:r>
          </w:p>
        </w:tc>
        <w:tc>
          <w:tcPr>
            <w:tcW w:type="dxa" w:w="3744"/>
          </w:tcPr>
          <w:p>
            <w:pPr>
              <w:spacing w:after="20"/>
              <w:jc w:val="right"/>
            </w:pPr>
            <w:r>
              <w:rPr>
                <w:color w:val="1C3A36"/>
                <w:sz w:val="16"/>
              </w:rPr>
              <w:t>The rate went 4% to 11% to 14% over three years as the United Arab Emirates introduced corporate tax and the first domestic minimum top-up taxes landed; the first half of 2026 ran at 14.1%. The company publishes the jurisdiction-by-jurisdiction position.</w:t>
            </w:r>
          </w:p>
        </w:tc>
        <w:tc>
          <w:tcPr>
            <w:tcW w:type="dxa" w:w="3672"/>
          </w:tcPr>
          <w:p>
            <w:pPr>
              <w:spacing w:after="20"/>
              <w:jc w:val="right"/>
            </w:pPr>
            <w:r>
              <w:rPr>
                <w:color w:val="1C3A36"/>
                <w:sz w:val="16"/>
              </w:rPr>
              <w:t>The remaining jurisdictions not adopting the minimum, or the group securing reliefs. Worth about 1.8% of value per two points of tax.</w:t>
            </w:r>
          </w:p>
        </w:tc>
      </w:tr>
      <w:tr>
        <w:tc>
          <w:tcPr>
            <w:tcW w:type="dxa" w:w="2664"/>
          </w:tcPr>
          <w:p>
            <w:pPr>
              <w:spacing w:after="20"/>
            </w:pPr>
            <w:r>
              <w:rPr>
                <w:color w:val="1C3A36"/>
                <w:sz w:val="16"/>
              </w:rPr>
              <w:t>Net new restaurants of 125 in 2026, then a taper to 120</w:t>
            </w:r>
          </w:p>
        </w:tc>
        <w:tc>
          <w:tcPr>
            <w:tcW w:type="dxa" w:w="3744"/>
          </w:tcPr>
          <w:p>
            <w:pPr>
              <w:spacing w:after="20"/>
              <w:jc w:val="right"/>
            </w:pPr>
            <w:r>
              <w:rPr>
                <w:color w:val="1C3A36"/>
                <w:sz w:val="16"/>
              </w:rPr>
              <w:t>The 2026 figure is the midpoint of the company's own published guidance of 120 to 130. The taper reflects a maturing estate.</w:t>
            </w:r>
          </w:p>
        </w:tc>
        <w:tc>
          <w:tcPr>
            <w:tcW w:type="dxa" w:w="3672"/>
          </w:tcPr>
          <w:p>
            <w:pPr>
              <w:spacing w:after="20"/>
              <w:jc w:val="right"/>
            </w:pPr>
            <w:r>
              <w:rPr>
                <w:color w:val="1C3A36"/>
                <w:sz w:val="16"/>
              </w:rPr>
              <w:t>Openings running materially above or below guidance. A 20% change in the programme is worth about 2.2% of value.</w:t>
            </w:r>
          </w:p>
        </w:tc>
      </w:tr>
      <w:tr>
        <w:tc>
          <w:tcPr>
            <w:tcW w:type="dxa" w:w="2664"/>
          </w:tcPr>
          <w:p>
            <w:pPr>
              <w:spacing w:after="20"/>
            </w:pPr>
            <w:r>
              <w:rPr>
                <w:color w:val="1C3A36"/>
                <w:sz w:val="16"/>
              </w:rPr>
              <w:t>The allocation of new restaurants across markets</w:t>
            </w:r>
          </w:p>
        </w:tc>
        <w:tc>
          <w:tcPr>
            <w:tcW w:type="dxa" w:w="3744"/>
          </w:tcPr>
          <w:p>
            <w:pPr>
              <w:spacing w:after="20"/>
              <w:jc w:val="right"/>
            </w:pPr>
            <w:r>
              <w:rPr>
                <w:color w:val="1C3A36"/>
                <w:sz w:val="16"/>
              </w:rPr>
              <w:t>The company guides the total but does not publish the split. The allocation follows where the estate has grown over the last eighteen months.</w:t>
            </w:r>
          </w:p>
        </w:tc>
        <w:tc>
          <w:tcPr>
            <w:tcW w:type="dxa" w:w="3672"/>
          </w:tcPr>
          <w:p>
            <w:pPr>
              <w:spacing w:after="20"/>
              <w:jc w:val="right"/>
            </w:pPr>
            <w:r>
              <w:rPr>
                <w:color w:val="1C3A36"/>
                <w:sz w:val="16"/>
              </w:rPr>
              <w:t>A published country split that differs. This is the one estimate inside the revenue build, and the group result is insensitive to it because growth rates differ across markets by more than revenue per restaurant does.</w:t>
            </w:r>
          </w:p>
        </w:tc>
      </w:tr>
      <w:tr>
        <w:tc>
          <w:tcPr>
            <w:tcW w:type="dxa" w:w="2664"/>
          </w:tcPr>
          <w:p>
            <w:pPr>
              <w:spacing w:after="20"/>
            </w:pPr>
            <w:r>
              <w:rPr>
                <w:color w:val="1C3A36"/>
                <w:sz w:val="16"/>
              </w:rPr>
              <w:t>Lens weights of 50 / 20 / 20 / 10</w:t>
            </w:r>
          </w:p>
        </w:tc>
        <w:tc>
          <w:tcPr>
            <w:tcW w:type="dxa" w:w="3744"/>
          </w:tcPr>
          <w:p>
            <w:pPr>
              <w:spacing w:after="20"/>
              <w:jc w:val="right"/>
            </w:pPr>
            <w:r>
              <w:rPr>
                <w:color w:val="1C3A36"/>
                <w:sz w:val="16"/>
              </w:rPr>
              <w:t>The cash-flow lens carries most because the estate is knowable restaurant by restaurant and the company publishes the store-level economics. The book lens carries least because an operator that leases its estate holds almost no book equity.</w:t>
            </w:r>
          </w:p>
        </w:tc>
        <w:tc>
          <w:tcPr>
            <w:tcW w:type="dxa" w:w="3672"/>
          </w:tcPr>
          <w:p>
            <w:pPr>
              <w:spacing w:after="20"/>
              <w:jc w:val="right"/>
            </w:pPr>
            <w:r>
              <w:rPr>
                <w:color w:val="1C3A36"/>
                <w:sz w:val="16"/>
              </w:rPr>
              <w:t>Nothing observable. The weights are stated so a reader who disagrees can re-weight: every lens value is published separately.</w:t>
            </w:r>
          </w:p>
        </w:tc>
      </w:tr>
    </w:tbl>
    <w:p>
      <w:pPr>
        <w:spacing w:after="40"/>
      </w:pPr>
    </w:p>
    <w:p>
      <w:pPr>
        <w:spacing w:after="120" w:before="280"/>
      </w:pPr>
      <w:r>
        <w:rPr>
          <w:b/>
          <w:i w:val="0"/>
          <w:color w:val="1C3A36"/>
          <w:sz w:val="30"/>
        </w:rPr>
        <w:t>5  What was looked for and not found</w:t>
      </w:r>
    </w:p>
    <w:p>
      <w:pPr>
        <w:spacing w:after="120" w:before="0"/>
      </w:pPr>
      <w:r>
        <w:rPr>
          <w:b w:val="0"/>
          <w:i w:val="0"/>
          <w:color w:val="1C3A36"/>
          <w:sz w:val="21"/>
        </w:rPr>
        <w:t>A source list that only records what was located is misleading. These categories were searched and returned nothing that would change a number.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303"/>
        <w:gridCol w:w="2769"/>
        <w:gridCol w:w="1008"/>
      </w:tblGrid>
      <w:tr>
        <w:tc>
          <w:tcPr>
            <w:tcW w:type="dxa" w:w="1303"/>
            <w:shd w:val="clear" w:color="auto" w:fill="EAF0EE"/>
          </w:tcPr>
          <w:p>
            <w:pPr>
              <w:spacing w:after="20"/>
            </w:pPr>
            <w:r>
              <w:rPr>
                <w:b/>
                <w:color w:val="1C3A36"/>
                <w:sz w:val="16"/>
              </w:rPr>
              <w:t>Category</w:t>
            </w:r>
          </w:p>
        </w:tc>
        <w:tc>
          <w:tcPr>
            <w:tcW w:type="dxa" w:w="2769"/>
            <w:shd w:val="clear" w:color="auto" w:fill="EAF0EE"/>
          </w:tcPr>
          <w:p>
            <w:pPr>
              <w:spacing w:after="20"/>
            </w:pPr>
            <w:r>
              <w:rPr>
                <w:b/>
                <w:color w:val="1C3A36"/>
                <w:sz w:val="16"/>
              </w:rPr>
              <w:t>What was searched</w:t>
            </w:r>
          </w:p>
        </w:tc>
        <w:tc>
          <w:tcPr>
            <w:tcW w:type="dxa" w:w="1008"/>
            <w:shd w:val="clear" w:color="auto" w:fill="EAF0EE"/>
          </w:tcPr>
          <w:p>
            <w:pPr>
              <w:spacing w:after="20"/>
            </w:pPr>
            <w:r>
              <w:rPr>
                <w:b/>
                <w:color w:val="1C3A36"/>
                <w:sz w:val="16"/>
              </w:rPr>
              <w:t>Date</w:t>
            </w:r>
          </w:p>
        </w:tc>
      </w:tr>
    </w:tbl>
    <w:p>
      <w:pPr>
        <w:spacing w:after="40"/>
      </w:pPr>
    </w:p>
    <w:p>
      <w:pPr>
        <w:spacing w:after="120" w:before="280"/>
      </w:pPr>
      <w:r>
        <w:rPr>
          <w:b/>
          <w:i w:val="0"/>
          <w:color w:val="1C3A36"/>
          <w:sz w:val="30"/>
        </w:rPr>
        <w:t>6  Discrepancies between sources, and how they were resolved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6336"/>
      </w:tblGrid>
      <w:tr>
        <w:tc>
          <w:tcPr>
            <w:tcW w:type="dxa" w:w="3744"/>
            <w:shd w:val="clear" w:color="auto" w:fill="EAF0EE"/>
          </w:tcPr>
          <w:p>
            <w:pPr>
              <w:spacing w:after="20"/>
            </w:pPr>
            <w:r>
              <w:rPr>
                <w:b/>
                <w:color w:val="1C3A36"/>
                <w:sz w:val="16"/>
              </w:rPr>
              <w:t>The discrepancy</w:t>
            </w:r>
          </w:p>
        </w:tc>
        <w:tc>
          <w:tcPr>
            <w:tcW w:type="dxa" w:w="6336"/>
            <w:shd w:val="clear" w:color="auto" w:fill="EAF0EE"/>
          </w:tcPr>
          <w:p>
            <w:pPr>
              <w:spacing w:after="20"/>
            </w:pPr>
            <w:r>
              <w:rPr>
                <w:b/>
                <w:color w:val="1C3A36"/>
                <w:sz w:val="16"/>
              </w:rPr>
              <w:t>How it was resolved</w:t>
            </w:r>
          </w:p>
        </w:tc>
      </w:tr>
      <w:tr>
        <w:tc>
          <w:tcPr>
            <w:tcW w:type="dxa" w:w="3744"/>
          </w:tcPr>
          <w:p>
            <w:pPr>
              <w:spacing w:after="20"/>
            </w:pPr>
            <w:r>
              <w:rPr>
                <w:color w:val="1C3A36"/>
                <w:sz w:val="16"/>
              </w:rPr>
              <w:t>Restaurant count at 31 December 2025: 2,749 in the presentation appendix against 2,709 in the portfolio-evolution chart on the same page</w:t>
            </w:r>
          </w:p>
        </w:tc>
        <w:tc>
          <w:tcPr>
            <w:tcW w:type="dxa" w:w="6336"/>
          </w:tcPr>
          <w:p>
            <w:pPr>
              <w:spacing w:after="20"/>
              <w:jc w:val="right"/>
            </w:pPr>
            <w:r>
              <w:rPr>
                <w:color w:val="1C3A36"/>
                <w:sz w:val="16"/>
              </w:rPr>
              <w:t>The two are both correct and measure different things: 2,709 is the organic estate and 2,749 includes the 40 net restaurants that arrived with the Pizza Hut Oman acquisition. The study uses 2,749, which is the estate that generates revenue, and builds the forecast on the organic guidance so the acquisition is not double-counted.</w:t>
            </w:r>
          </w:p>
        </w:tc>
      </w:tr>
      <w:tr>
        <w:tc>
          <w:tcPr>
            <w:tcW w:type="dxa" w:w="3744"/>
          </w:tcPr>
          <w:p>
            <w:pPr>
              <w:spacing w:after="20"/>
            </w:pPr>
            <w:r>
              <w:rPr>
                <w:color w:val="1C3A36"/>
                <w:sz w:val="16"/>
              </w:rPr>
              <w:t>Net working capital: the company reports USD (248) million; a narrow definition of trade payables alone gives USD (180) million</w:t>
            </w:r>
          </w:p>
        </w:tc>
        <w:tc>
          <w:tcPr>
            <w:tcW w:type="dxa" w:w="6336"/>
          </w:tcPr>
          <w:p>
            <w:pPr>
              <w:spacing w:after="20"/>
              <w:jc w:val="right"/>
            </w:pPr>
            <w:r>
              <w:rPr>
                <w:color w:val="1C3A36"/>
                <w:sz w:val="16"/>
              </w:rPr>
              <w:t>The company's own aggregate — inventories plus receivables less payables, tax payable and provisions — is the one used, because it reconciles exactly to the published figure and to the published ratio of revenue. The narrower definition is not wrong, it is a different measure.</w:t>
            </w:r>
          </w:p>
        </w:tc>
      </w:tr>
      <w:tr>
        <w:tc>
          <w:tcPr>
            <w:tcW w:type="dxa" w:w="3744"/>
          </w:tcPr>
          <w:p>
            <w:pPr>
              <w:spacing w:after="20"/>
            </w:pPr>
            <w:r>
              <w:rPr>
                <w:color w:val="1C3A36"/>
                <w:sz w:val="16"/>
              </w:rPr>
              <w:t>Gross capital expenditure: USD 125.2 million in the presentation against USD 108.8 million in the cash-flow statement</w:t>
            </w:r>
          </w:p>
        </w:tc>
        <w:tc>
          <w:tcPr>
            <w:tcW w:type="dxa" w:w="6336"/>
          </w:tcPr>
          <w:p>
            <w:pPr>
              <w:spacing w:after="20"/>
              <w:jc w:val="right"/>
            </w:pPr>
            <w:r>
              <w:rPr>
                <w:color w:val="1C3A36"/>
                <w:sz w:val="16"/>
              </w:rPr>
              <w:t>The presentation figure includes the consideration paid for the Pizza Hut Oman subsidiary and initial franchisor fees. The study uses the cash-flow statement figure for the historical record and builds the forecast from restaurant economics, so the acquisition is handled separately rather than embedded in a capital-expenditure ratio.</w:t>
            </w:r>
          </w:p>
        </w:tc>
      </w:tr>
      <w:tr>
        <w:tc>
          <w:tcPr>
            <w:tcW w:type="dxa" w:w="3744"/>
          </w:tcPr>
          <w:p>
            <w:pPr>
              <w:spacing w:after="20"/>
            </w:pPr>
            <w:r>
              <w:rPr>
                <w:color w:val="1C3A36"/>
                <w:sz w:val="16"/>
              </w:rPr>
              <w:t>EBITDA: the company publishes USD 595.6 million for FY2025 and does not define it in the financial statements</w:t>
            </w:r>
          </w:p>
        </w:tc>
        <w:tc>
          <w:tcPr>
            <w:tcW w:type="dxa" w:w="6336"/>
          </w:tcPr>
          <w:p>
            <w:pPr>
              <w:spacing w:after="20"/>
              <w:jc w:val="right"/>
            </w:pPr>
            <w:r>
              <w:rPr>
                <w:color w:val="1C3A36"/>
                <w:sz w:val="16"/>
              </w:rPr>
              <w:t>The definition was reconstructed from the company's own reconciliation — operating profit plus depreciation and amortisation plus impairments on non-financial and financial assets — and it reproduces the published figure to the nearest thousand dollars in FY2025 and in both halves of 2026. That reconstruction, not the published headline, is what the model uses, so the same definition applies to every forecast year.</w:t>
            </w:r>
          </w:p>
        </w:tc>
      </w:tr>
      <w:tr>
        <w:tc>
          <w:tcPr>
            <w:tcW w:type="dxa" w:w="3744"/>
          </w:tcPr>
          <w:p>
            <w:pPr>
              <w:spacing w:after="20"/>
            </w:pPr>
            <w:r>
              <w:rPr>
                <w:color w:val="1C3A36"/>
                <w:sz w:val="16"/>
              </w:rPr>
              <w:t>Peer multiples: one regional comparator screens at over 100 times EBITDA</w:t>
            </w:r>
          </w:p>
        </w:tc>
        <w:tc>
          <w:tcPr>
            <w:tcW w:type="dxa" w:w="6336"/>
          </w:tcPr>
          <w:p>
            <w:pPr>
              <w:spacing w:after="20"/>
              <w:jc w:val="right"/>
            </w:pPr>
            <w:r>
              <w:rPr>
                <w:color w:val="1C3A36"/>
                <w:sz w:val="16"/>
              </w:rPr>
              <w:t>That name is running a 2.6% EBITDA margin on a depressed year, so its multiple is arithmetic rather than information. It is shown in the peer table for completeness and excluded from the median, along with any comparator outside a 4-to-40-times band. The exclusion rule is stated rather than applied silently.</w:t>
            </w:r>
          </w:p>
        </w:tc>
      </w:tr>
    </w:tbl>
    <w:p>
      <w:pPr>
        <w:spacing w:after="40"/>
      </w:pPr>
    </w:p>
    <w:p>
      <w:pPr>
        <w:spacing w:after="120" w:before="280"/>
      </w:pPr>
      <w:r>
        <w:rPr>
          <w:b/>
          <w:i w:val="0"/>
          <w:color w:val="1C3A36"/>
          <w:sz w:val="30"/>
        </w:rPr>
        <w:t>7  A note on what this study could not obtain</w:t>
      </w:r>
    </w:p>
    <w:p>
      <w:pPr>
        <w:spacing w:after="120" w:before="0"/>
      </w:pPr>
      <w:r>
        <w:rPr>
          <w:b w:val="0"/>
          <w:i w:val="0"/>
          <w:color w:val="1C3A36"/>
          <w:sz w:val="21"/>
        </w:rPr>
        <w:t>Two things were wanted and not obtained, and both are recorded in the study itself rather than left to be discovered.</w:t>
      </w:r>
    </w:p>
    <w:p>
      <w:pPr>
        <w:spacing w:after="120" w:before="0"/>
      </w:pPr>
      <w:r>
        <w:rPr>
          <w:b w:val="0"/>
          <w:i w:val="0"/>
          <w:color w:val="1C3A36"/>
          <w:sz w:val="21"/>
        </w:rPr>
        <w:t>First, a daily history for the Abu Dhabi general index. It was sought from several machine-readable sources and none served a timeseries. The consequence is that the beta regression runs against the index of the company's other home market rather than its primary one. Both currencies are pegged to the dollar and both markets list the same shares, and two independent cross-checks come out lower than the adopted figure, so the effect is to make the cost of equity slightly more conservative rather than less.</w:t>
      </w:r>
    </w:p>
    <w:p>
      <w:pPr>
        <w:spacing w:after="120" w:before="0"/>
      </w:pPr>
      <w:r>
        <w:rPr>
          <w:b w:val="0"/>
          <w:i w:val="0"/>
          <w:color w:val="1C3A36"/>
          <w:sz w:val="21"/>
        </w:rPr>
        <w:t>Second, a country-level split of the company's restaurant-opening guidance. It is not published at that level. The study allocates the guided total across markets on where the estate has actually been growing, and flags that allocation as an estimate.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