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p>
          <w:p>
            <w:r>
              <w:rPr>
                <w:color w:val="FFFFFF"/>
                <w:sz w:val="19"/>
              </w:rPr>
              <w:t>Edition of 9 August 2026</w:t>
            </w:r>
            <w:r>
              <w:rPr>
                <w:color w:val="9FB0AC"/>
                <w:sz w:val="19"/>
              </w:rPr>
              <w:t xml:space="preserve">   ·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6.80 on 2026-09-07 and compared against the latest price held for it, AED 6.80 on 2026-09-07,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1.103,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0.690.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5.34 a share; on the composite, AED 7.37. The first is adopted. Both are computed in full, both appear side by side in every table that matters, and they are never averaged into a single number.</w:t>
            </w:r>
          </w:p>
          <w:p>
            <w:pPr>
              <w:spacing w:after="100"/>
            </w:pPr>
            <w:r>
              <w:rPr>
                <w:b/>
                <w:color w:val="1C3A36"/>
                <w:sz w:val="19"/>
              </w:rPr>
              <w:t xml:space="preserve">This is a twice-corrected edition, and both rounds of correction are listed. </w:t>
            </w:r>
            <w:r>
              <w:rPr>
                <w:color w:val="1C3A36"/>
                <w:sz w:val="19"/>
              </w:rPr>
              <w:t>This study has been through two rounds of external review. 4 independent readers raised 166 findings between them; every one was priced and adjudicated, and the ones that survived scrutiny have been acted on. The first round rebuilt the tanker fleet vessel by vessel, made the cost of capital charge for every kind of capital the company actually uses, stopped the joint ventures being counted twice, replaced the asset lens with a method this company's distribution policy does not break, and struck earnings per share after the coupon on securities that rank ahead of the ordinary shares. The second round put a USD 1.3 billion vessel purchase into the model that the first edition had omitted altogether, stopped the smallest tankers being carried at a rate that moved the opposite way from theirs, re-based receivable days onto the revenue the forecast is actually built at, and corrected two descriptions that did not match what the model does. The section headed “What changed in these editions, and why”, immediately after the caveats, sets both rounds out row by row with the direction and the size of each. A study that has been corrected and does not say so is worse than one that was right the first time.</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52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On 7 Aug 2026 — the day the closing price this study is anchored on was set — the company announced the purchase of 11 more vessels for about USD 1.3 billion: 6 very large crude carriers and 5 gas carriers. The crude carriers and most of the gas carriers were bought secondhand for delivery in the third quarter of 2026; the rest are gas carrier newbuildings resold from a Chinese yard, arriving in the fourth. It takes the owned crude fleet from 8 vessels to 14 and the gas fleet to twelve very large gas carriers. The first edition of this study omitted it entirely, which meant a fair value that excluded the vessels was being compared with a market price that already included them. They are now in the model: each class joins the fleet on its own announced delivery date and earns from that date, and the USD 1.3 billion is added both to net debt in the bridge and to the asset base that depreciates. The announcement also corroborates a correction the first round of review produced. That round cut the crude fleet from the 53 tankers on the books at the FY2025 year end to the 52 owned at the valuation date, because a very large crude carrier had been sold in January — taking that class to 8. The company now says the purchase takes it to 14, and 8 plus 6 is 14. The corrected count is the one the company itself is counting from.</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across the group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and reading how extraordinary takes one step of care. The company publishes a single rate per vessel class per quarter, and that rate is a blend: it averages the vessels trading in the open market together with the vessels already fixed on charters out at rates agreed months or years earlier. Asked about the figure for the largest class on the first-quarter call, the chief financial officer said it “was related to our full fleet of 8, and it includes all the vessels on long-term charter as well … it's a blended rate that we give there, which is obviously less than the spot rate.” So the published figure understates what an uncommitted vessel earns, by exactly the drag of the vessels inside it that are not free to earn it. Very large crude carriers earned a published average of USD 52,466 a day across FY2025; the published figure was USD 145,000 for the first quarter of 2026 and USD 291,145 was indicated for the second. Strip out the 2 of 8 vessels in that class already on charter out, each at its own disclosed rate, and the rate the remaining vessels must have earned in the first quarter is USD 151,440 a day. The long-range classes moved the same way. The first quarter as a whole showed revenue of USD 1,083 million (-10% year on year, because low-margin chartered-in trading fell away), earnings before interest, tax, depreciation and amortisation of USD 368 million (+7%) and attributable profit of USD 203 million (+12%). All three of those movements are on the basis the company's own commentary uses, which is the basis its business-unit table is on. The reviewed statements carry a different first-quarter 2025 revenue comparative — tanker revenue and direct costs for the first three quarters of that year were re-presented, with no effect on profit — and on the statutory comparative the same revenue movement is -8% rather than -10%. The statements are what every historical line in this study is built from; the commentary basis is the only one on which the two years are comparable unit by unit, so it is the one quoted beside unit figures, and the difference is stated rather than left to be discovered.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lenses centre at AED 5.34 against a market price of 6.80 — 21% below the market price. The cash-flow lens on its own lands at AED 5.34, 21% below the market price, and the three notional experts in Appendix C, who price mid-cycle earnings rather than a terminal value, centre at AED 7.97, 17% above the market price. The honest conclusion is that the evidence brackets the screen price rather than pointing away from it: the widest reads sit meaningfully above, the asset lens sits well below, and the two constructions that stay closest to the company's own reported cash — the cash-flow lens and the expert panel — sit within a few per cent of the market. This is not a study that finds a mispricing.</w:t>
      </w:r>
    </w:p>
    <w:p>
      <w:pPr>
        <w:spacing w:after="200" w:before="0"/>
      </w:pPr>
      <w:r>
        <w:rPr>
          <w:b w:val="0"/>
          <w:i w:val="0"/>
          <w:color w:val="1C3A36"/>
          <w:sz w:val="21"/>
        </w:rPr>
        <w:t>The reason that conclusion is stronger than it looks rests on the discount rate. Measured against the published index of its own exchange, this share's beta is 1.103 — it moves with the market, near enough one for one, on 159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0.690 and lifts the cash-flow lens to AED 7.37. That construction is published beside the adopted one throughout, because a gap of AED 2.03 a share that turns on how an index is weighted is something a reader is entitled to see rather than a detail to bury. The point estimate is not precise, and this edition says so more plainly than the last: the standard error on it is 0.315, which puts the 90% interval at [0.586, 1.621] and carries the cash-flow lens from AED 2.76 to AED 9.98 once the rate anchor and the capital programme move with it. The largest open question is still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8.7% to 8.7% on the share's own beta of 1.103 against the published index of its own exchange and on all three kinds of capital the company uses — ordinary equity 83.1%, debt 4.9%, perpetual capital securities 12.0% at their own coupon; terminal growth 2%; 62% of enterprise value comes from the terminal value</w:t>
            </w:r>
          </w:p>
        </w:tc>
        <w:tc>
          <w:tcPr>
            <w:tcW w:type="dxa" w:w="1526"/>
          </w:tcPr>
          <w:p>
            <w:pPr>
              <w:spacing w:after="20"/>
              <w:jc w:val="right"/>
            </w:pPr>
            <w:r>
              <w:rPr>
                <w:color w:val="1C3A36"/>
                <w:sz w:val="16"/>
              </w:rPr>
              <w:t>2.76 – 9.98</w:t>
            </w:r>
          </w:p>
        </w:tc>
        <w:tc>
          <w:tcPr>
            <w:tcW w:type="dxa" w:w="1181"/>
          </w:tcPr>
          <w:p>
            <w:pPr>
              <w:spacing w:after="20"/>
              <w:jc w:val="right"/>
            </w:pPr>
            <w:r>
              <w:rPr>
                <w:color w:val="1C3A36"/>
                <w:sz w:val="16"/>
              </w:rPr>
              <w:t>5.34</w:t>
            </w:r>
          </w:p>
        </w:tc>
        <w:tc>
          <w:tcPr>
            <w:tcW w:type="dxa" w:w="1210"/>
          </w:tcPr>
          <w:p>
            <w:pPr>
              <w:spacing w:after="20"/>
              <w:jc w:val="right"/>
            </w:pPr>
            <w:r>
              <w:rPr>
                <w:color w:val="1C3A36"/>
                <w:sz w:val="16"/>
              </w:rPr>
              <w:t>-21%</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 The earnings multiple is the peers' FORWARD multiple applied to forward earnings; on their trailing multiples the same blend is 12.86×</w:t>
            </w:r>
          </w:p>
        </w:tc>
        <w:tc>
          <w:tcPr>
            <w:tcW w:type="dxa" w:w="1526"/>
          </w:tcPr>
          <w:p>
            <w:pPr>
              <w:spacing w:after="20"/>
              <w:jc w:val="right"/>
            </w:pPr>
            <w:r>
              <w:rPr>
                <w:color w:val="1C3A36"/>
                <w:sz w:val="16"/>
              </w:rPr>
              <w:t>9.63 – 14.63</w:t>
            </w:r>
          </w:p>
        </w:tc>
        <w:tc>
          <w:tcPr>
            <w:tcW w:type="dxa" w:w="1181"/>
          </w:tcPr>
          <w:p>
            <w:pPr>
              <w:spacing w:after="20"/>
              <w:jc w:val="right"/>
            </w:pPr>
            <w:r>
              <w:rPr>
                <w:color w:val="1C3A36"/>
                <w:sz w:val="16"/>
              </w:rPr>
              <w:t>12.21</w:t>
            </w:r>
          </w:p>
        </w:tc>
        <w:tc>
          <w:tcPr>
            <w:tcW w:type="dxa" w:w="1210"/>
          </w:tcPr>
          <w:p>
            <w:pPr>
              <w:spacing w:after="20"/>
              <w:jc w:val="right"/>
            </w:pPr>
            <w:r>
              <w:rPr>
                <w:color w:val="1C3A36"/>
                <w:sz w:val="16"/>
              </w:rPr>
              <w:t>+80%</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2,617 million before interest, tax, depreciation and amortisation — at the same blended multiples</w:t>
            </w:r>
          </w:p>
        </w:tc>
        <w:tc>
          <w:tcPr>
            <w:tcW w:type="dxa" w:w="1526"/>
          </w:tcPr>
          <w:p>
            <w:pPr>
              <w:spacing w:after="20"/>
              <w:jc w:val="right"/>
            </w:pPr>
            <w:r>
              <w:rPr>
                <w:color w:val="1C3A36"/>
                <w:sz w:val="16"/>
              </w:rPr>
              <w:t>9.21 – 14.03</w:t>
            </w:r>
          </w:p>
        </w:tc>
        <w:tc>
          <w:tcPr>
            <w:tcW w:type="dxa" w:w="1181"/>
          </w:tcPr>
          <w:p>
            <w:pPr>
              <w:spacing w:after="20"/>
              <w:jc w:val="right"/>
            </w:pPr>
            <w:r>
              <w:rPr>
                <w:color w:val="1C3A36"/>
                <w:sz w:val="16"/>
              </w:rPr>
              <w:t>11.07</w:t>
            </w:r>
          </w:p>
        </w:tc>
        <w:tc>
          <w:tcPr>
            <w:tcW w:type="dxa" w:w="1210"/>
          </w:tcPr>
          <w:p>
            <w:pPr>
              <w:spacing w:after="20"/>
              <w:jc w:val="right"/>
            </w:pPr>
            <w:r>
              <w:rPr>
                <w:color w:val="1C3A36"/>
                <w:sz w:val="16"/>
              </w:rPr>
              <w:t>+63%</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the ordinary book of AED 2.92 a share, plus five years of returns earned above the cost of equity of 9.43% on that book, discounted, plus a remainder that fades at 10% a year — worth 1.34× the book it starts from</w:t>
            </w:r>
          </w:p>
        </w:tc>
        <w:tc>
          <w:tcPr>
            <w:tcW w:type="dxa" w:w="1526"/>
          </w:tcPr>
          <w:p>
            <w:pPr>
              <w:spacing w:after="20"/>
              <w:jc w:val="right"/>
            </w:pPr>
            <w:r>
              <w:rPr>
                <w:color w:val="1C3A36"/>
                <w:sz w:val="16"/>
              </w:rPr>
              <w:t>2.46 – 5.90</w:t>
            </w:r>
          </w:p>
        </w:tc>
        <w:tc>
          <w:tcPr>
            <w:tcW w:type="dxa" w:w="1181"/>
          </w:tcPr>
          <w:p>
            <w:pPr>
              <w:spacing w:after="20"/>
              <w:jc w:val="right"/>
            </w:pPr>
            <w:r>
              <w:rPr>
                <w:color w:val="1C3A36"/>
                <w:sz w:val="16"/>
              </w:rPr>
              <w:t>3.91</w:t>
            </w:r>
          </w:p>
        </w:tc>
        <w:tc>
          <w:tcPr>
            <w:tcW w:type="dxa" w:w="1210"/>
          </w:tcPr>
          <w:p>
            <w:pPr>
              <w:spacing w:after="20"/>
              <w:jc w:val="right"/>
            </w:pPr>
            <w:r>
              <w:rPr>
                <w:color w:val="1C3A36"/>
                <w:sz w:val="16"/>
              </w:rPr>
              <w:t>-43%</w:t>
            </w:r>
          </w:p>
        </w:tc>
      </w:tr>
      <w:tr>
        <w:trPr>
          <w:cantSplit/>
        </w:trPr>
        <w:tc>
          <w:tcPr>
            <w:tcW w:type="dxa" w:w="2045"/>
            <w:shd w:val="clear" w:color="auto" w:fill="F6F1E6"/>
          </w:tcPr>
          <w:p>
            <w:pPr>
              <w:spacing w:after="20"/>
            </w:pPr>
            <w:r>
              <w:rPr>
                <w:b/>
                <w:color w:val="1C3A36"/>
                <w:sz w:val="16"/>
              </w:rPr>
              <w:t>Central</w:t>
            </w:r>
          </w:p>
        </w:tc>
        <w:tc>
          <w:tcPr>
            <w:tcW w:type="dxa" w:w="4118"/>
            <w:shd w:val="clear" w:color="auto" w:fill="F6F1E6"/>
          </w:tcPr>
          <w:p>
            <w:pPr>
              <w:spacing w:after="20"/>
              <w:jc w:val="left"/>
            </w:pPr>
            <w:r>
              <w:rPr>
                <w:b/>
                <w:color w:val="1C3A36"/>
                <w:sz w:val="16"/>
              </w:rPr>
              <w:t>THE CASH-FLOW LENS, on the beta measured against the published index of its own exchange. It is the answer rather than a share of one: the reads below are cross-checks published beside it and are not averaged into it</w:t>
            </w:r>
          </w:p>
        </w:tc>
        <w:tc>
          <w:tcPr>
            <w:tcW w:type="dxa" w:w="1526"/>
            <w:shd w:val="clear" w:color="auto" w:fill="F6F1E6"/>
          </w:tcPr>
          <w:p>
            <w:pPr>
              <w:spacing w:after="20"/>
              <w:jc w:val="right"/>
            </w:pPr>
            <w:r>
              <w:rPr>
                <w:b/>
                <w:color w:val="1C3A36"/>
                <w:sz w:val="16"/>
              </w:rPr>
              <w:t>2.76 – 9.98</w:t>
            </w:r>
          </w:p>
        </w:tc>
        <w:tc>
          <w:tcPr>
            <w:tcW w:type="dxa" w:w="1181"/>
            <w:shd w:val="clear" w:color="auto" w:fill="F6F1E6"/>
          </w:tcPr>
          <w:p>
            <w:pPr>
              <w:spacing w:after="20"/>
              <w:jc w:val="right"/>
            </w:pPr>
            <w:r>
              <w:rPr>
                <w:b/>
                <w:color w:val="1C3A36"/>
                <w:sz w:val="16"/>
              </w:rPr>
              <w:t>5.34</w:t>
            </w:r>
          </w:p>
        </w:tc>
        <w:tc>
          <w:tcPr>
            <w:tcW w:type="dxa" w:w="1210"/>
            <w:shd w:val="clear" w:color="auto" w:fill="F6F1E6"/>
          </w:tcPr>
          <w:p>
            <w:pPr>
              <w:spacing w:after="20"/>
              <w:jc w:val="right"/>
            </w:pPr>
            <w:r>
              <w:rPr>
                <w:b/>
                <w:color w:val="1C3A36"/>
                <w:sz w:val="16"/>
              </w:rPr>
              <w:t>-21%</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2026-09-07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6.80</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0.690 instead of 1.103, cost of capital gliding 7.0% to 7.0%, and 69% of enterprise value from the terminal value. The published index is the yardstick this study adopts; the composite is shown because the gap turns on index weighting rather than on the company (section 1.8). The central on this construction is AED 7.37</w:t>
            </w:r>
          </w:p>
        </w:tc>
        <w:tc>
          <w:tcPr>
            <w:tcW w:type="dxa" w:w="1526"/>
          </w:tcPr>
          <w:p>
            <w:pPr>
              <w:spacing w:after="20"/>
              <w:jc w:val="right"/>
            </w:pPr>
            <w:r>
              <w:rPr>
                <w:color w:val="1C3A36"/>
                <w:sz w:val="16"/>
              </w:rPr>
              <w:t>—</w:t>
            </w:r>
          </w:p>
        </w:tc>
        <w:tc>
          <w:tcPr>
            <w:tcW w:type="dxa" w:w="1181"/>
          </w:tcPr>
          <w:p>
            <w:pPr>
              <w:spacing w:after="20"/>
              <w:jc w:val="right"/>
            </w:pPr>
            <w:r>
              <w:rPr>
                <w:color w:val="1C3A36"/>
                <w:sz w:val="16"/>
              </w:rPr>
              <w:t>7.37</w:t>
            </w:r>
          </w:p>
        </w:tc>
        <w:tc>
          <w:tcPr>
            <w:tcW w:type="dxa" w:w="1210"/>
          </w:tcPr>
          <w:p>
            <w:pPr>
              <w:spacing w:after="20"/>
              <w:jc w:val="right"/>
            </w:pPr>
            <w:r>
              <w:rPr>
                <w:color w:val="1C3A36"/>
                <w:sz w:val="16"/>
              </w:rPr>
              <w:t>+8%</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7.46</w:t>
            </w:r>
          </w:p>
        </w:tc>
        <w:tc>
          <w:tcPr>
            <w:tcW w:type="dxa" w:w="1210"/>
          </w:tcPr>
          <w:p>
            <w:pPr>
              <w:spacing w:after="20"/>
              <w:jc w:val="right"/>
            </w:pPr>
            <w:r>
              <w:rPr>
                <w:color w:val="1C3A36"/>
                <w:sz w:val="16"/>
              </w:rPr>
              <w:t>+10%</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1,118 million, instead of their carrying value of USD 1,979 million (section 1.1). Read what makes the two differ: capitalising the same coupon at the securities' OWN rate of 4.90% returns USD 1,979 million, the carrying value to the dollar. This alternative is therefore a statement about the rate the claim should be discounted at, not a second valuation of it</w:t>
            </w:r>
          </w:p>
        </w:tc>
        <w:tc>
          <w:tcPr>
            <w:tcW w:type="dxa" w:w="1526"/>
          </w:tcPr>
          <w:p>
            <w:pPr>
              <w:spacing w:after="20"/>
              <w:jc w:val="right"/>
            </w:pPr>
            <w:r>
              <w:rPr>
                <w:color w:val="1C3A36"/>
                <w:sz w:val="16"/>
              </w:rPr>
              <w:t>—</w:t>
            </w:r>
          </w:p>
        </w:tc>
        <w:tc>
          <w:tcPr>
            <w:tcW w:type="dxa" w:w="1181"/>
          </w:tcPr>
          <w:p>
            <w:pPr>
              <w:spacing w:after="20"/>
              <w:jc w:val="right"/>
            </w:pPr>
            <w:r>
              <w:rPr>
                <w:color w:val="1C3A36"/>
                <w:sz w:val="16"/>
              </w:rPr>
              <w:t>5.77</w:t>
            </w:r>
          </w:p>
        </w:tc>
        <w:tc>
          <w:tcPr>
            <w:tcW w:type="dxa" w:w="1210"/>
          </w:tcPr>
          <w:p>
            <w:pPr>
              <w:spacing w:after="20"/>
              <w:jc w:val="right"/>
            </w:pPr>
            <w:r>
              <w:rPr>
                <w:color w:val="1C3A36"/>
                <w:sz w:val="16"/>
              </w:rPr>
              <w:t>-15%</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and within the cash-flow lens the bear and bull cases are a COMPOSITE of three stresses moved together, not the beta alone. Each end takes one end of the beta's own 90% confidence interval — 1.621 at the bear end and 0.586 at the bull end — and moves the mid-cycle rate anchor and the capital programme against the value at the same time. Reading the beta off by itself, the published grid in section 1.9 puts the 1.621 case at AED 3.86 against a published bear of 2.76, so roughly AED 1.10 of that bound is the other two stresses rather than the statistics. The bounds are still drawn from the estimate's own interval rather than from round numbers chosen by hand — but they are not the span the estimate alone supports, and an earlier edition described them as though they were. Those bounds are WIDER in this edition than in the last one, and the reason is worth stating rather than burying: the beta has been re-measured on the exchange's own trading week, and its 90% interval widened from [0.758, 1.412] to [0.586, 1.621]. The bear and bull cases take those bounds directly, so they widened with it. A published range that grows is not a defect in the study; it is the honest width of what 159 weekly observations on a 3.1-year history can support, and the previous edition's tighter range was claiming more precision than the data holds. The index reading is the largest of the three alternatives: AED 2.03 a share separates the two constructions on the cash-flow lens and AED 2.03 on the central, and both are carried at full size through section 1.1, section 1.8, the comparison in section 4 and the expert panel. Terminal value is 62%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52 owned tankers across five size classes, of which 44 trade at spot rates and 8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The purchase announced on the anchor date</w:t>
            </w:r>
          </w:p>
        </w:tc>
        <w:tc>
          <w:tcPr>
            <w:tcW w:type="dxa" w:w="7848"/>
          </w:tcPr>
          <w:p>
            <w:pPr>
              <w:spacing w:after="20"/>
            </w:pPr>
            <w:r>
              <w:rPr>
                <w:color w:val="1C3A36"/>
                <w:sz w:val="17"/>
              </w:rPr>
              <w:t>11 more vessels for about USD 1.3 billion, announced 7 Aug 2026: 6 very large crude carriers, taking that class from 8 to 14, and 5 gas carriers, taking the gas fleet to twelve very large gas carriers. The crude carriers and most of the gas carriers deliver in the third quarter of 2026; the remaining gas carrier newbuildings, resold from a Chinese yard, in the fourth. Each vessel enters the model on its own delivery date and earns from it, and the purchase price is added to net debt in the bridge and to the depreciating asset base</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on the company's own group-wide count at the FY2025 year end — wider than the 44 owned tankers free to earn the market at the valuation date in the row above, because it also covers the dry-bulk and container fleet.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13,699 million at the anchor price, or AED 50,310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0.15× the 2026E earnings this study forecasts, against the company's own stated medium-term target range of 2.0× to 2.5×. The bridge in section 1.1 deducts USD 1,862 million, which is that figure plus the deferred consideration of USD 304 million and the USD 1.3 billion committed to the August purchase</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 — and, because they are a third kind of capital and not a rounding on the other two, also weights them in the cost of capital at 12.0% of the total, at their own coupon of 4.90%</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2.5%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literally vessel by vessel — each of the 12 vessels chartered out earns its own disclosed rate for exactly the days its own contract runs, and every other vessel earns the open-market rate solved out of the company's published class averages — the gas carriers on contracted vessel-years at the day rate implied by their own revenue, and the remaining units on what they actually earned in the first quarter of 2026, annualised and grown. Sections 1.6 and 1.7 set the build out unit by unit and vessel by vessel.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6,982</w:t>
            </w:r>
          </w:p>
        </w:tc>
        <w:tc>
          <w:tcPr>
            <w:tcW w:type="dxa" w:w="1382"/>
          </w:tcPr>
          <w:p>
            <w:pPr>
              <w:spacing w:after="20"/>
              <w:jc w:val="right"/>
            </w:pPr>
            <w:r>
              <w:rPr>
                <w:color w:val="1C3A36"/>
                <w:sz w:val="16"/>
              </w:rPr>
              <w:t>7,690</w:t>
            </w:r>
          </w:p>
        </w:tc>
        <w:tc>
          <w:tcPr>
            <w:tcW w:type="dxa" w:w="1382"/>
          </w:tcPr>
          <w:p>
            <w:pPr>
              <w:spacing w:after="20"/>
              <w:jc w:val="right"/>
            </w:pPr>
            <w:r>
              <w:rPr>
                <w:color w:val="1C3A36"/>
                <w:sz w:val="16"/>
              </w:rPr>
              <w:t>7,447</w:t>
            </w:r>
          </w:p>
        </w:tc>
        <w:tc>
          <w:tcPr>
            <w:tcW w:type="dxa" w:w="1382"/>
          </w:tcPr>
          <w:p>
            <w:pPr>
              <w:spacing w:after="20"/>
              <w:jc w:val="right"/>
            </w:pPr>
            <w:r>
              <w:rPr>
                <w:color w:val="1C3A36"/>
                <w:sz w:val="16"/>
              </w:rPr>
              <w:t>6,716</w:t>
            </w:r>
          </w:p>
        </w:tc>
        <w:tc>
          <w:tcPr>
            <w:tcW w:type="dxa" w:w="1382"/>
          </w:tcPr>
          <w:p>
            <w:pPr>
              <w:spacing w:after="20"/>
              <w:jc w:val="right"/>
            </w:pPr>
            <w:r>
              <w:rPr>
                <w:color w:val="1C3A36"/>
                <w:sz w:val="16"/>
              </w:rPr>
              <w:t>5,890</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(4,266)</w:t>
            </w:r>
          </w:p>
        </w:tc>
        <w:tc>
          <w:tcPr>
            <w:tcW w:type="dxa" w:w="1382"/>
          </w:tcPr>
          <w:p>
            <w:pPr>
              <w:spacing w:after="20"/>
              <w:jc w:val="right"/>
            </w:pPr>
            <w:r>
              <w:rPr>
                <w:color w:val="1C3A36"/>
                <w:sz w:val="16"/>
              </w:rPr>
              <w:t>(4,550)</w:t>
            </w:r>
          </w:p>
        </w:tc>
        <w:tc>
          <w:tcPr>
            <w:tcW w:type="dxa" w:w="1382"/>
          </w:tcPr>
          <w:p>
            <w:pPr>
              <w:spacing w:after="20"/>
              <w:jc w:val="right"/>
            </w:pPr>
            <w:r>
              <w:rPr>
                <w:color w:val="1C3A36"/>
                <w:sz w:val="16"/>
              </w:rPr>
              <w:t>(4,523)</w:t>
            </w:r>
          </w:p>
        </w:tc>
        <w:tc>
          <w:tcPr>
            <w:tcW w:type="dxa" w:w="1382"/>
          </w:tcPr>
          <w:p>
            <w:pPr>
              <w:spacing w:after="20"/>
              <w:jc w:val="right"/>
            </w:pPr>
            <w:r>
              <w:rPr>
                <w:color w:val="1C3A36"/>
                <w:sz w:val="16"/>
              </w:rPr>
              <w:t>(4,290)</w:t>
            </w:r>
          </w:p>
        </w:tc>
        <w:tc>
          <w:tcPr>
            <w:tcW w:type="dxa" w:w="1382"/>
          </w:tcPr>
          <w:p>
            <w:pPr>
              <w:spacing w:after="20"/>
              <w:jc w:val="right"/>
            </w:pPr>
            <w:r>
              <w:rPr>
                <w:color w:val="1C3A36"/>
                <w:sz w:val="16"/>
              </w:rPr>
              <w:t>(4,010)</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2,716</w:t>
            </w:r>
          </w:p>
        </w:tc>
        <w:tc>
          <w:tcPr>
            <w:tcW w:type="dxa" w:w="1382"/>
          </w:tcPr>
          <w:p>
            <w:pPr>
              <w:spacing w:after="20"/>
              <w:jc w:val="right"/>
            </w:pPr>
            <w:r>
              <w:rPr>
                <w:color w:val="1C3A36"/>
                <w:sz w:val="16"/>
              </w:rPr>
              <w:t>3,140</w:t>
            </w:r>
          </w:p>
        </w:tc>
        <w:tc>
          <w:tcPr>
            <w:tcW w:type="dxa" w:w="1382"/>
          </w:tcPr>
          <w:p>
            <w:pPr>
              <w:spacing w:after="20"/>
              <w:jc w:val="right"/>
            </w:pPr>
            <w:r>
              <w:rPr>
                <w:color w:val="1C3A36"/>
                <w:sz w:val="16"/>
              </w:rPr>
              <w:t>2,924</w:t>
            </w:r>
          </w:p>
        </w:tc>
        <w:tc>
          <w:tcPr>
            <w:tcW w:type="dxa" w:w="1382"/>
          </w:tcPr>
          <w:p>
            <w:pPr>
              <w:spacing w:after="20"/>
              <w:jc w:val="right"/>
            </w:pPr>
            <w:r>
              <w:rPr>
                <w:color w:val="1C3A36"/>
                <w:sz w:val="16"/>
              </w:rPr>
              <w:t>2,426</w:t>
            </w:r>
          </w:p>
        </w:tc>
        <w:tc>
          <w:tcPr>
            <w:tcW w:type="dxa" w:w="1382"/>
          </w:tcPr>
          <w:p>
            <w:pPr>
              <w:spacing w:after="20"/>
              <w:jc w:val="right"/>
            </w:pPr>
            <w:r>
              <w:rPr>
                <w:color w:val="1C3A36"/>
                <w:sz w:val="16"/>
              </w:rPr>
              <w:t>1,880</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38.9%</w:t>
            </w:r>
          </w:p>
        </w:tc>
        <w:tc>
          <w:tcPr>
            <w:tcW w:type="dxa" w:w="1382"/>
          </w:tcPr>
          <w:p>
            <w:pPr>
              <w:spacing w:after="20"/>
              <w:jc w:val="right"/>
            </w:pPr>
            <w:r>
              <w:rPr>
                <w:color w:val="1C3A36"/>
                <w:sz w:val="16"/>
              </w:rPr>
              <w:t>40.8%</w:t>
            </w:r>
          </w:p>
        </w:tc>
        <w:tc>
          <w:tcPr>
            <w:tcW w:type="dxa" w:w="1382"/>
          </w:tcPr>
          <w:p>
            <w:pPr>
              <w:spacing w:after="20"/>
              <w:jc w:val="right"/>
            </w:pPr>
            <w:r>
              <w:rPr>
                <w:color w:val="1C3A36"/>
                <w:sz w:val="16"/>
              </w:rPr>
              <w:t>39.3%</w:t>
            </w:r>
          </w:p>
        </w:tc>
        <w:tc>
          <w:tcPr>
            <w:tcW w:type="dxa" w:w="1382"/>
          </w:tcPr>
          <w:p>
            <w:pPr>
              <w:spacing w:after="20"/>
              <w:jc w:val="right"/>
            </w:pPr>
            <w:r>
              <w:rPr>
                <w:color w:val="1C3A36"/>
                <w:sz w:val="16"/>
              </w:rPr>
              <w:t>36.1%</w:t>
            </w:r>
          </w:p>
        </w:tc>
        <w:tc>
          <w:tcPr>
            <w:tcW w:type="dxa" w:w="1382"/>
          </w:tcPr>
          <w:p>
            <w:pPr>
              <w:spacing w:after="20"/>
              <w:jc w:val="right"/>
            </w:pPr>
            <w:r>
              <w:rPr>
                <w:color w:val="1C3A36"/>
                <w:sz w:val="16"/>
              </w:rPr>
              <w:t>31.9%</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(587)</w:t>
            </w:r>
          </w:p>
        </w:tc>
        <w:tc>
          <w:tcPr>
            <w:tcW w:type="dxa" w:w="1382"/>
          </w:tcPr>
          <w:p>
            <w:pPr>
              <w:spacing w:after="20"/>
              <w:jc w:val="right"/>
            </w:pPr>
            <w:r>
              <w:rPr>
                <w:color w:val="1C3A36"/>
                <w:sz w:val="16"/>
              </w:rPr>
              <w:t>(675)</w:t>
            </w:r>
          </w:p>
        </w:tc>
        <w:tc>
          <w:tcPr>
            <w:tcW w:type="dxa" w:w="1382"/>
          </w:tcPr>
          <w:p>
            <w:pPr>
              <w:spacing w:after="20"/>
              <w:jc w:val="right"/>
            </w:pPr>
            <w:r>
              <w:rPr>
                <w:color w:val="1C3A36"/>
                <w:sz w:val="16"/>
              </w:rPr>
              <w:t>(717)</w:t>
            </w:r>
          </w:p>
        </w:tc>
        <w:tc>
          <w:tcPr>
            <w:tcW w:type="dxa" w:w="1382"/>
          </w:tcPr>
          <w:p>
            <w:pPr>
              <w:spacing w:after="20"/>
              <w:jc w:val="right"/>
            </w:pPr>
            <w:r>
              <w:rPr>
                <w:color w:val="1C3A36"/>
                <w:sz w:val="16"/>
              </w:rPr>
              <w:t>(741)</w:t>
            </w:r>
          </w:p>
        </w:tc>
        <w:tc>
          <w:tcPr>
            <w:tcW w:type="dxa" w:w="1382"/>
          </w:tcPr>
          <w:p>
            <w:pPr>
              <w:spacing w:after="20"/>
              <w:jc w:val="right"/>
            </w:pPr>
            <w:r>
              <w:rPr>
                <w:color w:val="1C3A36"/>
                <w:sz w:val="16"/>
              </w:rPr>
              <w:t>(747)</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2,129</w:t>
            </w:r>
          </w:p>
        </w:tc>
        <w:tc>
          <w:tcPr>
            <w:tcW w:type="dxa" w:w="1382"/>
          </w:tcPr>
          <w:p>
            <w:pPr>
              <w:spacing w:after="20"/>
              <w:jc w:val="right"/>
            </w:pPr>
            <w:r>
              <w:rPr>
                <w:color w:val="1C3A36"/>
                <w:sz w:val="16"/>
              </w:rPr>
              <w:t>2,465</w:t>
            </w:r>
          </w:p>
        </w:tc>
        <w:tc>
          <w:tcPr>
            <w:tcW w:type="dxa" w:w="1382"/>
          </w:tcPr>
          <w:p>
            <w:pPr>
              <w:spacing w:after="20"/>
              <w:jc w:val="right"/>
            </w:pPr>
            <w:r>
              <w:rPr>
                <w:color w:val="1C3A36"/>
                <w:sz w:val="16"/>
              </w:rPr>
              <w:t>2,207</w:t>
            </w:r>
          </w:p>
        </w:tc>
        <w:tc>
          <w:tcPr>
            <w:tcW w:type="dxa" w:w="1382"/>
          </w:tcPr>
          <w:p>
            <w:pPr>
              <w:spacing w:after="20"/>
              <w:jc w:val="right"/>
            </w:pPr>
            <w:r>
              <w:rPr>
                <w:color w:val="1C3A36"/>
                <w:sz w:val="16"/>
              </w:rPr>
              <w:t>1,685</w:t>
            </w:r>
          </w:p>
        </w:tc>
        <w:tc>
          <w:tcPr>
            <w:tcW w:type="dxa" w:w="1382"/>
          </w:tcPr>
          <w:p>
            <w:pPr>
              <w:spacing w:after="20"/>
              <w:jc w:val="right"/>
            </w:pPr>
            <w:r>
              <w:rPr>
                <w:color w:val="1C3A36"/>
                <w:sz w:val="16"/>
              </w:rPr>
              <w:t>1,134</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2.5%</w:t>
            </w:r>
          </w:p>
        </w:tc>
        <w:tc>
          <w:tcPr>
            <w:tcW w:type="dxa" w:w="1382"/>
          </w:tcPr>
          <w:p>
            <w:pPr>
              <w:spacing w:after="20"/>
              <w:jc w:val="right"/>
            </w:pPr>
            <w:r>
              <w:rPr>
                <w:color w:val="1C3A36"/>
                <w:sz w:val="16"/>
              </w:rPr>
              <w:t>2.4%</w:t>
            </w:r>
          </w:p>
        </w:tc>
        <w:tc>
          <w:tcPr>
            <w:tcW w:type="dxa" w:w="1382"/>
          </w:tcPr>
          <w:p>
            <w:pPr>
              <w:spacing w:after="20"/>
              <w:jc w:val="right"/>
            </w:pPr>
            <w:r>
              <w:rPr>
                <w:color w:val="1C3A36"/>
                <w:sz w:val="16"/>
              </w:rPr>
              <w:t>2.7%</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4.6%</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2,077</w:t>
            </w:r>
          </w:p>
        </w:tc>
        <w:tc>
          <w:tcPr>
            <w:tcW w:type="dxa" w:w="1382"/>
          </w:tcPr>
          <w:p>
            <w:pPr>
              <w:spacing w:after="20"/>
              <w:jc w:val="right"/>
            </w:pPr>
            <w:r>
              <w:rPr>
                <w:color w:val="1C3A36"/>
                <w:sz w:val="16"/>
              </w:rPr>
              <w:t>2,405</w:t>
            </w:r>
          </w:p>
        </w:tc>
        <w:tc>
          <w:tcPr>
            <w:tcW w:type="dxa" w:w="1382"/>
          </w:tcPr>
          <w:p>
            <w:pPr>
              <w:spacing w:after="20"/>
              <w:jc w:val="right"/>
            </w:pPr>
            <w:r>
              <w:rPr>
                <w:color w:val="1C3A36"/>
                <w:sz w:val="16"/>
              </w:rPr>
              <w:t>2,148</w:t>
            </w:r>
          </w:p>
        </w:tc>
        <w:tc>
          <w:tcPr>
            <w:tcW w:type="dxa" w:w="1382"/>
          </w:tcPr>
          <w:p>
            <w:pPr>
              <w:spacing w:after="20"/>
              <w:jc w:val="right"/>
            </w:pPr>
            <w:r>
              <w:rPr>
                <w:color w:val="1C3A36"/>
                <w:sz w:val="16"/>
              </w:rPr>
              <w:t>1,630</w:t>
            </w:r>
          </w:p>
        </w:tc>
        <w:tc>
          <w:tcPr>
            <w:tcW w:type="dxa" w:w="1382"/>
          </w:tcPr>
          <w:p>
            <w:pPr>
              <w:spacing w:after="20"/>
              <w:jc w:val="right"/>
            </w:pPr>
            <w:r>
              <w:rPr>
                <w:color w:val="1C3A36"/>
                <w:sz w:val="16"/>
              </w:rPr>
              <w:t>1,081</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587</w:t>
            </w:r>
          </w:p>
        </w:tc>
        <w:tc>
          <w:tcPr>
            <w:tcW w:type="dxa" w:w="1382"/>
          </w:tcPr>
          <w:p>
            <w:pPr>
              <w:spacing w:after="20"/>
              <w:jc w:val="right"/>
            </w:pPr>
            <w:r>
              <w:rPr>
                <w:color w:val="1C3A36"/>
                <w:sz w:val="16"/>
              </w:rPr>
              <w:t>675</w:t>
            </w:r>
          </w:p>
        </w:tc>
        <w:tc>
          <w:tcPr>
            <w:tcW w:type="dxa" w:w="1382"/>
          </w:tcPr>
          <w:p>
            <w:pPr>
              <w:spacing w:after="20"/>
              <w:jc w:val="right"/>
            </w:pPr>
            <w:r>
              <w:rPr>
                <w:color w:val="1C3A36"/>
                <w:sz w:val="16"/>
              </w:rPr>
              <w:t>717</w:t>
            </w:r>
          </w:p>
        </w:tc>
        <w:tc>
          <w:tcPr>
            <w:tcW w:type="dxa" w:w="1382"/>
          </w:tcPr>
          <w:p>
            <w:pPr>
              <w:spacing w:after="20"/>
              <w:jc w:val="right"/>
            </w:pPr>
            <w:r>
              <w:rPr>
                <w:color w:val="1C3A36"/>
                <w:sz w:val="16"/>
              </w:rPr>
              <w:t>741</w:t>
            </w:r>
          </w:p>
        </w:tc>
        <w:tc>
          <w:tcPr>
            <w:tcW w:type="dxa" w:w="1382"/>
          </w:tcPr>
          <w:p>
            <w:pPr>
              <w:spacing w:after="20"/>
              <w:jc w:val="right"/>
            </w:pPr>
            <w:r>
              <w:rPr>
                <w:color w:val="1C3A36"/>
                <w:sz w:val="16"/>
              </w:rPr>
              <w:t>747</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Movement in working capital — a release adds, a build subtracts</w:t>
            </w:r>
          </w:p>
        </w:tc>
        <w:tc>
          <w:tcPr>
            <w:tcW w:type="dxa" w:w="1382"/>
          </w:tcPr>
          <w:p>
            <w:pPr>
              <w:spacing w:after="20"/>
              <w:jc w:val="right"/>
            </w:pPr>
            <w:r>
              <w:rPr>
                <w:color w:val="1C3A36"/>
                <w:sz w:val="16"/>
              </w:rPr>
              <w:t>(385)</w:t>
            </w:r>
          </w:p>
        </w:tc>
        <w:tc>
          <w:tcPr>
            <w:tcW w:type="dxa" w:w="1382"/>
          </w:tcPr>
          <w:p>
            <w:pPr>
              <w:spacing w:after="20"/>
              <w:jc w:val="right"/>
            </w:pPr>
            <w:r>
              <w:rPr>
                <w:color w:val="1C3A36"/>
                <w:sz w:val="16"/>
              </w:rPr>
              <w:t>(122)</w:t>
            </w:r>
          </w:p>
        </w:tc>
        <w:tc>
          <w:tcPr>
            <w:tcW w:type="dxa" w:w="1382"/>
          </w:tcPr>
          <w:p>
            <w:pPr>
              <w:spacing w:after="20"/>
              <w:jc w:val="right"/>
            </w:pPr>
            <w:r>
              <w:rPr>
                <w:color w:val="1C3A36"/>
                <w:sz w:val="16"/>
              </w:rPr>
              <w:t>65</w:t>
            </w:r>
          </w:p>
        </w:tc>
        <w:tc>
          <w:tcPr>
            <w:tcW w:type="dxa" w:w="1382"/>
          </w:tcPr>
          <w:p>
            <w:pPr>
              <w:spacing w:after="20"/>
              <w:jc w:val="right"/>
            </w:pPr>
            <w:r>
              <w:rPr>
                <w:color w:val="1C3A36"/>
                <w:sz w:val="16"/>
              </w:rPr>
              <w:t>145</w:t>
            </w:r>
          </w:p>
        </w:tc>
        <w:tc>
          <w:tcPr>
            <w:tcW w:type="dxa" w:w="1382"/>
          </w:tcPr>
          <w:p>
            <w:pPr>
              <w:spacing w:after="20"/>
              <w:jc w:val="right"/>
            </w:pPr>
            <w:r>
              <w:rPr>
                <w:color w:val="1C3A36"/>
                <w:sz w:val="16"/>
              </w:rPr>
              <w:t>159</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903</w:t>
            </w:r>
          </w:p>
        </w:tc>
        <w:tc>
          <w:tcPr>
            <w:tcW w:type="dxa" w:w="1382"/>
            <w:shd w:val="clear" w:color="auto" w:fill="F6F1E6"/>
          </w:tcPr>
          <w:p>
            <w:pPr>
              <w:spacing w:after="20"/>
              <w:jc w:val="right"/>
            </w:pPr>
            <w:r>
              <w:rPr>
                <w:b/>
                <w:color w:val="1C3A36"/>
                <w:sz w:val="16"/>
              </w:rPr>
              <w:t>1,713</w:t>
            </w:r>
          </w:p>
        </w:tc>
        <w:tc>
          <w:tcPr>
            <w:tcW w:type="dxa" w:w="1382"/>
            <w:shd w:val="clear" w:color="auto" w:fill="F6F1E6"/>
          </w:tcPr>
          <w:p>
            <w:pPr>
              <w:spacing w:after="20"/>
              <w:jc w:val="right"/>
            </w:pPr>
            <w:r>
              <w:rPr>
                <w:b/>
                <w:color w:val="1C3A36"/>
                <w:sz w:val="16"/>
              </w:rPr>
              <w:t>1,685</w:t>
            </w:r>
          </w:p>
        </w:tc>
        <w:tc>
          <w:tcPr>
            <w:tcW w:type="dxa" w:w="1382"/>
            <w:shd w:val="clear" w:color="auto" w:fill="F6F1E6"/>
          </w:tcPr>
          <w:p>
            <w:pPr>
              <w:spacing w:after="20"/>
              <w:jc w:val="right"/>
            </w:pPr>
            <w:r>
              <w:rPr>
                <w:b/>
                <w:color w:val="1C3A36"/>
                <w:sz w:val="16"/>
              </w:rPr>
              <w:t>1,816</w:t>
            </w:r>
          </w:p>
        </w:tc>
        <w:tc>
          <w:tcPr>
            <w:tcW w:type="dxa" w:w="1382"/>
            <w:shd w:val="clear" w:color="auto" w:fill="F6F1E6"/>
          </w:tcPr>
          <w:p>
            <w:pPr>
              <w:spacing w:after="20"/>
              <w:jc w:val="right"/>
            </w:pPr>
            <w:r>
              <w:rPr>
                <w:b/>
                <w:color w:val="1C3A36"/>
                <w:sz w:val="16"/>
              </w:rPr>
              <w:t>1,337</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(598)</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305</w:t>
            </w:r>
          </w:p>
        </w:tc>
        <w:tc>
          <w:tcPr>
            <w:tcW w:type="dxa" w:w="1382"/>
          </w:tcPr>
          <w:p>
            <w:pPr>
              <w:spacing w:after="20"/>
              <w:jc w:val="right"/>
            </w:pPr>
            <w:r>
              <w:rPr>
                <w:color w:val="1C3A36"/>
                <w:sz w:val="16"/>
              </w:rPr>
              <w:t>1,713</w:t>
            </w:r>
          </w:p>
        </w:tc>
        <w:tc>
          <w:tcPr>
            <w:tcW w:type="dxa" w:w="1382"/>
          </w:tcPr>
          <w:p>
            <w:pPr>
              <w:spacing w:after="20"/>
              <w:jc w:val="right"/>
            </w:pPr>
            <w:r>
              <w:rPr>
                <w:color w:val="1C3A36"/>
                <w:sz w:val="16"/>
              </w:rPr>
              <w:t>1,685</w:t>
            </w:r>
          </w:p>
        </w:tc>
        <w:tc>
          <w:tcPr>
            <w:tcW w:type="dxa" w:w="1382"/>
          </w:tcPr>
          <w:p>
            <w:pPr>
              <w:spacing w:after="20"/>
              <w:jc w:val="right"/>
            </w:pPr>
            <w:r>
              <w:rPr>
                <w:color w:val="1C3A36"/>
                <w:sz w:val="16"/>
              </w:rPr>
              <w:t>1,816</w:t>
            </w:r>
          </w:p>
        </w:tc>
        <w:tc>
          <w:tcPr>
            <w:tcW w:type="dxa" w:w="1382"/>
          </w:tcPr>
          <w:p>
            <w:pPr>
              <w:spacing w:after="20"/>
              <w:jc w:val="right"/>
            </w:pPr>
            <w:r>
              <w:rPr>
                <w:color w:val="1C3A36"/>
                <w:sz w:val="16"/>
              </w:rPr>
              <w:t>1,337</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8.70%</w:t>
            </w:r>
          </w:p>
        </w:tc>
        <w:tc>
          <w:tcPr>
            <w:tcW w:type="dxa" w:w="1382"/>
          </w:tcPr>
          <w:p>
            <w:pPr>
              <w:spacing w:after="20"/>
              <w:jc w:val="right"/>
            </w:pPr>
            <w:r>
              <w:rPr>
                <w:color w:val="1C3A36"/>
                <w:sz w:val="16"/>
              </w:rPr>
              <w:t>8.70%</w:t>
            </w:r>
          </w:p>
        </w:tc>
        <w:tc>
          <w:tcPr>
            <w:tcW w:type="dxa" w:w="1382"/>
          </w:tcPr>
          <w:p>
            <w:pPr>
              <w:spacing w:after="20"/>
              <w:jc w:val="right"/>
            </w:pPr>
            <w:r>
              <w:rPr>
                <w:color w:val="1C3A36"/>
                <w:sz w:val="16"/>
              </w:rPr>
              <w:t>8.69%</w:t>
            </w:r>
          </w:p>
        </w:tc>
        <w:tc>
          <w:tcPr>
            <w:tcW w:type="dxa" w:w="1382"/>
          </w:tcPr>
          <w:p>
            <w:pPr>
              <w:spacing w:after="20"/>
              <w:jc w:val="right"/>
            </w:pPr>
            <w:r>
              <w:rPr>
                <w:color w:val="1C3A36"/>
                <w:sz w:val="16"/>
              </w:rPr>
              <w:t>8.68%</w:t>
            </w:r>
          </w:p>
        </w:tc>
        <w:tc>
          <w:tcPr>
            <w:tcW w:type="dxa" w:w="1382"/>
          </w:tcPr>
          <w:p>
            <w:pPr>
              <w:spacing w:after="20"/>
              <w:jc w:val="right"/>
            </w:pPr>
            <w:r>
              <w:rPr>
                <w:color w:val="1C3A36"/>
                <w:sz w:val="16"/>
              </w:rPr>
              <w:t>8.68%</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0.9591</w:t>
            </w:r>
          </w:p>
        </w:tc>
        <w:tc>
          <w:tcPr>
            <w:tcW w:type="dxa" w:w="1382"/>
          </w:tcPr>
          <w:p>
            <w:pPr>
              <w:spacing w:after="20"/>
              <w:jc w:val="right"/>
            </w:pPr>
            <w:r>
              <w:rPr>
                <w:color w:val="1C3A36"/>
                <w:sz w:val="16"/>
              </w:rPr>
              <w:t>0.8824</w:t>
            </w:r>
          </w:p>
        </w:tc>
        <w:tc>
          <w:tcPr>
            <w:tcW w:type="dxa" w:w="1382"/>
          </w:tcPr>
          <w:p>
            <w:pPr>
              <w:spacing w:after="20"/>
              <w:jc w:val="right"/>
            </w:pPr>
            <w:r>
              <w:rPr>
                <w:color w:val="1C3A36"/>
                <w:sz w:val="16"/>
              </w:rPr>
              <w:t>0.8118</w:t>
            </w:r>
          </w:p>
        </w:tc>
        <w:tc>
          <w:tcPr>
            <w:tcW w:type="dxa" w:w="1382"/>
          </w:tcPr>
          <w:p>
            <w:pPr>
              <w:spacing w:after="20"/>
              <w:jc w:val="right"/>
            </w:pPr>
            <w:r>
              <w:rPr>
                <w:color w:val="1C3A36"/>
                <w:sz w:val="16"/>
              </w:rPr>
              <w:t>0.7470</w:t>
            </w:r>
          </w:p>
        </w:tc>
        <w:tc>
          <w:tcPr>
            <w:tcW w:type="dxa" w:w="1382"/>
          </w:tcPr>
          <w:p>
            <w:pPr>
              <w:spacing w:after="20"/>
              <w:jc w:val="right"/>
            </w:pPr>
            <w:r>
              <w:rPr>
                <w:color w:val="1C3A36"/>
                <w:sz w:val="16"/>
              </w:rPr>
              <w:t>0.6874</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293</w:t>
            </w:r>
          </w:p>
        </w:tc>
        <w:tc>
          <w:tcPr>
            <w:tcW w:type="dxa" w:w="1382"/>
            <w:shd w:val="clear" w:color="auto" w:fill="F6F1E6"/>
          </w:tcPr>
          <w:p>
            <w:pPr>
              <w:spacing w:after="20"/>
              <w:jc w:val="right"/>
            </w:pPr>
            <w:r>
              <w:rPr>
                <w:b/>
                <w:color w:val="1C3A36"/>
                <w:sz w:val="16"/>
              </w:rPr>
              <w:t>1,512</w:t>
            </w:r>
          </w:p>
        </w:tc>
        <w:tc>
          <w:tcPr>
            <w:tcW w:type="dxa" w:w="1382"/>
            <w:shd w:val="clear" w:color="auto" w:fill="F6F1E6"/>
          </w:tcPr>
          <w:p>
            <w:pPr>
              <w:spacing w:after="20"/>
              <w:jc w:val="right"/>
            </w:pPr>
            <w:r>
              <w:rPr>
                <w:b/>
                <w:color w:val="1C3A36"/>
                <w:sz w:val="16"/>
              </w:rPr>
              <w:t>1,368</w:t>
            </w:r>
          </w:p>
        </w:tc>
        <w:tc>
          <w:tcPr>
            <w:tcW w:type="dxa" w:w="1382"/>
            <w:shd w:val="clear" w:color="auto" w:fill="F6F1E6"/>
          </w:tcPr>
          <w:p>
            <w:pPr>
              <w:spacing w:after="20"/>
              <w:jc w:val="right"/>
            </w:pPr>
            <w:r>
              <w:rPr>
                <w:b/>
                <w:color w:val="1C3A36"/>
                <w:sz w:val="16"/>
              </w:rPr>
              <w:t>1,357</w:t>
            </w:r>
          </w:p>
        </w:tc>
        <w:tc>
          <w:tcPr>
            <w:tcW w:type="dxa" w:w="1382"/>
            <w:shd w:val="clear" w:color="auto" w:fill="F6F1E6"/>
          </w:tcPr>
          <w:p>
            <w:pPr>
              <w:spacing w:after="20"/>
              <w:jc w:val="right"/>
            </w:pPr>
            <w:r>
              <w:rPr>
                <w:b/>
                <w:color w:val="1C3A36"/>
                <w:sz w:val="16"/>
              </w:rPr>
              <w:t>919</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598 million is removed rather than counted twice — it is already inside the net debt the bridge subtracts. And tax is charged unit by unit at each unit's own disclosed effective rate, which is why the group rate runs near 2.5% rather than the 9% statutory rate: international shipping income is relieved under UAE law and the shipping units bore about 1% in FY2025. Working capital is carried at the collection, inventory and payment cycle the FY2025 statements actually show, re-based onto the revenue this forecast is built at — the table below sets out why that re-basing was needed and what it cost.</w:t>
      </w:r>
    </w:p>
    <w:p>
      <w:pPr>
        <w:keepNext/>
        <w:spacing w:after="80" w:before="200"/>
      </w:pPr>
      <w:r>
        <w:rPr>
          <w:b/>
          <w:i w:val="0"/>
          <w:color w:val="1C3A36"/>
          <w:sz w:val="24"/>
        </w:rPr>
        <w:t>Two lines that price a fleet, and how each is set</w:t>
      </w:r>
    </w:p>
    <w:p>
      <w:pPr>
        <w:spacing w:after="120" w:before="0"/>
      </w:pPr>
      <w:r>
        <w:rPr>
          <w:b w:val="0"/>
          <w:i w:val="0"/>
          <w:color w:val="1C3A36"/>
          <w:sz w:val="21"/>
        </w:rPr>
        <w:t>The capital-intensive lines in that waterfall are depreciation and working capital, and both were challenged in review. Neither is an assumption dropped in from outside, and both are worth showing rather than asserting.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6192"/>
      </w:tblGrid>
      <w:tr>
        <w:trPr>
          <w:cantSplit/>
          <w:tblHeader/>
        </w:trPr>
        <w:tc>
          <w:tcPr>
            <w:tcW w:type="dxa" w:w="2232"/>
            <w:shd w:val="clear" w:color="auto" w:fill="EAF0EE"/>
          </w:tcPr>
          <w:p>
            <w:pPr>
              <w:spacing w:after="20"/>
            </w:pPr>
            <w:r>
              <w:rPr>
                <w:b/>
                <w:color w:val="1C3A36"/>
                <w:sz w:val="16"/>
              </w:rPr>
              <w:t>Line</w:t>
            </w:r>
          </w:p>
        </w:tc>
        <w:tc>
          <w:tcPr>
            <w:tcW w:type="dxa" w:w="1656"/>
            <w:shd w:val="clear" w:color="auto" w:fill="EAF0EE"/>
          </w:tcPr>
          <w:p>
            <w:pPr>
              <w:spacing w:after="20"/>
              <w:jc w:val="left"/>
            </w:pPr>
            <w:r>
              <w:rPr>
                <w:b/>
                <w:color w:val="1C3A36"/>
                <w:sz w:val="16"/>
              </w:rPr>
              <w:t>What the model uses</w:t>
            </w:r>
          </w:p>
        </w:tc>
        <w:tc>
          <w:tcPr>
            <w:tcW w:type="dxa" w:w="6192"/>
            <w:shd w:val="clear" w:color="auto" w:fill="EAF0EE"/>
          </w:tcPr>
          <w:p>
            <w:pPr>
              <w:spacing w:after="20"/>
              <w:jc w:val="left"/>
            </w:pPr>
            <w:r>
              <w:rPr>
                <w:b/>
                <w:color w:val="1C3A36"/>
                <w:sz w:val="16"/>
              </w:rPr>
              <w:t>The evidence, and what a reviewer proposed instead</w:t>
            </w:r>
          </w:p>
        </w:tc>
      </w:tr>
      <w:tr>
        <w:trPr>
          <w:cantSplit/>
        </w:trPr>
        <w:tc>
          <w:tcPr>
            <w:tcW w:type="dxa" w:w="2232"/>
          </w:tcPr>
          <w:p>
            <w:pPr>
              <w:spacing w:after="20"/>
            </w:pPr>
            <w:r>
              <w:rPr>
                <w:color w:val="1C3A36"/>
                <w:sz w:val="16"/>
              </w:rPr>
              <w:t>Depreciation on property, plant and equipment</w:t>
            </w:r>
          </w:p>
        </w:tc>
        <w:tc>
          <w:tcPr>
            <w:tcW w:type="dxa" w:w="1656"/>
          </w:tcPr>
          <w:p>
            <w:pPr>
              <w:spacing w:after="20"/>
              <w:jc w:val="left"/>
            </w:pPr>
            <w:r>
              <w:rPr>
                <w:color w:val="1C3A36"/>
                <w:sz w:val="16"/>
              </w:rPr>
              <w:t>5.91% of the average balance</w:t>
            </w:r>
          </w:p>
        </w:tc>
        <w:tc>
          <w:tcPr>
            <w:tcW w:type="dxa" w:w="6192"/>
          </w:tcPr>
          <w:p>
            <w:pPr>
              <w:spacing w:after="20"/>
              <w:jc w:val="left"/>
            </w:pPr>
            <w:r>
              <w:rPr>
                <w:color w:val="1C3A36"/>
                <w:sz w:val="16"/>
              </w:rPr>
              <w:t>The company's own accounting policy note reads: “tankers are depreciated straight line over 25 years, dry-bulk and containers 25, gas carriers 25 to 40, offshore vessels 20 to 25 and jack-up barges 40, with dry-docking components over 2 to 5”. Written off straight line over the tanker life it discloses, the fleet's stated lives imply about 4.0% a year before the short-lived dry-docking components are added. The rate used is the first quarter of 2026 annualised over that quarter's average balance. A reviewer proposed the FY2025 realised rate of 6.75% instead. Both candidates sit ABOVE what the disclosed lives imply, which is what the dry-docking components do to the blend; between the two, the rate used is the LOWER — the more conservative of the two available forward bases, because a lower charge means a higher taxable base rather than a flattered one, and the FY2025 average balance is distorted by a fleet acquired at the start of that year. It is kept, and it is sensitised</w:t>
            </w:r>
          </w:p>
        </w:tc>
      </w:tr>
      <w:tr>
        <w:trPr>
          <w:cantSplit/>
        </w:trPr>
        <w:tc>
          <w:tcPr>
            <w:tcW w:type="dxa" w:w="2232"/>
          </w:tcPr>
          <w:p>
            <w:pPr>
              <w:spacing w:after="20"/>
            </w:pPr>
            <w:r>
              <w:rPr>
                <w:color w:val="1C3A36"/>
                <w:sz w:val="16"/>
              </w:rPr>
              <w:t>Receivable days in working capital</w:t>
            </w:r>
          </w:p>
        </w:tc>
        <w:tc>
          <w:tcPr>
            <w:tcW w:type="dxa" w:w="1656"/>
          </w:tcPr>
          <w:p>
            <w:pPr>
              <w:spacing w:after="20"/>
              <w:jc w:val="left"/>
            </w:pPr>
            <w:r>
              <w:rPr>
                <w:color w:val="1C3A36"/>
                <w:sz w:val="16"/>
              </w:rPr>
              <w:t>110.1 days</w:t>
            </w:r>
          </w:p>
        </w:tc>
        <w:tc>
          <w:tcPr>
            <w:tcW w:type="dxa" w:w="6192"/>
          </w:tcPr>
          <w:p>
            <w:pPr>
              <w:spacing w:after="20"/>
              <w:jc w:val="left"/>
            </w:pPr>
            <w:r>
              <w:rPr>
                <w:color w:val="1C3A36"/>
                <w:sz w:val="16"/>
              </w:rPr>
              <w:t>Receivables over revenue in the FY2025 statements is 108.4 days. But FY2025 revenue carries a gross-up of 2.73× over the owned tanker fleet's own charter-equivalent revenue, from chartered-in and relet trading, while the forecast is built at 2.61×. A day count calibrated on the first and applied to the second understates the receivable balance by the whole difference between the two conventions. Re-based onto the revenue the forecast actually produces, 108.4 days becomes 110.1. This is the correction that falsified a caveat the previous edition printed — see the caveats in section 7</w:t>
            </w:r>
          </w:p>
        </w:tc>
      </w:tr>
    </w:tbl>
    <w:p>
      <w:pPr>
        <w:spacing w:after="40"/>
      </w:pP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5,447</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877</w:t>
            </w:r>
          </w:p>
        </w:tc>
        <w:tc>
          <w:tcPr>
            <w:tcW w:type="dxa" w:w="5040"/>
          </w:tcPr>
          <w:p>
            <w:pPr>
              <w:spacing w:after="20"/>
              <w:jc w:val="left"/>
            </w:pPr>
            <w:r>
              <w:rPr>
                <w:color w:val="1C3A36"/>
                <w:sz w:val="16"/>
              </w:rPr>
              <w:t>2030E net operating profit after tax grown 2% and multiplied by one less the reinvestment rate of 20.5%; that reinvestment rate is forced to equal growth divided by the terminal return on invested capital of 9.8%,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9,027</w:t>
            </w:r>
          </w:p>
        </w:tc>
        <w:tc>
          <w:tcPr>
            <w:tcW w:type="dxa" w:w="5040"/>
          </w:tcPr>
          <w:p>
            <w:pPr>
              <w:spacing w:after="20"/>
              <w:jc w:val="left"/>
            </w:pPr>
            <w:r>
              <w:rPr>
                <w:color w:val="1C3A36"/>
                <w:sz w:val="16"/>
              </w:rPr>
              <w:t>the terminal cash flow capitalised at 8.7% less 2% = USD 13,133 million, discounted at the same year-five factor of 0.6874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14,474</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62.4%</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523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 Their earnings are taken OUT of the forecast before it starts — the disclosed unit earnings include the group's share of them, USD 21 million inside Gas Carriers and USD 16 million inside Services in FY2025 — so that adding the stakes here counts them once and not twice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14,997</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(257)</w:t>
            </w:r>
          </w:p>
        </w:tc>
        <w:tc>
          <w:tcPr>
            <w:tcW w:type="dxa" w:w="5040"/>
          </w:tcPr>
          <w:p>
            <w:pPr>
              <w:spacing w:after="20"/>
              <w:jc w:val="left"/>
            </w:pPr>
            <w:r>
              <w:rPr>
                <w:color w:val="1C3A36"/>
                <w:sz w:val="16"/>
              </w:rPr>
              <w:t>the reviewed 30 June 2026 figure: the parent facility, third-party borrowings and lease liabilities less cash. It is USD 163 million lower than the 31 March figure the previous edition stood on, the company having generated USD 598 million of free cash flow in the half and repaid the parent term facility</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(304)</w:t>
            </w:r>
          </w:p>
        </w:tc>
        <w:tc>
          <w:tcPr>
            <w:tcW w:type="dxa" w:w="5040"/>
          </w:tcPr>
          <w:p>
            <w:pPr>
              <w:spacing w:after="20"/>
              <w:jc w:val="left"/>
            </w:pPr>
            <w:r>
              <w:rPr>
                <w:color w:val="1C3A36"/>
                <w:sz w:val="16"/>
              </w:rPr>
              <w:t>the contracted price of the remaining 20% of the acquired tanker business, payable in mid-2027 and carried against the investment reserve — a real claim on the enterprise and treated as one. It is also the reason the minority line below is not simply the book figure</w:t>
            </w:r>
          </w:p>
        </w:tc>
      </w:tr>
      <w:tr>
        <w:trPr>
          <w:cantSplit/>
        </w:trPr>
        <w:tc>
          <w:tcPr>
            <w:tcW w:type="dxa" w:w="3672"/>
          </w:tcPr>
          <w:p>
            <w:pPr>
              <w:spacing w:after="20"/>
            </w:pPr>
            <w:r>
              <w:rPr>
                <w:color w:val="1C3A36"/>
                <w:sz w:val="16"/>
              </w:rPr>
              <w:t>Less the vessels bought in August 2026</w:t>
            </w:r>
          </w:p>
        </w:tc>
        <w:tc>
          <w:tcPr>
            <w:tcW w:type="dxa" w:w="1368"/>
          </w:tcPr>
          <w:p>
            <w:pPr>
              <w:spacing w:after="20"/>
              <w:jc w:val="right"/>
            </w:pPr>
            <w:r>
              <w:rPr>
                <w:color w:val="1C3A36"/>
                <w:sz w:val="16"/>
              </w:rPr>
              <w:t>(1,300)</w:t>
            </w:r>
          </w:p>
        </w:tc>
        <w:tc>
          <w:tcPr>
            <w:tcW w:type="dxa" w:w="5040"/>
          </w:tcPr>
          <w:p>
            <w:pPr>
              <w:spacing w:after="20"/>
              <w:jc w:val="left"/>
            </w:pPr>
            <w:r>
              <w:rPr>
                <w:color w:val="1C3A36"/>
                <w:sz w:val="16"/>
              </w:rPr>
              <w:t>the 11 vessels announced on 7 Aug 2026 — 6 very large crude carriers and 5 gas carriers — at the announced price. The purchase is committed and unpaid at the valuation date, so it is debt-like and comes out here; the vessels themselves are on the other side of the ledger, earning inside the forecast from their own delivery dates and depreciating in the asset base from the same dates. Taking the cost without the earnings, or the earnings without the cost, would be the error in either direction; the first edition of this study did neither and simply left the whole transaction out</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Because they are deducted here they are also WEIGHTED in the cost of capital above, at 12.0% of the capital and at their own coupon of 4.90% — the two halves of one treatment.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(317)</w:t>
            </w:r>
          </w:p>
        </w:tc>
        <w:tc>
          <w:tcPr>
            <w:tcW w:type="dxa" w:w="5040"/>
          </w:tcPr>
          <w:p>
            <w:pPr>
              <w:spacing w:after="20"/>
              <w:jc w:val="left"/>
            </w:pPr>
            <w:r>
              <w:rPr>
                <w:color w:val="1C3A36"/>
                <w:sz w:val="16"/>
              </w:rPr>
              <w:t>NOT the book value of USD 289 million. USD 252 million of that book arose on the tanker combination, and that 20% is contracted for purchase in mid-2027 at a price already deducted two lines above as deferred consideration, so deducting it again at a share of equity value would count it twice. Only the remaining USD 37 million of book is lifted to its share of value. That lift costs AED 0.01 a share, against the AED 0.11 it would cost to apply the 4.5% profit share to the whole equity value and net nothing off</w:t>
            </w:r>
          </w:p>
        </w:tc>
      </w:tr>
      <w:tr>
        <w:trPr>
          <w:cantSplit/>
        </w:trPr>
        <w:tc>
          <w:tcPr>
            <w:tcW w:type="dxa" w:w="3672"/>
            <w:shd w:val="clear" w:color="auto" w:fill="F6F1E6"/>
          </w:tcPr>
          <w:p>
            <w:pPr>
              <w:spacing w:after="20"/>
            </w:pPr>
            <w:r>
              <w:rPr>
                <w:b/>
                <w:color w:val="1C3A36"/>
                <w:sz w:val="16"/>
              </w:rPr>
              <w:t>Less the interim dividend declared after the balance-sheet date</w:t>
            </w:r>
          </w:p>
        </w:tc>
        <w:tc>
          <w:tcPr>
            <w:tcW w:type="dxa" w:w="1368"/>
            <w:shd w:val="clear" w:color="auto" w:fill="F6F1E6"/>
          </w:tcPr>
          <w:p>
            <w:pPr>
              <w:spacing w:after="20"/>
              <w:jc w:val="right"/>
            </w:pPr>
            <w:r>
              <w:rPr>
                <w:b/>
                <w:color w:val="1C3A36"/>
                <w:sz w:val="16"/>
              </w:rPr>
              <w:t>(85)</w:t>
            </w:r>
          </w:p>
        </w:tc>
        <w:tc>
          <w:tcPr>
            <w:tcW w:type="dxa" w:w="5040"/>
            <w:shd w:val="clear" w:color="auto" w:fill="F6F1E6"/>
          </w:tcPr>
          <w:p>
            <w:pPr>
              <w:spacing w:after="20"/>
              <w:jc w:val="left"/>
            </w:pPr>
            <w:r>
              <w:rPr>
                <w:b/>
                <w:color w:val="1C3A36"/>
                <w:sz w:val="16"/>
              </w:rPr>
              <w:t>the board approved an interim cash dividend of USD 85 million for the second quarter on a record date of 20 August 2026 — after the sheet this bridge stands on and before the price this study is delivered against, so a buyer at that price does not receive it and it is not in the equity being bought</w:t>
            </w:r>
          </w:p>
        </w:tc>
      </w:tr>
      <w:tr>
        <w:trPr>
          <w:cantSplit/>
        </w:trPr>
        <w:tc>
          <w:tcPr>
            <w:tcW w:type="dxa" w:w="3672"/>
          </w:tcPr>
          <w:p>
            <w:pPr>
              <w:spacing w:after="20"/>
            </w:pPr>
            <w:r>
              <w:rPr>
                <w:color w:val="1C3A36"/>
                <w:sz w:val="16"/>
              </w:rPr>
              <w:t>Equity value attributable to ordinary shareholders</w:t>
            </w:r>
          </w:p>
        </w:tc>
        <w:tc>
          <w:tcPr>
            <w:tcW w:type="dxa" w:w="1368"/>
          </w:tcPr>
          <w:p>
            <w:pPr>
              <w:spacing w:after="20"/>
              <w:jc w:val="right"/>
            </w:pPr>
            <w:r>
              <w:rPr>
                <w:color w:val="1C3A36"/>
                <w:sz w:val="16"/>
              </w:rPr>
              <w:t>10,755</w:t>
            </w:r>
          </w:p>
        </w:tc>
        <w:tc>
          <w:tcPr>
            <w:tcW w:type="dxa" w:w="5040"/>
          </w:tcPr>
          <w:p>
            <w:pPr>
              <w:spacing w:after="20"/>
              <w:jc w:val="left"/>
            </w:pPr>
            <w:r>
              <w:rPr>
                <w:color w:val="1C3A36"/>
                <w:sz w:val="16"/>
              </w:rPr>
            </w:r>
          </w:p>
        </w:tc>
      </w:tr>
      <w:tr>
        <w:trPr>
          <w:cantSplit/>
        </w:trPr>
        <w:tc>
          <w:tcPr>
            <w:tcW w:type="dxa" w:w="3672"/>
            <w:shd w:val="clear" w:color="auto" w:fill="F6F1E6"/>
          </w:tcPr>
          <w:p>
            <w:pPr>
              <w:spacing w:after="20"/>
            </w:pPr>
            <w:r>
              <w:rPr>
                <w:b/>
                <w:color w:val="1C3A36"/>
                <w:sz w:val="16"/>
              </w:rPr>
              <w:t>Fair value per share (USD)</w:t>
            </w:r>
          </w:p>
        </w:tc>
        <w:tc>
          <w:tcPr>
            <w:tcW w:type="dxa" w:w="1368"/>
            <w:shd w:val="clear" w:color="auto" w:fill="F6F1E6"/>
          </w:tcPr>
          <w:p>
            <w:pPr>
              <w:spacing w:after="20"/>
              <w:jc w:val="right"/>
            </w:pPr>
            <w:r>
              <w:rPr>
                <w:b/>
                <w:color w:val="1C3A36"/>
                <w:sz w:val="16"/>
              </w:rPr>
              <w:t>1.45</w:t>
            </w:r>
          </w:p>
        </w:tc>
        <w:tc>
          <w:tcPr>
            <w:tcW w:type="dxa" w:w="5040"/>
            <w:shd w:val="clear" w:color="auto" w:fill="F6F1E6"/>
          </w:tcPr>
          <w:p>
            <w:pPr>
              <w:spacing w:after="20"/>
              <w:jc w:val="left"/>
            </w:pPr>
            <w:r>
              <w:rPr>
                <w:b/>
                <w:color w:val="1C3A36"/>
                <w:sz w:val="16"/>
              </w:rPr>
              <w:t>against a market price of USD 1.85</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5.34</w:t>
            </w:r>
          </w:p>
        </w:tc>
        <w:tc>
          <w:tcPr>
            <w:tcW w:type="dxa" w:w="5040"/>
            <w:shd w:val="clear" w:color="auto" w:fill="F6F1E6"/>
          </w:tcPr>
          <w:p>
            <w:pPr>
              <w:spacing w:after="20"/>
              <w:jc w:val="left"/>
            </w:pPr>
            <w:r>
              <w:rPr>
                <w:b/>
                <w:color w:val="1C3A36"/>
                <w:sz w:val="16"/>
              </w:rPr>
              <w:t>against a market price of AED 6.80 (-21%)</w:t>
            </w:r>
          </w:p>
        </w:tc>
      </w:tr>
      <w:tr>
        <w:trPr>
          <w:cantSplit/>
        </w:trPr>
        <w:tc>
          <w:tcPr>
            <w:tcW w:type="dxa" w:w="3672"/>
          </w:tcPr>
          <w:p>
            <w:pPr>
              <w:spacing w:after="20"/>
            </w:pPr>
            <w:r>
              <w:rPr>
                <w:color w:val="1C3A36"/>
                <w:sz w:val="16"/>
              </w:rPr>
              <w:t>ALTERNATIVE — perpetual securities at the present value of their coupon</w:t>
            </w:r>
          </w:p>
        </w:tc>
        <w:tc>
          <w:tcPr>
            <w:tcW w:type="dxa" w:w="1368"/>
          </w:tcPr>
          <w:p>
            <w:pPr>
              <w:spacing w:after="20"/>
              <w:jc w:val="right"/>
            </w:pPr>
            <w:r>
              <w:rPr>
                <w:color w:val="1C3A36"/>
                <w:sz w:val="16"/>
              </w:rPr>
              <w:t>5.77</w:t>
            </w:r>
          </w:p>
        </w:tc>
        <w:tc>
          <w:tcPr>
            <w:tcW w:type="dxa" w:w="5040"/>
          </w:tcPr>
          <w:p>
            <w:pPr>
              <w:spacing w:after="20"/>
              <w:jc w:val="left"/>
            </w:pPr>
            <w:r>
              <w:rPr>
                <w:color w:val="1C3A36"/>
                <w:sz w:val="16"/>
              </w:rPr>
              <w:t>deducting USD 1,118 million, the coupon capitalised at the terminal cost of capital, instead of the USD 1,979 million carrying value. Worth AED 0.43 a share. The securities are perpetual and non-amortising, so which of the two is right depends on whether the company ever calls them; both are shown. Note what makes them differ, because it is not a second valuation of the claim: the same coupon capitalised at the securities' OWN rate of 4.90% gives USD 1,979 million, the carrying value to the dollar. The whole of the difference is the choice of discount rate, and the rate used here is 378 basis points above the one the security itself pays</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from 2023-06-16 to 2026-07-17 give a beta of 1.103 — 159 observations, an R-squared of 0.181, a standard error of 0.315 and a 90% interval of [0.586, 1.621].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returns against an equal-weight composite of the same exchange's names and the slope is 0.690 instead. Two qualifications before the explanation. The first is that the runs are not quite the identical regression: the published-index run pairs 159 weekly observations and the composite run pairs 165, because the index series obtained stops earlier than the exchange's own price history does and because the two series are screened and aligned to the exchange's trading week before they are paired. The samples differ by 6 weeks out of 159, so a small part of the gap between the two slopes is sample rather than market definition, and an earlier edition called them the same regression without saying so. The second is that only the published-index figure is a measurement the study is entitled to discount at: the composite is a basket assembled here, and a basket assembled by the same hand that uses it can be assembled until it agrees. It is published for comparison and it prices nothing. The rest of the difference is large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1.103</w:t>
            </w:r>
          </w:p>
        </w:tc>
        <w:tc>
          <w:tcPr>
            <w:tcW w:type="dxa" w:w="2808"/>
          </w:tcPr>
          <w:p>
            <w:pPr>
              <w:spacing w:after="20"/>
              <w:jc w:val="right"/>
            </w:pPr>
            <w:r>
              <w:rPr>
                <w:color w:val="1C3A36"/>
                <w:sz w:val="17"/>
              </w:rPr>
              <w:t>0.690</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9.43%</w:t>
            </w:r>
          </w:p>
        </w:tc>
        <w:tc>
          <w:tcPr>
            <w:tcW w:type="dxa" w:w="2808"/>
          </w:tcPr>
          <w:p>
            <w:pPr>
              <w:spacing w:after="20"/>
              <w:jc w:val="right"/>
            </w:pPr>
            <w:r>
              <w:rPr>
                <w:color w:val="1C3A36"/>
                <w:sz w:val="17"/>
              </w:rPr>
              <w:t>7.42%</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8.71%</w:t>
            </w:r>
          </w:p>
        </w:tc>
        <w:tc>
          <w:tcPr>
            <w:tcW w:type="dxa" w:w="2808"/>
          </w:tcPr>
          <w:p>
            <w:pPr>
              <w:spacing w:after="20"/>
              <w:jc w:val="right"/>
            </w:pPr>
            <w:r>
              <w:rPr>
                <w:color w:val="1C3A36"/>
                <w:sz w:val="17"/>
              </w:rPr>
              <w:t>7.04%</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8.68%</w:t>
            </w:r>
          </w:p>
        </w:tc>
        <w:tc>
          <w:tcPr>
            <w:tcW w:type="dxa" w:w="2808"/>
          </w:tcPr>
          <w:p>
            <w:pPr>
              <w:spacing w:after="20"/>
              <w:jc w:val="right"/>
            </w:pPr>
            <w:r>
              <w:rPr>
                <w:color w:val="1C3A36"/>
                <w:sz w:val="17"/>
              </w:rPr>
              <w:t>7.00%</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5,447</w:t>
            </w:r>
          </w:p>
        </w:tc>
        <w:tc>
          <w:tcPr>
            <w:tcW w:type="dxa" w:w="2808"/>
          </w:tcPr>
          <w:p>
            <w:pPr>
              <w:spacing w:after="20"/>
              <w:jc w:val="right"/>
            </w:pPr>
            <w:r>
              <w:rPr>
                <w:color w:val="1C3A36"/>
                <w:sz w:val="17"/>
              </w:rPr>
              <w:t>5,682</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9,027</w:t>
            </w:r>
          </w:p>
        </w:tc>
        <w:tc>
          <w:tcPr>
            <w:tcW w:type="dxa" w:w="2808"/>
          </w:tcPr>
          <w:p>
            <w:pPr>
              <w:spacing w:after="20"/>
              <w:jc w:val="right"/>
            </w:pPr>
            <w:r>
              <w:rPr>
                <w:color w:val="1C3A36"/>
                <w:sz w:val="17"/>
              </w:rPr>
              <w:t>12,916</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62.4%</w:t>
            </w:r>
          </w:p>
        </w:tc>
        <w:tc>
          <w:tcPr>
            <w:tcW w:type="dxa" w:w="2808"/>
          </w:tcPr>
          <w:p>
            <w:pPr>
              <w:spacing w:after="20"/>
              <w:jc w:val="right"/>
            </w:pPr>
            <w:r>
              <w:rPr>
                <w:color w:val="1C3A36"/>
                <w:sz w:val="17"/>
              </w:rPr>
              <w:t>69.5%</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14,997</w:t>
            </w:r>
          </w:p>
        </w:tc>
        <w:tc>
          <w:tcPr>
            <w:tcW w:type="dxa" w:w="2808"/>
          </w:tcPr>
          <w:p>
            <w:pPr>
              <w:spacing w:after="20"/>
              <w:jc w:val="right"/>
            </w:pPr>
            <w:r>
              <w:rPr>
                <w:color w:val="1C3A36"/>
                <w:sz w:val="17"/>
              </w:rPr>
              <w:t>19,121</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10,755</w:t>
            </w:r>
          </w:p>
        </w:tc>
        <w:tc>
          <w:tcPr>
            <w:tcW w:type="dxa" w:w="2808"/>
          </w:tcPr>
          <w:p>
            <w:pPr>
              <w:spacing w:after="20"/>
              <w:jc w:val="right"/>
            </w:pPr>
            <w:r>
              <w:rPr>
                <w:color w:val="1C3A36"/>
                <w:sz w:val="17"/>
              </w:rPr>
              <w:t>14,854</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5.34</w:t>
            </w:r>
          </w:p>
        </w:tc>
        <w:tc>
          <w:tcPr>
            <w:tcW w:type="dxa" w:w="2808"/>
            <w:shd w:val="clear" w:color="auto" w:fill="F6F1E6"/>
          </w:tcPr>
          <w:p>
            <w:pPr>
              <w:spacing w:after="20"/>
              <w:jc w:val="right"/>
            </w:pPr>
            <w:r>
              <w:rPr>
                <w:b/>
                <w:color w:val="1C3A36"/>
                <w:sz w:val="17"/>
              </w:rPr>
              <w:t>7.37</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-21%</w:t>
            </w:r>
          </w:p>
        </w:tc>
        <w:tc>
          <w:tcPr>
            <w:tcW w:type="dxa" w:w="2808"/>
            <w:shd w:val="clear" w:color="auto" w:fill="F6F1E6"/>
          </w:tcPr>
          <w:p>
            <w:pPr>
              <w:spacing w:after="20"/>
              <w:jc w:val="right"/>
            </w:pPr>
            <w:r>
              <w:rPr>
                <w:b/>
                <w:color w:val="1C3A36"/>
                <w:sz w:val="17"/>
              </w:rPr>
              <w:t>+8%</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2.03 between the two columns is the beta, and most of it lands in the terminal value: a 167 basis point difference in the terminal cost of capital changes the capitalisation factor on a perpetuity by roughly a quarter, which is also why the terminal value falls from 69% of enterprise value to 62%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8% above the market price to 21% below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2.92 a share — the figure excludes the perpetual capital securities, which the accounts include inside total equity but which do not belong to the ordinary shareholder. The return earned on that equity, struck after the coupon those securities take ahead of it, runs 24.1% in 2026E and falls to 8.5% by 2030E as the rate cycle normalises and the capital base grows; across the five years it averages 17.3%. That path is struck on OPENING book, which is the convention this lens is built on and the one it uses throughout.</w:t>
      </w:r>
    </w:p>
    <w:p>
      <w:pPr>
        <w:spacing w:after="120" w:before="0"/>
      </w:pPr>
      <w:r>
        <w:rPr>
          <w:b w:val="0"/>
          <w:i w:val="0"/>
          <w:color w:val="1C3A36"/>
          <w:sz w:val="21"/>
        </w:rPr>
        <w:t>A separate return figure runs through the appendix and it is on a different convention, so the two are set out together rather than spliced. On CLOSING equity attributable to ordinary shareholders — the measure the reported history is naturally computed on — the return ran 14.1% in FY2023, 15.4% in FY2024 and 16.8% in FY2025, and the five forecast years run 25.4% · 24.3% · 19.0% · 13.6% · 9.3%, averaging 18.3%. Appendix A.2 now carries that row on closing equity end to end. An earlier edition put the reported years on closing equity and the forecast years on AVERAGE equity in the same row and the same sentence, which made the series read as a rise into a sustainable level; on the average-equity convention the forecast years are 28.2% · 26.8% · 20.5% · 14.3% · 9.5% instead. The direction of the series depends on which of the two is used, so mixing them was manufacturing a trend rather than reporting one. Neither convention is wrong and this study uses closing equity in the appendix, opening book in the lens below, and says which is which at each place.</w:t>
      </w:r>
    </w:p>
    <w:p>
      <w:pPr>
        <w:spacing w:after="120" w:before="0"/>
      </w:pPr>
      <w:r>
        <w:rPr>
          <w:b w:val="0"/>
          <w:i w:val="0"/>
          <w:color w:val="1C3A36"/>
          <w:sz w:val="21"/>
        </w:rPr>
        <w:t>The textbook form of this lens is a justified price-to-book multiple: the sustainable return less growth, divided by the cost of equity less growth. It is not used here, and the reason is arithmetic rather than taste. That formula describes a steady state in which the company distributes everything it does not need in order to fund its growth. At a sustainable return of 19.9% and growth of 2%, the payout that steady state requires is 90% of earnings. This company pays out 16% to 36% and retains the rest, which compounds its book at about 15.3% a year — above the cost of equity of 9.43%, where the formula does not merely mislead but is undefined, because the denominator it divides by has gone through zero. A lens whose central expression is undefined on the company in front of it is the wrong lens.</w:t>
      </w:r>
    </w:p>
    <w:p>
      <w:pPr>
        <w:spacing w:after="120" w:before="0"/>
      </w:pPr>
      <w:r>
        <w:rPr>
          <w:b w:val="0"/>
          <w:i w:val="0"/>
          <w:color w:val="1C3A36"/>
          <w:sz w:val="21"/>
        </w:rPr>
        <w:t>What is used instead is residual income, which asks the same question without the steady-state assumption: what is the book the company already has, plus the value of earning more than the cost of equity on it for as long as that lasts. The construction is the opening ordinary book; plus, for each of the five forecast years, the return on that year's opening book less the cost of equity, multiplied by that opening book and discounted; plus a remainder beyond the forecast in which the excess return decays at 10% a year. The fade is a judgement and it is the one place this lens is soft: a fleet has to be replaced at market prices rather than at the value it is carried at, so an excess return over the cost of equity cannot persist unchanged, but nothing observable fixes the speed. A slower fade would raise this lens and a faster one would lower it; at the rate used, the remainder beyond the forecast is USD -417 million of the USD 7,872 million total, and the book the company already owns is most of the rest.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93"/>
        <w:gridCol w:w="1670"/>
        <w:gridCol w:w="1152"/>
        <w:gridCol w:w="1354"/>
        <w:gridCol w:w="1584"/>
        <w:gridCol w:w="1267"/>
        <w:gridCol w:w="1584"/>
      </w:tblGrid>
      <w:tr>
        <w:trPr>
          <w:cantSplit/>
          <w:tblHeader/>
        </w:trPr>
        <w:tc>
          <w:tcPr>
            <w:tcW w:type="dxa" w:w="893"/>
            <w:shd w:val="clear" w:color="auto" w:fill="EAF0EE"/>
          </w:tcPr>
          <w:p>
            <w:pPr>
              <w:spacing w:after="20"/>
            </w:pPr>
            <w:r>
              <w:rPr>
                <w:b/>
                <w:color w:val="1C3A36"/>
                <w:sz w:val="16"/>
              </w:rPr>
              <w:t>Year</w:t>
            </w:r>
          </w:p>
        </w:tc>
        <w:tc>
          <w:tcPr>
            <w:tcW w:type="dxa" w:w="1670"/>
            <w:shd w:val="clear" w:color="auto" w:fill="EAF0EE"/>
          </w:tcPr>
          <w:p>
            <w:pPr>
              <w:spacing w:after="20"/>
            </w:pPr>
            <w:r>
              <w:rPr>
                <w:b/>
                <w:color w:val="1C3A36"/>
                <w:sz w:val="16"/>
              </w:rPr>
              <w:t>Opening ordinary book (USD mn)</w:t>
            </w:r>
          </w:p>
        </w:tc>
        <w:tc>
          <w:tcPr>
            <w:tcW w:type="dxa" w:w="1152"/>
            <w:shd w:val="clear" w:color="auto" w:fill="EAF0EE"/>
          </w:tcPr>
          <w:p>
            <w:pPr>
              <w:spacing w:after="20"/>
            </w:pPr>
            <w:r>
              <w:rPr>
                <w:b/>
                <w:color w:val="1C3A36"/>
                <w:sz w:val="16"/>
              </w:rPr>
              <w:t>Return on it</w:t>
            </w:r>
          </w:p>
        </w:tc>
        <w:tc>
          <w:tcPr>
            <w:tcW w:type="dxa" w:w="1354"/>
            <w:shd w:val="clear" w:color="auto" w:fill="EAF0EE"/>
          </w:tcPr>
          <w:p>
            <w:pPr>
              <w:spacing w:after="20"/>
            </w:pPr>
            <w:r>
              <w:rPr>
                <w:b/>
                <w:color w:val="1C3A36"/>
                <w:sz w:val="16"/>
              </w:rPr>
              <w:t>Less the cost of equity</w:t>
            </w:r>
          </w:p>
        </w:tc>
        <w:tc>
          <w:tcPr>
            <w:tcW w:type="dxa" w:w="1584"/>
            <w:shd w:val="clear" w:color="auto" w:fill="EAF0EE"/>
          </w:tcPr>
          <w:p>
            <w:pPr>
              <w:spacing w:after="20"/>
            </w:pPr>
            <w:r>
              <w:rPr>
                <w:b/>
                <w:color w:val="1C3A36"/>
                <w:sz w:val="16"/>
              </w:rPr>
              <w:t>Residual income (USD mn)</w:t>
            </w:r>
          </w:p>
        </w:tc>
        <w:tc>
          <w:tcPr>
            <w:tcW w:type="dxa" w:w="1267"/>
            <w:shd w:val="clear" w:color="auto" w:fill="EAF0EE"/>
          </w:tcPr>
          <w:p>
            <w:pPr>
              <w:spacing w:after="20"/>
            </w:pPr>
            <w:r>
              <w:rPr>
                <w:b/>
                <w:color w:val="1C3A36"/>
                <w:sz w:val="16"/>
              </w:rPr>
              <w:t>Discount factor</w:t>
            </w:r>
          </w:p>
        </w:tc>
        <w:tc>
          <w:tcPr>
            <w:tcW w:type="dxa" w:w="1584"/>
            <w:shd w:val="clear" w:color="auto" w:fill="EAF0EE"/>
          </w:tcPr>
          <w:p>
            <w:pPr>
              <w:spacing w:after="20"/>
            </w:pPr>
            <w:r>
              <w:rPr>
                <w:b/>
                <w:color w:val="1C3A36"/>
                <w:sz w:val="16"/>
              </w:rPr>
              <w:t>Present value (USD mn)</w:t>
            </w:r>
          </w:p>
        </w:tc>
      </w:tr>
      <w:tr>
        <w:trPr>
          <w:cantSplit/>
        </w:trPr>
        <w:tc>
          <w:tcPr>
            <w:tcW w:type="dxa" w:w="893"/>
          </w:tcPr>
          <w:p>
            <w:pPr>
              <w:spacing w:after="20"/>
            </w:pPr>
            <w:r>
              <w:rPr>
                <w:color w:val="1C3A36"/>
                <w:sz w:val="16"/>
              </w:rPr>
              <w:t>2026E</w:t>
            </w:r>
          </w:p>
        </w:tc>
        <w:tc>
          <w:tcPr>
            <w:tcW w:type="dxa" w:w="1670"/>
          </w:tcPr>
          <w:p>
            <w:pPr>
              <w:spacing w:after="20"/>
              <w:jc w:val="right"/>
            </w:pPr>
            <w:r>
              <w:rPr>
                <w:color w:val="1C3A36"/>
                <w:sz w:val="16"/>
              </w:rPr>
              <w:t>5,883</w:t>
            </w:r>
          </w:p>
        </w:tc>
        <w:tc>
          <w:tcPr>
            <w:tcW w:type="dxa" w:w="1152"/>
          </w:tcPr>
          <w:p>
            <w:pPr>
              <w:spacing w:after="20"/>
              <w:jc w:val="right"/>
            </w:pPr>
            <w:r>
              <w:rPr>
                <w:color w:val="1C3A36"/>
                <w:sz w:val="16"/>
              </w:rPr>
              <w:t>24.1%</w:t>
            </w:r>
          </w:p>
        </w:tc>
        <w:tc>
          <w:tcPr>
            <w:tcW w:type="dxa" w:w="1354"/>
          </w:tcPr>
          <w:p>
            <w:pPr>
              <w:spacing w:after="20"/>
              <w:jc w:val="right"/>
            </w:pPr>
            <w:r>
              <w:rPr>
                <w:color w:val="1C3A36"/>
                <w:sz w:val="16"/>
              </w:rPr>
              <w:t>+14.69pp</w:t>
            </w:r>
          </w:p>
        </w:tc>
        <w:tc>
          <w:tcPr>
            <w:tcW w:type="dxa" w:w="1584"/>
          </w:tcPr>
          <w:p>
            <w:pPr>
              <w:spacing w:after="20"/>
              <w:jc w:val="right"/>
            </w:pPr>
            <w:r>
              <w:rPr>
                <w:color w:val="1C3A36"/>
                <w:sz w:val="16"/>
              </w:rPr>
              <w:t>864</w:t>
            </w:r>
          </w:p>
        </w:tc>
        <w:tc>
          <w:tcPr>
            <w:tcW w:type="dxa" w:w="1267"/>
          </w:tcPr>
          <w:p>
            <w:pPr>
              <w:spacing w:after="20"/>
              <w:jc w:val="right"/>
            </w:pPr>
            <w:r>
              <w:rPr>
                <w:color w:val="1C3A36"/>
                <w:sz w:val="16"/>
              </w:rPr>
              <w:t>0.9138</w:t>
            </w:r>
          </w:p>
        </w:tc>
        <w:tc>
          <w:tcPr>
            <w:tcW w:type="dxa" w:w="1584"/>
          </w:tcPr>
          <w:p>
            <w:pPr>
              <w:spacing w:after="20"/>
              <w:jc w:val="right"/>
            </w:pPr>
            <w:r>
              <w:rPr>
                <w:color w:val="1C3A36"/>
                <w:sz w:val="16"/>
              </w:rPr>
              <w:t>790</w:t>
            </w:r>
          </w:p>
        </w:tc>
      </w:tr>
      <w:tr>
        <w:trPr>
          <w:cantSplit/>
        </w:trPr>
        <w:tc>
          <w:tcPr>
            <w:tcW w:type="dxa" w:w="893"/>
          </w:tcPr>
          <w:p>
            <w:pPr>
              <w:spacing w:after="20"/>
            </w:pPr>
            <w:r>
              <w:rPr>
                <w:color w:val="1C3A36"/>
                <w:sz w:val="16"/>
              </w:rPr>
              <w:t>2027E</w:t>
            </w:r>
          </w:p>
        </w:tc>
        <w:tc>
          <w:tcPr>
            <w:tcW w:type="dxa" w:w="1670"/>
          </w:tcPr>
          <w:p>
            <w:pPr>
              <w:spacing w:after="20"/>
              <w:jc w:val="right"/>
            </w:pPr>
            <w:r>
              <w:rPr>
                <w:color w:val="1C3A36"/>
                <w:sz w:val="16"/>
              </w:rPr>
              <w:t>7,304</w:t>
            </w:r>
          </w:p>
        </w:tc>
        <w:tc>
          <w:tcPr>
            <w:tcW w:type="dxa" w:w="1152"/>
          </w:tcPr>
          <w:p>
            <w:pPr>
              <w:spacing w:after="20"/>
              <w:jc w:val="right"/>
            </w:pPr>
            <w:r>
              <w:rPr>
                <w:color w:val="1C3A36"/>
                <w:sz w:val="16"/>
              </w:rPr>
              <w:t>23.2%</w:t>
            </w:r>
          </w:p>
        </w:tc>
        <w:tc>
          <w:tcPr>
            <w:tcW w:type="dxa" w:w="1354"/>
          </w:tcPr>
          <w:p>
            <w:pPr>
              <w:spacing w:after="20"/>
              <w:jc w:val="right"/>
            </w:pPr>
            <w:r>
              <w:rPr>
                <w:color w:val="1C3A36"/>
                <w:sz w:val="16"/>
              </w:rPr>
              <w:t>+13.75pp</w:t>
            </w:r>
          </w:p>
        </w:tc>
        <w:tc>
          <w:tcPr>
            <w:tcW w:type="dxa" w:w="1584"/>
          </w:tcPr>
          <w:p>
            <w:pPr>
              <w:spacing w:after="20"/>
              <w:jc w:val="right"/>
            </w:pPr>
            <w:r>
              <w:rPr>
                <w:color w:val="1C3A36"/>
                <w:sz w:val="16"/>
              </w:rPr>
              <w:t>1,004</w:t>
            </w:r>
          </w:p>
        </w:tc>
        <w:tc>
          <w:tcPr>
            <w:tcW w:type="dxa" w:w="1267"/>
          </w:tcPr>
          <w:p>
            <w:pPr>
              <w:spacing w:after="20"/>
              <w:jc w:val="right"/>
            </w:pPr>
            <w:r>
              <w:rPr>
                <w:color w:val="1C3A36"/>
                <w:sz w:val="16"/>
              </w:rPr>
              <w:t>0.8350</w:t>
            </w:r>
          </w:p>
        </w:tc>
        <w:tc>
          <w:tcPr>
            <w:tcW w:type="dxa" w:w="1584"/>
          </w:tcPr>
          <w:p>
            <w:pPr>
              <w:spacing w:after="20"/>
              <w:jc w:val="right"/>
            </w:pPr>
            <w:r>
              <w:rPr>
                <w:color w:val="1C3A36"/>
                <w:sz w:val="16"/>
              </w:rPr>
              <w:t>838</w:t>
            </w:r>
          </w:p>
        </w:tc>
      </w:tr>
      <w:tr>
        <w:trPr>
          <w:cantSplit/>
        </w:trPr>
        <w:tc>
          <w:tcPr>
            <w:tcW w:type="dxa" w:w="893"/>
          </w:tcPr>
          <w:p>
            <w:pPr>
              <w:spacing w:after="20"/>
            </w:pPr>
            <w:r>
              <w:rPr>
                <w:color w:val="1C3A36"/>
                <w:sz w:val="16"/>
              </w:rPr>
              <w:t>2028E</w:t>
            </w:r>
          </w:p>
        </w:tc>
        <w:tc>
          <w:tcPr>
            <w:tcW w:type="dxa" w:w="1670"/>
          </w:tcPr>
          <w:p>
            <w:pPr>
              <w:spacing w:after="20"/>
              <w:jc w:val="right"/>
            </w:pPr>
            <w:r>
              <w:rPr>
                <w:color w:val="1C3A36"/>
                <w:sz w:val="16"/>
              </w:rPr>
              <w:t>9,041</w:t>
            </w:r>
          </w:p>
        </w:tc>
        <w:tc>
          <w:tcPr>
            <w:tcW w:type="dxa" w:w="1152"/>
          </w:tcPr>
          <w:p>
            <w:pPr>
              <w:spacing w:after="20"/>
              <w:jc w:val="right"/>
            </w:pPr>
            <w:r>
              <w:rPr>
                <w:color w:val="1C3A36"/>
                <w:sz w:val="16"/>
              </w:rPr>
              <w:t>18.1%</w:t>
            </w:r>
          </w:p>
        </w:tc>
        <w:tc>
          <w:tcPr>
            <w:tcW w:type="dxa" w:w="1354"/>
          </w:tcPr>
          <w:p>
            <w:pPr>
              <w:spacing w:after="20"/>
              <w:jc w:val="right"/>
            </w:pPr>
            <w:r>
              <w:rPr>
                <w:color w:val="1C3A36"/>
                <w:sz w:val="16"/>
              </w:rPr>
              <w:t>+8.70pp</w:t>
            </w:r>
          </w:p>
        </w:tc>
        <w:tc>
          <w:tcPr>
            <w:tcW w:type="dxa" w:w="1584"/>
          </w:tcPr>
          <w:p>
            <w:pPr>
              <w:spacing w:after="20"/>
              <w:jc w:val="right"/>
            </w:pPr>
            <w:r>
              <w:rPr>
                <w:color w:val="1C3A36"/>
                <w:sz w:val="16"/>
              </w:rPr>
              <w:t>786</w:t>
            </w:r>
          </w:p>
        </w:tc>
        <w:tc>
          <w:tcPr>
            <w:tcW w:type="dxa" w:w="1267"/>
          </w:tcPr>
          <w:p>
            <w:pPr>
              <w:spacing w:after="20"/>
              <w:jc w:val="right"/>
            </w:pPr>
            <w:r>
              <w:rPr>
                <w:color w:val="1C3A36"/>
                <w:sz w:val="16"/>
              </w:rPr>
              <w:t>0.7631</w:t>
            </w:r>
          </w:p>
        </w:tc>
        <w:tc>
          <w:tcPr>
            <w:tcW w:type="dxa" w:w="1584"/>
          </w:tcPr>
          <w:p>
            <w:pPr>
              <w:spacing w:after="20"/>
              <w:jc w:val="right"/>
            </w:pPr>
            <w:r>
              <w:rPr>
                <w:color w:val="1C3A36"/>
                <w:sz w:val="16"/>
              </w:rPr>
              <w:t>600</w:t>
            </w:r>
          </w:p>
        </w:tc>
      </w:tr>
      <w:tr>
        <w:trPr>
          <w:cantSplit/>
        </w:trPr>
        <w:tc>
          <w:tcPr>
            <w:tcW w:type="dxa" w:w="893"/>
          </w:tcPr>
          <w:p>
            <w:pPr>
              <w:spacing w:after="20"/>
            </w:pPr>
            <w:r>
              <w:rPr>
                <w:color w:val="1C3A36"/>
                <w:sz w:val="16"/>
              </w:rPr>
              <w:t>2029E</w:t>
            </w:r>
          </w:p>
        </w:tc>
        <w:tc>
          <w:tcPr>
            <w:tcW w:type="dxa" w:w="1670"/>
          </w:tcPr>
          <w:p>
            <w:pPr>
              <w:spacing w:after="20"/>
              <w:jc w:val="right"/>
            </w:pPr>
            <w:r>
              <w:rPr>
                <w:color w:val="1C3A36"/>
                <w:sz w:val="16"/>
              </w:rPr>
              <w:t>10,584</w:t>
            </w:r>
          </w:p>
        </w:tc>
        <w:tc>
          <w:tcPr>
            <w:tcW w:type="dxa" w:w="1152"/>
          </w:tcPr>
          <w:p>
            <w:pPr>
              <w:spacing w:after="20"/>
              <w:jc w:val="right"/>
            </w:pPr>
            <w:r>
              <w:rPr>
                <w:color w:val="1C3A36"/>
                <w:sz w:val="16"/>
              </w:rPr>
              <w:t>12.8%</w:t>
            </w:r>
          </w:p>
        </w:tc>
        <w:tc>
          <w:tcPr>
            <w:tcW w:type="dxa" w:w="1354"/>
          </w:tcPr>
          <w:p>
            <w:pPr>
              <w:spacing w:after="20"/>
              <w:jc w:val="right"/>
            </w:pPr>
            <w:r>
              <w:rPr>
                <w:color w:val="1C3A36"/>
                <w:sz w:val="16"/>
              </w:rPr>
              <w:t>+3.35pp</w:t>
            </w:r>
          </w:p>
        </w:tc>
        <w:tc>
          <w:tcPr>
            <w:tcW w:type="dxa" w:w="1584"/>
          </w:tcPr>
          <w:p>
            <w:pPr>
              <w:spacing w:after="20"/>
              <w:jc w:val="right"/>
            </w:pPr>
            <w:r>
              <w:rPr>
                <w:color w:val="1C3A36"/>
                <w:sz w:val="16"/>
              </w:rPr>
              <w:t>354</w:t>
            </w:r>
          </w:p>
        </w:tc>
        <w:tc>
          <w:tcPr>
            <w:tcW w:type="dxa" w:w="1267"/>
          </w:tcPr>
          <w:p>
            <w:pPr>
              <w:spacing w:after="20"/>
              <w:jc w:val="right"/>
            </w:pPr>
            <w:r>
              <w:rPr>
                <w:color w:val="1C3A36"/>
                <w:sz w:val="16"/>
              </w:rPr>
              <w:t>0.6973</w:t>
            </w:r>
          </w:p>
        </w:tc>
        <w:tc>
          <w:tcPr>
            <w:tcW w:type="dxa" w:w="1584"/>
          </w:tcPr>
          <w:p>
            <w:pPr>
              <w:spacing w:after="20"/>
              <w:jc w:val="right"/>
            </w:pPr>
            <w:r>
              <w:rPr>
                <w:color w:val="1C3A36"/>
                <w:sz w:val="16"/>
              </w:rPr>
              <w:t>247</w:t>
            </w:r>
          </w:p>
        </w:tc>
      </w:tr>
      <w:tr>
        <w:trPr>
          <w:cantSplit/>
        </w:trPr>
        <w:tc>
          <w:tcPr>
            <w:tcW w:type="dxa" w:w="893"/>
          </w:tcPr>
          <w:p>
            <w:pPr>
              <w:spacing w:after="20"/>
            </w:pPr>
            <w:r>
              <w:rPr>
                <w:color w:val="1C3A36"/>
                <w:sz w:val="16"/>
              </w:rPr>
              <w:t>2030E</w:t>
            </w:r>
          </w:p>
        </w:tc>
        <w:tc>
          <w:tcPr>
            <w:tcW w:type="dxa" w:w="1670"/>
          </w:tcPr>
          <w:p>
            <w:pPr>
              <w:spacing w:after="20"/>
              <w:jc w:val="right"/>
            </w:pPr>
            <w:r>
              <w:rPr>
                <w:color w:val="1C3A36"/>
                <w:sz w:val="16"/>
              </w:rPr>
              <w:t>11,683</w:t>
            </w:r>
          </w:p>
        </w:tc>
        <w:tc>
          <w:tcPr>
            <w:tcW w:type="dxa" w:w="1152"/>
          </w:tcPr>
          <w:p>
            <w:pPr>
              <w:spacing w:after="20"/>
              <w:jc w:val="right"/>
            </w:pPr>
            <w:r>
              <w:rPr>
                <w:color w:val="1C3A36"/>
                <w:sz w:val="16"/>
              </w:rPr>
              <w:t>8.5%</w:t>
            </w:r>
          </w:p>
        </w:tc>
        <w:tc>
          <w:tcPr>
            <w:tcW w:type="dxa" w:w="1354"/>
          </w:tcPr>
          <w:p>
            <w:pPr>
              <w:spacing w:after="20"/>
              <w:jc w:val="right"/>
            </w:pPr>
            <w:r>
              <w:rPr>
                <w:color w:val="1C3A36"/>
                <w:sz w:val="16"/>
              </w:rPr>
              <w:t>-0.93pp</w:t>
            </w:r>
          </w:p>
        </w:tc>
        <w:tc>
          <w:tcPr>
            <w:tcW w:type="dxa" w:w="1584"/>
          </w:tcPr>
          <w:p>
            <w:pPr>
              <w:spacing w:after="20"/>
              <w:jc w:val="right"/>
            </w:pPr>
            <w:r>
              <w:rPr>
                <w:color w:val="1C3A36"/>
                <w:sz w:val="16"/>
              </w:rPr>
              <w:t>-108</w:t>
            </w:r>
          </w:p>
        </w:tc>
        <w:tc>
          <w:tcPr>
            <w:tcW w:type="dxa" w:w="1267"/>
          </w:tcPr>
          <w:p>
            <w:pPr>
              <w:spacing w:after="20"/>
              <w:jc w:val="right"/>
            </w:pPr>
            <w:r>
              <w:rPr>
                <w:color w:val="1C3A36"/>
                <w:sz w:val="16"/>
              </w:rPr>
              <w:t>0.6372</w:t>
            </w:r>
          </w:p>
        </w:tc>
        <w:tc>
          <w:tcPr>
            <w:tcW w:type="dxa" w:w="1584"/>
          </w:tcPr>
          <w:p>
            <w:pPr>
              <w:spacing w:after="20"/>
              <w:jc w:val="right"/>
            </w:pPr>
            <w:r>
              <w:rPr>
                <w:color w:val="1C3A36"/>
                <w:sz w:val="16"/>
              </w:rPr>
              <w:t>-69</w:t>
            </w:r>
          </w:p>
        </w:tc>
      </w:tr>
      <w:tr>
        <w:trPr>
          <w:cantSplit/>
        </w:trPr>
        <w:tc>
          <w:tcPr>
            <w:tcW w:type="dxa" w:w="893"/>
            <w:shd w:val="clear" w:color="auto" w:fill="F6F1E6"/>
          </w:tcPr>
          <w:p>
            <w:pPr>
              <w:spacing w:after="20"/>
            </w:pPr>
            <w:r>
              <w:rPr>
                <w:b/>
                <w:color w:val="1C3A36"/>
                <w:sz w:val="16"/>
              </w:rPr>
              <w:t>Total</w:t>
            </w:r>
          </w:p>
        </w:tc>
        <w:tc>
          <w:tcPr>
            <w:tcW w:type="dxa" w:w="1670"/>
            <w:shd w:val="clear" w:color="auto" w:fill="F6F1E6"/>
          </w:tcPr>
          <w:p>
            <w:pPr>
              <w:spacing w:after="20"/>
              <w:jc w:val="right"/>
            </w:pPr>
            <w:r>
              <w:rPr>
                <w:b/>
                <w:color w:val="1C3A36"/>
                <w:sz w:val="16"/>
              </w:rPr>
            </w:r>
          </w:p>
        </w:tc>
        <w:tc>
          <w:tcPr>
            <w:tcW w:type="dxa" w:w="1152"/>
            <w:shd w:val="clear" w:color="auto" w:fill="F6F1E6"/>
          </w:tcPr>
          <w:p>
            <w:pPr>
              <w:spacing w:after="20"/>
              <w:jc w:val="right"/>
            </w:pPr>
            <w:r>
              <w:rPr>
                <w:b/>
                <w:color w:val="1C3A36"/>
                <w:sz w:val="16"/>
              </w:rPr>
            </w:r>
          </w:p>
        </w:tc>
        <w:tc>
          <w:tcPr>
            <w:tcW w:type="dxa" w:w="1354"/>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1267"/>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t>2,406</w:t>
            </w:r>
          </w:p>
        </w:tc>
      </w:tr>
    </w:tbl>
    <w:p>
      <w:pPr>
        <w:spacing w:after="40"/>
      </w:pPr>
    </w:p>
    <w:p>
      <w:pPr>
        <w:spacing w:after="200" w:before="0"/>
      </w:pPr>
      <w:r>
        <w:rPr>
          <w:b w:val="0"/>
          <w:i/>
          <w:color w:val="6E7B77"/>
          <w:sz w:val="17"/>
        </w:rPr>
        <w:t>Residual income is what the ordinary shareholder earns above the 9.43% it costs to hold the equity — the return in the third column less that cost, applied to the book in the second. It is positive in every forecast year and shrinking in every one of them, which is the same picture the cash-flow model gives from the other end. The opening book of each year is the model's own rolled-forward balance sheet, so this lens and Appendix A.2 cannot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0.7952</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2.92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2,406</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-417</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7,872</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1.34×</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3.91</w:t>
            </w:r>
          </w:p>
        </w:tc>
      </w:tr>
      <w:tr>
        <w:trPr>
          <w:cantSplit/>
        </w:trPr>
        <w:tc>
          <w:tcPr>
            <w:tcW w:type="dxa" w:w="7056"/>
          </w:tcPr>
          <w:p>
            <w:pPr>
              <w:spacing w:after="20"/>
            </w:pPr>
            <w:r>
              <w:rPr>
                <w:color w:val="1C3A36"/>
                <w:sz w:val="17"/>
              </w:rPr>
              <w:t>Range — bear at the top of the beta's 90% interval (1.621, cost of equity 11.95%) with the return on that book scaled down; bull at the bottom of it (0.586, 6.91%) with the same scaling applied upward</w:t>
            </w:r>
          </w:p>
        </w:tc>
        <w:tc>
          <w:tcPr>
            <w:tcW w:type="dxa" w:w="3024"/>
          </w:tcPr>
          <w:p>
            <w:pPr>
              <w:spacing w:after="20"/>
              <w:jc w:val="right"/>
            </w:pPr>
            <w:r>
              <w:rPr>
                <w:color w:val="1C3A36"/>
                <w:sz w:val="17"/>
              </w:rPr>
              <w:t>2.46 – 5.90</w:t>
            </w:r>
          </w:p>
        </w:tc>
      </w:tr>
      <w:tr>
        <w:trPr>
          <w:cantSplit/>
        </w:trPr>
        <w:tc>
          <w:tcPr>
            <w:tcW w:type="dxa" w:w="7056"/>
          </w:tcPr>
          <w:p>
            <w:pPr>
              <w:spacing w:after="20"/>
            </w:pPr>
            <w:r>
              <w:rPr>
                <w:color w:val="1C3A36"/>
                <w:sz w:val="17"/>
              </w:rPr>
              <w:t>Memorandum — the price the market pays for the SAME book, ordinary equity only</w:t>
            </w:r>
          </w:p>
        </w:tc>
        <w:tc>
          <w:tcPr>
            <w:tcW w:type="dxa" w:w="3024"/>
          </w:tcPr>
          <w:p>
            <w:pPr>
              <w:spacing w:after="20"/>
              <w:jc w:val="right"/>
            </w:pPr>
            <w:r>
              <w:rPr>
                <w:color w:val="1C3A36"/>
                <w:sz w:val="17"/>
              </w:rPr>
              <w:t>2.70×</w:t>
            </w:r>
          </w:p>
        </w:tc>
      </w:tr>
      <w:tr>
        <w:trPr>
          <w:cantSplit/>
        </w:trPr>
        <w:tc>
          <w:tcPr>
            <w:tcW w:type="dxa" w:w="7056"/>
          </w:tcPr>
          <w:p>
            <w:pPr>
              <w:spacing w:after="20"/>
            </w:pPr>
            <w:r>
              <w:rPr>
                <w:color w:val="1C3A36"/>
                <w:sz w:val="17"/>
              </w:rPr>
              <w:t>Memorandum — the same on the wider book that also counts the perpetual securities</w:t>
            </w:r>
          </w:p>
        </w:tc>
        <w:tc>
          <w:tcPr>
            <w:tcW w:type="dxa" w:w="3024"/>
          </w:tcPr>
          <w:p>
            <w:pPr>
              <w:spacing w:after="20"/>
              <w:jc w:val="right"/>
            </w:pPr>
            <w:r>
              <w:rPr>
                <w:color w:val="1C3A36"/>
                <w:sz w:val="17"/>
              </w:rPr>
              <w:t>1.74×</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 on the disclosed carrying value, 1.32× on the carrying value the disclosed gain implies</w:t>
            </w:r>
          </w:p>
        </w:tc>
      </w:tr>
    </w:tbl>
    <w:p>
      <w:pPr>
        <w:spacing w:after="40"/>
      </w:pPr>
    </w:p>
    <w:p>
      <w:pPr>
        <w:spacing w:after="120" w:before="0"/>
      </w:pPr>
      <w:r>
        <w:rPr>
          <w:b w:val="0"/>
          <w:i w:val="0"/>
          <w:color w:val="1C3A36"/>
          <w:sz w:val="21"/>
        </w:rPr>
        <w:t>The first of those memorandum lines is the one to read against the justified multiple above it, and an earlier edition printed the wrong one. The lens values ORDINARY equity — AED 2.92 a share, excluding the perpetual capital securities — so the market multiple has to be struck on the same denominator. On that basis the market pays 2.70× book against the 1.34× this lens justifies, which says the share is EXPENSIVE on the asset lens. Struck on the wider book that also counts the perpetual securities the market appears to pay 1.74×, which printed beneath a justified multiple computed on the narrower book invites the opposite conclusion from a comparison that is not like for like. Both are now shown and the comparable one is named. The peer in section 1.3 that publishes a price-to-book figure trades at 1.65×, and that comparison is on the ordinary-book basis too.</w:t>
      </w:r>
    </w:p>
    <w:p>
      <w:pPr>
        <w:spacing w:after="120" w:before="0"/>
      </w:pPr>
      <w:r>
        <w:rPr>
          <w:b w:val="0"/>
          <w:i w:val="0"/>
          <w:color w:val="1C3A36"/>
          <w:sz w:val="21"/>
        </w:rPr>
        <w:t>The bounds move with the beta and with the return together: the bear bound of AED 2.46 takes a cost of equity of 11.95%, built on the upper end 1.621 of the beta's own 90% confidence interval, together with a proportionally lower return on that book; the bull bound of AED 5.90 takes 6.91% on the lower end 0.586 of the same interval with the same proportion applied upward. Only the cost of equity in those bounds comes from the estimate's own statistical uncertainty; the return stress beside it is a judgement, as it is in the cash-flow lens. THIS READ IS A DISCLOSED FLOOR AND CARRIES NO WEIGHT IN THE ANSWER AT ALL, which is a change from an earlier edition where it carried 15% of a blend. It inherits the same cost of equity as the cash-flow model rather than testing it independently, and carrying value is a poor description of what a fleet is worth; a floor is what it is good for.</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The same release discloses a gain of USD 27 million on the sale, which implies a carrying value of USD 84 million and a ratio of 1.32× instead — the company's own two disclosures about one transaction do not quite reconcile, and both readings are shown rather than one being picked. Two further qualifications belong with the figure: the vessel was 90% owned, so the group did not keep all of the proceeds, and the sale was struck in a strong market.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2160"/>
        <w:gridCol w:w="1613"/>
        <w:gridCol w:w="1786"/>
        <w:gridCol w:w="1123"/>
      </w:tblGrid>
      <w:tr>
        <w:trPr>
          <w:cantSplit/>
          <w:tblHeader/>
        </w:trPr>
        <w:tc>
          <w:tcPr>
            <w:tcW w:type="dxa" w:w="2160"/>
            <w:shd w:val="clear" w:color="auto" w:fill="EAF0EE"/>
          </w:tcPr>
          <w:p>
            <w:pPr>
              <w:spacing w:after="20"/>
            </w:pPr>
            <w:r>
              <w:rPr>
                <w:b/>
                <w:color w:val="1C3A36"/>
                <w:sz w:val="16"/>
              </w:rPr>
              <w:t>Company</w:t>
            </w:r>
          </w:p>
        </w:tc>
        <w:tc>
          <w:tcPr>
            <w:tcW w:type="dxa" w:w="1238"/>
            <w:shd w:val="clear" w:color="auto" w:fill="EAF0EE"/>
          </w:tcPr>
          <w:p>
            <w:pPr>
              <w:spacing w:after="20"/>
              <w:jc w:val="left"/>
            </w:pPr>
            <w:r>
              <w:rPr>
                <w:b/>
                <w:color w:val="1C3A36"/>
                <w:sz w:val="16"/>
              </w:rPr>
              <w:t>Market</w:t>
            </w:r>
          </w:p>
        </w:tc>
        <w:tc>
          <w:tcPr>
            <w:tcW w:type="dxa" w:w="2160"/>
            <w:shd w:val="clear" w:color="auto" w:fill="EAF0EE"/>
          </w:tcPr>
          <w:p>
            <w:pPr>
              <w:spacing w:after="20"/>
              <w:jc w:val="left"/>
            </w:pPr>
            <w:r>
              <w:rPr>
                <w:b/>
                <w:color w:val="1C3A36"/>
                <w:sz w:val="16"/>
              </w:rPr>
              <w:t>Business model</w:t>
            </w:r>
          </w:p>
        </w:tc>
        <w:tc>
          <w:tcPr>
            <w:tcW w:type="dxa" w:w="1613"/>
            <w:shd w:val="clear" w:color="auto" w:fill="EAF0EE"/>
          </w:tcPr>
          <w:p>
            <w:pPr>
              <w:spacing w:after="20"/>
            </w:pPr>
            <w:r>
              <w:rPr>
                <w:b/>
                <w:color w:val="1C3A36"/>
                <w:sz w:val="16"/>
              </w:rPr>
              <w:t>EV / earnings</w:t>
            </w:r>
          </w:p>
        </w:tc>
        <w:tc>
          <w:tcPr>
            <w:tcW w:type="dxa" w:w="1786"/>
            <w:shd w:val="clear" w:color="auto" w:fill="EAF0EE"/>
          </w:tcPr>
          <w:p>
            <w:pPr>
              <w:spacing w:after="20"/>
            </w:pPr>
            <w:r>
              <w:rPr>
                <w:b/>
                <w:color w:val="1C3A36"/>
                <w:sz w:val="16"/>
              </w:rPr>
              <w:t>Price / earnings (fwd / trailing)</w:t>
            </w:r>
          </w:p>
        </w:tc>
        <w:tc>
          <w:tcPr>
            <w:tcW w:type="dxa" w:w="1123"/>
            <w:shd w:val="clear" w:color="auto" w:fill="EAF0EE"/>
          </w:tcPr>
          <w:p>
            <w:pPr>
              <w:spacing w:after="20"/>
            </w:pPr>
            <w:r>
              <w:rPr>
                <w:b/>
                <w:color w:val="1C3A36"/>
                <w:sz w:val="16"/>
              </w:rPr>
              <w:t>Price / book</w:t>
            </w:r>
          </w:p>
        </w:tc>
      </w:tr>
      <w:tr>
        <w:trPr>
          <w:cantSplit/>
        </w:trPr>
        <w:tc>
          <w:tcPr>
            <w:tcW w:type="dxa" w:w="2160"/>
          </w:tcPr>
          <w:p>
            <w:pPr>
              <w:spacing w:after="20"/>
            </w:pPr>
            <w:r>
              <w:rPr>
                <w:color w:val="1C3A36"/>
                <w:sz w:val="16"/>
              </w:rPr>
              <w:t>Qatar Gas Transport (Nakilat)</w:t>
            </w:r>
          </w:p>
        </w:tc>
        <w:tc>
          <w:tcPr>
            <w:tcW w:type="dxa" w:w="1238"/>
          </w:tcPr>
          <w:p>
            <w:pPr>
              <w:spacing w:after="20"/>
              <w:jc w:val="left"/>
            </w:pPr>
            <w:r>
              <w:rPr>
                <w:color w:val="1C3A36"/>
                <w:sz w:val="16"/>
              </w:rPr>
              <w:t>Qatar</w:t>
            </w:r>
          </w:p>
        </w:tc>
        <w:tc>
          <w:tcPr>
            <w:tcW w:type="dxa" w:w="2160"/>
          </w:tcPr>
          <w:p>
            <w:pPr>
              <w:spacing w:after="20"/>
              <w:jc w:val="left"/>
            </w:pPr>
            <w:r>
              <w:rPr>
                <w:color w:val="1C3A36"/>
                <w:sz w:val="16"/>
              </w:rPr>
              <w:t>long-term contracted gas shipping</w:t>
            </w:r>
          </w:p>
        </w:tc>
        <w:tc>
          <w:tcPr>
            <w:tcW w:type="dxa" w:w="1613"/>
          </w:tcPr>
          <w:p>
            <w:pPr>
              <w:spacing w:after="20"/>
              <w:jc w:val="right"/>
            </w:pPr>
            <w:r>
              <w:rPr>
                <w:color w:val="1C3A36"/>
                <w:sz w:val="16"/>
              </w:rPr>
              <w:t>12.26×</w:t>
            </w:r>
          </w:p>
        </w:tc>
        <w:tc>
          <w:tcPr>
            <w:tcW w:type="dxa" w:w="1786"/>
          </w:tcPr>
          <w:p>
            <w:pPr>
              <w:spacing w:after="20"/>
              <w:jc w:val="right"/>
            </w:pPr>
            <w:r>
              <w:rPr>
                <w:color w:val="1C3A36"/>
                <w:sz w:val="16"/>
              </w:rPr>
              <w:t>13.97× / 14.15×</w:t>
            </w:r>
          </w:p>
        </w:tc>
        <w:tc>
          <w:tcPr>
            <w:tcW w:type="dxa" w:w="1123"/>
          </w:tcPr>
          <w:p>
            <w:pPr>
              <w:spacing w:after="20"/>
              <w:jc w:val="right"/>
            </w:pPr>
            <w:r>
              <w:rPr>
                <w:color w:val="1C3A36"/>
                <w:sz w:val="16"/>
              </w:rPr>
              <w:t>1.65×</w:t>
            </w:r>
          </w:p>
        </w:tc>
      </w:tr>
      <w:tr>
        <w:trPr>
          <w:cantSplit/>
        </w:trPr>
        <w:tc>
          <w:tcPr>
            <w:tcW w:type="dxa" w:w="2160"/>
          </w:tcPr>
          <w:p>
            <w:pPr>
              <w:spacing w:after="20"/>
            </w:pPr>
            <w:r>
              <w:rPr>
                <w:color w:val="1C3A36"/>
                <w:sz w:val="16"/>
              </w:rPr>
              <w:t>Frontline plc</w:t>
            </w:r>
          </w:p>
        </w:tc>
        <w:tc>
          <w:tcPr>
            <w:tcW w:type="dxa" w:w="1238"/>
          </w:tcPr>
          <w:p>
            <w:pPr>
              <w:spacing w:after="20"/>
              <w:jc w:val="left"/>
            </w:pPr>
            <w:r>
              <w:rPr>
                <w:color w:val="1C3A36"/>
                <w:sz w:val="16"/>
              </w:rPr>
              <w:t>Oslo / New York</w:t>
            </w:r>
          </w:p>
        </w:tc>
        <w:tc>
          <w:tcPr>
            <w:tcW w:type="dxa" w:w="2160"/>
          </w:tcPr>
          <w:p>
            <w:pPr>
              <w:spacing w:after="20"/>
              <w:jc w:val="left"/>
            </w:pPr>
            <w:r>
              <w:rPr>
                <w:color w:val="1C3A36"/>
                <w:sz w:val="16"/>
              </w:rPr>
              <w:t>spot crude tankers</w:t>
            </w:r>
          </w:p>
        </w:tc>
        <w:tc>
          <w:tcPr>
            <w:tcW w:type="dxa" w:w="1613"/>
          </w:tcPr>
          <w:p>
            <w:pPr>
              <w:spacing w:after="20"/>
              <w:jc w:val="right"/>
            </w:pPr>
            <w:r>
              <w:rPr>
                <w:color w:val="1C3A36"/>
                <w:sz w:val="16"/>
              </w:rPr>
              <w:t>8.96×</w:t>
            </w:r>
          </w:p>
        </w:tc>
        <w:tc>
          <w:tcPr>
            <w:tcW w:type="dxa" w:w="1786"/>
          </w:tcPr>
          <w:p>
            <w:pPr>
              <w:spacing w:after="20"/>
              <w:jc w:val="right"/>
            </w:pPr>
            <w:r>
              <w:rPr>
                <w:color w:val="1C3A36"/>
                <w:sz w:val="16"/>
              </w:rPr>
              <w:t>6.44× / 9.98×</w:t>
            </w:r>
          </w:p>
        </w:tc>
        <w:tc>
          <w:tcPr>
            <w:tcW w:type="dxa" w:w="1123"/>
          </w:tcPr>
          <w:p>
            <w:pPr>
              <w:spacing w:after="20"/>
              <w:jc w:val="right"/>
            </w:pPr>
            <w:r>
              <w:rPr>
                <w:color w:val="1C3A36"/>
                <w:sz w:val="16"/>
              </w:rPr>
              <w:t>—</w:t>
            </w:r>
          </w:p>
        </w:tc>
      </w:tr>
      <w:tr>
        <w:trPr>
          <w:cantSplit/>
        </w:trPr>
        <w:tc>
          <w:tcPr>
            <w:tcW w:type="dxa" w:w="2160"/>
          </w:tcPr>
          <w:p>
            <w:pPr>
              <w:spacing w:after="20"/>
            </w:pPr>
            <w:r>
              <w:rPr>
                <w:color w:val="1C3A36"/>
                <w:sz w:val="16"/>
              </w:rPr>
              <w:t>International Seaways</w:t>
            </w:r>
          </w:p>
        </w:tc>
        <w:tc>
          <w:tcPr>
            <w:tcW w:type="dxa" w:w="1238"/>
          </w:tcPr>
          <w:p>
            <w:pPr>
              <w:spacing w:after="20"/>
              <w:jc w:val="left"/>
            </w:pPr>
            <w:r>
              <w:rPr>
                <w:color w:val="1C3A36"/>
                <w:sz w:val="16"/>
              </w:rPr>
              <w:t>New York</w:t>
            </w:r>
          </w:p>
        </w:tc>
        <w:tc>
          <w:tcPr>
            <w:tcW w:type="dxa" w:w="2160"/>
          </w:tcPr>
          <w:p>
            <w:pPr>
              <w:spacing w:after="20"/>
              <w:jc w:val="left"/>
            </w:pPr>
            <w:r>
              <w:rPr>
                <w:color w:val="1C3A36"/>
                <w:sz w:val="16"/>
              </w:rPr>
              <w:t>spot crude and product tankers</w:t>
            </w:r>
          </w:p>
        </w:tc>
        <w:tc>
          <w:tcPr>
            <w:tcW w:type="dxa" w:w="1613"/>
          </w:tcPr>
          <w:p>
            <w:pPr>
              <w:spacing w:after="20"/>
              <w:jc w:val="right"/>
            </w:pPr>
            <w:r>
              <w:rPr>
                <w:color w:val="1C3A36"/>
                <w:sz w:val="16"/>
              </w:rPr>
              <w:t>8.10×</w:t>
            </w:r>
          </w:p>
        </w:tc>
        <w:tc>
          <w:tcPr>
            <w:tcW w:type="dxa" w:w="1786"/>
          </w:tcPr>
          <w:p>
            <w:pPr>
              <w:spacing w:after="20"/>
              <w:jc w:val="right"/>
            </w:pPr>
            <w:r>
              <w:rPr>
                <w:color w:val="1C3A36"/>
                <w:sz w:val="16"/>
              </w:rPr>
              <w:t>— / —</w:t>
            </w:r>
          </w:p>
        </w:tc>
        <w:tc>
          <w:tcPr>
            <w:tcW w:type="dxa" w:w="1123"/>
          </w:tcPr>
          <w:p>
            <w:pPr>
              <w:spacing w:after="20"/>
              <w:jc w:val="right"/>
            </w:pPr>
            <w:r>
              <w:rPr>
                <w:color w:val="1C3A36"/>
                <w:sz w:val="16"/>
              </w:rPr>
              <w:t>—</w:t>
            </w:r>
          </w:p>
        </w:tc>
      </w:tr>
      <w:tr>
        <w:trPr>
          <w:cantSplit/>
        </w:trPr>
        <w:tc>
          <w:tcPr>
            <w:tcW w:type="dxa" w:w="2160"/>
            <w:shd w:val="clear" w:color="auto" w:fill="F6F1E6"/>
          </w:tcPr>
          <w:p>
            <w:pPr>
              <w:spacing w:after="20"/>
            </w:pPr>
            <w:r>
              <w:rPr>
                <w:b/>
                <w:color w:val="1C3A36"/>
                <w:sz w:val="16"/>
              </w:rPr>
              <w:t>ADNOC Logistics &amp; Services</w:t>
            </w:r>
          </w:p>
        </w:tc>
        <w:tc>
          <w:tcPr>
            <w:tcW w:type="dxa" w:w="1238"/>
            <w:shd w:val="clear" w:color="auto" w:fill="F6F1E6"/>
          </w:tcPr>
          <w:p>
            <w:pPr>
              <w:spacing w:after="20"/>
              <w:jc w:val="left"/>
            </w:pPr>
            <w:r>
              <w:rPr>
                <w:b/>
                <w:color w:val="1C3A36"/>
                <w:sz w:val="16"/>
              </w:rPr>
              <w:t>Abu Dhabi Exchange</w:t>
            </w:r>
          </w:p>
        </w:tc>
        <w:tc>
          <w:tcPr>
            <w:tcW w:type="dxa" w:w="2160"/>
            <w:shd w:val="clear" w:color="auto" w:fill="F6F1E6"/>
          </w:tcPr>
          <w:p>
            <w:pPr>
              <w:spacing w:after="20"/>
              <w:jc w:val="left"/>
            </w:pPr>
            <w:r>
              <w:rPr>
                <w:b/>
                <w:color w:val="1C3A36"/>
                <w:sz w:val="16"/>
              </w:rPr>
              <w:t>half contracted logistics, half merchant fleet</w:t>
            </w:r>
          </w:p>
        </w:tc>
        <w:tc>
          <w:tcPr>
            <w:tcW w:type="dxa" w:w="1613"/>
            <w:shd w:val="clear" w:color="auto" w:fill="F6F1E6"/>
          </w:tcPr>
          <w:p>
            <w:pPr>
              <w:spacing w:after="20"/>
              <w:jc w:val="right"/>
            </w:pPr>
            <w:r>
              <w:rPr>
                <w:b/>
                <w:color w:val="1C3A36"/>
                <w:sz w:val="16"/>
              </w:rPr>
              <w:t>10.27× trailing / 5.73× on 2026E</w:t>
            </w:r>
          </w:p>
        </w:tc>
        <w:tc>
          <w:tcPr>
            <w:tcW w:type="dxa" w:w="1786"/>
            <w:shd w:val="clear" w:color="auto" w:fill="F6F1E6"/>
          </w:tcPr>
          <w:p>
            <w:pPr>
              <w:spacing w:after="20"/>
              <w:jc w:val="right"/>
            </w:pPr>
            <w:r>
              <w:rPr>
                <w:b/>
                <w:color w:val="1C3A36"/>
                <w:sz w:val="16"/>
              </w:rPr>
              <w:t>7.78× / 17.63×</w:t>
            </w:r>
          </w:p>
        </w:tc>
        <w:tc>
          <w:tcPr>
            <w:tcW w:type="dxa" w:w="1123"/>
            <w:shd w:val="clear" w:color="auto" w:fill="F6F1E6"/>
          </w:tcPr>
          <w:p>
            <w:pPr>
              <w:spacing w:after="20"/>
              <w:jc w:val="right"/>
            </w:pPr>
            <w:r>
              <w:rPr>
                <w:b/>
                <w:color w:val="1C3A36"/>
                <w:sz w:val="16"/>
              </w:rPr>
              <w:t>2.70×</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Two sourcing points belong on the face of this table. First, the peer multiples are taken from data-aggregator statistics pages, named and dated in the source register, and NOT recomputed from each peer's own filings — the rule that admits only a company's own issued statements governs the subject's reported history, and it is the subject's history, not the comparators', that this study builds from. The consequence is real and is stated rather than buried: the study cannot demonstrate that a comparator's earnings are struck on the same definition as its own, which is a reason to read this lens as a cross-check on relative pricing rather than as an independent valuation. Second, the price-to-earnings column now shows forward and trailing for every row, because the multiple this lens APPLIES is the peers' forward multiple and quoting the company on a trailing figure beside forward peers — as an earlier edition did — compares two different things. The company's own price-to-book is struck on ordinary equity, the same book the comparator's figure uses and the same book the asset lens in section 1.2 values. The company's own trailing enterprise multiple uses the operating earnings definition used throughout, not the company's own wider reported one, and is struck on the same convention the peer figures use — market capitalisation plus net debt — so that the comparison is like for like. On this study's own bridge, which additionally treats the perpetual capital securities and the minorities as claims ranking ahead of the ordinary shares, the same 2026E earnings give 6.56× rather than 5.73×. Both are set out in the next table.</w:t>
      </w:r>
    </w:p>
    <w:p>
      <w:pPr>
        <w:keepNext/>
        <w:spacing w:after="80" w:before="200"/>
      </w:pPr>
      <w:r>
        <w:rPr>
          <w:b/>
          <w:i w:val="0"/>
          <w:color w:val="1C3A36"/>
          <w:sz w:val="24"/>
        </w:rPr>
        <w:t>The same company, on two definitions of enterprise value</w:t>
      </w:r>
    </w:p>
    <w:p>
      <w:pPr>
        <w:spacing w:after="120" w:before="0"/>
      </w:pPr>
      <w:r>
        <w:rPr>
          <w:b w:val="0"/>
          <w:i w:val="0"/>
          <w:color w:val="1C3A36"/>
          <w:sz w:val="21"/>
        </w:rPr>
        <w:t>An enterprise multiple depends entirely on what is counted as part of the enterprise, and this company has two claims — perpetual capital securities and minority interests — that different conventions treat differently. Publishing one number without saying which convention produced it is how a comparison quietly stops comparing.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84"/>
        <w:gridCol w:w="1368"/>
        <w:gridCol w:w="4176"/>
      </w:tblGrid>
      <w:tr>
        <w:trPr>
          <w:cantSplit/>
          <w:tblHeader/>
        </w:trPr>
        <w:tc>
          <w:tcPr>
            <w:tcW w:type="dxa" w:w="2952"/>
            <w:shd w:val="clear" w:color="auto" w:fill="EAF0EE"/>
          </w:tcPr>
          <w:p>
            <w:pPr>
              <w:spacing w:after="20"/>
              <w:jc w:val="left"/>
            </w:pPr>
            <w:r>
              <w:rPr>
                <w:b/>
                <w:color w:val="1C3A36"/>
                <w:sz w:val="16"/>
              </w:rPr>
              <w:t>Basis</w:t>
            </w:r>
          </w:p>
        </w:tc>
        <w:tc>
          <w:tcPr>
            <w:tcW w:type="dxa" w:w="1584"/>
            <w:shd w:val="clear" w:color="auto" w:fill="EAF0EE"/>
          </w:tcPr>
          <w:p>
            <w:pPr>
              <w:spacing w:after="20"/>
            </w:pPr>
            <w:r>
              <w:rPr>
                <w:b/>
                <w:color w:val="1C3A36"/>
                <w:sz w:val="16"/>
              </w:rPr>
              <w:t>Enterprise value (USD mn)</w:t>
            </w:r>
          </w:p>
        </w:tc>
        <w:tc>
          <w:tcPr>
            <w:tcW w:type="dxa" w:w="1368"/>
            <w:shd w:val="clear" w:color="auto" w:fill="EAF0EE"/>
          </w:tcPr>
          <w:p>
            <w:pPr>
              <w:spacing w:after="20"/>
            </w:pPr>
            <w:r>
              <w:rPr>
                <w:b/>
                <w:color w:val="1C3A36"/>
                <w:sz w:val="16"/>
              </w:rPr>
              <w:t>On 2026E earnings</w:t>
            </w:r>
          </w:p>
        </w:tc>
        <w:tc>
          <w:tcPr>
            <w:tcW w:type="dxa" w:w="4176"/>
            <w:shd w:val="clear" w:color="auto" w:fill="EAF0EE"/>
          </w:tcPr>
          <w:p>
            <w:pPr>
              <w:spacing w:after="20"/>
              <w:jc w:val="left"/>
            </w:pPr>
            <w:r>
              <w:rPr>
                <w:b/>
                <w:color w:val="1C3A36"/>
                <w:sz w:val="16"/>
              </w:rPr>
              <w:t>Where it is used</w:t>
            </w:r>
          </w:p>
        </w:tc>
      </w:tr>
      <w:tr>
        <w:trPr>
          <w:cantSplit/>
        </w:trPr>
        <w:tc>
          <w:tcPr>
            <w:tcW w:type="dxa" w:w="2952"/>
          </w:tcPr>
          <w:p>
            <w:pPr>
              <w:spacing w:after="20"/>
              <w:jc w:val="left"/>
            </w:pPr>
            <w:r>
              <w:rPr>
                <w:color w:val="1C3A36"/>
                <w:sz w:val="16"/>
              </w:rPr>
              <w:t>Market capitalisation plus net debt</w:t>
            </w:r>
          </w:p>
        </w:tc>
        <w:tc>
          <w:tcPr>
            <w:tcW w:type="dxa" w:w="1584"/>
          </w:tcPr>
          <w:p>
            <w:pPr>
              <w:spacing w:after="20"/>
              <w:jc w:val="right"/>
            </w:pPr>
            <w:r>
              <w:rPr>
                <w:color w:val="1C3A36"/>
                <w:sz w:val="16"/>
              </w:rPr>
              <w:t>15,561</w:t>
            </w:r>
          </w:p>
        </w:tc>
        <w:tc>
          <w:tcPr>
            <w:tcW w:type="dxa" w:w="1368"/>
          </w:tcPr>
          <w:p>
            <w:pPr>
              <w:spacing w:after="20"/>
              <w:jc w:val="right"/>
            </w:pPr>
            <w:r>
              <w:rPr>
                <w:color w:val="1C3A36"/>
                <w:sz w:val="16"/>
              </w:rPr>
              <w:t>5.73×</w:t>
            </w:r>
          </w:p>
        </w:tc>
        <w:tc>
          <w:tcPr>
            <w:tcW w:type="dxa" w:w="4176"/>
          </w:tcPr>
          <w:p>
            <w:pPr>
              <w:spacing w:after="20"/>
              <w:jc w:val="left"/>
            </w:pPr>
            <w:r>
              <w:rPr>
                <w:color w:val="1C3A36"/>
                <w:sz w:val="16"/>
              </w:rPr>
              <w:t>the convention behind the published figures for the three comparators, so it is the one the peer table above must use</w:t>
            </w:r>
          </w:p>
        </w:tc>
      </w:tr>
      <w:tr>
        <w:trPr>
          <w:cantSplit/>
        </w:trPr>
        <w:tc>
          <w:tcPr>
            <w:tcW w:type="dxa" w:w="2952"/>
          </w:tcPr>
          <w:p>
            <w:pPr>
              <w:spacing w:after="20"/>
              <w:jc w:val="left"/>
            </w:pPr>
            <w:r>
              <w:rPr>
                <w:color w:val="1C3A36"/>
                <w:sz w:val="16"/>
              </w:rPr>
              <w:t>This study's own bridge — the same plus the perpetual capital securities at carrying value and the minority interests</w:t>
            </w:r>
          </w:p>
        </w:tc>
        <w:tc>
          <w:tcPr>
            <w:tcW w:type="dxa" w:w="1584"/>
          </w:tcPr>
          <w:p>
            <w:pPr>
              <w:spacing w:after="20"/>
              <w:jc w:val="right"/>
            </w:pPr>
            <w:r>
              <w:rPr>
                <w:color w:val="1C3A36"/>
                <w:sz w:val="16"/>
              </w:rPr>
              <w:t>17,828</w:t>
            </w:r>
          </w:p>
        </w:tc>
        <w:tc>
          <w:tcPr>
            <w:tcW w:type="dxa" w:w="1368"/>
          </w:tcPr>
          <w:p>
            <w:pPr>
              <w:spacing w:after="20"/>
              <w:jc w:val="right"/>
            </w:pPr>
            <w:r>
              <w:rPr>
                <w:color w:val="1C3A36"/>
                <w:sz w:val="16"/>
              </w:rPr>
              <w:t>6.56×</w:t>
            </w:r>
          </w:p>
        </w:tc>
        <w:tc>
          <w:tcPr>
            <w:tcW w:type="dxa" w:w="4176"/>
          </w:tcPr>
          <w:p>
            <w:pPr>
              <w:spacing w:after="20"/>
              <w:jc w:val="left"/>
            </w:pPr>
            <w:r>
              <w:rPr>
                <w:color w:val="1C3A36"/>
                <w:sz w:val="16"/>
              </w:rPr>
              <w:t>the definition section 1.1 bridges from, because each of those claims ranks ahead of the ordinary share and is deducted there</w:t>
            </w:r>
          </w:p>
        </w:tc>
      </w:tr>
      <w:tr>
        <w:trPr>
          <w:cantSplit/>
        </w:trPr>
        <w:tc>
          <w:tcPr>
            <w:tcW w:type="dxa" w:w="2952"/>
          </w:tcPr>
          <w:p>
            <w:pPr>
              <w:spacing w:after="20"/>
              <w:jc w:val="left"/>
            </w:pPr>
            <w:r>
              <w:rPr>
                <w:color w:val="1C3A36"/>
                <w:sz w:val="16"/>
              </w:rPr>
              <w:t>The difference</w:t>
            </w:r>
          </w:p>
        </w:tc>
        <w:tc>
          <w:tcPr>
            <w:tcW w:type="dxa" w:w="1584"/>
          </w:tcPr>
          <w:p>
            <w:pPr>
              <w:spacing w:after="20"/>
              <w:jc w:val="right"/>
            </w:pPr>
            <w:r>
              <w:rPr>
                <w:color w:val="1C3A36"/>
                <w:sz w:val="16"/>
              </w:rPr>
              <w:t>2,268</w:t>
            </w:r>
          </w:p>
        </w:tc>
        <w:tc>
          <w:tcPr>
            <w:tcW w:type="dxa" w:w="1368"/>
          </w:tcPr>
          <w:p>
            <w:pPr>
              <w:spacing w:after="20"/>
              <w:jc w:val="right"/>
            </w:pPr>
            <w:r>
              <w:rPr>
                <w:color w:val="1C3A36"/>
                <w:sz w:val="16"/>
              </w:rPr>
              <w:t>+0.83 turns</w:t>
            </w:r>
          </w:p>
        </w:tc>
        <w:tc>
          <w:tcPr>
            <w:tcW w:type="dxa" w:w="4176"/>
          </w:tcPr>
          <w:p>
            <w:pPr>
              <w:spacing w:after="20"/>
              <w:jc w:val="left"/>
            </w:pPr>
            <w:r>
              <w:rPr>
                <w:color w:val="1C3A36"/>
                <w:sz w:val="16"/>
              </w:rPr>
              <w:t>87% of it the perpetual capital securities. A reader comparing this company with a peer that has none should know which of the two numbers they are holding</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2,716 million</w:t>
            </w:r>
          </w:p>
        </w:tc>
      </w:tr>
      <w:tr>
        <w:trPr>
          <w:cantSplit/>
        </w:trPr>
        <w:tc>
          <w:tcPr>
            <w:tcW w:type="dxa" w:w="3312"/>
          </w:tcPr>
          <w:p>
            <w:pPr>
              <w:spacing w:after="20"/>
            </w:pPr>
            <w:r>
              <w:rPr>
                <w:color w:val="1C3A36"/>
                <w:sz w:val="16"/>
              </w:rPr>
              <w:t>Blended price-to-earnings multiple, forward</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the peers' FORWARD multiples blended on the same weight, applied to 2026E attributable profit after the perpetual coupon of USD 1,762 million. This is the multiple the lens uses: a forward multiple belongs on forward earnings</w:t>
            </w:r>
          </w:p>
        </w:tc>
      </w:tr>
      <w:tr>
        <w:trPr>
          <w:cantSplit/>
        </w:trPr>
        <w:tc>
          <w:tcPr>
            <w:tcW w:type="dxa" w:w="3312"/>
          </w:tcPr>
          <w:p>
            <w:pPr>
              <w:spacing w:after="20"/>
            </w:pPr>
            <w:r>
              <w:rPr>
                <w:color w:val="1C3A36"/>
                <w:sz w:val="16"/>
              </w:rPr>
              <w:t>The same blend on the peers’ trailing multiples</w:t>
            </w:r>
          </w:p>
        </w:tc>
        <w:tc>
          <w:tcPr>
            <w:tcW w:type="dxa" w:w="1440"/>
          </w:tcPr>
          <w:p>
            <w:pPr>
              <w:spacing w:after="20"/>
              <w:jc w:val="right"/>
            </w:pPr>
            <w:r>
              <w:rPr>
                <w:color w:val="1C3A36"/>
                <w:sz w:val="16"/>
              </w:rPr>
              <w:t>12.86×</w:t>
            </w:r>
          </w:p>
        </w:tc>
        <w:tc>
          <w:tcPr>
            <w:tcW w:type="dxa" w:w="5328"/>
          </w:tcPr>
          <w:p>
            <w:pPr>
              <w:spacing w:after="20"/>
              <w:jc w:val="left"/>
            </w:pPr>
            <w:r>
              <w:rPr>
                <w:color w:val="1C3A36"/>
                <w:sz w:val="16"/>
              </w:rPr>
              <w:t>published so that a reader who prefers the trailing basis can see it. It is higher, so using it would raise this lens; it is not used, because the earnings it would be applied to are forecast rather than reported. The company's own multiple is 7.78× forward and 17.63× trailing, and an earlier edition quoted only the second beside peers shown on the first</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13.08</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10.17</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12.21</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9.63 – 14.63</w:t>
            </w:r>
          </w:p>
        </w:tc>
        <w:tc>
          <w:tcPr>
            <w:tcW w:type="dxa" w:w="5328"/>
          </w:tcPr>
          <w:p>
            <w:pPr>
              <w:spacing w:after="20"/>
              <w:jc w:val="left"/>
            </w:pPr>
            <w:r>
              <w:rPr>
                <w:color w:val="1C3A36"/>
                <w:sz w:val="16"/>
              </w:rPr>
              <w:t>the whole group at the spot multiple, and the whole group at the contracted multiple — the two corners the ENTERPRISE reading sits between. Read the base against it carefully: the base is a weighted blend of the enterprise reading and the earnings reading, while both bounds flex the enterprise reading only, so the base of AED 12.21 does not sit in the middle of its own published span. It sits at about the 52th percentile of it. The span is a multiple range, not a symmetric error bar around the base, and it is labelled as one</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631</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7,737</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2,035</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22,591</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51</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620</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2,716</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30,947</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523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(1,862)</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(289)</w:t>
            </w:r>
          </w:p>
        </w:tc>
        <w:tc>
          <w:tcPr>
            <w:tcW w:type="dxa" w:w="3456"/>
          </w:tcPr>
          <w:p>
            <w:pPr>
              <w:spacing w:after="20"/>
              <w:jc w:val="left"/>
            </w:pPr>
            <w:r>
              <w:rPr>
                <w:color w:val="1C3A36"/>
                <w:sz w:val="16"/>
              </w:rPr>
              <w:t>at book value. The cash-flow bridge in section 1.1 lifts the non-contracted slice of this to its share of value, worth AED 0.01 a share; that refinement is not repeated in this cross-check</w:t>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27,255</w:t>
            </w:r>
          </w:p>
        </w:tc>
        <w:tc>
          <w:tcPr>
            <w:tcW w:type="dxa" w:w="3456"/>
            <w:shd w:val="clear" w:color="auto" w:fill="F6F1E6"/>
          </w:tcPr>
          <w:p>
            <w:pPr>
              <w:spacing w:after="20"/>
              <w:jc w:val="left"/>
            </w:pPr>
            <w:r>
              <w:rPr>
                <w:b/>
                <w:color w:val="1C3A36"/>
                <w:sz w:val="16"/>
              </w:rPr>
              <w:t>AED 13.53 a share, 99% above the market price</w:t>
            </w:r>
          </w:p>
        </w:tc>
      </w:tr>
      <w:tr>
        <w:trPr>
          <w:cantSplit/>
        </w:trPr>
        <w:tc>
          <w:tcPr>
            <w:tcW w:type="dxa" w:w="2520"/>
          </w:tcPr>
          <w:p>
            <w:pPr>
              <w:spacing w:after="20"/>
            </w:pPr>
            <w:r>
              <w:rPr>
                <w:color w:val="1C3A36"/>
                <w:sz w:val="16"/>
              </w:rPr>
              <w:t>MEMORANDUM — the Shipping leg with the exposure share re-based to it</w:t>
            </w:r>
          </w:p>
        </w:tc>
        <w:tc>
          <w:tcPr>
            <w:tcW w:type="dxa" w:w="1469"/>
          </w:tcPr>
          <w:p>
            <w:pPr>
              <w:spacing w:after="20"/>
              <w:jc w:val="right"/>
            </w:pPr>
            <w:r>
              <w:rPr>
                <w:color w:val="1C3A36"/>
                <w:sz w:val="16"/>
              </w:rPr>
            </w:r>
          </w:p>
        </w:tc>
        <w:tc>
          <w:tcPr>
            <w:tcW w:type="dxa" w:w="1037"/>
          </w:tcPr>
          <w:p>
            <w:pPr>
              <w:spacing w:after="20"/>
              <w:jc w:val="right"/>
            </w:pPr>
            <w:r>
              <w:rPr>
                <w:color w:val="1C3A36"/>
                <w:sz w:val="16"/>
              </w:rPr>
              <w:t>10.72×</w:t>
            </w:r>
          </w:p>
        </w:tc>
        <w:tc>
          <w:tcPr>
            <w:tcW w:type="dxa" w:w="1598"/>
          </w:tcPr>
          <w:p>
            <w:pPr>
              <w:spacing w:after="20"/>
              <w:jc w:val="right"/>
            </w:pPr>
            <w:r>
              <w:rPr>
                <w:color w:val="1C3A36"/>
                <w:sz w:val="16"/>
              </w:rPr>
              <w:t>30,159</w:t>
            </w:r>
          </w:p>
        </w:tc>
        <w:tc>
          <w:tcPr>
            <w:tcW w:type="dxa" w:w="3456"/>
          </w:tcPr>
          <w:p>
            <w:pPr>
              <w:spacing w:after="20"/>
              <w:jc w:val="left"/>
            </w:pPr>
            <w:r>
              <w:rPr>
                <w:color w:val="1C3A36"/>
                <w:sz w:val="16"/>
              </w:rPr>
              <w:t>AED 13.18 a share. The 31% weight in the row above is the company's disclosed share of GROUP earnings exposed to spot rates, and every dollar of that exposure sits inside Shipping. Measured against Shipping's own 2026E earnings rather than the group's it is 41%, which lowers the leg multiple to 10.72× and the cross-check by AED 0.35 a share</w:t>
            </w:r>
          </w:p>
        </w:tc>
      </w:tr>
    </w:tbl>
    <w:p>
      <w:pPr>
        <w:spacing w:after="40"/>
      </w:pPr>
    </w:p>
    <w:p>
      <w:pPr>
        <w:spacing w:after="200" w:before="0"/>
      </w:pPr>
      <w:r>
        <w:rPr>
          <w:b w:val="0"/>
          <w:i/>
          <w:color w:val="6E7B77"/>
          <w:sz w:val="17"/>
        </w:rPr>
        <w:t>The sum of the parts lands at AED 13.53 against the blended relative lens at AED 12.21,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central, which rests on the cash-flow model and the three lenses beside it. On the exposure share re-based to the leg it is applied to — the memorandum row above, and the more defensible construction of the two — the cross-check reads AED 13.18 instead. The row is published as a memorandum rather than substituted into the table because the weighting the table uses is the company's own disclosed figure taken at face value, and a reader should be able to see both what the disclosure says and what re-basing it does.</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2,617 million and attributable profit after the perpetual coupon of USD 1,663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2,617</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2,716</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1,663</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0.2248</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12.54</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9.61</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11.07</w:t>
            </w:r>
          </w:p>
        </w:tc>
      </w:tr>
      <w:tr>
        <w:trPr>
          <w:cantSplit/>
        </w:trPr>
        <w:tc>
          <w:tcPr>
            <w:tcW w:type="dxa" w:w="7056"/>
            <w:shd w:val="clear" w:color="auto" w:fill="F6F1E6"/>
          </w:tcPr>
          <w:p>
            <w:pPr>
              <w:spacing w:after="20"/>
            </w:pPr>
            <w:r>
              <w:rPr>
                <w:b/>
                <w:color w:val="1C3A36"/>
                <w:sz w:val="17"/>
              </w:rPr>
              <w:t>Range — the whole group at the spot multiple, and at the contracted multiple (the enterprise reading only; the base is an average of the two readings, so it does not sit in the middle of this span)</w:t>
            </w:r>
          </w:p>
        </w:tc>
        <w:tc>
          <w:tcPr>
            <w:tcW w:type="dxa" w:w="3024"/>
            <w:shd w:val="clear" w:color="auto" w:fill="F6F1E6"/>
          </w:tcPr>
          <w:p>
            <w:pPr>
              <w:spacing w:after="20"/>
              <w:jc w:val="right"/>
            </w:pPr>
            <w:r>
              <w:rPr>
                <w:b/>
                <w:color w:val="1C3A36"/>
                <w:sz w:val="17"/>
              </w:rPr>
              <w:t>9.21 – 14.03</w:t>
            </w:r>
          </w:p>
        </w:tc>
      </w:tr>
    </w:tbl>
    <w:p>
      <w:pPr>
        <w:spacing w:after="40"/>
      </w:pPr>
    </w:p>
    <w:p>
      <w:pPr>
        <w:spacing w:after="200" w:before="0"/>
      </w:pPr>
      <w:r>
        <w:rPr>
          <w:b w:val="0"/>
          <w:i/>
          <w:color w:val="6E7B77"/>
          <w:sz w:val="17"/>
        </w:rPr>
        <w:t>The two constructions disagree by a wide margin — AED 12.54 against AED 9.61 — and the gap is depreciation and the perpetual coupon. This is a young fleet: depreciation runs from 21.5% of earnings before interest, tax, depreciation and amortisation in the lightest forecast year to 39.7% in the heaviest, averaging 27.6% across the five — and RISING through them, as the newbuild programme and the vessels bought in August 2026 come into the asset base. An earlier edition quoted the first year's figure as though it were the average, which understated the very wedge this paragraph exists to explain. An enterprise measure and an after-tax earnings measure will never agree on a company like this. Averaging them is a deliberate refusal to pick, and THIS READ IS RETIRED AS A LENS FOR THIS COMPANY accordingly — it carried 20% of an earlier edition's blend and carries none of the answer now. The published range flexes the enterprise reading between the spot and contracted multiples; the base is the average of that reading and the earnings reading, so it sits at about the 39th percentile of its own span rather than at the middle of it.</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measurements of the market and the two centrals, against the market price of AED 6.80. Each central is the CASH-FLOW LENS on its own regressor rather than an average of the bars beside it.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Role in this study</w:t>
            </w:r>
          </w:p>
        </w:tc>
        <w:tc>
          <w:tcPr>
            <w:tcW w:type="dxa" w:w="1642"/>
            <w:shd w:val="clear" w:color="auto" w:fill="EAF0EE"/>
          </w:tcPr>
          <w:p>
            <w:pPr>
              <w:spacing w:after="20"/>
            </w:pPr>
            <w:r>
              <w:rPr>
                <w:b/>
                <w:color w:val="1C3A36"/>
                <w:sz w:val="17"/>
              </w:rPr>
              <w:t>Weight in the RETIRED blend</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2.76</w:t>
            </w:r>
          </w:p>
        </w:tc>
        <w:tc>
          <w:tcPr>
            <w:tcW w:type="dxa" w:w="1238"/>
          </w:tcPr>
          <w:p>
            <w:pPr>
              <w:spacing w:after="20"/>
              <w:jc w:val="right"/>
            </w:pPr>
            <w:r>
              <w:rPr>
                <w:color w:val="1C3A36"/>
                <w:sz w:val="17"/>
              </w:rPr>
              <w:t>5.34</w:t>
            </w:r>
          </w:p>
        </w:tc>
        <w:tc>
          <w:tcPr>
            <w:tcW w:type="dxa" w:w="1238"/>
          </w:tcPr>
          <w:p>
            <w:pPr>
              <w:spacing w:after="20"/>
              <w:jc w:val="right"/>
            </w:pPr>
            <w:r>
              <w:rPr>
                <w:color w:val="1C3A36"/>
                <w:sz w:val="17"/>
              </w:rPr>
              <w:t>9.98</w:t>
            </w:r>
          </w:p>
        </w:tc>
        <w:tc>
          <w:tcPr>
            <w:tcW w:type="dxa" w:w="1238"/>
          </w:tcPr>
          <w:p>
            <w:pPr>
              <w:spacing w:after="20"/>
              <w:jc w:val="right"/>
            </w:pPr>
            <w:r>
              <w:rPr>
                <w:color w:val="1C3A36"/>
                <w:sz w:val="17"/>
              </w:rPr>
              <w:t>PRIMARY — this is the central</w:t>
            </w:r>
          </w:p>
        </w:tc>
        <w:tc>
          <w:tcPr>
            <w:tcW w:type="dxa" w:w="1642"/>
          </w:tcPr>
          <w:p>
            <w:pPr>
              <w:spacing w:after="20"/>
              <w:jc w:val="right"/>
            </w:pPr>
            <w:r>
              <w:rPr>
                <w:color w:val="1C3A36"/>
                <w:sz w:val="17"/>
              </w:rPr>
              <w:t>40%</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9.63</w:t>
            </w:r>
          </w:p>
        </w:tc>
        <w:tc>
          <w:tcPr>
            <w:tcW w:type="dxa" w:w="1238"/>
          </w:tcPr>
          <w:p>
            <w:pPr>
              <w:spacing w:after="20"/>
              <w:jc w:val="right"/>
            </w:pPr>
            <w:r>
              <w:rPr>
                <w:color w:val="1C3A36"/>
                <w:sz w:val="17"/>
              </w:rPr>
              <w:t>12.21</w:t>
            </w:r>
          </w:p>
        </w:tc>
        <w:tc>
          <w:tcPr>
            <w:tcW w:type="dxa" w:w="1238"/>
          </w:tcPr>
          <w:p>
            <w:pPr>
              <w:spacing w:after="20"/>
              <w:jc w:val="right"/>
            </w:pPr>
            <w:r>
              <w:rPr>
                <w:color w:val="1C3A36"/>
                <w:sz w:val="17"/>
              </w:rPr>
              <w:t>14.63</w:t>
            </w:r>
          </w:p>
        </w:tc>
        <w:tc>
          <w:tcPr>
            <w:tcW w:type="dxa" w:w="1238"/>
          </w:tcPr>
          <w:p>
            <w:pPr>
              <w:spacing w:after="20"/>
              <w:jc w:val="right"/>
            </w:pPr>
            <w:r>
              <w:rPr>
                <w:color w:val="1C3A36"/>
                <w:sz w:val="17"/>
              </w:rPr>
              <w:t>cross-check</w:t>
            </w:r>
          </w:p>
        </w:tc>
        <w:tc>
          <w:tcPr>
            <w:tcW w:type="dxa" w:w="1642"/>
          </w:tcPr>
          <w:p>
            <w:pPr>
              <w:spacing w:after="20"/>
              <w:jc w:val="right"/>
            </w:pPr>
            <w:r>
              <w:rPr>
                <w:color w:val="1C3A36"/>
                <w:sz w:val="17"/>
              </w:rPr>
              <w:t>25%</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9.21</w:t>
            </w:r>
          </w:p>
        </w:tc>
        <w:tc>
          <w:tcPr>
            <w:tcW w:type="dxa" w:w="1238"/>
          </w:tcPr>
          <w:p>
            <w:pPr>
              <w:spacing w:after="20"/>
              <w:jc w:val="right"/>
            </w:pPr>
            <w:r>
              <w:rPr>
                <w:color w:val="1C3A36"/>
                <w:sz w:val="17"/>
              </w:rPr>
              <w:t>11.07</w:t>
            </w:r>
          </w:p>
        </w:tc>
        <w:tc>
          <w:tcPr>
            <w:tcW w:type="dxa" w:w="1238"/>
          </w:tcPr>
          <w:p>
            <w:pPr>
              <w:spacing w:after="20"/>
              <w:jc w:val="right"/>
            </w:pPr>
            <w:r>
              <w:rPr>
                <w:color w:val="1C3A36"/>
                <w:sz w:val="17"/>
              </w:rPr>
              <w:t>14.03</w:t>
            </w:r>
          </w:p>
        </w:tc>
        <w:tc>
          <w:tcPr>
            <w:tcW w:type="dxa" w:w="1238"/>
          </w:tcPr>
          <w:p>
            <w:pPr>
              <w:spacing w:after="20"/>
              <w:jc w:val="right"/>
            </w:pPr>
            <w:r>
              <w:rPr>
                <w:color w:val="1C3A36"/>
                <w:sz w:val="17"/>
              </w:rPr>
              <w:t>RETIRED for this class</w:t>
            </w:r>
          </w:p>
        </w:tc>
        <w:tc>
          <w:tcPr>
            <w:tcW w:type="dxa" w:w="1642"/>
          </w:tcPr>
          <w:p>
            <w:pPr>
              <w:spacing w:after="20"/>
              <w:jc w:val="right"/>
            </w:pPr>
            <w:r>
              <w:rPr>
                <w:color w:val="1C3A36"/>
                <w:sz w:val="17"/>
              </w:rPr>
              <w:t>20%</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2.46</w:t>
            </w:r>
          </w:p>
        </w:tc>
        <w:tc>
          <w:tcPr>
            <w:tcW w:type="dxa" w:w="1238"/>
          </w:tcPr>
          <w:p>
            <w:pPr>
              <w:spacing w:after="20"/>
              <w:jc w:val="right"/>
            </w:pPr>
            <w:r>
              <w:rPr>
                <w:color w:val="1C3A36"/>
                <w:sz w:val="17"/>
              </w:rPr>
              <w:t>3.91</w:t>
            </w:r>
          </w:p>
        </w:tc>
        <w:tc>
          <w:tcPr>
            <w:tcW w:type="dxa" w:w="1238"/>
          </w:tcPr>
          <w:p>
            <w:pPr>
              <w:spacing w:after="20"/>
              <w:jc w:val="right"/>
            </w:pPr>
            <w:r>
              <w:rPr>
                <w:color w:val="1C3A36"/>
                <w:sz w:val="17"/>
              </w:rPr>
              <w:t>5.90</w:t>
            </w:r>
          </w:p>
        </w:tc>
        <w:tc>
          <w:tcPr>
            <w:tcW w:type="dxa" w:w="1238"/>
          </w:tcPr>
          <w:p>
            <w:pPr>
              <w:spacing w:after="20"/>
              <w:jc w:val="right"/>
            </w:pPr>
            <w:r>
              <w:rPr>
                <w:color w:val="1C3A36"/>
                <w:sz w:val="17"/>
              </w:rPr>
              <w:t>disclosed floor, never weighted</w:t>
            </w:r>
          </w:p>
        </w:tc>
        <w:tc>
          <w:tcPr>
            <w:tcW w:type="dxa" w:w="1642"/>
          </w:tcPr>
          <w:p>
            <w:pPr>
              <w:spacing w:after="20"/>
              <w:jc w:val="right"/>
            </w:pPr>
            <w:r>
              <w:rPr>
                <w:color w:val="1C3A36"/>
                <w:sz w:val="17"/>
              </w:rPr>
              <w:t>15%</w:t>
            </w:r>
          </w:p>
        </w:tc>
      </w:tr>
      <w:tr>
        <w:trPr>
          <w:cantSplit/>
        </w:trPr>
        <w:tc>
          <w:tcPr>
            <w:tcW w:type="dxa" w:w="3485"/>
            <w:shd w:val="clear" w:color="auto" w:fill="F6F1E6"/>
          </w:tcPr>
          <w:p>
            <w:pPr>
              <w:spacing w:after="20"/>
            </w:pPr>
            <w:r>
              <w:rPr>
                <w:b/>
                <w:color w:val="1C3A36"/>
                <w:sz w:val="17"/>
              </w:rPr>
              <w:t>Central — published index</w:t>
            </w:r>
          </w:p>
        </w:tc>
        <w:tc>
          <w:tcPr>
            <w:tcW w:type="dxa" w:w="1238"/>
            <w:shd w:val="clear" w:color="auto" w:fill="F6F1E6"/>
          </w:tcPr>
          <w:p>
            <w:pPr>
              <w:spacing w:after="20"/>
              <w:jc w:val="right"/>
            </w:pPr>
            <w:r>
              <w:rPr>
                <w:b/>
                <w:color w:val="1C3A36"/>
                <w:sz w:val="17"/>
              </w:rPr>
              <w:t>2.76</w:t>
            </w:r>
          </w:p>
        </w:tc>
        <w:tc>
          <w:tcPr>
            <w:tcW w:type="dxa" w:w="1238"/>
            <w:shd w:val="clear" w:color="auto" w:fill="F6F1E6"/>
          </w:tcPr>
          <w:p>
            <w:pPr>
              <w:spacing w:after="20"/>
              <w:jc w:val="right"/>
            </w:pPr>
            <w:r>
              <w:rPr>
                <w:b/>
                <w:color w:val="1C3A36"/>
                <w:sz w:val="17"/>
              </w:rPr>
              <w:t>5.34</w:t>
            </w:r>
          </w:p>
        </w:tc>
        <w:tc>
          <w:tcPr>
            <w:tcW w:type="dxa" w:w="1238"/>
            <w:shd w:val="clear" w:color="auto" w:fill="F6F1E6"/>
          </w:tcPr>
          <w:p>
            <w:pPr>
              <w:spacing w:after="20"/>
              <w:jc w:val="right"/>
            </w:pPr>
            <w:r>
              <w:rPr>
                <w:b/>
                <w:color w:val="1C3A36"/>
                <w:sz w:val="17"/>
              </w:rPr>
              <w:t>9.98</w:t>
            </w:r>
          </w:p>
        </w:tc>
        <w:tc>
          <w:tcPr>
            <w:tcW w:type="dxa" w:w="1238"/>
            <w:shd w:val="clear" w:color="auto" w:fill="F6F1E6"/>
          </w:tcPr>
          <w:p>
            <w:pPr>
              <w:spacing w:after="20"/>
              <w:jc w:val="right"/>
            </w:pPr>
            <w:r>
              <w:rPr>
                <w:b/>
                <w:color w:val="1C3A36"/>
                <w:sz w:val="17"/>
              </w:rPr>
              <w:t>the cash-flow lens, not a blend</w:t>
            </w:r>
          </w:p>
        </w:tc>
        <w:tc>
          <w:tcPr>
            <w:tcW w:type="dxa" w:w="1642"/>
            <w:shd w:val="clear" w:color="auto" w:fill="F6F1E6"/>
          </w:tcPr>
          <w:p>
            <w:pPr>
              <w:spacing w:after="20"/>
              <w:jc w:val="right"/>
            </w:pPr>
            <w:r>
              <w:rPr>
                <w:b/>
                <w:color w:val="1C3A36"/>
                <w:sz w:val="17"/>
              </w:rPr>
              <w:t>—</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7.37</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the same lens on the other regressor</w:t>
            </w:r>
          </w:p>
        </w:tc>
        <w:tc>
          <w:tcPr>
            <w:tcW w:type="dxa" w:w="1642"/>
          </w:tcPr>
          <w:p>
            <w:pPr>
              <w:spacing w:after="20"/>
              <w:jc w:val="right"/>
            </w:pPr>
            <w:r>
              <w:rPr>
                <w:color w:val="1C3A36"/>
                <w:sz w:val="17"/>
              </w:rPr>
              <w:t>—</w:t>
            </w:r>
          </w:p>
        </w:tc>
      </w:tr>
      <w:tr>
        <w:trPr>
          <w:cantSplit/>
        </w:trPr>
        <w:tc>
          <w:tcPr>
            <w:tcW w:type="dxa" w:w="3485"/>
            <w:shd w:val="clear" w:color="auto" w:fill="F6F1E6"/>
          </w:tcPr>
          <w:p>
            <w:pPr>
              <w:spacing w:after="20"/>
            </w:pPr>
            <w:r>
              <w:rPr>
                <w:b/>
                <w:color w:val="1C3A36"/>
                <w:sz w:val="17"/>
              </w:rPr>
              <w:t>Central — equal-weight composite</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7.37</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the cash-flow lens, not a blend</w:t>
            </w:r>
          </w:p>
        </w:tc>
        <w:tc>
          <w:tcPr>
            <w:tcW w:type="dxa" w:w="1642"/>
            <w:shd w:val="clear" w:color="auto" w:fill="F6F1E6"/>
          </w:tcPr>
          <w:p>
            <w:pPr>
              <w:spacing w:after="20"/>
              <w:jc w:val="right"/>
            </w:pPr>
            <w:r>
              <w:rPr>
                <w:b/>
                <w:color w:val="1C3A36"/>
                <w:sz w:val="17"/>
              </w:rPr>
              <w:t>—</w:t>
            </w:r>
          </w:p>
        </w:tc>
      </w:tr>
      <w:tr>
        <w:trPr>
          <w:cantSplit/>
        </w:trPr>
        <w:tc>
          <w:tcPr>
            <w:tcW w:type="dxa" w:w="3485"/>
          </w:tcPr>
          <w:p>
            <w:pPr>
              <w:spacing w:after="20"/>
            </w:pPr>
            <w:r>
              <w:rPr>
                <w:color w:val="1C3A36"/>
                <w:sz w:val="17"/>
              </w:rPr>
              <w:t>MEMO — the retired blend at its typed weights</w:t>
            </w:r>
          </w:p>
        </w:tc>
        <w:tc>
          <w:tcPr>
            <w:tcW w:type="dxa" w:w="1238"/>
          </w:tcPr>
          <w:p>
            <w:pPr>
              <w:spacing w:after="20"/>
              <w:jc w:val="right"/>
            </w:pPr>
            <w:r>
              <w:rPr>
                <w:color w:val="1C3A36"/>
                <w:sz w:val="17"/>
              </w:rPr>
              <w:t>—</w:t>
            </w:r>
          </w:p>
        </w:tc>
        <w:tc>
          <w:tcPr>
            <w:tcW w:type="dxa" w:w="1238"/>
          </w:tcPr>
          <w:p>
            <w:pPr>
              <w:spacing w:after="20"/>
              <w:jc w:val="right"/>
            </w:pPr>
            <w:r>
              <w:rPr>
                <w:color w:val="1C3A36"/>
                <w:sz w:val="17"/>
              </w:rPr>
              <w:t>7.99</w:t>
            </w:r>
          </w:p>
        </w:tc>
        <w:tc>
          <w:tcPr>
            <w:tcW w:type="dxa" w:w="1238"/>
          </w:tcPr>
          <w:p>
            <w:pPr>
              <w:spacing w:after="20"/>
              <w:jc w:val="right"/>
            </w:pPr>
            <w:r>
              <w:rPr>
                <w:color w:val="1C3A36"/>
                <w:sz w:val="17"/>
              </w:rPr>
              <w:t>—</w:t>
            </w:r>
          </w:p>
        </w:tc>
        <w:tc>
          <w:tcPr>
            <w:tcW w:type="dxa" w:w="1238"/>
          </w:tcPr>
          <w:p>
            <w:pPr>
              <w:spacing w:after="20"/>
              <w:jc w:val="right"/>
            </w:pPr>
            <w:r>
              <w:rPr>
                <w:color w:val="1C3A36"/>
                <w:sz w:val="17"/>
              </w:rPr>
              <w:t>RETIRED: two of its four weights are forbidden outright</w:t>
            </w:r>
          </w:p>
        </w:tc>
        <w:tc>
          <w:tcPr>
            <w:tcW w:type="dxa" w:w="1642"/>
          </w:tcPr>
          <w:p>
            <w:pPr>
              <w:spacing w:after="20"/>
              <w:jc w:val="right"/>
            </w:pPr>
            <w:r>
              <w:rPr>
                <w:color w:val="1C3A36"/>
                <w:sz w:val="17"/>
              </w:rPr>
              <w:t>100%</w:t>
            </w:r>
          </w:p>
        </w:tc>
      </w:tr>
    </w:tbl>
    <w:p>
      <w:pPr>
        <w:spacing w:after="40"/>
      </w:pPr>
    </w:p>
    <w:p>
      <w:pPr>
        <w:spacing w:after="200" w:before="0"/>
      </w:pPr>
      <w:r>
        <w:rPr>
          <w:b w:val="0"/>
          <w:i/>
          <w:color w:val="6E7B77"/>
          <w:sz w:val="17"/>
        </w:rPr>
        <w:t>THE LAST COLUMN DOES NOT BUILD THE CENTRAL AND IS PRINTED SO THAT A READER CAN SEE WHAT WAS RETIRED. The central is the cash-flow lens on its own; the other three reads are cross-checks published beside it, and the memo row at the foot shows where the retired blend of those weights would have landed. Two of its four weights were forbidden outright rather than merely unevidenced — book value is a disclosed floor that is never weighted, and normalised earnings is not a lens for a fleet whose day rates are this cyclical. The two composite rows have no bear and bull of their own: only their base case was re-run on the composite beta, so the low and high cells are left empty rather than filled with the primary construction's bounds. An earlier edition filled them, which put a span around a base that sat near the top of it. One further thing a reader should know about the composite reading: at 0.690 it lies BELOW the lower bound of the adopted estimate's own 90% confidence interval of [0.586, 1.621]. It is carried at full size throughout this study because the difference between the two measurements is a fact about index construction that a reader is entitled to see — but it is a more aggressive statement about the discount rate than this study's own bull case, and that is now on its face rather than left to be worked out.</w:t>
      </w:r>
    </w:p>
    <w:p>
      <w:pPr>
        <w:spacing w:after="120" w:before="0"/>
      </w:pPr>
      <w:r>
        <w:rPr>
          <w:b w:val="0"/>
          <w:i w:val="0"/>
          <w:color w:val="1C3A36"/>
          <w:sz w:val="21"/>
        </w:rPr>
        <w:t>The four lenses do not agree and the disagreement is informative. The two that price earnings through a multiple — relative and normalised — land at AED 12.21 and AED 11.07, the furthest above the market of the four. The two that state a cost of equity rather than importing one land lower: the cash-flow model at AED 5.34, close to the screen, and the book lens at AED 3.91, well below it. That ordering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asks explicitly and answers with a measured beta of 1.103. Where the two families disagree, the disagreement is about the discount rate rather than about the cash flows.</w:t>
      </w:r>
    </w:p>
    <w:p>
      <w:pPr>
        <w:spacing w:after="120" w:before="0"/>
      </w:pPr>
      <w:r>
        <w:rPr>
          <w:b w:val="0"/>
          <w:i w:val="0"/>
          <w:color w:val="1C3A36"/>
          <w:sz w:val="21"/>
        </w:rPr>
        <w:t>There is a weakness in this weighting that a reader should be told about rather than left to find, and it is the largest single item still open against this study. The relative lens and the normalised lens are not independent of each other. They use the SAME three multiples — the contracted-fleet multiple, the spot multiple and the blend of them — and the same weighting between the enterprise and earnings readings. What differs between them is only the earnings denominator those multiples are applied to: the 2026E build in one, the five-year average of the same build in the other. Together they carry 45% of the central. So 45% of the headline rests on one method presented as two reads, and the four-lens field is narrower evidence than four bars make it look. The counterfactual is easy to state: dropping the normalised lens and redistributing its weight would move the central toward the cash-flow and asset lenses, which are the two that sit lower. This has not been changed, because both denominators are legitimate questions to ask and neither is redundant on its own terms — but the overlap is real, it is not neutral in direction, and it is disclosed here rather than absorbed.</w:t>
      </w:r>
    </w:p>
    <w:p>
      <w:pPr>
        <w:spacing w:after="120" w:before="0"/>
      </w:pPr>
      <w:r>
        <w:rPr>
          <w:b w:val="0"/>
          <w:i w:val="0"/>
          <w:color w:val="1C3A36"/>
          <w:sz w:val="21"/>
        </w:rPr>
        <w:t>Weighted together, the four centre at AED 5.34, 21% below the market price. Measuring the market as an equal-weight composite instead lifts that to AED 7.37, 8% above the market price. Neither figure supports a claim that this share is materially mispriced: on the adopted construction the centre of the evidence sits about 21% above the screen, which is narrower than the bear-to-bull width of any single lens in the table and narrower than the three-month price dispersion in section 3.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Literally vessel by vessel, on the company's own charter table. 52 owned tankers in five size classes at the valuation date, of which 8 sit on charters out at disclosed fixed rates running to dates between 2026 and 2028; each of those earns its own rate for exactly the days its own contract covers, and no other. The remaining 44 earn the open-market rate, which is not assumed but solved out of the company's own published class average by removing the chartered vessels from it — section 1.7 shows the arithmetic. 2026 is the six months the company has REPORTED plus a second half built at the rates it has published for it: the third quarter to 11 August on the share of vessel days already contracted, with the balance at the mid-cycle rate, and a fourth quarter stepped halfway back from there. From 2027E the market rate glides over four years to that mid-cycle anchor, the average of the FY2024 and FY2025 outcomes. The 6 very large crude carriers bought on 7 Aug 2026 join the fleet on their announced delivery date and trade at that same market rate from it, so they earn part of 2026E and all of every year after. The smallest class is not broken out in any published rate table, so it is carried at the medium-range rate scaled by 0.79× — the relative move the company itself disclosed for it, not a substitution. The cost side is a STACK rather than one solved number: a fixed base of USD 530 million a year, escalated 2% a year on wages and technical management — a services escalator, not a commodity index — and a variable component of 1.05× for every dollar the owned fleet earns on a charter-equivalent basis, which is the voyage cost, the charter-in hire and the cost of the relet book. BOTH ARE SOLVED FROM TWO DISCLOSED PERIODS TOGETHER — the audited FY2025 year and the reviewed six months to 30 June 2026 — and the reviewed six months to 30 June 2025 are HELD OUT: the stack reproduces that period's earnings to within 10.7%, understating them. A single running cost solved on one year cannot reproduce this business: at the published rates the owned fleet's charter-equivalent revenue in the reviewed half was USD 806 million and the unit reported earnings of USD 994 million, MORE than the ships it owns can earn before any cost at all, because it also trades chartered-in tonnage and serves the parent group</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12.0 consolidated vessel-years in 2026 rising to 30.0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NET of the joint-venture profit, since the disclosed earnings of this unit include USD 21 million of the group's share of the gas-carrier joint venture and that is added separately at book value in the bridge.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The reviewed six months to 30 June 2026 as reported, plus a second half at the same revenue and at the margin the half itself delivered BEFORE the expected-credit-loss provision disclosed in the segment note, then 4% a year as further jack-up barges and support vessels are deployed on the contracted programme. The margin is held flat rather than recovering toward the 2025 level, because nothing disclosed measures a recovery in jack-up utilisation or pricing.</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The reviewed half as reported plus a second half at the same revenue and the same margin, then 5% a year on the support-vessel fleet growth already under way. The margin is the half's own.</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reviewed half as reported plus a second half at the same revenue and no margin, held FLAT thereafter. The large island project completed in the fourth quarter of 2025 and NO NEW AWARD IS DISCLOSED; the two projects the company names are loss-making. The delivered edition carried USD 125 million of 2026 revenue recovering to 300 million by 2030 on a company range the half has since falsified — the unit earned USD 1.9 million in six months. A recovery nothing discloses is not forecast.</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The reviewed half as reported plus a second half on the same terms, then a straight-line reversion of both revenue and margin to the 2025 outcome by 2030. Bulk charter rates spiked with tanker rates and the company publishes the series that shows it; the container vessels sit on a fifteen-year contract and do not.</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The reviewed half as reported plus a second half on the same terms, then 4% a year. The margin is the reviewed half’s own and reflects the warehouse activity moved into this unit. The group’s share of the bunkering associate is NOT in this line: it is taken out of the unit before the forecast starts — at the half’s own annualised figure rather than last year’s, because it more than trebled — and the stake is added once, at book value, in the bridge.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2,080</w:t>
            </w:r>
          </w:p>
        </w:tc>
        <w:tc>
          <w:tcPr>
            <w:tcW w:type="dxa" w:w="1382"/>
          </w:tcPr>
          <w:p>
            <w:pPr>
              <w:spacing w:after="20"/>
              <w:jc w:val="right"/>
            </w:pPr>
            <w:r>
              <w:rPr>
                <w:color w:val="1C3A36"/>
                <w:sz w:val="16"/>
              </w:rPr>
              <w:t>2,171</w:t>
            </w:r>
          </w:p>
        </w:tc>
        <w:tc>
          <w:tcPr>
            <w:tcW w:type="dxa" w:w="1382"/>
          </w:tcPr>
          <w:p>
            <w:pPr>
              <w:spacing w:after="20"/>
              <w:jc w:val="right"/>
            </w:pPr>
            <w:r>
              <w:rPr>
                <w:color w:val="1C3A36"/>
                <w:sz w:val="16"/>
              </w:rPr>
              <w:t>2,265</w:t>
            </w:r>
          </w:p>
        </w:tc>
        <w:tc>
          <w:tcPr>
            <w:tcW w:type="dxa" w:w="1382"/>
          </w:tcPr>
          <w:p>
            <w:pPr>
              <w:spacing w:after="20"/>
              <w:jc w:val="right"/>
            </w:pPr>
            <w:r>
              <w:rPr>
                <w:color w:val="1C3A36"/>
                <w:sz w:val="16"/>
              </w:rPr>
              <w:t>2,364</w:t>
            </w:r>
          </w:p>
        </w:tc>
        <w:tc>
          <w:tcPr>
            <w:tcW w:type="dxa" w:w="1382"/>
          </w:tcPr>
          <w:p>
            <w:pPr>
              <w:spacing w:after="20"/>
              <w:jc w:val="right"/>
            </w:pPr>
            <w:r>
              <w:rPr>
                <w:color w:val="1C3A36"/>
                <w:sz w:val="16"/>
              </w:rPr>
              <w:t>2,467</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33%</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4,524</w:t>
            </w:r>
          </w:p>
        </w:tc>
        <w:tc>
          <w:tcPr>
            <w:tcW w:type="dxa" w:w="1382"/>
          </w:tcPr>
          <w:p>
            <w:pPr>
              <w:spacing w:after="20"/>
              <w:jc w:val="right"/>
            </w:pPr>
            <w:r>
              <w:rPr>
                <w:color w:val="1C3A36"/>
                <w:sz w:val="16"/>
              </w:rPr>
              <w:t>5,126</w:t>
            </w:r>
          </w:p>
        </w:tc>
        <w:tc>
          <w:tcPr>
            <w:tcW w:type="dxa" w:w="1382"/>
          </w:tcPr>
          <w:p>
            <w:pPr>
              <w:spacing w:after="20"/>
              <w:jc w:val="right"/>
            </w:pPr>
            <w:r>
              <w:rPr>
                <w:color w:val="1C3A36"/>
                <w:sz w:val="16"/>
              </w:rPr>
              <w:t>4,773</w:t>
            </w:r>
          </w:p>
        </w:tc>
        <w:tc>
          <w:tcPr>
            <w:tcW w:type="dxa" w:w="1382"/>
          </w:tcPr>
          <w:p>
            <w:pPr>
              <w:spacing w:after="20"/>
              <w:jc w:val="right"/>
            </w:pPr>
            <w:r>
              <w:rPr>
                <w:color w:val="1C3A36"/>
                <w:sz w:val="16"/>
              </w:rPr>
              <w:t>3,927</w:t>
            </w:r>
          </w:p>
        </w:tc>
        <w:tc>
          <w:tcPr>
            <w:tcW w:type="dxa" w:w="1382"/>
          </w:tcPr>
          <w:p>
            <w:pPr>
              <w:spacing w:after="20"/>
              <w:jc w:val="right"/>
            </w:pPr>
            <w:r>
              <w:rPr>
                <w:color w:val="1C3A36"/>
                <w:sz w:val="16"/>
              </w:rPr>
              <w:t>2,981</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45%</w:t>
            </w:r>
          </w:p>
        </w:tc>
        <w:tc>
          <w:tcPr>
            <w:tcW w:type="dxa" w:w="1382"/>
          </w:tcPr>
          <w:p>
            <w:pPr>
              <w:spacing w:after="20"/>
              <w:jc w:val="right"/>
            </w:pPr>
            <w:r>
              <w:rPr>
                <w:color w:val="1C3A36"/>
                <w:sz w:val="16"/>
              </w:rPr>
              <w:t>46%</w:t>
            </w:r>
          </w:p>
        </w:tc>
        <w:tc>
          <w:tcPr>
            <w:tcW w:type="dxa" w:w="1382"/>
          </w:tcPr>
          <w:p>
            <w:pPr>
              <w:spacing w:after="20"/>
              <w:jc w:val="right"/>
            </w:pPr>
            <w:r>
              <w:rPr>
                <w:color w:val="1C3A36"/>
                <w:sz w:val="16"/>
              </w:rPr>
              <w:t>44%</w:t>
            </w:r>
          </w:p>
        </w:tc>
        <w:tc>
          <w:tcPr>
            <w:tcW w:type="dxa" w:w="1382"/>
          </w:tcPr>
          <w:p>
            <w:pPr>
              <w:spacing w:after="20"/>
              <w:jc w:val="right"/>
            </w:pPr>
            <w:r>
              <w:rPr>
                <w:color w:val="1C3A36"/>
                <w:sz w:val="16"/>
              </w:rPr>
              <w:t>40%</w:t>
            </w:r>
          </w:p>
        </w:tc>
        <w:tc>
          <w:tcPr>
            <w:tcW w:type="dxa" w:w="1382"/>
          </w:tcPr>
          <w:p>
            <w:pPr>
              <w:spacing w:after="20"/>
              <w:jc w:val="right"/>
            </w:pPr>
            <w:r>
              <w:rPr>
                <w:color w:val="1C3A36"/>
                <w:sz w:val="16"/>
              </w:rPr>
              <w:t>33%</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378</w:t>
            </w:r>
          </w:p>
        </w:tc>
        <w:tc>
          <w:tcPr>
            <w:tcW w:type="dxa" w:w="1382"/>
          </w:tcPr>
          <w:p>
            <w:pPr>
              <w:spacing w:after="20"/>
              <w:jc w:val="right"/>
            </w:pPr>
            <w:r>
              <w:rPr>
                <w:color w:val="1C3A36"/>
                <w:sz w:val="16"/>
              </w:rPr>
              <w:t>393</w:t>
            </w:r>
          </w:p>
        </w:tc>
        <w:tc>
          <w:tcPr>
            <w:tcW w:type="dxa" w:w="1382"/>
          </w:tcPr>
          <w:p>
            <w:pPr>
              <w:spacing w:after="20"/>
              <w:jc w:val="right"/>
            </w:pPr>
            <w:r>
              <w:rPr>
                <w:color w:val="1C3A36"/>
                <w:sz w:val="16"/>
              </w:rPr>
              <w:t>409</w:t>
            </w:r>
          </w:p>
        </w:tc>
        <w:tc>
          <w:tcPr>
            <w:tcW w:type="dxa" w:w="1382"/>
          </w:tcPr>
          <w:p>
            <w:pPr>
              <w:spacing w:after="20"/>
              <w:jc w:val="right"/>
            </w:pPr>
            <w:r>
              <w:rPr>
                <w:color w:val="1C3A36"/>
                <w:sz w:val="16"/>
              </w:rPr>
              <w:t>425</w:t>
            </w:r>
          </w:p>
        </w:tc>
        <w:tc>
          <w:tcPr>
            <w:tcW w:type="dxa" w:w="1382"/>
          </w:tcPr>
          <w:p>
            <w:pPr>
              <w:spacing w:after="20"/>
              <w:jc w:val="right"/>
            </w:pPr>
            <w:r>
              <w:rPr>
                <w:color w:val="1C3A36"/>
                <w:sz w:val="16"/>
              </w:rPr>
              <w:t>442</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13%</w:t>
            </w:r>
          </w:p>
        </w:tc>
        <w:tc>
          <w:tcPr>
            <w:tcW w:type="dxa" w:w="1382"/>
          </w:tcPr>
          <w:p>
            <w:pPr>
              <w:spacing w:after="20"/>
              <w:jc w:val="right"/>
            </w:pPr>
            <w:r>
              <w:rPr>
                <w:color w:val="1C3A36"/>
                <w:sz w:val="16"/>
              </w:rPr>
              <w:t>14%</w:t>
            </w:r>
          </w:p>
        </w:tc>
        <w:tc>
          <w:tcPr>
            <w:tcW w:type="dxa" w:w="1382"/>
          </w:tcPr>
          <w:p>
            <w:pPr>
              <w:spacing w:after="20"/>
              <w:jc w:val="right"/>
            </w:pPr>
            <w:r>
              <w:rPr>
                <w:color w:val="1C3A36"/>
                <w:sz w:val="16"/>
              </w:rPr>
              <w:t>14%</w:t>
            </w:r>
          </w:p>
        </w:tc>
        <w:tc>
          <w:tcPr>
            <w:tcW w:type="dxa" w:w="1382"/>
          </w:tcPr>
          <w:p>
            <w:pPr>
              <w:spacing w:after="20"/>
              <w:jc w:val="right"/>
            </w:pPr>
            <w:r>
              <w:rPr>
                <w:color w:val="1C3A36"/>
                <w:sz w:val="16"/>
              </w:rPr>
              <w:t>14%</w:t>
            </w:r>
          </w:p>
        </w:tc>
        <w:tc>
          <w:tcPr>
            <w:tcW w:type="dxa" w:w="1382"/>
          </w:tcPr>
          <w:p>
            <w:pPr>
              <w:spacing w:after="20"/>
              <w:jc w:val="right"/>
            </w:pPr>
            <w:r>
              <w:rPr>
                <w:color w:val="1C3A36"/>
                <w:sz w:val="16"/>
              </w:rPr>
              <w:t>14%</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6,982</w:t>
            </w:r>
          </w:p>
        </w:tc>
        <w:tc>
          <w:tcPr>
            <w:tcW w:type="dxa" w:w="1382"/>
            <w:shd w:val="clear" w:color="auto" w:fill="F6F1E6"/>
          </w:tcPr>
          <w:p>
            <w:pPr>
              <w:spacing w:after="20"/>
              <w:jc w:val="right"/>
            </w:pPr>
            <w:r>
              <w:rPr>
                <w:b/>
                <w:color w:val="1C3A36"/>
                <w:sz w:val="16"/>
              </w:rPr>
              <w:t>7,690</w:t>
            </w:r>
          </w:p>
        </w:tc>
        <w:tc>
          <w:tcPr>
            <w:tcW w:type="dxa" w:w="1382"/>
            <w:shd w:val="clear" w:color="auto" w:fill="F6F1E6"/>
          </w:tcPr>
          <w:p>
            <w:pPr>
              <w:spacing w:after="20"/>
              <w:jc w:val="right"/>
            </w:pPr>
            <w:r>
              <w:rPr>
                <w:b/>
                <w:color w:val="1C3A36"/>
                <w:sz w:val="16"/>
              </w:rPr>
              <w:t>7,447</w:t>
            </w:r>
          </w:p>
        </w:tc>
        <w:tc>
          <w:tcPr>
            <w:tcW w:type="dxa" w:w="1382"/>
            <w:shd w:val="clear" w:color="auto" w:fill="F6F1E6"/>
          </w:tcPr>
          <w:p>
            <w:pPr>
              <w:spacing w:after="20"/>
              <w:jc w:val="right"/>
            </w:pPr>
            <w:r>
              <w:rPr>
                <w:b/>
                <w:color w:val="1C3A36"/>
                <w:sz w:val="16"/>
              </w:rPr>
              <w:t>6,716</w:t>
            </w:r>
          </w:p>
        </w:tc>
        <w:tc>
          <w:tcPr>
            <w:tcW w:type="dxa" w:w="1382"/>
            <w:shd w:val="clear" w:color="auto" w:fill="F6F1E6"/>
          </w:tcPr>
          <w:p>
            <w:pPr>
              <w:spacing w:after="20"/>
              <w:jc w:val="right"/>
            </w:pPr>
            <w:r>
              <w:rPr>
                <w:b/>
                <w:color w:val="1C3A36"/>
                <w:sz w:val="16"/>
              </w:rPr>
              <w:t>5,890</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2,716</w:t>
            </w:r>
          </w:p>
        </w:tc>
        <w:tc>
          <w:tcPr>
            <w:tcW w:type="dxa" w:w="1382"/>
            <w:shd w:val="clear" w:color="auto" w:fill="F6F1E6"/>
          </w:tcPr>
          <w:p>
            <w:pPr>
              <w:spacing w:after="20"/>
              <w:jc w:val="right"/>
            </w:pPr>
            <w:r>
              <w:rPr>
                <w:b/>
                <w:color w:val="1C3A36"/>
                <w:sz w:val="16"/>
              </w:rPr>
              <w:t>3,140</w:t>
            </w:r>
          </w:p>
        </w:tc>
        <w:tc>
          <w:tcPr>
            <w:tcW w:type="dxa" w:w="1382"/>
            <w:shd w:val="clear" w:color="auto" w:fill="F6F1E6"/>
          </w:tcPr>
          <w:p>
            <w:pPr>
              <w:spacing w:after="20"/>
              <w:jc w:val="right"/>
            </w:pPr>
            <w:r>
              <w:rPr>
                <w:b/>
                <w:color w:val="1C3A36"/>
                <w:sz w:val="16"/>
              </w:rPr>
              <w:t>2,924</w:t>
            </w:r>
          </w:p>
        </w:tc>
        <w:tc>
          <w:tcPr>
            <w:tcW w:type="dxa" w:w="1382"/>
            <w:shd w:val="clear" w:color="auto" w:fill="F6F1E6"/>
          </w:tcPr>
          <w:p>
            <w:pPr>
              <w:spacing w:after="20"/>
              <w:jc w:val="right"/>
            </w:pPr>
            <w:r>
              <w:rPr>
                <w:b/>
                <w:color w:val="1C3A36"/>
                <w:sz w:val="16"/>
              </w:rPr>
              <w:t>2,426</w:t>
            </w:r>
          </w:p>
        </w:tc>
        <w:tc>
          <w:tcPr>
            <w:tcW w:type="dxa" w:w="1382"/>
            <w:shd w:val="clear" w:color="auto" w:fill="F6F1E6"/>
          </w:tcPr>
          <w:p>
            <w:pPr>
              <w:spacing w:after="20"/>
              <w:jc w:val="right"/>
            </w:pPr>
            <w:r>
              <w:rPr>
                <w:b/>
                <w:color w:val="1C3A36"/>
                <w:sz w:val="16"/>
              </w:rPr>
              <w:t>1,880</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38.9%</w:t>
            </w:r>
          </w:p>
        </w:tc>
        <w:tc>
          <w:tcPr>
            <w:tcW w:type="dxa" w:w="1382"/>
            <w:shd w:val="clear" w:color="auto" w:fill="F6F1E6"/>
          </w:tcPr>
          <w:p>
            <w:pPr>
              <w:spacing w:after="20"/>
              <w:jc w:val="right"/>
            </w:pPr>
            <w:r>
              <w:rPr>
                <w:b/>
                <w:color w:val="1C3A36"/>
                <w:sz w:val="16"/>
              </w:rPr>
              <w:t>40.8%</w:t>
            </w:r>
          </w:p>
        </w:tc>
        <w:tc>
          <w:tcPr>
            <w:tcW w:type="dxa" w:w="1382"/>
            <w:shd w:val="clear" w:color="auto" w:fill="F6F1E6"/>
          </w:tcPr>
          <w:p>
            <w:pPr>
              <w:spacing w:after="20"/>
              <w:jc w:val="right"/>
            </w:pPr>
            <w:r>
              <w:rPr>
                <w:b/>
                <w:color w:val="1C3A36"/>
                <w:sz w:val="16"/>
              </w:rPr>
              <w:t>39.3%</w:t>
            </w:r>
          </w:p>
        </w:tc>
        <w:tc>
          <w:tcPr>
            <w:tcW w:type="dxa" w:w="1382"/>
            <w:shd w:val="clear" w:color="auto" w:fill="F6F1E6"/>
          </w:tcPr>
          <w:p>
            <w:pPr>
              <w:spacing w:after="20"/>
              <w:jc w:val="right"/>
            </w:pPr>
            <w:r>
              <w:rPr>
                <w:b/>
                <w:color w:val="1C3A36"/>
                <w:sz w:val="16"/>
              </w:rPr>
              <w:t>36.1%</w:t>
            </w:r>
          </w:p>
        </w:tc>
        <w:tc>
          <w:tcPr>
            <w:tcW w:type="dxa" w:w="1382"/>
            <w:shd w:val="clear" w:color="auto" w:fill="F6F1E6"/>
          </w:tcPr>
          <w:p>
            <w:pPr>
              <w:spacing w:after="20"/>
              <w:jc w:val="right"/>
            </w:pPr>
            <w:r>
              <w:rPr>
                <w:b/>
                <w:color w:val="1C3A36"/>
                <w:sz w:val="16"/>
              </w:rPr>
              <w:t>31.9%</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38.9% to 31.9% across the forecast — is an output of the changing mix, not a path anyone chose. The margin rises against FY2025's 29.3% mainly because the low-margin chartered-in trading that grossed up FY2025 revenue is not repeated: the first quarter of 2026 showed revenue -10% year on year while earnings rose +7% — both movements on the business-unit basis this table is built on, which is the basis the company's own commentary uses.</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p>
      <w:pPr>
        <w:spacing w:after="120" w:before="0"/>
      </w:pPr>
      <w:r>
        <w:rPr>
          <w:b w:val="0"/>
          <w:i w:val="0"/>
          <w:color w:val="1C3A36"/>
          <w:sz w:val="21"/>
        </w:rPr>
        <w:t>One thing has to be established before the comparison can be read at all: the company does not publish a dollar guidance figure, for the group or for any business unit. What it publishes is DIRECTIONAL — a band in words, for revenue and for earnings, at group level and for each of the three units. Every guided figure below is this study's own conversion of those words into dollars, taken at the midpoint of the band and applied to the FY2025 figure it grows from. The conversion is shown line by line so that a reader who reads a band differently can redo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584"/>
        <w:gridCol w:w="2160"/>
      </w:tblGrid>
      <w:tr>
        <w:trPr>
          <w:cantSplit/>
          <w:tblHeader/>
        </w:trPr>
        <w:tc>
          <w:tcPr>
            <w:tcW w:type="dxa" w:w="4464"/>
            <w:shd w:val="clear" w:color="auto" w:fill="EAF0EE"/>
          </w:tcPr>
          <w:p>
            <w:pPr>
              <w:spacing w:after="20"/>
              <w:jc w:val="left"/>
            </w:pPr>
            <w:r>
              <w:rPr>
                <w:b/>
                <w:color w:val="1C3A36"/>
                <w:sz w:val="16"/>
              </w:rPr>
              <w:t>Line</w:t>
            </w:r>
          </w:p>
        </w:tc>
        <w:tc>
          <w:tcPr>
            <w:tcW w:type="dxa" w:w="1872"/>
            <w:shd w:val="clear" w:color="auto" w:fill="EAF0EE"/>
          </w:tcPr>
          <w:p>
            <w:pPr>
              <w:spacing w:after="20"/>
            </w:pPr>
            <w:r>
              <w:rPr>
                <w:b/>
                <w:color w:val="1C3A36"/>
                <w:sz w:val="16"/>
              </w:rPr>
              <w:t>FY2025 base (USD mn)</w:t>
            </w:r>
          </w:p>
        </w:tc>
        <w:tc>
          <w:tcPr>
            <w:tcW w:type="dxa" w:w="1584"/>
            <w:shd w:val="clear" w:color="auto" w:fill="EAF0EE"/>
          </w:tcPr>
          <w:p>
            <w:pPr>
              <w:spacing w:after="20"/>
            </w:pPr>
            <w:r>
              <w:rPr>
                <w:b/>
                <w:color w:val="1C3A36"/>
                <w:sz w:val="16"/>
              </w:rPr>
              <w:t>Guided change</w:t>
            </w:r>
          </w:p>
        </w:tc>
        <w:tc>
          <w:tcPr>
            <w:tcW w:type="dxa" w:w="2160"/>
            <w:shd w:val="clear" w:color="auto" w:fill="EAF0EE"/>
          </w:tcPr>
          <w:p>
            <w:pPr>
              <w:spacing w:after="20"/>
            </w:pPr>
            <w:r>
              <w:rPr>
                <w:b/>
                <w:color w:val="1C3A36"/>
                <w:sz w:val="16"/>
              </w:rPr>
              <w:t>Converted (USD mn)</w:t>
            </w:r>
          </w:p>
        </w:tc>
      </w:tr>
      <w:tr>
        <w:trPr>
          <w:cantSplit/>
        </w:trPr>
        <w:tc>
          <w:tcPr>
            <w:tcW w:type="dxa" w:w="4464"/>
          </w:tcPr>
          <w:p>
            <w:pPr>
              <w:spacing w:after="20"/>
              <w:jc w:val="left"/>
            </w:pPr>
            <w:r>
              <w:rPr>
                <w:color w:val="1C3A36"/>
                <w:sz w:val="16"/>
              </w:rPr>
              <w:t>Integrated Logistics — revenue</w:t>
            </w:r>
          </w:p>
        </w:tc>
        <w:tc>
          <w:tcPr>
            <w:tcW w:type="dxa" w:w="1872"/>
          </w:tcPr>
          <w:p>
            <w:pPr>
              <w:spacing w:after="20"/>
              <w:jc w:val="right"/>
            </w:pPr>
            <w:r>
              <w:rPr>
                <w:color w:val="1C3A36"/>
                <w:sz w:val="16"/>
              </w:rPr>
              <w:t>2,529</w:t>
            </w:r>
          </w:p>
        </w:tc>
        <w:tc>
          <w:tcPr>
            <w:tcW w:type="dxa" w:w="1584"/>
          </w:tcPr>
          <w:p>
            <w:pPr>
              <w:spacing w:after="20"/>
              <w:jc w:val="right"/>
            </w:pPr>
            <w:r>
              <w:rPr>
                <w:color w:val="1C3A36"/>
                <w:sz w:val="16"/>
              </w:rPr>
              <w:t>-25.0%</w:t>
            </w:r>
          </w:p>
        </w:tc>
        <w:tc>
          <w:tcPr>
            <w:tcW w:type="dxa" w:w="2160"/>
          </w:tcPr>
          <w:p>
            <w:pPr>
              <w:spacing w:after="20"/>
              <w:jc w:val="right"/>
            </w:pPr>
            <w:r>
              <w:rPr>
                <w:color w:val="1C3A36"/>
                <w:sz w:val="16"/>
              </w:rPr>
              <w:t>1,897</w:t>
            </w:r>
          </w:p>
        </w:tc>
      </w:tr>
      <w:tr>
        <w:trPr>
          <w:cantSplit/>
        </w:trPr>
        <w:tc>
          <w:tcPr>
            <w:tcW w:type="dxa" w:w="4464"/>
          </w:tcPr>
          <w:p>
            <w:pPr>
              <w:spacing w:after="20"/>
              <w:jc w:val="left"/>
            </w:pPr>
            <w:r>
              <w:rPr>
                <w:color w:val="1C3A36"/>
                <w:sz w:val="16"/>
              </w:rPr>
              <w:t>Shipping — revenue</w:t>
            </w:r>
          </w:p>
        </w:tc>
        <w:tc>
          <w:tcPr>
            <w:tcW w:type="dxa" w:w="1872"/>
          </w:tcPr>
          <w:p>
            <w:pPr>
              <w:spacing w:after="20"/>
              <w:jc w:val="right"/>
            </w:pPr>
            <w:r>
              <w:rPr>
                <w:color w:val="1C3A36"/>
                <w:sz w:val="16"/>
              </w:rPr>
              <w:t>2,125</w:t>
            </w:r>
          </w:p>
        </w:tc>
        <w:tc>
          <w:tcPr>
            <w:tcW w:type="dxa" w:w="1584"/>
          </w:tcPr>
          <w:p>
            <w:pPr>
              <w:spacing w:after="20"/>
              <w:jc w:val="right"/>
            </w:pPr>
            <w:r>
              <w:rPr>
                <w:color w:val="1C3A36"/>
                <w:sz w:val="16"/>
              </w:rPr>
              <w:t>+85.0%</w:t>
            </w:r>
          </w:p>
        </w:tc>
        <w:tc>
          <w:tcPr>
            <w:tcW w:type="dxa" w:w="2160"/>
          </w:tcPr>
          <w:p>
            <w:pPr>
              <w:spacing w:after="20"/>
              <w:jc w:val="right"/>
            </w:pPr>
            <w:r>
              <w:rPr>
                <w:color w:val="1C3A36"/>
                <w:sz w:val="16"/>
              </w:rPr>
              <w:t>3,930</w:t>
            </w:r>
          </w:p>
        </w:tc>
      </w:tr>
      <w:tr>
        <w:trPr>
          <w:cantSplit/>
        </w:trPr>
        <w:tc>
          <w:tcPr>
            <w:tcW w:type="dxa" w:w="4464"/>
          </w:tcPr>
          <w:p>
            <w:pPr>
              <w:spacing w:after="20"/>
              <w:jc w:val="left"/>
            </w:pPr>
            <w:r>
              <w:rPr>
                <w:color w:val="1C3A36"/>
                <w:sz w:val="16"/>
              </w:rPr>
              <w:t>Services — revenue</w:t>
            </w:r>
          </w:p>
        </w:tc>
        <w:tc>
          <w:tcPr>
            <w:tcW w:type="dxa" w:w="1872"/>
          </w:tcPr>
          <w:p>
            <w:pPr>
              <w:spacing w:after="20"/>
              <w:jc w:val="right"/>
            </w:pPr>
            <w:r>
              <w:rPr>
                <w:color w:val="1C3A36"/>
                <w:sz w:val="16"/>
              </w:rPr>
              <w:t>362</w:t>
            </w:r>
          </w:p>
        </w:tc>
        <w:tc>
          <w:tcPr>
            <w:tcW w:type="dxa" w:w="1584"/>
          </w:tcPr>
          <w:p>
            <w:pPr>
              <w:spacing w:after="20"/>
              <w:jc w:val="right"/>
            </w:pPr>
            <w:r>
              <w:rPr>
                <w:color w:val="1C3A36"/>
                <w:sz w:val="16"/>
              </w:rPr>
              <w:t>+5.0%</w:t>
            </w:r>
          </w:p>
        </w:tc>
        <w:tc>
          <w:tcPr>
            <w:tcW w:type="dxa" w:w="2160"/>
          </w:tcPr>
          <w:p>
            <w:pPr>
              <w:spacing w:after="20"/>
              <w:jc w:val="right"/>
            </w:pPr>
            <w:r>
              <w:rPr>
                <w:color w:val="1C3A36"/>
                <w:sz w:val="16"/>
              </w:rPr>
              <w:t>381</w:t>
            </w:r>
          </w:p>
        </w:tc>
      </w:tr>
      <w:tr>
        <w:trPr>
          <w:cantSplit/>
        </w:trPr>
        <w:tc>
          <w:tcPr>
            <w:tcW w:type="dxa" w:w="4464"/>
            <w:shd w:val="clear" w:color="auto" w:fill="F6F1E6"/>
          </w:tcPr>
          <w:p>
            <w:pPr>
              <w:spacing w:after="20"/>
              <w:jc w:val="left"/>
            </w:pPr>
            <w:r>
              <w:rPr>
                <w:b/>
                <w:color w:val="1C3A36"/>
                <w:sz w:val="16"/>
              </w:rPr>
              <w:t>Sum of the three units — revenue</w:t>
            </w:r>
          </w:p>
        </w:tc>
        <w:tc>
          <w:tcPr>
            <w:tcW w:type="dxa" w:w="1872"/>
            <w:shd w:val="clear" w:color="auto" w:fill="F6F1E6"/>
          </w:tcPr>
          <w:p>
            <w:pPr>
              <w:spacing w:after="20"/>
              <w:jc w:val="right"/>
            </w:pPr>
            <w:r>
              <w:rPr>
                <w:b/>
                <w:color w:val="1C3A36"/>
                <w:sz w:val="16"/>
              </w:rPr>
              <w:t>5,016</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6,208</w:t>
            </w:r>
          </w:p>
        </w:tc>
      </w:tr>
      <w:tr>
        <w:trPr>
          <w:cantSplit/>
        </w:trPr>
        <w:tc>
          <w:tcPr>
            <w:tcW w:type="dxa" w:w="4464"/>
          </w:tcPr>
          <w:p>
            <w:pPr>
              <w:spacing w:after="20"/>
              <w:jc w:val="left"/>
            </w:pPr>
            <w:r>
              <w:rPr>
                <w:color w:val="1C3A36"/>
                <w:sz w:val="16"/>
              </w:rPr>
              <w:t>Group — revenue, on the group band</w:t>
            </w:r>
          </w:p>
        </w:tc>
        <w:tc>
          <w:tcPr>
            <w:tcW w:type="dxa" w:w="1872"/>
          </w:tcPr>
          <w:p>
            <w:pPr>
              <w:spacing w:after="20"/>
              <w:jc w:val="right"/>
            </w:pPr>
            <w:r>
              <w:rPr>
                <w:color w:val="1C3A36"/>
                <w:sz w:val="16"/>
              </w:rPr>
              <w:t>5,016</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6,270</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+62</w:t>
            </w:r>
          </w:p>
        </w:tc>
      </w:tr>
      <w:tr>
        <w:trPr>
          <w:cantSplit/>
        </w:trPr>
        <w:tc>
          <w:tcPr>
            <w:tcW w:type="dxa" w:w="4464"/>
          </w:tcPr>
          <w:p>
            <w:pPr>
              <w:spacing w:after="20"/>
              <w:jc w:val="left"/>
            </w:pPr>
            <w:r>
              <w:rPr>
                <w:color w:val="1C3A36"/>
                <w:sz w:val="16"/>
              </w:rPr>
              <w:t>Integrated Logistics — earnings</w:t>
            </w:r>
          </w:p>
        </w:tc>
        <w:tc>
          <w:tcPr>
            <w:tcW w:type="dxa" w:w="1872"/>
          </w:tcPr>
          <w:p>
            <w:pPr>
              <w:spacing w:after="20"/>
              <w:jc w:val="right"/>
            </w:pPr>
            <w:r>
              <w:rPr>
                <w:color w:val="1C3A36"/>
                <w:sz w:val="16"/>
              </w:rPr>
              <w:t>829</w:t>
            </w:r>
          </w:p>
        </w:tc>
        <w:tc>
          <w:tcPr>
            <w:tcW w:type="dxa" w:w="1584"/>
          </w:tcPr>
          <w:p>
            <w:pPr>
              <w:spacing w:after="20"/>
              <w:jc w:val="right"/>
            </w:pPr>
            <w:r>
              <w:rPr>
                <w:color w:val="1C3A36"/>
                <w:sz w:val="16"/>
              </w:rPr>
              <w:t>-25.0%</w:t>
            </w:r>
          </w:p>
        </w:tc>
        <w:tc>
          <w:tcPr>
            <w:tcW w:type="dxa" w:w="2160"/>
          </w:tcPr>
          <w:p>
            <w:pPr>
              <w:spacing w:after="20"/>
              <w:jc w:val="right"/>
            </w:pPr>
            <w:r>
              <w:rPr>
                <w:color w:val="1C3A36"/>
                <w:sz w:val="16"/>
              </w:rPr>
              <w:t>622</w:t>
            </w:r>
          </w:p>
        </w:tc>
      </w:tr>
      <w:tr>
        <w:trPr>
          <w:cantSplit/>
        </w:trPr>
        <w:tc>
          <w:tcPr>
            <w:tcW w:type="dxa" w:w="4464"/>
          </w:tcPr>
          <w:p>
            <w:pPr>
              <w:spacing w:after="20"/>
              <w:jc w:val="left"/>
            </w:pPr>
            <w:r>
              <w:rPr>
                <w:color w:val="1C3A36"/>
                <w:sz w:val="16"/>
              </w:rPr>
              <w:t>Shipping — earnings</w:t>
            </w:r>
          </w:p>
        </w:tc>
        <w:tc>
          <w:tcPr>
            <w:tcW w:type="dxa" w:w="1872"/>
          </w:tcPr>
          <w:p>
            <w:pPr>
              <w:spacing w:after="20"/>
              <w:jc w:val="right"/>
            </w:pPr>
            <w:r>
              <w:rPr>
                <w:color w:val="1C3A36"/>
                <w:sz w:val="16"/>
              </w:rPr>
              <w:t>619</w:t>
            </w:r>
          </w:p>
        </w:tc>
        <w:tc>
          <w:tcPr>
            <w:tcW w:type="dxa" w:w="1584"/>
          </w:tcPr>
          <w:p>
            <w:pPr>
              <w:spacing w:after="20"/>
              <w:jc w:val="right"/>
            </w:pPr>
            <w:r>
              <w:rPr>
                <w:color w:val="1C3A36"/>
                <w:sz w:val="16"/>
              </w:rPr>
              <w:t>+190.0%</w:t>
            </w:r>
          </w:p>
        </w:tc>
        <w:tc>
          <w:tcPr>
            <w:tcW w:type="dxa" w:w="2160"/>
          </w:tcPr>
          <w:p>
            <w:pPr>
              <w:spacing w:after="20"/>
              <w:jc w:val="right"/>
            </w:pPr>
            <w:r>
              <w:rPr>
                <w:color w:val="1C3A36"/>
                <w:sz w:val="16"/>
              </w:rPr>
              <w:t>1,794</w:t>
            </w:r>
          </w:p>
        </w:tc>
      </w:tr>
      <w:tr>
        <w:trPr>
          <w:cantSplit/>
        </w:trPr>
        <w:tc>
          <w:tcPr>
            <w:tcW w:type="dxa" w:w="4464"/>
          </w:tcPr>
          <w:p>
            <w:pPr>
              <w:spacing w:after="20"/>
              <w:jc w:val="left"/>
            </w:pPr>
            <w:r>
              <w:rPr>
                <w:color w:val="1C3A36"/>
                <w:sz w:val="16"/>
              </w:rPr>
              <w:t>Services — earnings</w:t>
            </w:r>
          </w:p>
        </w:tc>
        <w:tc>
          <w:tcPr>
            <w:tcW w:type="dxa" w:w="1872"/>
          </w:tcPr>
          <w:p>
            <w:pPr>
              <w:spacing w:after="20"/>
              <w:jc w:val="right"/>
            </w:pPr>
            <w:r>
              <w:rPr>
                <w:color w:val="1C3A36"/>
                <w:sz w:val="16"/>
              </w:rPr>
              <w:t>60</w:t>
            </w:r>
          </w:p>
        </w:tc>
        <w:tc>
          <w:tcPr>
            <w:tcW w:type="dxa" w:w="1584"/>
          </w:tcPr>
          <w:p>
            <w:pPr>
              <w:spacing w:after="20"/>
              <w:jc w:val="right"/>
            </w:pPr>
            <w:r>
              <w:rPr>
                <w:color w:val="1C3A36"/>
                <w:sz w:val="16"/>
              </w:rPr>
              <w:t>+20.0%</w:t>
            </w:r>
          </w:p>
        </w:tc>
        <w:tc>
          <w:tcPr>
            <w:tcW w:type="dxa" w:w="2160"/>
          </w:tcPr>
          <w:p>
            <w:pPr>
              <w:spacing w:after="20"/>
              <w:jc w:val="right"/>
            </w:pPr>
            <w:r>
              <w:rPr>
                <w:color w:val="1C3A36"/>
                <w:sz w:val="16"/>
              </w:rPr>
              <w:t>72</w:t>
            </w:r>
          </w:p>
        </w:tc>
      </w:tr>
      <w:tr>
        <w:trPr>
          <w:cantSplit/>
        </w:trPr>
        <w:tc>
          <w:tcPr>
            <w:tcW w:type="dxa" w:w="4464"/>
            <w:shd w:val="clear" w:color="auto" w:fill="F6F1E6"/>
          </w:tcPr>
          <w:p>
            <w:pPr>
              <w:spacing w:after="20"/>
              <w:jc w:val="left"/>
            </w:pPr>
            <w:r>
              <w:rPr>
                <w:b/>
                <w:color w:val="1C3A36"/>
                <w:sz w:val="16"/>
              </w:rPr>
              <w:t>Sum of the three units — earnings</w:t>
            </w:r>
          </w:p>
        </w:tc>
        <w:tc>
          <w:tcPr>
            <w:tcW w:type="dxa" w:w="1872"/>
            <w:shd w:val="clear" w:color="auto" w:fill="F6F1E6"/>
          </w:tcPr>
          <w:p>
            <w:pPr>
              <w:spacing w:after="20"/>
              <w:jc w:val="right"/>
            </w:pPr>
            <w:r>
              <w:rPr>
                <w:b/>
                <w:color w:val="1C3A36"/>
                <w:sz w:val="16"/>
              </w:rPr>
              <w:t>1,508</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2,488</w:t>
            </w:r>
          </w:p>
        </w:tc>
      </w:tr>
      <w:tr>
        <w:trPr>
          <w:cantSplit/>
        </w:trPr>
        <w:tc>
          <w:tcPr>
            <w:tcW w:type="dxa" w:w="4464"/>
          </w:tcPr>
          <w:p>
            <w:pPr>
              <w:spacing w:after="20"/>
              <w:jc w:val="left"/>
            </w:pPr>
            <w:r>
              <w:rPr>
                <w:color w:val="1C3A36"/>
                <w:sz w:val="16"/>
              </w:rPr>
              <w:t>Group — earnings, on the group band and the company's own reported measure</w:t>
            </w:r>
          </w:p>
        </w:tc>
        <w:tc>
          <w:tcPr>
            <w:tcW w:type="dxa" w:w="1872"/>
          </w:tcPr>
          <w:p>
            <w:pPr>
              <w:spacing w:after="20"/>
              <w:jc w:val="right"/>
            </w:pPr>
            <w:r>
              <w:rPr>
                <w:color w:val="1C3A36"/>
                <w:sz w:val="16"/>
              </w:rPr>
              <w:t>1,515</w:t>
            </w:r>
          </w:p>
        </w:tc>
        <w:tc>
          <w:tcPr>
            <w:tcW w:type="dxa" w:w="1584"/>
          </w:tcPr>
          <w:p>
            <w:pPr>
              <w:spacing w:after="20"/>
              <w:jc w:val="right"/>
            </w:pPr>
            <w:r>
              <w:rPr>
                <w:color w:val="1C3A36"/>
                <w:sz w:val="16"/>
              </w:rPr>
              <w:t>+6.5%</w:t>
            </w:r>
          </w:p>
        </w:tc>
        <w:tc>
          <w:tcPr>
            <w:tcW w:type="dxa" w:w="2160"/>
          </w:tcPr>
          <w:p>
            <w:pPr>
              <w:spacing w:after="20"/>
              <w:jc w:val="right"/>
            </w:pPr>
            <w:r>
              <w:rPr>
                <w:color w:val="1C3A36"/>
                <w:sz w:val="16"/>
              </w:rPr>
              <w:t>2,499</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+11</w:t>
            </w:r>
          </w:p>
        </w:tc>
      </w:tr>
    </w:tbl>
    <w:p>
      <w:pPr>
        <w:spacing w:after="40"/>
      </w:pPr>
    </w:p>
    <w:p>
      <w:pPr>
        <w:spacing w:after="200" w:before="0"/>
      </w:pPr>
      <w:r>
        <w:rPr>
          <w:b w:val="0"/>
          <w:i/>
          <w:color w:val="6E7B77"/>
          <w:sz w:val="17"/>
        </w:rPr>
        <w:t>Every row multiplies out. The two DIFFERENCE rows are the point of the table and they are a property of the guidance, not of this conversion: management's three unit bands and its group band do not reconcile at their midpoints. On revenue the three units imply USD 6,208 million against a group band implying USD 6,270 million; on earnings the units imply more than the group band does, and part of that second gap is a measure difference as well — the group band is stated against the company's own reported earnings figure, which adds the share of joint ventures and one-off items to the USD 1,508 million the three units sum to. An earlier edition of this study printed the unit rows and the group row in one column that did not add up, with no note that it did not. Both totals are now shown and the gap between them is named.</w:t>
      </w:r>
    </w:p>
    <w:p>
      <w:pPr>
        <w:keepNext/>
        <w:spacing w:after="80" w:before="200"/>
      </w:pPr>
      <w:r>
        <w:rPr>
          <w:b/>
          <w:i w:val="0"/>
          <w:color w:val="1C3A36"/>
          <w:sz w:val="24"/>
        </w:rPr>
        <w:t>The build against that guidance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1,897</w:t>
            </w:r>
          </w:p>
        </w:tc>
        <w:tc>
          <w:tcPr>
            <w:tcW w:type="dxa" w:w="1555"/>
          </w:tcPr>
          <w:p>
            <w:pPr>
              <w:spacing w:after="20"/>
              <w:jc w:val="right"/>
            </w:pPr>
            <w:r>
              <w:rPr>
                <w:color w:val="1C3A36"/>
                <w:sz w:val="16"/>
              </w:rPr>
              <w:t>2,080</w:t>
            </w:r>
          </w:p>
        </w:tc>
        <w:tc>
          <w:tcPr>
            <w:tcW w:type="dxa" w:w="1555"/>
          </w:tcPr>
          <w:p>
            <w:pPr>
              <w:spacing w:after="20"/>
              <w:jc w:val="right"/>
            </w:pPr>
            <w:r>
              <w:rPr>
                <w:color w:val="1C3A36"/>
                <w:sz w:val="16"/>
              </w:rPr>
              <w:t>622</w:t>
            </w:r>
          </w:p>
        </w:tc>
        <w:tc>
          <w:tcPr>
            <w:tcW w:type="dxa" w:w="1555"/>
          </w:tcPr>
          <w:p>
            <w:pPr>
              <w:spacing w:after="20"/>
              <w:jc w:val="right"/>
            </w:pPr>
            <w:r>
              <w:rPr>
                <w:color w:val="1C3A36"/>
                <w:sz w:val="16"/>
              </w:rPr>
              <w:t>631</w:t>
            </w:r>
          </w:p>
        </w:tc>
        <w:tc>
          <w:tcPr>
            <w:tcW w:type="dxa" w:w="1555"/>
          </w:tcPr>
          <w:p>
            <w:pPr>
              <w:spacing w:after="20"/>
              <w:jc w:val="right"/>
            </w:pPr>
            <w:r>
              <w:rPr>
                <w:color w:val="1C3A36"/>
                <w:sz w:val="16"/>
              </w:rPr>
              <w:t>+1%</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3,930</w:t>
            </w:r>
          </w:p>
        </w:tc>
        <w:tc>
          <w:tcPr>
            <w:tcW w:type="dxa" w:w="1555"/>
          </w:tcPr>
          <w:p>
            <w:pPr>
              <w:spacing w:after="20"/>
              <w:jc w:val="right"/>
            </w:pPr>
            <w:r>
              <w:rPr>
                <w:color w:val="1C3A36"/>
                <w:sz w:val="16"/>
              </w:rPr>
              <w:t>4,524</w:t>
            </w:r>
          </w:p>
        </w:tc>
        <w:tc>
          <w:tcPr>
            <w:tcW w:type="dxa" w:w="1555"/>
          </w:tcPr>
          <w:p>
            <w:pPr>
              <w:spacing w:after="20"/>
              <w:jc w:val="right"/>
            </w:pPr>
            <w:r>
              <w:rPr>
                <w:color w:val="1C3A36"/>
                <w:sz w:val="16"/>
              </w:rPr>
              <w:t>1,794</w:t>
            </w:r>
          </w:p>
        </w:tc>
        <w:tc>
          <w:tcPr>
            <w:tcW w:type="dxa" w:w="1555"/>
          </w:tcPr>
          <w:p>
            <w:pPr>
              <w:spacing w:after="20"/>
              <w:jc w:val="right"/>
            </w:pPr>
            <w:r>
              <w:rPr>
                <w:color w:val="1C3A36"/>
                <w:sz w:val="16"/>
              </w:rPr>
              <w:t>2,035</w:t>
            </w:r>
          </w:p>
        </w:tc>
        <w:tc>
          <w:tcPr>
            <w:tcW w:type="dxa" w:w="1555"/>
          </w:tcPr>
          <w:p>
            <w:pPr>
              <w:spacing w:after="20"/>
              <w:jc w:val="right"/>
            </w:pPr>
            <w:r>
              <w:rPr>
                <w:color w:val="1C3A36"/>
                <w:sz w:val="16"/>
              </w:rPr>
              <w:t>+13%</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381</w:t>
            </w:r>
          </w:p>
        </w:tc>
        <w:tc>
          <w:tcPr>
            <w:tcW w:type="dxa" w:w="1555"/>
          </w:tcPr>
          <w:p>
            <w:pPr>
              <w:spacing w:after="20"/>
              <w:jc w:val="right"/>
            </w:pPr>
            <w:r>
              <w:rPr>
                <w:color w:val="1C3A36"/>
                <w:sz w:val="16"/>
              </w:rPr>
              <w:t>378</w:t>
            </w:r>
          </w:p>
        </w:tc>
        <w:tc>
          <w:tcPr>
            <w:tcW w:type="dxa" w:w="1555"/>
          </w:tcPr>
          <w:p>
            <w:pPr>
              <w:spacing w:after="20"/>
              <w:jc w:val="right"/>
            </w:pPr>
            <w:r>
              <w:rPr>
                <w:color w:val="1C3A36"/>
                <w:sz w:val="16"/>
              </w:rPr>
              <w:t>72</w:t>
            </w:r>
          </w:p>
        </w:tc>
        <w:tc>
          <w:tcPr>
            <w:tcW w:type="dxa" w:w="1555"/>
          </w:tcPr>
          <w:p>
            <w:pPr>
              <w:spacing w:after="20"/>
              <w:jc w:val="right"/>
            </w:pPr>
            <w:r>
              <w:rPr>
                <w:color w:val="1C3A36"/>
                <w:sz w:val="16"/>
              </w:rPr>
              <w:t>51</w:t>
            </w:r>
          </w:p>
        </w:tc>
        <w:tc>
          <w:tcPr>
            <w:tcW w:type="dxa" w:w="1555"/>
          </w:tcPr>
          <w:p>
            <w:pPr>
              <w:spacing w:after="20"/>
              <w:jc w:val="right"/>
            </w:pPr>
            <w:r>
              <w:rPr>
                <w:color w:val="1C3A36"/>
                <w:sz w:val="16"/>
              </w:rPr>
              <w:t>-30%</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6,270</w:t>
            </w:r>
          </w:p>
        </w:tc>
        <w:tc>
          <w:tcPr>
            <w:tcW w:type="dxa" w:w="1555"/>
            <w:shd w:val="clear" w:color="auto" w:fill="F6F1E6"/>
          </w:tcPr>
          <w:p>
            <w:pPr>
              <w:spacing w:after="20"/>
              <w:jc w:val="right"/>
            </w:pPr>
            <w:r>
              <w:rPr>
                <w:b/>
                <w:color w:val="1C3A36"/>
                <w:sz w:val="16"/>
              </w:rPr>
              <w:t>6,982</w:t>
            </w:r>
          </w:p>
        </w:tc>
        <w:tc>
          <w:tcPr>
            <w:tcW w:type="dxa" w:w="1555"/>
            <w:shd w:val="clear" w:color="auto" w:fill="F6F1E6"/>
          </w:tcPr>
          <w:p>
            <w:pPr>
              <w:spacing w:after="20"/>
              <w:jc w:val="right"/>
            </w:pPr>
            <w:r>
              <w:rPr>
                <w:b/>
                <w:color w:val="1C3A36"/>
                <w:sz w:val="16"/>
              </w:rPr>
              <w:t>2,499</w:t>
            </w:r>
          </w:p>
        </w:tc>
        <w:tc>
          <w:tcPr>
            <w:tcW w:type="dxa" w:w="1555"/>
            <w:shd w:val="clear" w:color="auto" w:fill="F6F1E6"/>
          </w:tcPr>
          <w:p>
            <w:pPr>
              <w:spacing w:after="20"/>
              <w:jc w:val="right"/>
            </w:pPr>
            <w:r>
              <w:rPr>
                <w:b/>
                <w:color w:val="1C3A36"/>
                <w:sz w:val="16"/>
              </w:rPr>
              <w:t>2,716</w:t>
            </w:r>
          </w:p>
        </w:tc>
        <w:tc>
          <w:tcPr>
            <w:tcW w:type="dxa" w:w="1555"/>
            <w:shd w:val="clear" w:color="auto" w:fill="F6F1E6"/>
          </w:tcPr>
          <w:p>
            <w:pPr>
              <w:spacing w:after="20"/>
              <w:jc w:val="right"/>
            </w:pPr>
            <w:r>
              <w:rPr>
                <w:b/>
                <w:color w:val="1C3A36"/>
                <w:sz w:val="16"/>
              </w:rPr>
              <w:t>+9%</w:t>
            </w:r>
          </w:p>
        </w:tc>
      </w:tr>
      <w:tr>
        <w:trPr>
          <w:cantSplit/>
        </w:trPr>
        <w:tc>
          <w:tcPr>
            <w:tcW w:type="dxa" w:w="2304"/>
            <w:shd w:val="clear" w:color="auto" w:fill="F6F1E6"/>
          </w:tcPr>
          <w:p>
            <w:pPr>
              <w:spacing w:after="20"/>
            </w:pPr>
            <w:r>
              <w:rPr>
                <w:b/>
                <w:color w:val="1C3A36"/>
                <w:sz w:val="16"/>
              </w:rPr>
              <w:t>Group, measured against the three units instead</w:t>
            </w:r>
          </w:p>
        </w:tc>
        <w:tc>
          <w:tcPr>
            <w:tcW w:type="dxa" w:w="1555"/>
            <w:shd w:val="clear" w:color="auto" w:fill="F6F1E6"/>
          </w:tcPr>
          <w:p>
            <w:pPr>
              <w:spacing w:after="20"/>
              <w:jc w:val="right"/>
            </w:pPr>
            <w:r>
              <w:rPr>
                <w:b/>
                <w:color w:val="1C3A36"/>
                <w:sz w:val="16"/>
              </w:rPr>
              <w:t>6,208</w:t>
            </w:r>
          </w:p>
        </w:tc>
        <w:tc>
          <w:tcPr>
            <w:tcW w:type="dxa" w:w="1555"/>
            <w:shd w:val="clear" w:color="auto" w:fill="F6F1E6"/>
          </w:tcPr>
          <w:p>
            <w:pPr>
              <w:spacing w:after="20"/>
              <w:jc w:val="right"/>
            </w:pPr>
            <w:r>
              <w:rPr>
                <w:b/>
                <w:color w:val="1C3A36"/>
                <w:sz w:val="16"/>
              </w:rPr>
              <w:t>6,982</w:t>
            </w:r>
          </w:p>
        </w:tc>
        <w:tc>
          <w:tcPr>
            <w:tcW w:type="dxa" w:w="1555"/>
            <w:shd w:val="clear" w:color="auto" w:fill="F6F1E6"/>
          </w:tcPr>
          <w:p>
            <w:pPr>
              <w:spacing w:after="20"/>
              <w:jc w:val="right"/>
            </w:pPr>
            <w:r>
              <w:rPr>
                <w:b/>
                <w:color w:val="1C3A36"/>
                <w:sz w:val="16"/>
              </w:rPr>
              <w:t>2,488</w:t>
            </w:r>
          </w:p>
        </w:tc>
        <w:tc>
          <w:tcPr>
            <w:tcW w:type="dxa" w:w="1555"/>
            <w:shd w:val="clear" w:color="auto" w:fill="F6F1E6"/>
          </w:tcPr>
          <w:p>
            <w:pPr>
              <w:spacing w:after="20"/>
              <w:jc w:val="right"/>
            </w:pPr>
            <w:r>
              <w:rPr>
                <w:b/>
                <w:color w:val="1C3A36"/>
                <w:sz w:val="16"/>
              </w:rPr>
              <w:t>2,716</w:t>
            </w:r>
          </w:p>
        </w:tc>
        <w:tc>
          <w:tcPr>
            <w:tcW w:type="dxa" w:w="1555"/>
            <w:shd w:val="clear" w:color="auto" w:fill="F6F1E6"/>
          </w:tcPr>
          <w:p>
            <w:pPr>
              <w:spacing w:after="20"/>
              <w:jc w:val="right"/>
            </w:pPr>
            <w:r>
              <w:rPr>
                <w:b/>
                <w:color w:val="1C3A36"/>
                <w:sz w:val="16"/>
              </w:rPr>
              <w:t>+9%</w:t>
            </w:r>
          </w:p>
        </w:tc>
      </w:tr>
    </w:tbl>
    <w:p>
      <w:pPr>
        <w:spacing w:after="40"/>
      </w:pPr>
    </w:p>
    <w:p>
      <w:pPr>
        <w:spacing w:after="200" w:before="0"/>
      </w:pPr>
      <w:r>
        <w:rPr>
          <w:b w:val="0"/>
          <w:i/>
          <w:color w:val="6E7B77"/>
          <w:sz w:val="17"/>
        </w:rPr>
        <w:t>Revenue and earnings in USD million; guided figures are the converted ones from the table above. The last row exists because the group guidance and the unit guidance do not agree with each other, so the gap this build carries depends on which of the two it is measured against: +9% against the group band, +9% against the sum of the unit bands. Both are published. The built figures are the output of the unit model in this section.</w:t>
      </w:r>
    </w:p>
    <w:p>
      <w:pPr>
        <w:spacing w:after="120" w:before="0"/>
      </w:pPr>
      <w:r>
        <w:rPr>
          <w:b w:val="0"/>
          <w:i w:val="0"/>
          <w:color w:val="1C3A36"/>
          <w:sz w:val="21"/>
        </w:rPr>
        <w:t>The group gap is +9%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+9% is carried openly through every lens in this study. Note also that the gap runs the other way in Integrated Logistics on revenue, where the build is above guidance on both lines, and is largest in Shipping at +13%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 Getting to that question, though, requires first getting the current rate right, and the published figure is not it.</w:t>
      </w:r>
    </w:p>
    <w:p>
      <w:pPr>
        <w:keepNext/>
        <w:spacing w:after="80" w:before="200"/>
      </w:pPr>
      <w:r>
        <w:rPr>
          <w:b/>
          <w:i w:val="0"/>
          <w:color w:val="1C3A36"/>
          <w:sz w:val="24"/>
        </w:rPr>
        <w:t>The published rate is a blend, and the company says so</w:t>
      </w:r>
    </w:p>
    <w:p>
      <w:pPr>
        <w:spacing w:after="120" w:before="0"/>
      </w:pPr>
      <w:r>
        <w:rPr>
          <w:b w:val="0"/>
          <w:i w:val="0"/>
          <w:color w:val="1C3A36"/>
          <w:sz w:val="21"/>
        </w:rPr>
        <w:t>The company publishes one rate per vessel class per quarter. That figure averages the vessels trading in the open market with the vessels already committed on charters out at rates fixed months or years earlier, so it is lower than what a free vessel earns and lower by an amount that depends on how many of the class are committed. Asked directly about the largest class on the first-quarter call, the chief financial officer put it plainly:</w:t>
      </w:r>
    </w:p>
    <w:p>
      <w:pPr>
        <w:spacing w:after="120" w:before="0"/>
      </w:pPr>
      <w:r>
        <w:rPr>
          <w:b w:val="0"/>
          <w:i/>
          <w:color w:val="1C3A36"/>
          <w:sz w:val="18"/>
        </w:rPr>
        <w:t>“… was related to our full fleet of 8, and it includes all the vessels on long-term charter as well … it's a blended rate that we give there, which is obviously less than the spot rate.”</w:t>
      </w:r>
    </w:p>
    <w:p>
      <w:pPr>
        <w:spacing w:after="120" w:before="0"/>
      </w:pPr>
      <w:r>
        <w:rPr>
          <w:b w:val="0"/>
          <w:i w:val="0"/>
          <w:color w:val="1C3A36"/>
          <w:sz w:val="21"/>
        </w:rPr>
        <w:t>An earlier edition of this study read that published figure as the open-market rate and then added the chartered vessels to the model separately at their own, lower, disclosed rates. That charges the drag of the charters twice — once inside the published average and once again beside it — and it understates the fleet. The build is now the other way round. Every one of the 12 vessels chartered out is carried individually, at its own published rate, for exactly the days its own contract runs. The open-market rate is then not assumed at all: it is solved out of the company's own published average by taking the charters back out of it — the class average multiplied by the class's vessel-days, less what the committed vessels earned, divided by the days the uncommitted vessels had. Nothing about the market rate is a judgement; it is arithmetic on the company's own disclosure.</w:t>
      </w:r>
    </w:p>
    <w:p>
      <w:pPr>
        <w:keepNext/>
        <w:spacing w:after="80" w:before="200"/>
      </w:pPr>
      <w:r>
        <w:rPr>
          <w:b/>
          <w:i w:val="0"/>
          <w:color w:val="1C3A36"/>
          <w:sz w:val="24"/>
        </w:rPr>
        <w:t>The twelve vessels chartered out, exactly as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390"/>
        <w:gridCol w:w="1901"/>
        <w:gridCol w:w="1584"/>
        <w:gridCol w:w="1872"/>
      </w:tblGrid>
      <w:tr>
        <w:trPr>
          <w:cantSplit/>
          <w:tblHeader/>
        </w:trPr>
        <w:tc>
          <w:tcPr>
            <w:tcW w:type="dxa" w:w="2333"/>
            <w:shd w:val="clear" w:color="auto" w:fill="EAF0EE"/>
          </w:tcPr>
          <w:p>
            <w:pPr>
              <w:spacing w:after="20"/>
              <w:jc w:val="left"/>
            </w:pPr>
            <w:r>
              <w:rPr>
                <w:b/>
                <w:color w:val="1C3A36"/>
                <w:sz w:val="16"/>
              </w:rPr>
              <w:t>Vessel</w:t>
            </w:r>
          </w:p>
        </w:tc>
        <w:tc>
          <w:tcPr>
            <w:tcW w:type="dxa" w:w="2390"/>
            <w:shd w:val="clear" w:color="auto" w:fill="EAF0EE"/>
          </w:tcPr>
          <w:p>
            <w:pPr>
              <w:spacing w:after="20"/>
              <w:jc w:val="left"/>
            </w:pPr>
            <w:r>
              <w:rPr>
                <w:b/>
                <w:color w:val="1C3A36"/>
                <w:sz w:val="16"/>
              </w:rPr>
              <w:t>Class</w:t>
            </w:r>
          </w:p>
        </w:tc>
        <w:tc>
          <w:tcPr>
            <w:tcW w:type="dxa" w:w="1901"/>
            <w:shd w:val="clear" w:color="auto" w:fill="EAF0EE"/>
          </w:tcPr>
          <w:p>
            <w:pPr>
              <w:spacing w:after="20"/>
            </w:pPr>
            <w:r>
              <w:rPr>
                <w:b/>
                <w:color w:val="1C3A36"/>
                <w:sz w:val="16"/>
              </w:rPr>
              <w:t>Fixed rate (USD/day)</w:t>
            </w:r>
          </w:p>
        </w:tc>
        <w:tc>
          <w:tcPr>
            <w:tcW w:type="dxa" w:w="1584"/>
            <w:shd w:val="clear" w:color="auto" w:fill="EAF0EE"/>
          </w:tcPr>
          <w:p>
            <w:pPr>
              <w:spacing w:after="20"/>
            </w:pPr>
            <w:r>
              <w:rPr>
                <w:b/>
                <w:color w:val="1C3A36"/>
                <w:sz w:val="16"/>
              </w:rPr>
              <w:t>Period</w:t>
            </w:r>
          </w:p>
        </w:tc>
        <w:tc>
          <w:tcPr>
            <w:tcW w:type="dxa" w:w="1872"/>
            <w:shd w:val="clear" w:color="auto" w:fill="EAF0EE"/>
          </w:tcPr>
          <w:p>
            <w:pPr>
              <w:spacing w:after="20"/>
            </w:pPr>
            <w:r>
              <w:rPr>
                <w:b/>
                <w:color w:val="1C3A36"/>
                <w:sz w:val="16"/>
              </w:rPr>
              <w:t>Runs to</w:t>
            </w:r>
          </w:p>
        </w:tc>
      </w:tr>
      <w:tr>
        <w:trPr>
          <w:cantSplit/>
        </w:trPr>
        <w:tc>
          <w:tcPr>
            <w:tcW w:type="dxa" w:w="2333"/>
          </w:tcPr>
          <w:p>
            <w:pPr>
              <w:spacing w:after="20"/>
              <w:jc w:val="left"/>
            </w:pPr>
            <w:r>
              <w:rPr>
                <w:color w:val="1C3A36"/>
                <w:sz w:val="16"/>
              </w:rPr>
              <w:t>Navig8 Macallister</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18 months</w:t>
            </w:r>
          </w:p>
        </w:tc>
        <w:tc>
          <w:tcPr>
            <w:tcW w:type="dxa" w:w="1872"/>
          </w:tcPr>
          <w:p>
            <w:pPr>
              <w:spacing w:after="20"/>
              <w:jc w:val="right"/>
            </w:pPr>
            <w:r>
              <w:rPr>
                <w:color w:val="1C3A36"/>
                <w:sz w:val="16"/>
              </w:rPr>
              <w:t>28 Mar 2027</w:t>
            </w:r>
          </w:p>
        </w:tc>
      </w:tr>
      <w:tr>
        <w:trPr>
          <w:cantSplit/>
        </w:trPr>
        <w:tc>
          <w:tcPr>
            <w:tcW w:type="dxa" w:w="2333"/>
          </w:tcPr>
          <w:p>
            <w:pPr>
              <w:spacing w:after="20"/>
              <w:jc w:val="left"/>
            </w:pPr>
            <w:r>
              <w:rPr>
                <w:color w:val="1C3A36"/>
                <w:sz w:val="16"/>
              </w:rPr>
              <w:t>Navig8 Martinez</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32 months</w:t>
            </w:r>
          </w:p>
        </w:tc>
        <w:tc>
          <w:tcPr>
            <w:tcW w:type="dxa" w:w="1872"/>
          </w:tcPr>
          <w:p>
            <w:pPr>
              <w:spacing w:after="20"/>
              <w:jc w:val="right"/>
            </w:pPr>
            <w:r>
              <w:rPr>
                <w:color w:val="1C3A36"/>
                <w:sz w:val="16"/>
              </w:rPr>
              <w:t>28 Jul 2028</w:t>
            </w:r>
          </w:p>
        </w:tc>
      </w:tr>
      <w:tr>
        <w:trPr>
          <w:cantSplit/>
        </w:trPr>
        <w:tc>
          <w:tcPr>
            <w:tcW w:type="dxa" w:w="2333"/>
          </w:tcPr>
          <w:p>
            <w:pPr>
              <w:spacing w:after="20"/>
              <w:jc w:val="left"/>
            </w:pPr>
            <w:r>
              <w:rPr>
                <w:color w:val="1C3A36"/>
                <w:sz w:val="16"/>
              </w:rPr>
              <w:t>Navig8 Prosperity</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30,561</w:t>
            </w:r>
          </w:p>
        </w:tc>
        <w:tc>
          <w:tcPr>
            <w:tcW w:type="dxa" w:w="1584"/>
          </w:tcPr>
          <w:p>
            <w:pPr>
              <w:spacing w:after="20"/>
              <w:jc w:val="right"/>
            </w:pPr>
            <w:r>
              <w:rPr>
                <w:color w:val="1C3A36"/>
                <w:sz w:val="16"/>
              </w:rPr>
              <w:t>36 months</w:t>
            </w:r>
          </w:p>
        </w:tc>
        <w:tc>
          <w:tcPr>
            <w:tcW w:type="dxa" w:w="1872"/>
          </w:tcPr>
          <w:p>
            <w:pPr>
              <w:spacing w:after="20"/>
              <w:jc w:val="right"/>
            </w:pPr>
            <w:r>
              <w:rPr>
                <w:color w:val="1C3A36"/>
                <w:sz w:val="16"/>
              </w:rPr>
              <w:t>4 May 2026</w:t>
            </w:r>
          </w:p>
        </w:tc>
      </w:tr>
      <w:tr>
        <w:trPr>
          <w:cantSplit/>
        </w:trPr>
        <w:tc>
          <w:tcPr>
            <w:tcW w:type="dxa" w:w="2333"/>
          </w:tcPr>
          <w:p>
            <w:pPr>
              <w:spacing w:after="20"/>
              <w:jc w:val="left"/>
            </w:pPr>
            <w:r>
              <w:rPr>
                <w:color w:val="1C3A36"/>
                <w:sz w:val="16"/>
              </w:rPr>
              <w:t>Navig8 Promise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27 Aug 2026</w:t>
            </w:r>
          </w:p>
        </w:tc>
      </w:tr>
      <w:tr>
        <w:trPr>
          <w:cantSplit/>
        </w:trPr>
        <w:tc>
          <w:tcPr>
            <w:tcW w:type="dxa" w:w="2333"/>
          </w:tcPr>
          <w:p>
            <w:pPr>
              <w:spacing w:after="20"/>
              <w:jc w:val="left"/>
            </w:pPr>
            <w:r>
              <w:rPr>
                <w:color w:val="1C3A36"/>
                <w:sz w:val="16"/>
              </w:rPr>
              <w:t>Navig8 Pride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7 Oct 2026</w:t>
            </w:r>
          </w:p>
        </w:tc>
      </w:tr>
      <w:tr>
        <w:trPr>
          <w:cantSplit/>
        </w:trPr>
        <w:tc>
          <w:tcPr>
            <w:tcW w:type="dxa" w:w="2333"/>
          </w:tcPr>
          <w:p>
            <w:pPr>
              <w:spacing w:after="20"/>
              <w:jc w:val="left"/>
            </w:pPr>
            <w:r>
              <w:rPr>
                <w:color w:val="1C3A36"/>
                <w:sz w:val="16"/>
              </w:rPr>
              <w:t>Navig8 Prestige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36,850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7 Dec 2026</w:t>
            </w:r>
          </w:p>
        </w:tc>
      </w:tr>
      <w:tr>
        <w:trPr>
          <w:cantSplit/>
        </w:trPr>
        <w:tc>
          <w:tcPr>
            <w:tcW w:type="dxa" w:w="2333"/>
          </w:tcPr>
          <w:p>
            <w:pPr>
              <w:spacing w:after="20"/>
              <w:jc w:val="left"/>
            </w:pPr>
            <w:r>
              <w:rPr>
                <w:color w:val="1C3A36"/>
                <w:sz w:val="16"/>
              </w:rPr>
              <w:t>Navig8 Providence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18 Apr 2027</w:t>
            </w:r>
          </w:p>
        </w:tc>
      </w:tr>
      <w:tr>
        <w:trPr>
          <w:cantSplit/>
        </w:trPr>
        <w:tc>
          <w:tcPr>
            <w:tcW w:type="dxa" w:w="2333"/>
          </w:tcPr>
          <w:p>
            <w:pPr>
              <w:spacing w:after="20"/>
              <w:jc w:val="left"/>
            </w:pPr>
            <w:r>
              <w:rPr>
                <w:color w:val="1C3A36"/>
                <w:sz w:val="16"/>
              </w:rPr>
              <w:t>Navig8 Passion</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20 Jun 2027</w:t>
            </w:r>
          </w:p>
        </w:tc>
      </w:tr>
      <w:tr>
        <w:trPr>
          <w:cantSplit/>
        </w:trPr>
        <w:tc>
          <w:tcPr>
            <w:tcW w:type="dxa" w:w="2333"/>
          </w:tcPr>
          <w:p>
            <w:pPr>
              <w:spacing w:after="20"/>
              <w:jc w:val="left"/>
            </w:pPr>
            <w:r>
              <w:rPr>
                <w:color w:val="1C3A36"/>
                <w:sz w:val="16"/>
              </w:rPr>
              <w:t>Zakum</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 Jan 2028</w:t>
            </w:r>
          </w:p>
        </w:tc>
      </w:tr>
      <w:tr>
        <w:trPr>
          <w:cantSplit/>
        </w:trPr>
        <w:tc>
          <w:tcPr>
            <w:tcW w:type="dxa" w:w="2333"/>
          </w:tcPr>
          <w:p>
            <w:pPr>
              <w:spacing w:after="20"/>
              <w:jc w:val="left"/>
            </w:pPr>
            <w:r>
              <w:rPr>
                <w:color w:val="1C3A36"/>
                <w:sz w:val="16"/>
              </w:rPr>
              <w:t>Hili</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16 Jan 2028</w:t>
            </w:r>
          </w:p>
        </w:tc>
      </w:tr>
      <w:tr>
        <w:trPr>
          <w:cantSplit/>
        </w:trPr>
        <w:tc>
          <w:tcPr>
            <w:tcW w:type="dxa" w:w="2333"/>
          </w:tcPr>
          <w:p>
            <w:pPr>
              <w:spacing w:after="20"/>
              <w:jc w:val="left"/>
            </w:pPr>
            <w:r>
              <w:rPr>
                <w:color w:val="1C3A36"/>
                <w:sz w:val="16"/>
              </w:rPr>
              <w:t>Arzanah</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70,000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20 Apr 2027</w:t>
            </w:r>
          </w:p>
        </w:tc>
      </w:tr>
      <w:tr>
        <w:trPr>
          <w:cantSplit/>
        </w:trPr>
        <w:tc>
          <w:tcPr>
            <w:tcW w:type="dxa" w:w="2333"/>
          </w:tcPr>
          <w:p>
            <w:pPr>
              <w:spacing w:after="20"/>
              <w:jc w:val="left"/>
            </w:pPr>
            <w:r>
              <w:rPr>
                <w:color w:val="1C3A36"/>
                <w:sz w:val="16"/>
              </w:rPr>
              <w:t>Habshan</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72,500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21 May 2027</w:t>
            </w:r>
          </w:p>
        </w:tc>
      </w:tr>
      <w:tr>
        <w:trPr>
          <w:cantSplit/>
        </w:trPr>
        <w:tc>
          <w:tcPr>
            <w:tcW w:type="dxa" w:w="2333"/>
            <w:shd w:val="clear" w:color="auto" w:fill="F6F1E6"/>
          </w:tcPr>
          <w:p>
            <w:pPr>
              <w:spacing w:after="20"/>
              <w:jc w:val="left"/>
            </w:pPr>
            <w:r>
              <w:rPr>
                <w:b/>
                <w:color w:val="1C3A36"/>
                <w:sz w:val="16"/>
              </w:rPr>
              <w:t>12 vessels</w:t>
            </w:r>
          </w:p>
        </w:tc>
        <w:tc>
          <w:tcPr>
            <w:tcW w:type="dxa" w:w="2390"/>
            <w:shd w:val="clear" w:color="auto" w:fill="F6F1E6"/>
          </w:tcPr>
          <w:p>
            <w:pPr>
              <w:spacing w:after="20"/>
              <w:jc w:val="left"/>
            </w:pPr>
            <w:r>
              <w:rPr>
                <w:b/>
                <w:color w:val="1C3A36"/>
                <w:sz w:val="16"/>
              </w:rPr>
            </w:r>
          </w:p>
        </w:tc>
        <w:tc>
          <w:tcPr>
            <w:tcW w:type="dxa" w:w="1901"/>
            <w:shd w:val="clear" w:color="auto" w:fill="F6F1E6"/>
          </w:tcPr>
          <w:p>
            <w:pPr>
              <w:spacing w:after="20"/>
              <w:jc w:val="right"/>
            </w:pPr>
            <w:r>
              <w:rPr>
                <w:b/>
                <w:color w:val="1C3A36"/>
                <w:sz w:val="16"/>
              </w:rPr>
              <w:t>19,750 – 72,500</w:t>
            </w:r>
          </w:p>
        </w:tc>
        <w:tc>
          <w:tcPr>
            <w:tcW w:type="dxa" w:w="1584"/>
            <w:shd w:val="clear" w:color="auto" w:fill="F6F1E6"/>
          </w:tcPr>
          <w:p>
            <w:pPr>
              <w:spacing w:after="20"/>
              <w:jc w:val="right"/>
            </w:pPr>
            <w:r>
              <w:rPr>
                <w:b/>
                <w:color w:val="1C3A36"/>
                <w:sz w:val="16"/>
              </w:rPr>
            </w:r>
          </w:p>
        </w:tc>
        <w:tc>
          <w:tcPr>
            <w:tcW w:type="dxa" w:w="1872"/>
            <w:shd w:val="clear" w:color="auto" w:fill="F6F1E6"/>
          </w:tcPr>
          <w:p>
            <w:pPr>
              <w:spacing w:after="20"/>
              <w:jc w:val="right"/>
            </w:pPr>
            <w:r>
              <w:rPr>
                <w:b/>
                <w:color w:val="1C3A36"/>
                <w:sz w:val="16"/>
              </w:rPr>
              <w:t>last expiry 28 Jul 2028</w:t>
            </w:r>
          </w:p>
        </w:tc>
      </w:tr>
    </w:tbl>
    <w:p>
      <w:pPr>
        <w:spacing w:after="40"/>
      </w:pPr>
    </w:p>
    <w:p>
      <w:pPr>
        <w:spacing w:after="200" w:before="0"/>
      </w:pPr>
      <w:r>
        <w:rPr>
          <w:b w:val="0"/>
          <w:i/>
          <w:color w:val="6E7B77"/>
          <w:sz w:val="17"/>
        </w:rPr>
        <w:t>Every field is disclosed in the company's own contract table; the start date is the stated expiry less the stated period, so no date is invented. At the valuation date of 2026-03-31, 8 of these were running, leaving 44 of the 52 owned tankers free to earn the open-market rate. The spread inside the table is the point: the two long-range-one vessels are fixed at USD 19,750 a day while the open-market rate for their class in the first quarter was USD 40,643, and the four largest vessels are fixed between USD 50,633 and USD 72,500 against an open-market rate of USD 151,440. A vessel on charter out cannot earn the market, and the model no longer pretends the fleet average is what a free vessel earns.</w:t>
      </w:r>
    </w:p>
    <w:p>
      <w:pPr>
        <w:spacing w:after="40"/>
        <w:jc w:val="center"/>
      </w:pPr>
      <w:r>
        <w:drawing>
          <wp:inline xmlns:a="http://schemas.openxmlformats.org/drawingml/2006/main" xmlns:pic="http://schemas.openxmlformats.org/drawingml/2006/picture">
            <wp:extent cx="6400800" cy="2863516"/>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2863516"/>
                    </a:xfrm>
                    <a:prstGeom prst="rect"/>
                  </pic:spPr>
                </pic:pic>
              </a:graphicData>
            </a:graphic>
          </wp:inline>
        </w:drawing>
      </w:r>
    </w:p>
    <w:p>
      <w:pPr>
        <w:spacing w:after="200" w:before="0"/>
      </w:pPr>
      <w:r>
        <w:rPr>
          <w:b w:val="0"/>
          <w:i/>
          <w:color w:val="6E7B77"/>
          <w:sz w:val="17"/>
        </w:rPr>
        <w:t>Figure 3 — the crux made visible, on both measures. Left: the rate the company publishes for each class each quarter, which is a blend across the whole class, on a logarithmic scale; the last two points are the first quarter of 2026 as reported and the second quarter as indicated. The open markers on the dashed line are the rate those same quarters imply for a very large crude carrier that is NOT on charter out — USD 151,440 against a published USD 145,000 in the first quarter. The dotted lines are the mid-cycle rates this study's base case reverts to; the dash-dotted line is an independent one-year charter fixed by a listed owner in early 2026. Right: the first quarter of 2026 for every class, published beside implied. The difference between the two bars is the charters inside the published figure, which is why it is zero for the medium-range class, where no vessel is chartered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26"/>
        <w:gridCol w:w="806"/>
        <w:gridCol w:w="1037"/>
        <w:gridCol w:w="950"/>
        <w:gridCol w:w="1094"/>
        <w:gridCol w:w="1037"/>
        <w:gridCol w:w="1210"/>
        <w:gridCol w:w="1210"/>
        <w:gridCol w:w="1210"/>
      </w:tblGrid>
      <w:tr>
        <w:trPr>
          <w:cantSplit/>
          <w:tblHeader/>
        </w:trPr>
        <w:tc>
          <w:tcPr>
            <w:tcW w:type="dxa" w:w="1526"/>
            <w:shd w:val="clear" w:color="auto" w:fill="EAF0EE"/>
          </w:tcPr>
          <w:p>
            <w:pPr>
              <w:spacing w:after="20"/>
            </w:pPr>
            <w:r>
              <w:rPr>
                <w:b/>
                <w:color w:val="1C3A36"/>
                <w:sz w:val="15"/>
              </w:rPr>
              <w:t>Class</w:t>
            </w:r>
          </w:p>
        </w:tc>
        <w:tc>
          <w:tcPr>
            <w:tcW w:type="dxa" w:w="806"/>
            <w:shd w:val="clear" w:color="auto" w:fill="EAF0EE"/>
          </w:tcPr>
          <w:p>
            <w:pPr>
              <w:spacing w:after="20"/>
            </w:pPr>
            <w:r>
              <w:rPr>
                <w:b/>
                <w:color w:val="1C3A36"/>
                <w:sz w:val="15"/>
              </w:rPr>
              <w:t>Owned</w:t>
            </w:r>
          </w:p>
        </w:tc>
        <w:tc>
          <w:tcPr>
            <w:tcW w:type="dxa" w:w="1037"/>
            <w:shd w:val="clear" w:color="auto" w:fill="EAF0EE"/>
          </w:tcPr>
          <w:p>
            <w:pPr>
              <w:spacing w:after="20"/>
            </w:pPr>
            <w:r>
              <w:rPr>
                <w:b/>
                <w:color w:val="1C3A36"/>
                <w:sz w:val="15"/>
              </w:rPr>
              <w:t>On charter out</w:t>
            </w:r>
          </w:p>
        </w:tc>
        <w:tc>
          <w:tcPr>
            <w:tcW w:type="dxa" w:w="950"/>
            <w:shd w:val="clear" w:color="auto" w:fill="EAF0EE"/>
          </w:tcPr>
          <w:p>
            <w:pPr>
              <w:spacing w:after="20"/>
            </w:pPr>
            <w:r>
              <w:rPr>
                <w:b/>
                <w:color w:val="1C3A36"/>
                <w:sz w:val="15"/>
              </w:rPr>
              <w:t>FY2024</w:t>
            </w:r>
          </w:p>
        </w:tc>
        <w:tc>
          <w:tcPr>
            <w:tcW w:type="dxa" w:w="1094"/>
            <w:shd w:val="clear" w:color="auto" w:fill="EAF0EE"/>
          </w:tcPr>
          <w:p>
            <w:pPr>
              <w:spacing w:after="20"/>
            </w:pPr>
            <w:r>
              <w:rPr>
                <w:b/>
                <w:color w:val="1C3A36"/>
                <w:sz w:val="15"/>
              </w:rPr>
              <w:t>FY2025 published</w:t>
            </w:r>
          </w:p>
        </w:tc>
        <w:tc>
          <w:tcPr>
            <w:tcW w:type="dxa" w:w="1037"/>
            <w:shd w:val="clear" w:color="auto" w:fill="EAF0EE"/>
          </w:tcPr>
          <w:p>
            <w:pPr>
              <w:spacing w:after="20"/>
            </w:pPr>
            <w:r>
              <w:rPr>
                <w:b/>
                <w:color w:val="1C3A36"/>
                <w:sz w:val="15"/>
              </w:rPr>
              <w:t>FY2025 implied</w:t>
            </w:r>
          </w:p>
        </w:tc>
        <w:tc>
          <w:tcPr>
            <w:tcW w:type="dxa" w:w="1210"/>
            <w:shd w:val="clear" w:color="auto" w:fill="EAF0EE"/>
          </w:tcPr>
          <w:p>
            <w:pPr>
              <w:spacing w:after="20"/>
            </w:pPr>
            <w:r>
              <w:rPr>
                <w:b/>
                <w:color w:val="1C3A36"/>
                <w:sz w:val="15"/>
              </w:rPr>
              <w:t>2026 Q1 published</w:t>
            </w:r>
          </w:p>
        </w:tc>
        <w:tc>
          <w:tcPr>
            <w:tcW w:type="dxa" w:w="1210"/>
            <w:shd w:val="clear" w:color="auto" w:fill="EAF0EE"/>
          </w:tcPr>
          <w:p>
            <w:pPr>
              <w:spacing w:after="20"/>
            </w:pPr>
            <w:r>
              <w:rPr>
                <w:b/>
                <w:color w:val="1C3A36"/>
                <w:sz w:val="15"/>
              </w:rPr>
              <w:t>2026 Q1 implied</w:t>
            </w:r>
          </w:p>
        </w:tc>
        <w:tc>
          <w:tcPr>
            <w:tcW w:type="dxa" w:w="1210"/>
            <w:shd w:val="clear" w:color="auto" w:fill="EAF0EE"/>
          </w:tcPr>
          <w:p>
            <w:pPr>
              <w:spacing w:after="20"/>
            </w:pPr>
            <w:r>
              <w:rPr>
                <w:b/>
                <w:color w:val="1C3A36"/>
                <w:sz w:val="15"/>
              </w:rPr>
              <w:t>Mid-cycle anchor</w:t>
            </w:r>
          </w:p>
        </w:tc>
      </w:tr>
      <w:tr>
        <w:trPr>
          <w:cantSplit/>
        </w:trPr>
        <w:tc>
          <w:tcPr>
            <w:tcW w:type="dxa" w:w="1526"/>
          </w:tcPr>
          <w:p>
            <w:pPr>
              <w:spacing w:after="20"/>
            </w:pPr>
            <w:r>
              <w:rPr>
                <w:color w:val="1C3A36"/>
                <w:sz w:val="15"/>
              </w:rPr>
              <w:t>Very large crude carriers</w:t>
            </w:r>
          </w:p>
        </w:tc>
        <w:tc>
          <w:tcPr>
            <w:tcW w:type="dxa" w:w="806"/>
          </w:tcPr>
          <w:p>
            <w:pPr>
              <w:spacing w:after="20"/>
              <w:jc w:val="right"/>
            </w:pPr>
            <w:r>
              <w:rPr>
                <w:color w:val="1C3A36"/>
                <w:sz w:val="15"/>
              </w:rPr>
              <w:t>8</w:t>
            </w:r>
          </w:p>
        </w:tc>
        <w:tc>
          <w:tcPr>
            <w:tcW w:type="dxa" w:w="1037"/>
          </w:tcPr>
          <w:p>
            <w:pPr>
              <w:spacing w:after="20"/>
              <w:jc w:val="right"/>
            </w:pPr>
            <w:r>
              <w:rPr>
                <w:color w:val="1C3A36"/>
                <w:sz w:val="15"/>
              </w:rPr>
              <w:t>2</w:t>
            </w:r>
          </w:p>
        </w:tc>
        <w:tc>
          <w:tcPr>
            <w:tcW w:type="dxa" w:w="950"/>
          </w:tcPr>
          <w:p>
            <w:pPr>
              <w:spacing w:after="20"/>
              <w:jc w:val="right"/>
            </w:pPr>
            <w:r>
              <w:rPr>
                <w:color w:val="1C3A36"/>
                <w:sz w:val="15"/>
              </w:rPr>
              <w:t>43,381</w:t>
            </w:r>
          </w:p>
        </w:tc>
        <w:tc>
          <w:tcPr>
            <w:tcW w:type="dxa" w:w="1094"/>
          </w:tcPr>
          <w:p>
            <w:pPr>
              <w:spacing w:after="20"/>
              <w:jc w:val="right"/>
            </w:pPr>
            <w:r>
              <w:rPr>
                <w:color w:val="1C3A36"/>
                <w:sz w:val="15"/>
              </w:rPr>
              <w:t>52,466</w:t>
            </w:r>
          </w:p>
        </w:tc>
        <w:tc>
          <w:tcPr>
            <w:tcW w:type="dxa" w:w="1037"/>
          </w:tcPr>
          <w:p>
            <w:pPr>
              <w:spacing w:after="20"/>
              <w:jc w:val="right"/>
            </w:pPr>
            <w:r>
              <w:rPr>
                <w:color w:val="1C3A36"/>
                <w:sz w:val="15"/>
              </w:rPr>
              <w:t>52,466</w:t>
            </w:r>
          </w:p>
        </w:tc>
        <w:tc>
          <w:tcPr>
            <w:tcW w:type="dxa" w:w="1210"/>
          </w:tcPr>
          <w:p>
            <w:pPr>
              <w:spacing w:after="20"/>
              <w:jc w:val="right"/>
            </w:pPr>
            <w:r>
              <w:rPr>
                <w:color w:val="1C3A36"/>
                <w:sz w:val="15"/>
              </w:rPr>
              <w:t>145,000</w:t>
            </w:r>
          </w:p>
        </w:tc>
        <w:tc>
          <w:tcPr>
            <w:tcW w:type="dxa" w:w="1210"/>
          </w:tcPr>
          <w:p>
            <w:pPr>
              <w:spacing w:after="20"/>
              <w:jc w:val="right"/>
            </w:pPr>
            <w:r>
              <w:rPr>
                <w:color w:val="1C3A36"/>
                <w:sz w:val="15"/>
              </w:rPr>
              <w:t>151,440</w:t>
            </w:r>
          </w:p>
        </w:tc>
        <w:tc>
          <w:tcPr>
            <w:tcW w:type="dxa" w:w="1210"/>
          </w:tcPr>
          <w:p>
            <w:pPr>
              <w:spacing w:after="20"/>
              <w:jc w:val="right"/>
            </w:pPr>
            <w:r>
              <w:rPr>
                <w:color w:val="1C3A36"/>
                <w:sz w:val="15"/>
              </w:rPr>
              <w:t>47,924</w:t>
            </w:r>
          </w:p>
        </w:tc>
      </w:tr>
      <w:tr>
        <w:trPr>
          <w:cantSplit/>
        </w:trPr>
        <w:tc>
          <w:tcPr>
            <w:tcW w:type="dxa" w:w="1526"/>
          </w:tcPr>
          <w:p>
            <w:pPr>
              <w:spacing w:after="20"/>
            </w:pPr>
            <w:r>
              <w:rPr>
                <w:color w:val="1C3A36"/>
                <w:sz w:val="15"/>
              </w:rPr>
              <w:t>Long range 2</w:t>
            </w:r>
          </w:p>
        </w:tc>
        <w:tc>
          <w:tcPr>
            <w:tcW w:type="dxa" w:w="806"/>
          </w:tcPr>
          <w:p>
            <w:pPr>
              <w:spacing w:after="20"/>
              <w:jc w:val="right"/>
            </w:pPr>
            <w:r>
              <w:rPr>
                <w:color w:val="1C3A36"/>
                <w:sz w:val="15"/>
              </w:rPr>
              <w:t>17</w:t>
            </w:r>
          </w:p>
        </w:tc>
        <w:tc>
          <w:tcPr>
            <w:tcW w:type="dxa" w:w="1037"/>
          </w:tcPr>
          <w:p>
            <w:pPr>
              <w:spacing w:after="20"/>
              <w:jc w:val="right"/>
            </w:pPr>
            <w:r>
              <w:rPr>
                <w:color w:val="1C3A36"/>
                <w:sz w:val="15"/>
              </w:rPr>
              <w:t>4</w:t>
            </w:r>
          </w:p>
        </w:tc>
        <w:tc>
          <w:tcPr>
            <w:tcW w:type="dxa" w:w="950"/>
          </w:tcPr>
          <w:p>
            <w:pPr>
              <w:spacing w:after="20"/>
              <w:jc w:val="right"/>
            </w:pPr>
            <w:r>
              <w:rPr>
                <w:color w:val="1C3A36"/>
                <w:sz w:val="15"/>
              </w:rPr>
              <w:t>48,011</w:t>
            </w:r>
          </w:p>
        </w:tc>
        <w:tc>
          <w:tcPr>
            <w:tcW w:type="dxa" w:w="1094"/>
          </w:tcPr>
          <w:p>
            <w:pPr>
              <w:spacing w:after="20"/>
              <w:jc w:val="right"/>
            </w:pPr>
            <w:r>
              <w:rPr>
                <w:color w:val="1C3A36"/>
                <w:sz w:val="15"/>
              </w:rPr>
              <w:t>35,737</w:t>
            </w:r>
          </w:p>
        </w:tc>
        <w:tc>
          <w:tcPr>
            <w:tcW w:type="dxa" w:w="1037"/>
          </w:tcPr>
          <w:p>
            <w:pPr>
              <w:spacing w:after="20"/>
              <w:jc w:val="right"/>
            </w:pPr>
            <w:r>
              <w:rPr>
                <w:color w:val="1C3A36"/>
                <w:sz w:val="15"/>
              </w:rPr>
              <w:t>36,475</w:t>
            </w:r>
          </w:p>
        </w:tc>
        <w:tc>
          <w:tcPr>
            <w:tcW w:type="dxa" w:w="1210"/>
          </w:tcPr>
          <w:p>
            <w:pPr>
              <w:spacing w:after="20"/>
              <w:jc w:val="right"/>
            </w:pPr>
            <w:r>
              <w:rPr>
                <w:color w:val="1C3A36"/>
                <w:sz w:val="15"/>
              </w:rPr>
              <w:t>58,000</w:t>
            </w:r>
          </w:p>
        </w:tc>
        <w:tc>
          <w:tcPr>
            <w:tcW w:type="dxa" w:w="1210"/>
          </w:tcPr>
          <w:p>
            <w:pPr>
              <w:spacing w:after="20"/>
              <w:jc w:val="right"/>
            </w:pPr>
            <w:r>
              <w:rPr>
                <w:color w:val="1C3A36"/>
                <w:sz w:val="15"/>
              </w:rPr>
              <w:t>65,718</w:t>
            </w:r>
          </w:p>
        </w:tc>
        <w:tc>
          <w:tcPr>
            <w:tcW w:type="dxa" w:w="1210"/>
          </w:tcPr>
          <w:p>
            <w:pPr>
              <w:spacing w:after="20"/>
              <w:jc w:val="right"/>
            </w:pPr>
            <w:r>
              <w:rPr>
                <w:color w:val="1C3A36"/>
                <w:sz w:val="15"/>
              </w:rPr>
              <w:t>42,581</w:t>
            </w:r>
          </w:p>
        </w:tc>
      </w:tr>
      <w:tr>
        <w:trPr>
          <w:cantSplit/>
        </w:trPr>
        <w:tc>
          <w:tcPr>
            <w:tcW w:type="dxa" w:w="1526"/>
          </w:tcPr>
          <w:p>
            <w:pPr>
              <w:spacing w:after="20"/>
            </w:pPr>
            <w:r>
              <w:rPr>
                <w:color w:val="1C3A36"/>
                <w:sz w:val="15"/>
              </w:rPr>
              <w:t>Long range 1</w:t>
            </w:r>
          </w:p>
        </w:tc>
        <w:tc>
          <w:tcPr>
            <w:tcW w:type="dxa" w:w="806"/>
          </w:tcPr>
          <w:p>
            <w:pPr>
              <w:spacing w:after="20"/>
              <w:jc w:val="right"/>
            </w:pPr>
            <w:r>
              <w:rPr>
                <w:color w:val="1C3A36"/>
                <w:sz w:val="15"/>
              </w:rPr>
              <w:t>9</w:t>
            </w:r>
          </w:p>
        </w:tc>
        <w:tc>
          <w:tcPr>
            <w:tcW w:type="dxa" w:w="1037"/>
          </w:tcPr>
          <w:p>
            <w:pPr>
              <w:spacing w:after="20"/>
              <w:jc w:val="right"/>
            </w:pPr>
            <w:r>
              <w:rPr>
                <w:color w:val="1C3A36"/>
                <w:sz w:val="15"/>
              </w:rPr>
              <w:t>2</w:t>
            </w:r>
          </w:p>
        </w:tc>
        <w:tc>
          <w:tcPr>
            <w:tcW w:type="dxa" w:w="950"/>
          </w:tcPr>
          <w:p>
            <w:pPr>
              <w:spacing w:after="20"/>
              <w:jc w:val="right"/>
            </w:pPr>
            <w:r>
              <w:rPr>
                <w:color w:val="1C3A36"/>
                <w:sz w:val="15"/>
              </w:rPr>
              <w:t>40,155</w:t>
            </w:r>
          </w:p>
        </w:tc>
        <w:tc>
          <w:tcPr>
            <w:tcW w:type="dxa" w:w="1094"/>
          </w:tcPr>
          <w:p>
            <w:pPr>
              <w:spacing w:after="20"/>
              <w:jc w:val="right"/>
            </w:pPr>
            <w:r>
              <w:rPr>
                <w:color w:val="1C3A36"/>
                <w:sz w:val="15"/>
              </w:rPr>
              <w:t>24,199</w:t>
            </w:r>
          </w:p>
        </w:tc>
        <w:tc>
          <w:tcPr>
            <w:tcW w:type="dxa" w:w="1037"/>
          </w:tcPr>
          <w:p>
            <w:pPr>
              <w:spacing w:after="20"/>
              <w:jc w:val="right"/>
            </w:pPr>
            <w:r>
              <w:rPr>
                <w:color w:val="1C3A36"/>
                <w:sz w:val="15"/>
              </w:rPr>
              <w:t>24,510</w:t>
            </w:r>
          </w:p>
        </w:tc>
        <w:tc>
          <w:tcPr>
            <w:tcW w:type="dxa" w:w="1210"/>
          </w:tcPr>
          <w:p>
            <w:pPr>
              <w:spacing w:after="20"/>
              <w:jc w:val="right"/>
            </w:pPr>
            <w:r>
              <w:rPr>
                <w:color w:val="1C3A36"/>
                <w:sz w:val="15"/>
              </w:rPr>
              <w:t>36,000</w:t>
            </w:r>
          </w:p>
        </w:tc>
        <w:tc>
          <w:tcPr>
            <w:tcW w:type="dxa" w:w="1210"/>
          </w:tcPr>
          <w:p>
            <w:pPr>
              <w:spacing w:after="20"/>
              <w:jc w:val="right"/>
            </w:pPr>
            <w:r>
              <w:rPr>
                <w:color w:val="1C3A36"/>
                <w:sz w:val="15"/>
              </w:rPr>
              <w:t>40,643</w:t>
            </w:r>
          </w:p>
        </w:tc>
        <w:tc>
          <w:tcPr>
            <w:tcW w:type="dxa" w:w="1210"/>
          </w:tcPr>
          <w:p>
            <w:pPr>
              <w:spacing w:after="20"/>
              <w:jc w:val="right"/>
            </w:pPr>
            <w:r>
              <w:rPr>
                <w:color w:val="1C3A36"/>
                <w:sz w:val="15"/>
              </w:rPr>
              <w:t>32,177</w:t>
            </w:r>
          </w:p>
        </w:tc>
      </w:tr>
      <w:tr>
        <w:trPr>
          <w:cantSplit/>
        </w:trPr>
        <w:tc>
          <w:tcPr>
            <w:tcW w:type="dxa" w:w="1526"/>
          </w:tcPr>
          <w:p>
            <w:pPr>
              <w:spacing w:after="20"/>
            </w:pPr>
            <w:r>
              <w:rPr>
                <w:color w:val="1C3A36"/>
                <w:sz w:val="15"/>
              </w:rPr>
              <w:t>Medium range</w:t>
            </w:r>
          </w:p>
        </w:tc>
        <w:tc>
          <w:tcPr>
            <w:tcW w:type="dxa" w:w="806"/>
          </w:tcPr>
          <w:p>
            <w:pPr>
              <w:spacing w:after="20"/>
              <w:jc w:val="right"/>
            </w:pPr>
            <w:r>
              <w:rPr>
                <w:color w:val="1C3A36"/>
                <w:sz w:val="15"/>
              </w:rPr>
              <w:t>16</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r>
        <w:trPr>
          <w:cantSplit/>
        </w:trPr>
        <w:tc>
          <w:tcPr>
            <w:tcW w:type="dxa" w:w="1526"/>
          </w:tcPr>
          <w:p>
            <w:pPr>
              <w:spacing w:after="20"/>
            </w:pPr>
            <w:r>
              <w:rPr>
                <w:color w:val="1C3A36"/>
                <w:sz w:val="15"/>
              </w:rPr>
              <w:t>Handysize</w:t>
            </w:r>
          </w:p>
        </w:tc>
        <w:tc>
          <w:tcPr>
            <w:tcW w:type="dxa" w:w="806"/>
          </w:tcPr>
          <w:p>
            <w:pPr>
              <w:spacing w:after="20"/>
              <w:jc w:val="right"/>
            </w:pPr>
            <w:r>
              <w:rPr>
                <w:color w:val="1C3A36"/>
                <w:sz w:val="15"/>
              </w:rPr>
              <w:t>2</w:t>
            </w:r>
          </w:p>
        </w:tc>
        <w:tc>
          <w:tcPr>
            <w:tcW w:type="dxa" w:w="1037"/>
          </w:tcPr>
          <w:p>
            <w:pPr>
              <w:spacing w:after="20"/>
              <w:jc w:val="right"/>
            </w:pPr>
            <w:r>
              <w:rPr>
                <w:color w:val="1C3A36"/>
                <w:sz w:val="15"/>
              </w:rPr>
              <w:t>0</w:t>
            </w:r>
          </w:p>
        </w:tc>
        <w:tc>
          <w:tcPr>
            <w:tcW w:type="dxa" w:w="950"/>
          </w:tcPr>
          <w:p>
            <w:pPr>
              <w:spacing w:after="20"/>
              <w:jc w:val="right"/>
            </w:pPr>
            <w:r>
              <w:rPr>
                <w:color w:val="1C3A36"/>
                <w:sz w:val="15"/>
              </w:rPr>
              <w:t>19,070</w:t>
            </w:r>
          </w:p>
        </w:tc>
        <w:tc>
          <w:tcPr>
            <w:tcW w:type="dxa" w:w="1094"/>
          </w:tcPr>
          <w:p>
            <w:pPr>
              <w:spacing w:after="20"/>
              <w:jc w:val="right"/>
            </w:pPr>
            <w:r>
              <w:rPr>
                <w:color w:val="1C3A36"/>
                <w:sz w:val="15"/>
              </w:rPr>
              <w:t>19,070</w:t>
            </w:r>
          </w:p>
        </w:tc>
        <w:tc>
          <w:tcPr>
            <w:tcW w:type="dxa" w:w="1037"/>
          </w:tcPr>
          <w:p>
            <w:pPr>
              <w:spacing w:after="20"/>
              <w:jc w:val="right"/>
            </w:pPr>
            <w:r>
              <w:rPr>
                <w:color w:val="1C3A36"/>
                <w:sz w:val="15"/>
              </w:rPr>
              <w:t>19,070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19,070</w:t>
            </w:r>
          </w:p>
        </w:tc>
      </w:tr>
    </w:tbl>
    <w:p>
      <w:pPr>
        <w:spacing w:after="40"/>
      </w:pPr>
    </w:p>
    <w:p>
      <w:pPr>
        <w:spacing w:after="200" w:before="0"/>
      </w:pPr>
      <w:r>
        <w:rPr>
          <w:b w:val="0"/>
          <w:i/>
          <w:color w:val="6E7B77"/>
          <w:sz w:val="17"/>
        </w:rPr>
        <w:t>US dollars per vessel per day. “Published” is the company's own class average; “implied” is what a vessel not on charter out must have earned for that average to be true, given the charters the company also publishes. Where a class has no vessel on charter out the two are the same figure, which is the check that the construction is doing only what it claims. The mid-cycle anchor is the implied rate for the average of the FY2024 and FY2025 outcomes, which is what the base case reverts to over four years from 2027E. Counts are at the valuation date and therefore BEFORE the 6 very large crude carriers bought on 7 Aug 2026, which take that class to 14 from their delivery date and are carried in the forecast from it. Two disclosure gaps are handled and flagged. Quarterly rates for the medium-range class are not disclosed for FY2024, so the FY2025 average stands in. And the handysize vessels are not broken out in any rate table at all: an earlier edition carried them at the medium-range rate unadjusted, which was wrong in DIRECTION and not merely in size — the company said on the first-quarter call that handysize rates were softer while medium range was up, so the two smallest classes were moving opposite ways. They are now carried at 0.79× the medium-range rate, the relative move the company itself disclosed. Both classes remain small: together 18 of 52 vessels, none of them on charter out, and the smallest earners.</w:t>
      </w:r>
    </w:p>
    <w:p>
      <w:pPr>
        <w:spacing w:after="120" w:before="0"/>
      </w:pPr>
      <w:r>
        <w:rPr>
          <w:b w:val="0"/>
          <w:i w:val="0"/>
          <w:color w:val="1C3A36"/>
          <w:sz w:val="21"/>
        </w:rPr>
        <w:t>The scale of the move is easiest to see in the largest class. Very large crude carriers averaged a published USD 43,381 a day in FY2024 and USD 52,466 in FY2025; the published figure was USD 145,000 for the first quarter of 2026 and USD 291,145 was indicated for the second. Take out the 2 of 8 vessels in that class already on charter out and the free vessels earned USD 151,440 in the first quarter, and the indicated second quarter implies USD 449,713 — roughly 3.2 times the mid-cycle anchor this study reverts to, against the 3.0 times the published figure suggests. Against 44 owned vessels free to earn the market and the company's own disclosure that USD 1,000 a day is worth USD 20 million of annual earnings, the difference between today's rate and the mid-cycle anchor is worth well over a billion dollars a year of earnings. That is why this one judgement dominates — and it is also why the correction matters, because the same reversion judgement applied to a higher starting point produces a higher value.</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uncommitted vessels went on to earn an implied USD 151,440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market rate for a very large crude carrier not on charter out from USD 232,877 in 2026E down to USD 47,924 by 2030E, a straight glide to the FY2024-FY2025 average. Read against the one-year charter above, that path is the LESS pessimistic of the two: it stays above USD 76,900 until it crosses between 2029E and 2030E, so for 4 of the five forecast years this study assumes the fleet earns more than a counterparty was willing to commit to for twelve months. That cuts against this study's own conclusion and is stated rather than left for a reader to work out</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7.46 a share against the base case's AED 5.34.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2.83 a share — and that range is NOT wide enough to carry fair value across the market price: the highest anchor tested, 120.0% of the base, still gives AED 6.75 a share against a market price of AED 6.80. Widening the beta across the 0.690-to-1.621 range tested in section 1.9 moves it by AED 3.51, which is 1.2 times as much and remains the widest single sensitivity in the study. But the two are not comparable as open questions. The beta is measured, with a 90% interval of [0.59, 1.62]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3.98%</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1.103</w:t>
            </w:r>
          </w:p>
        </w:tc>
        <w:tc>
          <w:tcPr>
            <w:tcW w:type="dxa" w:w="1037"/>
          </w:tcPr>
          <w:p>
            <w:pPr>
              <w:spacing w:after="20"/>
              <w:jc w:val="right"/>
            </w:pPr>
            <w:r>
              <w:rPr>
                <w:color w:val="1C3A36"/>
                <w:sz w:val="16"/>
              </w:rPr>
              <w:t>1.103</w:t>
            </w:r>
          </w:p>
        </w:tc>
        <w:tc>
          <w:tcPr>
            <w:tcW w:type="dxa" w:w="5371"/>
          </w:tcPr>
          <w:p>
            <w:pPr>
              <w:spacing w:after="20"/>
              <w:jc w:val="left"/>
            </w:pPr>
            <w:r>
              <w:rPr>
                <w:color w:val="1C3A36"/>
                <w:sz w:val="16"/>
              </w:rPr>
              <w:t>own-stock weekly regression against the FTSE ADX General Index, 2023-06-16 to 2026-07-17: n = 159, R-squared 0.181, standard error 0.315, 90% interval [0.586, 1.621]. The evidence table below sets this out in full alongside the equal-weight composite, which gives 0.690</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9.43%</w:t>
            </w:r>
          </w:p>
        </w:tc>
        <w:tc>
          <w:tcPr>
            <w:tcW w:type="dxa" w:w="1037"/>
            <w:shd w:val="clear" w:color="auto" w:fill="F6F1E6"/>
          </w:tcPr>
          <w:p>
            <w:pPr>
              <w:spacing w:after="20"/>
              <w:jc w:val="right"/>
            </w:pPr>
            <w:r>
              <w:rPr>
                <w:b/>
                <w:color w:val="1C3A36"/>
                <w:sz w:val="16"/>
              </w:rPr>
              <w:t>9.35%</w:t>
            </w:r>
          </w:p>
        </w:tc>
        <w:tc>
          <w:tcPr>
            <w:tcW w:type="dxa" w:w="5371"/>
            <w:shd w:val="clear" w:color="auto" w:fill="F6F1E6"/>
          </w:tcPr>
          <w:p>
            <w:pPr>
              <w:spacing w:after="20"/>
              <w:jc w:val="left"/>
            </w:pPr>
            <w:r>
              <w:rPr>
                <w:b/>
                <w:color w:val="1C3A36"/>
                <w:sz w:val="16"/>
              </w:rPr>
              <w:t>adjusted risk-free rate plus beta times the premium. On the equal-weight composite's 0.690 it would be 7.42%; on the measured slope shrunk toward the market at 1.069, 9.27%</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6.35%</w:t>
            </w:r>
          </w:p>
        </w:tc>
        <w:tc>
          <w:tcPr>
            <w:tcW w:type="dxa" w:w="1037"/>
          </w:tcPr>
          <w:p>
            <w:pPr>
              <w:spacing w:after="20"/>
              <w:jc w:val="right"/>
            </w:pPr>
            <w:r>
              <w:rPr>
                <w:color w:val="1C3A36"/>
                <w:sz w:val="16"/>
              </w:rPr>
              <w:t>6.26%</w:t>
            </w:r>
          </w:p>
        </w:tc>
        <w:tc>
          <w:tcPr>
            <w:tcW w:type="dxa" w:w="5371"/>
          </w:tcPr>
          <w:p>
            <w:pPr>
              <w:spacing w:after="20"/>
              <w:jc w:val="left"/>
            </w:pPr>
            <w:r>
              <w:rPr>
                <w:color w:val="1C3A36"/>
                <w:sz w:val="16"/>
              </w:rPr>
              <w:t>the plain AVERAGE of three constructions built on six disclosed instruments — the evidence table follows. It is not a weighted figure and an earlier edition described it as one. Weighted by what is actually drawn the same evidence gives 6.35%, which is one of the three constructions being averaged; both are published</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5.78%</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 This is the one place in the study where the statutory rate is used rather than the rate the company actually bears: the model taxes profit unit by unit at effective rates running near 2.5%, and a shield taken at 9% is larger than the relief the group in fact receives. It is inconsistent, it is disclosed, and it is worth almost nothing — debt is 4.9% of capital, so the whole difference between a statutory and an effective shield is a fraction of a basis point on the cost of capital</w:t>
            </w:r>
          </w:p>
        </w:tc>
      </w:tr>
      <w:tr>
        <w:trPr>
          <w:cantSplit/>
        </w:trPr>
        <w:tc>
          <w:tcPr>
            <w:tcW w:type="dxa" w:w="2232"/>
          </w:tcPr>
          <w:p>
            <w:pPr>
              <w:spacing w:after="20"/>
            </w:pPr>
            <w:r>
              <w:rPr>
                <w:color w:val="1C3A36"/>
                <w:sz w:val="16"/>
              </w:rPr>
              <w:t>Cost of the perpetual capital securities</w:t>
            </w:r>
          </w:p>
        </w:tc>
        <w:tc>
          <w:tcPr>
            <w:tcW w:type="dxa" w:w="1440"/>
          </w:tcPr>
          <w:p>
            <w:pPr>
              <w:spacing w:after="20"/>
              <w:jc w:val="right"/>
            </w:pPr>
            <w:r>
              <w:rPr>
                <w:color w:val="1C3A36"/>
                <w:sz w:val="16"/>
              </w:rPr>
              <w:t>4.90%</w:t>
            </w:r>
          </w:p>
        </w:tc>
        <w:tc>
          <w:tcPr>
            <w:tcW w:type="dxa" w:w="1037"/>
          </w:tcPr>
          <w:p>
            <w:pPr>
              <w:spacing w:after="20"/>
              <w:jc w:val="right"/>
            </w:pPr>
            <w:r>
              <w:rPr>
                <w:color w:val="1C3A36"/>
                <w:sz w:val="16"/>
              </w:rPr>
              <w:t>5.23%</w:t>
            </w:r>
          </w:p>
        </w:tc>
        <w:tc>
          <w:tcPr>
            <w:tcW w:type="dxa" w:w="5371"/>
          </w:tcPr>
          <w:p>
            <w:pPr>
              <w:spacing w:after="20"/>
              <w:jc w:val="left"/>
            </w:pPr>
            <w:r>
              <w:rPr>
                <w:color w:val="1C3A36"/>
                <w:sz w:val="16"/>
              </w:rPr>
              <w:t>their own contractual coupon — the overnight financing rate plus 125 basis points. It is not tax-relieved, because the coupon is a distribution rather than interest, and it is not marked down in the terminal by anything except the risk-free rate the margin sits on: the coupon floats, so its cost normalises as the base rate does</w:t>
            </w:r>
          </w:p>
        </w:tc>
      </w:tr>
      <w:tr>
        <w:trPr>
          <w:cantSplit/>
        </w:trPr>
        <w:tc>
          <w:tcPr>
            <w:tcW w:type="dxa" w:w="2232"/>
          </w:tcPr>
          <w:p>
            <w:pPr>
              <w:spacing w:after="20"/>
            </w:pPr>
            <w:r>
              <w:rPr>
                <w:color w:val="1C3A36"/>
                <w:sz w:val="16"/>
              </w:rPr>
              <w:t>Ordinary equity weight</w:t>
            </w:r>
          </w:p>
        </w:tc>
        <w:tc>
          <w:tcPr>
            <w:tcW w:type="dxa" w:w="1440"/>
          </w:tcPr>
          <w:p>
            <w:pPr>
              <w:spacing w:after="20"/>
              <w:jc w:val="right"/>
            </w:pPr>
            <w:r>
              <w:rPr>
                <w:color w:val="1C3A36"/>
                <w:sz w:val="16"/>
              </w:rPr>
              <w:t>83.1%</w:t>
            </w:r>
          </w:p>
        </w:tc>
        <w:tc>
          <w:tcPr>
            <w:tcW w:type="dxa" w:w="1037"/>
          </w:tcPr>
          <w:p>
            <w:pPr>
              <w:spacing w:after="20"/>
              <w:jc w:val="right"/>
            </w:pPr>
            <w:r>
              <w:rPr>
                <w:color w:val="1C3A36"/>
                <w:sz w:val="16"/>
              </w:rPr>
              <w:t>83.1%</w:t>
            </w:r>
          </w:p>
        </w:tc>
        <w:tc>
          <w:tcPr>
            <w:tcW w:type="dxa" w:w="5371"/>
          </w:tcPr>
          <w:p>
            <w:pPr>
              <w:spacing w:after="20"/>
              <w:jc w:val="left"/>
            </w:pPr>
            <w:r>
              <w:rPr>
                <w:color w:val="1C3A36"/>
                <w:sz w:val="16"/>
              </w:rPr>
              <w:t>market capitalisation of USD 13,699 million against gross debt of USD 800 million and perpetual capital securities of USD 1,979 million. Market-value weights throughout; book equity is never used</w:t>
            </w:r>
          </w:p>
        </w:tc>
      </w:tr>
      <w:tr>
        <w:trPr>
          <w:cantSplit/>
        </w:trPr>
        <w:tc>
          <w:tcPr>
            <w:tcW w:type="dxa" w:w="2232"/>
            <w:shd w:val="clear" w:color="auto" w:fill="F6F1E6"/>
          </w:tcPr>
          <w:p>
            <w:pPr>
              <w:spacing w:after="20"/>
            </w:pPr>
            <w:r>
              <w:rPr>
                <w:b/>
                <w:color w:val="1C3A36"/>
                <w:sz w:val="16"/>
              </w:rPr>
              <w:t>Debt weight</w:t>
            </w:r>
          </w:p>
        </w:tc>
        <w:tc>
          <w:tcPr>
            <w:tcW w:type="dxa" w:w="1440"/>
            <w:shd w:val="clear" w:color="auto" w:fill="F6F1E6"/>
          </w:tcPr>
          <w:p>
            <w:pPr>
              <w:spacing w:after="20"/>
              <w:jc w:val="right"/>
            </w:pPr>
            <w:r>
              <w:rPr>
                <w:b/>
                <w:color w:val="1C3A36"/>
                <w:sz w:val="16"/>
              </w:rPr>
              <w:t>4.9%</w:t>
            </w:r>
          </w:p>
        </w:tc>
        <w:tc>
          <w:tcPr>
            <w:tcW w:type="dxa" w:w="1037"/>
            <w:shd w:val="clear" w:color="auto" w:fill="F6F1E6"/>
          </w:tcPr>
          <w:p>
            <w:pPr>
              <w:spacing w:after="20"/>
              <w:jc w:val="right"/>
            </w:pPr>
            <w:r>
              <w:rPr>
                <w:b/>
                <w:color w:val="1C3A36"/>
                <w:sz w:val="16"/>
              </w:rPr>
              <w:t>4.9%</w:t>
            </w:r>
          </w:p>
        </w:tc>
        <w:tc>
          <w:tcPr>
            <w:tcW w:type="dxa" w:w="5371"/>
            <w:shd w:val="clear" w:color="auto" w:fill="F6F1E6"/>
          </w:tcPr>
          <w:p>
            <w:pPr>
              <w:spacing w:after="20"/>
              <w:jc w:val="left"/>
            </w:pPr>
            <w:r>
              <w:rPr>
                <w:b/>
                <w:color w:val="1C3A36"/>
                <w:sz w:val="16"/>
              </w:rPr>
            </w:r>
          </w:p>
        </w:tc>
      </w:tr>
      <w:tr>
        <w:trPr>
          <w:cantSplit/>
        </w:trPr>
        <w:tc>
          <w:tcPr>
            <w:tcW w:type="dxa" w:w="2232"/>
          </w:tcPr>
          <w:p>
            <w:pPr>
              <w:spacing w:after="20"/>
            </w:pPr>
            <w:r>
              <w:rPr>
                <w:color w:val="1C3A36"/>
                <w:sz w:val="16"/>
              </w:rPr>
              <w:t>Perpetual capital securities weight</w:t>
            </w:r>
          </w:p>
        </w:tc>
        <w:tc>
          <w:tcPr>
            <w:tcW w:type="dxa" w:w="1440"/>
          </w:tcPr>
          <w:p>
            <w:pPr>
              <w:spacing w:after="20"/>
              <w:jc w:val="right"/>
            </w:pPr>
            <w:r>
              <w:rPr>
                <w:color w:val="1C3A36"/>
                <w:sz w:val="16"/>
              </w:rPr>
              <w:t>12.0%</w:t>
            </w:r>
          </w:p>
        </w:tc>
        <w:tc>
          <w:tcPr>
            <w:tcW w:type="dxa" w:w="1037"/>
          </w:tcPr>
          <w:p>
            <w:pPr>
              <w:spacing w:after="20"/>
              <w:jc w:val="right"/>
            </w:pPr>
            <w:r>
              <w:rPr>
                <w:color w:val="1C3A36"/>
                <w:sz w:val="16"/>
              </w:rPr>
              <w:t>12.0%</w:t>
            </w:r>
          </w:p>
        </w:tc>
        <w:tc>
          <w:tcPr>
            <w:tcW w:type="dxa" w:w="5371"/>
          </w:tcPr>
          <w:p>
            <w:pPr>
              <w:spacing w:after="20"/>
              <w:jc w:val="left"/>
            </w:pPr>
            <w:r>
              <w:rPr>
                <w:color w:val="1C3A36"/>
                <w:sz w:val="16"/>
              </w:rPr>
              <w:t>An earlier edition of this study left this tranche out of the weights on the ground that it is already deducted in the bridge and counting it here would charge for it twice. That reasoning does not hold, and two independent reviews said so. Deducting a claim from value and pricing the capital it supplies are different operations: leaving it out took a cheap tranche of funding out of the enterprise without letting it lower the rate at which the enterprise is discounted. It is now weighted at its own coupon, which is the correction that moves the cost of capital from 9.23% to 8.71% and the terminal rate from 9.15% to 8.68%</w:t>
            </w:r>
          </w:p>
        </w:tc>
      </w:tr>
      <w:tr>
        <w:trPr>
          <w:cantSplit/>
        </w:trPr>
        <w:tc>
          <w:tcPr>
            <w:tcW w:type="dxa" w:w="2232"/>
          </w:tcPr>
          <w:p>
            <w:pPr>
              <w:spacing w:after="20"/>
            </w:pPr>
            <w:r>
              <w:rPr>
                <w:color w:val="1C3A36"/>
                <w:sz w:val="16"/>
              </w:rPr>
              <w:t>Cost of capital</w:t>
            </w:r>
          </w:p>
        </w:tc>
        <w:tc>
          <w:tcPr>
            <w:tcW w:type="dxa" w:w="1440"/>
          </w:tcPr>
          <w:p>
            <w:pPr>
              <w:spacing w:after="20"/>
              <w:jc w:val="right"/>
            </w:pPr>
            <w:r>
              <w:rPr>
                <w:color w:val="1C3A36"/>
                <w:sz w:val="16"/>
              </w:rPr>
              <w:t>8.71%</w:t>
            </w:r>
          </w:p>
        </w:tc>
        <w:tc>
          <w:tcPr>
            <w:tcW w:type="dxa" w:w="1037"/>
          </w:tcPr>
          <w:p>
            <w:pPr>
              <w:spacing w:after="20"/>
              <w:jc w:val="right"/>
            </w:pPr>
            <w:r>
              <w:rPr>
                <w:color w:val="1C3A36"/>
                <w:sz w:val="16"/>
              </w:rPr>
              <w:t>8.68%</w:t>
            </w:r>
          </w:p>
        </w:tc>
        <w:tc>
          <w:tcPr>
            <w:tcW w:type="dxa" w:w="5371"/>
          </w:tcPr>
          <w:p>
            <w:pPr>
              <w:spacing w:after="20"/>
              <w:jc w:val="left"/>
            </w:pPr>
            <w:r>
              <w:rPr>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8.70% · 8.70% · 8.69% · 8.68% · 8.68%</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That series is not chosen here. It follows from where the share is listed: the regression is run against the FTSE ADX General Index (FADGI), the published, capitalisation-weighted index of the exchange the share trades on, taken as of 2026-07-24. The index series runs from 2011-01-02 to 2026-07-24 across 3,883 sessions; it and the share's own history are both screened for data quality before a single return is computed, and the returns are paired on the exchange's own trading week rather than on a calendar week that would fall on days the exchange is shut. Every figure in the table below is read out of that measurement's own record, including the description of what was measured against what.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 (FADGI)</w:t>
            </w:r>
          </w:p>
        </w:tc>
        <w:tc>
          <w:tcPr>
            <w:tcW w:type="dxa" w:w="6019"/>
          </w:tcPr>
          <w:p>
            <w:pPr>
              <w:spacing w:after="20"/>
              <w:jc w:val="left"/>
            </w:pPr>
            <w:r>
              <w:rPr>
                <w:color w:val="1C3A36"/>
                <w:sz w:val="16"/>
              </w:rPr>
              <w:t>The published capitalisation-weighted index of the exchange the share is listed on — the local index the beta rule asks for, resolved from that exchange by the routine rather than chosen by the study.</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 taken as of 2026-07-24. Dropped 1 interior stale/no-trade rows</w:t>
            </w:r>
          </w:p>
        </w:tc>
      </w:tr>
      <w:tr>
        <w:trPr>
          <w:cantSplit/>
        </w:trPr>
        <w:tc>
          <w:tcPr>
            <w:tcW w:type="dxa" w:w="2477"/>
          </w:tcPr>
          <w:p>
            <w:pPr>
              <w:spacing w:after="20"/>
            </w:pPr>
            <w:r>
              <w:rPr>
                <w:color w:val="1C3A36"/>
                <w:sz w:val="16"/>
              </w:rPr>
              <w:t>How the slope is measured</w:t>
            </w:r>
          </w:p>
        </w:tc>
        <w:tc>
          <w:tcPr>
            <w:tcW w:type="dxa" w:w="1584"/>
          </w:tcPr>
          <w:p>
            <w:pPr>
              <w:spacing w:after="20"/>
              <w:jc w:val="left"/>
            </w:pPr>
            <w:r>
              <w:rPr>
                <w:color w:val="1C3A36"/>
                <w:sz w:val="16"/>
              </w:rPr>
              <w:t>lead-lag sum</w:t>
            </w:r>
          </w:p>
        </w:tc>
        <w:tc>
          <w:tcPr>
            <w:tcW w:type="dxa" w:w="6019"/>
          </w:tcPr>
          <w:p>
            <w:pPr>
              <w:spacing w:after="20"/>
              <w:jc w:val="left"/>
            </w:pPr>
            <w:r>
              <w:rPr>
                <w:color w:val="1C3A36"/>
                <w:sz w:val="16"/>
              </w:rPr>
              <w:t>The estimate is a lead-lag sum beta: the routine regresses on one lag, the contemporaneous return and one lead and sums the three slopes, so the co-movement a thinly traded share books late is already inside the adopted figure rather than published beside it as a separate correction.</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159</w:t>
            </w:r>
          </w:p>
        </w:tc>
        <w:tc>
          <w:tcPr>
            <w:tcW w:type="dxa" w:w="6019"/>
          </w:tcPr>
          <w:p>
            <w:pPr>
              <w:spacing w:after="20"/>
              <w:jc w:val="left"/>
            </w:pPr>
            <w:r>
              <w:rPr>
                <w:color w:val="1C3A36"/>
                <w:sz w:val="16"/>
              </w:rPr>
              <w:t>weekly returns from 2023-06-16 to 2026-07-17, 3.09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1.103</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0.315</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0.181</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0.586 to 1.621</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 — and it is a wider interval than the previous edition of this study published</w:t>
            </w:r>
          </w:p>
        </w:tc>
      </w:tr>
      <w:tr>
        <w:trPr>
          <w:cantSplit/>
        </w:trPr>
        <w:tc>
          <w:tcPr>
            <w:tcW w:type="dxa" w:w="2477"/>
          </w:tcPr>
          <w:p>
            <w:pPr>
              <w:spacing w:after="20"/>
            </w:pPr>
            <w:r>
              <w:rPr>
                <w:color w:val="1C3A36"/>
                <w:sz w:val="16"/>
              </w:rPr>
              <w:t>Shrunk toward the market</w:t>
            </w:r>
          </w:p>
        </w:tc>
        <w:tc>
          <w:tcPr>
            <w:tcW w:type="dxa" w:w="1584"/>
          </w:tcPr>
          <w:p>
            <w:pPr>
              <w:spacing w:after="20"/>
              <w:jc w:val="left"/>
            </w:pPr>
            <w:r>
              <w:rPr>
                <w:color w:val="1C3A36"/>
                <w:sz w:val="16"/>
              </w:rPr>
              <w:t>1.069</w:t>
            </w:r>
          </w:p>
        </w:tc>
        <w:tc>
          <w:tcPr>
            <w:tcW w:type="dxa" w:w="6019"/>
          </w:tcPr>
          <w:p>
            <w:pPr>
              <w:spacing w:after="20"/>
              <w:jc w:val="left"/>
            </w:pPr>
            <w:r>
              <w:rPr>
                <w:color w:val="1C3A36"/>
                <w:sz w:val="16"/>
              </w:rPr>
              <w:t>Blume shrinkage on the adopted slope — two-thirds of the measured figure plus one-third of 1.0, the standard adjustment for the tendency of a measured beta to drift toward the market over time. It is a cross-check reported by the same record, and it is not what the study discounts at.</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0.690</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0.167 on 165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0.802</w:t>
            </w:r>
          </w:p>
        </w:tc>
        <w:tc>
          <w:tcPr>
            <w:tcW w:type="dxa" w:w="6019"/>
          </w:tcPr>
          <w:p>
            <w:pPr>
              <w:spacing w:after="20"/>
              <w:jc w:val="left"/>
            </w:pPr>
            <w:r>
              <w:rPr>
                <w:color w:val="1C3A36"/>
                <w:sz w:val="16"/>
              </w:rPr>
              <w:t>ADX + DFM equal-weight composite; disclosed, not adopted. R-squared 0.196 across 27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0.413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0.202,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tcPr>
          <w:p>
            <w:pPr>
              <w:spacing w:after="20"/>
            </w:pPr>
            <w:r>
              <w:rPr>
                <w:color w:val="1C3A36"/>
                <w:sz w:val="16"/>
              </w:rPr>
              <w:t>Memorandum — the same evidence weighted by what is actually drawn</w:t>
            </w:r>
          </w:p>
        </w:tc>
        <w:tc>
          <w:tcPr>
            <w:tcW w:type="dxa" w:w="2232"/>
          </w:tcPr>
          <w:p>
            <w:pPr>
              <w:spacing w:after="20"/>
              <w:jc w:val="left"/>
            </w:pPr>
            <w:r>
              <w:rPr>
                <w:color w:val="1C3A36"/>
                <w:sz w:val="16"/>
              </w:rPr>
              <w:t>balance-weighted</w:t>
            </w:r>
          </w:p>
        </w:tc>
        <w:tc>
          <w:tcPr>
            <w:tcW w:type="dxa" w:w="1944"/>
          </w:tcPr>
          <w:p>
            <w:pPr>
              <w:spacing w:after="20"/>
              <w:jc w:val="right"/>
            </w:pPr>
            <w:r>
              <w:rPr>
                <w:color w:val="1C3A36"/>
                <w:sz w:val="16"/>
              </w:rPr>
              <w:t>6.35%</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the plain average of three constructions</w:t>
            </w:r>
          </w:p>
        </w:tc>
        <w:tc>
          <w:tcPr>
            <w:tcW w:type="dxa" w:w="1944"/>
            <w:shd w:val="clear" w:color="auto" w:fill="F6F1E6"/>
          </w:tcPr>
          <w:p>
            <w:pPr>
              <w:spacing w:after="20"/>
              <w:jc w:val="right"/>
            </w:pPr>
            <w:r>
              <w:rPr>
                <w:b/>
                <w:color w:val="1C3A36"/>
                <w:sz w:val="16"/>
              </w:rPr>
              <w:t>6.35%</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It is the plain AVERAGE of three constructions — the marginal drawdown rate on the parent facility, the blend of the instruments actually outstanding, and the midpoint of the disclosed third-party bank range — and not a figure weighted across the book, which is what an earlier edition of this study called it. The genuinely balance-weighted construction is 6.35%, is one of the three being averaged, and is shown above so that a reader who wants it can take it directly; the two are 0 basis points apart on a tranche that is 4.9% of capital. The adopted rate sits above the local sovereign yield of 4.48%, as a corporate borrowing in the same currency must. The perpetual capital securities appear in the evidence because they price the company's own subordinated risk, and they are also carried in the weights at that same 4.90% rather than averaged into the cost of debt: they are neither debt nor ordinary equity, so they get a weight and a rate of their own. They are deducted in the bridge as well, and that is not a double charge — deducting a claim from value and pricing the capital it supplies are two different operations, and doing only the first is what the earlier edition of this study got wrong.</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1.103</w:t>
            </w:r>
          </w:p>
        </w:tc>
        <w:tc>
          <w:tcPr>
            <w:tcW w:type="dxa" w:w="2664"/>
          </w:tcPr>
          <w:p>
            <w:pPr>
              <w:spacing w:after="20"/>
            </w:pPr>
            <w:r>
              <w:rPr>
                <w:color w:val="1C3A36"/>
                <w:sz w:val="15"/>
              </w:rPr>
              <w:t>The same regression against an equal-weight composite of the same exchange's names, giving 0.690 — cost of equity 7.42% instead of 9.43%</w:t>
            </w:r>
          </w:p>
        </w:tc>
        <w:tc>
          <w:tcPr>
            <w:tcW w:type="dxa" w:w="1843"/>
          </w:tcPr>
          <w:p>
            <w:pPr>
              <w:spacing w:after="20"/>
            </w:pPr>
            <w:r>
              <w:rPr>
                <w:color w:val="1C3A36"/>
                <w:sz w:val="15"/>
              </w:rPr>
              <w:t>AED 7.37 against 5.34</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5.77, +0.43 against 5.34</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The terminal risk-free rate on a constructed long-run anchor</w:t>
            </w:r>
          </w:p>
        </w:tc>
        <w:tc>
          <w:tcPr>
            <w:tcW w:type="dxa" w:w="2664"/>
          </w:tcPr>
          <w:p>
            <w:pPr>
              <w:spacing w:after="20"/>
            </w:pPr>
            <w:r>
              <w:rPr>
                <w:color w:val="1C3A36"/>
                <w:sz w:val="15"/>
              </w:rPr>
              <w:t>Carrying the explicit window's basis into the terminal instead — the observed government yield net of the sovereign's own default spread, 4.06%, rather than the 3.98% long-run anchor used</w:t>
            </w:r>
          </w:p>
        </w:tc>
        <w:tc>
          <w:tcPr>
            <w:tcW w:type="dxa" w:w="1843"/>
          </w:tcPr>
          <w:p>
            <w:pPr>
              <w:spacing w:after="20"/>
            </w:pPr>
            <w:r>
              <w:rPr>
                <w:color w:val="1C3A36"/>
                <w:sz w:val="15"/>
              </w:rPr>
              <w:t>raises the terminal risk-free rate by 8 basis points and the value with it. It has no row of its own in the grid overleaf, so the closest read-across is the beta: a step of 0.203 in the beta moves the cost of equity by about the same amount and is worth AED 0.86 — an OVERSTATEMENT of this item, because a beta step moves every year and this one moves only the terminal</w:t>
            </w:r>
          </w:p>
        </w:tc>
        <w:tc>
          <w:tcPr>
            <w:tcW w:type="dxa" w:w="3240"/>
          </w:tcPr>
          <w:p>
            <w:pPr>
              <w:spacing w:after="20"/>
            </w:pPr>
            <w:r>
              <w:rPr>
                <w:color w:val="1C3A36"/>
                <w:sz w:val="15"/>
              </w:rPr>
              <w:t>The explicit window should be priced off a rate the market is quoting today; a perpetuity should not, because today’s yield is a point on a cycle and a perpetuity is not. Both are defensible and the basis genuinely changes between them, which is why it is listed here rather than left inside the cost-of-capital table. An earlier edition made the switch without listing it as a choice</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4.25 against 5.34</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6.80 is crossed in the beta grid between the 0.690 and 0.900 rows, and not reached anywhere in the rate-anchor range tested.</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0.690</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1.103</w:t>
            </w:r>
          </w:p>
        </w:tc>
        <w:tc>
          <w:tcPr>
            <w:tcW w:type="dxa" w:w="1555"/>
            <w:shd w:val="clear" w:color="auto" w:fill="EAF0EE"/>
          </w:tcPr>
          <w:p>
            <w:pPr>
              <w:spacing w:after="20"/>
            </w:pPr>
            <w:r>
              <w:rPr>
                <w:b/>
                <w:color w:val="1C3A36"/>
                <w:sz w:val="16"/>
              </w:rPr>
              <w:t>1.350</w:t>
            </w:r>
          </w:p>
        </w:tc>
        <w:tc>
          <w:tcPr>
            <w:tcW w:type="dxa" w:w="1555"/>
            <w:shd w:val="clear" w:color="auto" w:fill="EAF0EE"/>
          </w:tcPr>
          <w:p>
            <w:pPr>
              <w:spacing w:after="20"/>
            </w:pPr>
            <w:r>
              <w:rPr>
                <w:b/>
                <w:color w:val="1C3A36"/>
                <w:sz w:val="16"/>
              </w:rPr>
              <w:t>1.621</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6.94</w:t>
            </w:r>
          </w:p>
        </w:tc>
        <w:tc>
          <w:tcPr>
            <w:tcW w:type="dxa" w:w="1555"/>
          </w:tcPr>
          <w:p>
            <w:pPr>
              <w:spacing w:after="20"/>
              <w:jc w:val="right"/>
            </w:pPr>
            <w:r>
              <w:rPr>
                <w:color w:val="1C3A36"/>
                <w:sz w:val="16"/>
              </w:rPr>
              <w:t>5.96</w:t>
            </w:r>
          </w:p>
        </w:tc>
        <w:tc>
          <w:tcPr>
            <w:tcW w:type="dxa" w:w="1555"/>
          </w:tcPr>
          <w:p>
            <w:pPr>
              <w:spacing w:after="20"/>
              <w:jc w:val="right"/>
            </w:pPr>
            <w:r>
              <w:rPr>
                <w:color w:val="1C3A36"/>
                <w:sz w:val="16"/>
              </w:rPr>
              <w:t>5.22</w:t>
            </w:r>
          </w:p>
        </w:tc>
        <w:tc>
          <w:tcPr>
            <w:tcW w:type="dxa" w:w="1555"/>
          </w:tcPr>
          <w:p>
            <w:pPr>
              <w:spacing w:after="20"/>
              <w:jc w:val="right"/>
            </w:pPr>
            <w:r>
              <w:rPr>
                <w:color w:val="1C3A36"/>
                <w:sz w:val="16"/>
              </w:rPr>
              <w:t>4.50</w:t>
            </w:r>
          </w:p>
        </w:tc>
        <w:tc>
          <w:tcPr>
            <w:tcW w:type="dxa" w:w="1555"/>
          </w:tcPr>
          <w:p>
            <w:pPr>
              <w:spacing w:after="20"/>
              <w:jc w:val="right"/>
            </w:pPr>
            <w:r>
              <w:rPr>
                <w:color w:val="1C3A36"/>
                <w:sz w:val="16"/>
              </w:rPr>
              <w:t>3.87</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7.14</w:t>
            </w:r>
          </w:p>
        </w:tc>
        <w:tc>
          <w:tcPr>
            <w:tcW w:type="dxa" w:w="1555"/>
          </w:tcPr>
          <w:p>
            <w:pPr>
              <w:spacing w:after="20"/>
              <w:jc w:val="right"/>
            </w:pPr>
            <w:r>
              <w:rPr>
                <w:color w:val="1C3A36"/>
                <w:sz w:val="16"/>
              </w:rPr>
              <w:t>6.07</w:t>
            </w:r>
          </w:p>
        </w:tc>
        <w:tc>
          <w:tcPr>
            <w:tcW w:type="dxa" w:w="1555"/>
          </w:tcPr>
          <w:p>
            <w:pPr>
              <w:spacing w:after="20"/>
              <w:jc w:val="right"/>
            </w:pPr>
            <w:r>
              <w:rPr>
                <w:color w:val="1C3A36"/>
                <w:sz w:val="16"/>
              </w:rPr>
              <w:t>5.27</w:t>
            </w:r>
          </w:p>
        </w:tc>
        <w:tc>
          <w:tcPr>
            <w:tcW w:type="dxa" w:w="1555"/>
          </w:tcPr>
          <w:p>
            <w:pPr>
              <w:spacing w:after="20"/>
              <w:jc w:val="right"/>
            </w:pPr>
            <w:r>
              <w:rPr>
                <w:color w:val="1C3A36"/>
                <w:sz w:val="16"/>
              </w:rPr>
              <w:t>4.52</w:t>
            </w:r>
          </w:p>
        </w:tc>
        <w:tc>
          <w:tcPr>
            <w:tcW w:type="dxa" w:w="1555"/>
          </w:tcPr>
          <w:p>
            <w:pPr>
              <w:spacing w:after="20"/>
              <w:jc w:val="right"/>
            </w:pPr>
            <w:r>
              <w:rPr>
                <w:color w:val="1C3A36"/>
                <w:sz w:val="16"/>
              </w:rPr>
              <w:t>3.87</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7.37</w:t>
            </w:r>
          </w:p>
        </w:tc>
        <w:tc>
          <w:tcPr>
            <w:tcW w:type="dxa" w:w="1555"/>
          </w:tcPr>
          <w:p>
            <w:pPr>
              <w:spacing w:after="20"/>
              <w:jc w:val="right"/>
            </w:pPr>
            <w:r>
              <w:rPr>
                <w:color w:val="1C3A36"/>
                <w:sz w:val="16"/>
              </w:rPr>
              <w:t>6.20</w:t>
            </w:r>
          </w:p>
        </w:tc>
        <w:tc>
          <w:tcPr>
            <w:tcW w:type="dxa" w:w="1555"/>
          </w:tcPr>
          <w:p>
            <w:pPr>
              <w:spacing w:after="20"/>
              <w:jc w:val="right"/>
            </w:pPr>
            <w:r>
              <w:rPr>
                <w:color w:val="1C3A36"/>
                <w:sz w:val="16"/>
              </w:rPr>
              <w:t>5.34</w:t>
            </w:r>
          </w:p>
        </w:tc>
        <w:tc>
          <w:tcPr>
            <w:tcW w:type="dxa" w:w="1555"/>
          </w:tcPr>
          <w:p>
            <w:pPr>
              <w:spacing w:after="20"/>
              <w:jc w:val="right"/>
            </w:pPr>
            <w:r>
              <w:rPr>
                <w:color w:val="1C3A36"/>
                <w:sz w:val="16"/>
              </w:rPr>
              <w:t>4.54</w:t>
            </w:r>
          </w:p>
        </w:tc>
        <w:tc>
          <w:tcPr>
            <w:tcW w:type="dxa" w:w="1555"/>
          </w:tcPr>
          <w:p>
            <w:pPr>
              <w:spacing w:after="20"/>
              <w:jc w:val="right"/>
            </w:pPr>
            <w:r>
              <w:rPr>
                <w:color w:val="1C3A36"/>
                <w:sz w:val="16"/>
              </w:rPr>
              <w:t>3.86</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7.66</w:t>
            </w:r>
          </w:p>
        </w:tc>
        <w:tc>
          <w:tcPr>
            <w:tcW w:type="dxa" w:w="1555"/>
          </w:tcPr>
          <w:p>
            <w:pPr>
              <w:spacing w:after="20"/>
              <w:jc w:val="right"/>
            </w:pPr>
            <w:r>
              <w:rPr>
                <w:color w:val="1C3A36"/>
                <w:sz w:val="16"/>
              </w:rPr>
              <w:t>6.34</w:t>
            </w:r>
          </w:p>
        </w:tc>
        <w:tc>
          <w:tcPr>
            <w:tcW w:type="dxa" w:w="1555"/>
          </w:tcPr>
          <w:p>
            <w:pPr>
              <w:spacing w:after="20"/>
              <w:jc w:val="right"/>
            </w:pPr>
            <w:r>
              <w:rPr>
                <w:color w:val="1C3A36"/>
                <w:sz w:val="16"/>
              </w:rPr>
              <w:t>5.41</w:t>
            </w:r>
          </w:p>
        </w:tc>
        <w:tc>
          <w:tcPr>
            <w:tcW w:type="dxa" w:w="1555"/>
          </w:tcPr>
          <w:p>
            <w:pPr>
              <w:spacing w:after="20"/>
              <w:jc w:val="right"/>
            </w:pPr>
            <w:r>
              <w:rPr>
                <w:color w:val="1C3A36"/>
                <w:sz w:val="16"/>
              </w:rPr>
              <w:t>4.56</w:t>
            </w:r>
          </w:p>
        </w:tc>
        <w:tc>
          <w:tcPr>
            <w:tcW w:type="dxa" w:w="1555"/>
          </w:tcPr>
          <w:p>
            <w:pPr>
              <w:spacing w:after="20"/>
              <w:jc w:val="right"/>
            </w:pPr>
            <w:r>
              <w:rPr>
                <w:color w:val="1C3A36"/>
                <w:sz w:val="16"/>
              </w:rPr>
              <w:t>3.85</w:t>
            </w:r>
          </w:p>
        </w:tc>
      </w:tr>
    </w:tbl>
    <w:p>
      <w:pPr>
        <w:spacing w:after="40"/>
      </w:pPr>
    </w:p>
    <w:p>
      <w:pPr>
        <w:spacing w:after="200" w:before="0"/>
      </w:pPr>
      <w:r>
        <w:rPr>
          <w:b w:val="0"/>
          <w:i/>
          <w:color w:val="6E7B77"/>
          <w:sz w:val="17"/>
        </w:rPr>
        <w:t>Fair value in AED per share. The adopted construction is the 1.103 column at 2.0% growth, and its cell is the published cash-flow base of AED 5.34 exactly. The bear case is struck at 1.621, the top of the regression's own 90% confidence interval and the right-hand column here; the bull case is struck at the bottom of that interval, 0.586, which falls outside the grid, below its left-hand 0.690 column. The equal-weight composite alternative is the 0.690 column, and it sits inside the interval: the bull case is struck lower still, so the composite reading is no longer — as an earlier edition of this study described it — a lower discount rate than this study's own bull case takes. Beta moves the answer across the whole width of this table; growth moves it a fraction of that. Read the beta columns against the published bear and bull of AED 2.76 and 9.98 and the difference is visible: those two also move the rate anchor and the capital programme, so they are wider than the beta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0.690 – 1.621</w:t>
            </w:r>
          </w:p>
        </w:tc>
        <w:tc>
          <w:tcPr>
            <w:tcW w:type="dxa" w:w="2304"/>
          </w:tcPr>
          <w:p>
            <w:pPr>
              <w:spacing w:after="20"/>
              <w:jc w:val="left"/>
            </w:pPr>
            <w:r>
              <w:rPr>
                <w:color w:val="1C3A36"/>
                <w:sz w:val="16"/>
              </w:rPr>
              <w:t>3.86 – 7.37</w:t>
            </w:r>
          </w:p>
        </w:tc>
        <w:tc>
          <w:tcPr>
            <w:tcW w:type="dxa" w:w="1944"/>
          </w:tcPr>
          <w:p>
            <w:pPr>
              <w:spacing w:after="20"/>
              <w:jc w:val="right"/>
            </w:pPr>
            <w:r>
              <w:rPr>
                <w:color w:val="1C3A36"/>
                <w:sz w:val="16"/>
              </w:rPr>
              <w:t>3.51</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3.92 – 6.75</w:t>
            </w:r>
          </w:p>
        </w:tc>
        <w:tc>
          <w:tcPr>
            <w:tcW w:type="dxa" w:w="1944"/>
          </w:tcPr>
          <w:p>
            <w:pPr>
              <w:spacing w:after="20"/>
              <w:jc w:val="right"/>
            </w:pPr>
            <w:r>
              <w:rPr>
                <w:color w:val="1C3A36"/>
                <w:sz w:val="16"/>
              </w:rPr>
              <w:t>2.83</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4.57 – 5.72</w:t>
            </w:r>
          </w:p>
        </w:tc>
        <w:tc>
          <w:tcPr>
            <w:tcW w:type="dxa" w:w="1944"/>
          </w:tcPr>
          <w:p>
            <w:pPr>
              <w:spacing w:after="20"/>
              <w:jc w:val="right"/>
            </w:pPr>
            <w:r>
              <w:rPr>
                <w:color w:val="1C3A36"/>
                <w:sz w:val="16"/>
              </w:rPr>
              <w:t>1.15</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4.25 – 5.23</w:t>
            </w:r>
          </w:p>
        </w:tc>
        <w:tc>
          <w:tcPr>
            <w:tcW w:type="dxa" w:w="1944"/>
          </w:tcPr>
          <w:p>
            <w:pPr>
              <w:spacing w:after="20"/>
              <w:jc w:val="right"/>
            </w:pPr>
            <w:r>
              <w:rPr>
                <w:color w:val="1C3A36"/>
                <w:sz w:val="16"/>
              </w:rPr>
              <w:t>0.98</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5.22 – 5.41</w:t>
            </w:r>
          </w:p>
        </w:tc>
        <w:tc>
          <w:tcPr>
            <w:tcW w:type="dxa" w:w="1944"/>
          </w:tcPr>
          <w:p>
            <w:pPr>
              <w:spacing w:after="20"/>
              <w:jc w:val="right"/>
            </w:pPr>
            <w:r>
              <w:rPr>
                <w:color w:val="1C3A36"/>
                <w:sz w:val="16"/>
              </w:rPr>
              <w:t>0.20</w:t>
            </w:r>
          </w:p>
        </w:tc>
      </w:tr>
      <w:tr>
        <w:trPr>
          <w:cantSplit/>
        </w:trPr>
        <w:tc>
          <w:tcPr>
            <w:tcW w:type="dxa" w:w="3024"/>
          </w:tcPr>
          <w:p>
            <w:pPr>
              <w:spacing w:after="20"/>
            </w:pPr>
            <w:r>
              <w:rPr>
                <w:color w:val="1C3A36"/>
                <w:sz w:val="16"/>
              </w:rPr>
              <w:t>Bear-to-bull scenario composite — THE PUBLISHED RANGE</w:t>
            </w:r>
          </w:p>
        </w:tc>
        <w:tc>
          <w:tcPr>
            <w:tcW w:type="dxa" w:w="2808"/>
          </w:tcPr>
          <w:p>
            <w:pPr>
              <w:spacing w:after="20"/>
              <w:jc w:val="left"/>
            </w:pPr>
            <w:r>
              <w:rPr>
                <w:color w:val="1C3A36"/>
                <w:sz w:val="16"/>
              </w:rPr>
              <w:t>three things at once: the beta at the two ends of its own 90% interval (1.621 in the bear, 0.586 in the bull), a lower mid-cycle rate anchor and a heavier capital programme in the bear, and the reverse of both in the bull</w:t>
            </w:r>
          </w:p>
        </w:tc>
        <w:tc>
          <w:tcPr>
            <w:tcW w:type="dxa" w:w="2304"/>
          </w:tcPr>
          <w:p>
            <w:pPr>
              <w:spacing w:after="20"/>
              <w:jc w:val="left"/>
            </w:pPr>
            <w:r>
              <w:rPr>
                <w:color w:val="1C3A36"/>
                <w:sz w:val="16"/>
              </w:rPr>
              <w:t>2.76 – 9.98</w:t>
            </w:r>
          </w:p>
        </w:tc>
        <w:tc>
          <w:tcPr>
            <w:tcW w:type="dxa" w:w="1944"/>
          </w:tcPr>
          <w:p>
            <w:pPr>
              <w:spacing w:after="20"/>
              <w:jc w:val="right"/>
            </w:pPr>
            <w:r>
              <w:rPr>
                <w:color w:val="1C3A36"/>
                <w:sz w:val="16"/>
              </w:rPr>
              <w:t>7.22</w:t>
            </w:r>
          </w:p>
        </w:tc>
      </w:tr>
      <w:tr>
        <w:trPr>
          <w:cantSplit/>
        </w:trPr>
        <w:tc>
          <w:tcPr>
            <w:tcW w:type="dxa" w:w="3024"/>
          </w:tcPr>
          <w:p>
            <w:pPr>
              <w:spacing w:after="20"/>
            </w:pPr>
            <w:r>
              <w:rPr>
                <w:color w:val="1C3A36"/>
                <w:sz w:val="16"/>
              </w:rPr>
              <w:t>Memorandum — the bear beta on its own</w:t>
            </w:r>
          </w:p>
        </w:tc>
        <w:tc>
          <w:tcPr>
            <w:tcW w:type="dxa" w:w="2808"/>
          </w:tcPr>
          <w:p>
            <w:pPr>
              <w:spacing w:after="20"/>
              <w:jc w:val="left"/>
            </w:pPr>
            <w:r>
              <w:rPr>
                <w:color w:val="1C3A36"/>
                <w:sz w:val="16"/>
              </w:rPr>
              <w:t>1.621, with the rate anchor and the capital programme left at the base</w:t>
            </w:r>
          </w:p>
        </w:tc>
        <w:tc>
          <w:tcPr>
            <w:tcW w:type="dxa" w:w="2304"/>
          </w:tcPr>
          <w:p>
            <w:pPr>
              <w:spacing w:after="20"/>
              <w:jc w:val="left"/>
            </w:pPr>
            <w:r>
              <w:rPr>
                <w:color w:val="1C3A36"/>
                <w:sz w:val="16"/>
              </w:rPr>
              <w:t>3.86 against a published bear of 2.76</w:t>
            </w:r>
          </w:p>
        </w:tc>
        <w:tc>
          <w:tcPr>
            <w:tcW w:type="dxa" w:w="1944"/>
          </w:tcPr>
          <w:p>
            <w:pPr>
              <w:spacing w:after="20"/>
              <w:jc w:val="right"/>
            </w:pPr>
            <w:r>
              <w:rPr>
                <w:color w:val="1C3A36"/>
                <w:sz w:val="16"/>
              </w:rPr>
              <w:t>1.10</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beta row is bounded by the disclosed composite at 0.690 and the top of the regression's own 90% interval at 1.621, so most of its width is measured statistical uncertainty; the width of the rate-anchor row is a judgement about the future that no amount of data settles. The first is uncertainty that has been quantified, the second is uncertainty that has not. The tax row deserves its own note: at a uniform 15% the value falls to AED 4.25, a loss of AED 1.09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the central of AED 5.34 sits between the computed levels of 5.26 and 5.56, the cash-flow lens on its own, at AED 5.34, sits between the computed levels of 5.26 and 5.56, the equal-weight composite reading of AED 7.37 sits above every computed level, the highest of which is 6.60, and the asset lens at AED 3.91 sits below every computed level, the lowest of which is 5.26. A valuation and a level ladder are unrelated constructions and any agreement between them proves nothing; the placement is computed off the same ladder printed above rather than described, so it cannot go stale while the table beside it moves.</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8 independent non-overlapping three-month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Pooling 91 three-month windows that start on staggered dates and therefore overlap one another gives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5.34 on the beta measured against the published index, and AED 7.37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5.34, -21%</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7.37, +8%</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5.34, -21%</w:t>
            </w:r>
          </w:p>
        </w:tc>
        <w:tc>
          <w:tcPr>
            <w:tcW w:type="dxa" w:w="4464"/>
          </w:tcPr>
          <w:p>
            <w:pPr>
              <w:spacing w:after="20"/>
            </w:pPr>
            <w:r>
              <w:rPr>
                <w:color w:val="1C3A36"/>
                <w:sz w:val="16"/>
              </w:rPr>
              <w:t>a cost of capital gliding 8.71% to 8.7%</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7.37, +8%</w:t>
            </w:r>
          </w:p>
        </w:tc>
        <w:tc>
          <w:tcPr>
            <w:tcW w:type="dxa" w:w="4464"/>
          </w:tcPr>
          <w:p>
            <w:pPr>
              <w:spacing w:after="20"/>
            </w:pPr>
            <w:r>
              <w:rPr>
                <w:color w:val="1C3A36"/>
                <w:sz w:val="16"/>
              </w:rPr>
              <w:t>the same, gliding 7.04% to 7.0%</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12.21, +80%</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13.53, +99%</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7.46, +10%</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6.80</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that stay closest to the company's own reported cash. The cash-flow lens lands at AED 5.34, 21% below the market price; the expert panel in Appendix C, which prices mid-cycle earnings and capitalises no terminal value at all, centres at AED 7.97, 17% above the market price. Two constructions that share no machinery land within AED 2.63 of each other and both within a few per cent of the screen. The two multiple lenses land materially higher, but they import their cost of capital from comparators rather than state one — and they import the same three multiples as each other, so they are one piece of evidence about relative pricing rather than two independent answers (section 1.5). The asset lens lands materially lower, on carrying values the company's own vessel sale says are understated. Read together, the evidence brackets the screen price rather than pointing away from it.</w:t>
      </w:r>
    </w:p>
    <w:p>
      <w:pPr>
        <w:spacing w:after="120" w:before="0"/>
      </w:pPr>
      <w:r>
        <w:rPr>
          <w:b w:val="0"/>
          <w:i w:val="0"/>
          <w:color w:val="1C3A36"/>
          <w:sz w:val="21"/>
        </w:rPr>
        <w:t>This is a weaker claim than the study previously made, and the reason is worth stating plainly. The cash-flow lens rests on a beta of 1.103, measured on 159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0.690 and the central rises to AED 7.37 — a difference of AED 2.03 a share that turns entirely on index weighting. Both numbers are in this document at full size and neither is hidden inside an average, but the adopted one is the published index, and on it this share is close to fairly priced rather than materially cheap. The composite reading should be read with one further fact attached to it, and it is not the fact the previous edition attached. At 0.690 it now sits inside the adopted estimate's own 90% interval of [0.586, 1.621] — the interval widened when the beta was re-measured, and it is now wide enough to contain the composite, which the narrower interval of the last edition was not. So the composite is not a bolder number than the statistics support; it is a different definition of the market, and the question it raises is which market this share should be measured against rather than how aggressive a discount rate one is willing to take.</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published rate of USD 291,145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2.83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12.0 in 2026 to 30.0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0.56× earnings in 2026E to net cash by 2028E, against a stated target of 2.0× to 2.5×. The company will not sit there — and the purchase announced on 7 Aug 2026 is the first evidence of that, USD 1.3 billion of it, committed within days of the balance sheet this study values</w:t>
            </w:r>
          </w:p>
        </w:tc>
        <w:tc>
          <w:tcPr>
            <w:tcW w:type="dxa" w:w="3888"/>
          </w:tcPr>
          <w:p>
            <w:pPr>
              <w:spacing w:after="20"/>
            </w:pPr>
            <w:r>
              <w:rPr>
                <w:color w:val="1C3A36"/>
                <w:sz w:val="16"/>
              </w:rPr>
              <w:t>further 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1.09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4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0.43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-27% move and a +14%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asset lens sits well below this zone and no other fundamental read in the study reaches down into it</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the cash-flow lens on its own sits inside this zone,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central sits</w:t>
            </w:r>
          </w:p>
        </w:tc>
        <w:tc>
          <w:tcPr>
            <w:tcW w:type="dxa" w:w="2448"/>
          </w:tcPr>
          <w:p>
            <w:pPr>
              <w:spacing w:after="20"/>
              <w:jc w:val="right"/>
            </w:pPr>
            <w:r>
              <w:rPr>
                <w:color w:val="1C3A36"/>
                <w:sz w:val="16"/>
              </w:rPr>
              <w:t>5.34</w:t>
            </w:r>
          </w:p>
        </w:tc>
        <w:tc>
          <w:tcPr>
            <w:tcW w:type="dxa" w:w="5040"/>
          </w:tcPr>
          <w:p>
            <w:pPr>
              <w:spacing w:after="20"/>
              <w:jc w:val="left"/>
            </w:pPr>
            <w:r>
              <w:rPr>
                <w:color w:val="1C3A36"/>
                <w:sz w:val="16"/>
              </w:rPr>
              <w:t>between the 5th and 25th percentile of the three-month distribution. Reaching it inside a quarter is an ordinary outcome rather than a repricing</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5.34</w:t>
            </w:r>
          </w:p>
        </w:tc>
        <w:tc>
          <w:tcPr>
            <w:tcW w:type="dxa" w:w="5040"/>
          </w:tcPr>
          <w:p>
            <w:pPr>
              <w:spacing w:after="20"/>
              <w:jc w:val="left"/>
            </w:pPr>
            <w:r>
              <w:rPr>
                <w:color w:val="1C3A36"/>
                <w:sz w:val="16"/>
              </w:rPr>
              <w:t>between the 5th and 25th percentile of the three-month distribution — close enough to the price today that the distribution treats the two as the same place</w:t>
            </w:r>
          </w:p>
        </w:tc>
      </w:tr>
      <w:tr>
        <w:trPr>
          <w:cantSplit/>
        </w:trPr>
        <w:tc>
          <w:tcPr>
            <w:tcW w:type="dxa" w:w="2592"/>
          </w:tcPr>
          <w:p>
            <w:pPr>
              <w:spacing w:after="20"/>
            </w:pPr>
            <w:r>
              <w:rPr>
                <w:color w:val="1C3A36"/>
                <w:sz w:val="16"/>
              </w:rPr>
              <w:t>Where the expert panel centres</w:t>
            </w:r>
          </w:p>
        </w:tc>
        <w:tc>
          <w:tcPr>
            <w:tcW w:type="dxa" w:w="2448"/>
          </w:tcPr>
          <w:p>
            <w:pPr>
              <w:spacing w:after="20"/>
              <w:jc w:val="right"/>
            </w:pPr>
            <w:r>
              <w:rPr>
                <w:color w:val="1C3A36"/>
                <w:sz w:val="16"/>
              </w:rPr>
              <w:t>7.97</w:t>
            </w:r>
          </w:p>
        </w:tc>
        <w:tc>
          <w:tcPr>
            <w:tcW w:type="dxa" w:w="5040"/>
          </w:tcPr>
          <w:p>
            <w:pPr>
              <w:spacing w:after="20"/>
              <w:jc w:val="left"/>
            </w:pPr>
            <w:r>
              <w:rPr>
                <w:color w:val="1C3A36"/>
                <w:sz w:val="16"/>
              </w:rPr>
              <w:t>above the 95th percentile of the three-month distribution. Three methods that share no machinery with the cash-flow model land essentially on the screen price</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7.37</w:t>
            </w:r>
          </w:p>
        </w:tc>
        <w:tc>
          <w:tcPr>
            <w:tcW w:type="dxa" w:w="5040"/>
          </w:tcPr>
          <w:p>
            <w:pPr>
              <w:spacing w:after="20"/>
              <w:jc w:val="left"/>
            </w:pPr>
            <w:r>
              <w:rPr>
                <w:color w:val="1C3A36"/>
                <w:sz w:val="16"/>
              </w:rPr>
              <w:t>between the 75th and 95th percentile of the three-month distribution</w:t>
            </w:r>
          </w:p>
        </w:tc>
      </w:tr>
      <w:tr>
        <w:trPr>
          <w:cantSplit/>
        </w:trPr>
        <w:tc>
          <w:tcPr>
            <w:tcW w:type="dxa" w:w="2592"/>
          </w:tcPr>
          <w:p>
            <w:pPr>
              <w:spacing w:after="20"/>
            </w:pPr>
            <w:r>
              <w:rPr>
                <w:color w:val="1C3A36"/>
                <w:sz w:val="16"/>
              </w:rPr>
              <w:t>Where the asset lens sits</w:t>
            </w:r>
          </w:p>
        </w:tc>
        <w:tc>
          <w:tcPr>
            <w:tcW w:type="dxa" w:w="2448"/>
          </w:tcPr>
          <w:p>
            <w:pPr>
              <w:spacing w:after="20"/>
              <w:jc w:val="right"/>
            </w:pPr>
            <w:r>
              <w:rPr>
                <w:color w:val="1C3A36"/>
                <w:sz w:val="16"/>
              </w:rPr>
              <w:t>3.91</w:t>
            </w:r>
          </w:p>
        </w:tc>
        <w:tc>
          <w:tcPr>
            <w:tcW w:type="dxa" w:w="5040"/>
          </w:tcPr>
          <w:p>
            <w:pPr>
              <w:spacing w:after="20"/>
              <w:jc w:val="left"/>
            </w:pPr>
            <w:r>
              <w:rPr>
                <w:color w:val="1C3A36"/>
                <w:sz w:val="16"/>
              </w:rPr>
              <w:t>below the 5th percentile of the three-month distribution — the one fundamental read the three-month distribution treats as a tail outcome</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moves the answer more than anything else, and it is measured less precisely than the last edition of this study implied. </w:t>
      </w:r>
      <w:r>
        <w:rPr>
          <w:color w:val="1C3A36"/>
          <w:sz w:val="21"/>
        </w:rPr>
        <w:t>Regressed against the FTSE ADX General Index, the beta is 1.103; regressed against an equal-weight composite of the same exchange's names it is 0.690, worth AED 2.03 a share on the cash-flow lens. Across the beta range tested in section 1.9 the swing is AED 3.51, still the widest single sensitivity in the study. One part of this argument has closed: it is no longer an unresolved dispute between a regression and an economic prior, because the published index of the share's own exchange is the right yardstick and the two now agree. The other part has WIDENED. Re-measured on the exchange's own trading week, the same regression carries a standard error of 0.315 on 3.1 years of history and a 90% interval of [0.586, 1.621], against [0.758, 1.412] in the previous edition. The bear and bull cases take those bounds at full width rather than narrowing them, so the published range is wider than it was and it should be. A longer history is the only thing that tightens this,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62% of the cash-flow model's enterprise value is the terminal value on the adopted construction, 69% on the equal-weight composite. That is high, and it is the arithmetic consequence of discounting a business whose explicit years are depressed by a heavy capital programme — capital expenditure runs USD 1,375 million in 2026E against earnings of USD 2,716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+9% above the guided group earnings midpoint — +13%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0.56× earnings in 2026E to -0.28× in 2028E and turns to net cash of USD 3,114 million by 2030E, against a stated medium-term target of 2.0× to 2.5×. At the low end of that target the 2030E balance sheet would carry about USD 3,760 million of net debt, so the modelled path leaves roughly USD 6,874 million of unused capacity, on top of an undrawn committed revolving facility of USD 2.0 billion. The company will either lever up for acquisitions or return more capital, and on 7 Aug 2026 it did the first: USD 1.3 billion of vessels, committed within days of the balance sheet this study values, and now carried in the model.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read stands in for them AS A DISCLOSED FLOOR rather than as a weighted lens — an earlier edition gave it 15% of a blend.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published USD 291,145 a day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One rate substitution is still carried in the fleet build, and a second has been replaced. </w:t>
      </w:r>
      <w:r>
        <w:rPr>
          <w:color w:val="1C3A36"/>
          <w:sz w:val="21"/>
        </w:rPr>
        <w:t>Quarterly rates for the medium-range class are not disclosed for FY2024, so the FY2025 average stands in. That one remains, and it is labelled as a substitution wherever it appears. The second has gone: an earlier edition carried the handysize vessels, which are not broken out in any published rate table, at the medium-range rate unadjusted. That was not merely imprecise — it had the sign wrong. The company said on the first-quarter call that handysize rates were SOFTER while medium range was UP, so the two smallest classes were moving in opposite directions and the substitution was importing a rise into a class that was falling. They are now carried at 0.79× the medium-range rate, which is the relative move the company itself disclosed rather than a stand-in. The two classes together are 18 of 52 vessels and the lowest earners in the fleet, so neither is large — but a substitution that points the wrong way is a different kind of error from one that is merely approximate, and it is corrected rather than re-flagged.</w:t>
      </w:r>
    </w:p>
    <w:p>
      <w:pPr>
        <w:pStyle w:val="ListBullet"/>
        <w:spacing w:after="60"/>
      </w:pPr>
      <w:r>
        <w:rPr>
          <w:b/>
          <w:color w:val="1C3A36"/>
          <w:sz w:val="21"/>
        </w:rPr>
        <w:t xml:space="preserve">The vessels bought on the anchor date are announced, not delivered. </w:t>
      </w:r>
      <w:r>
        <w:rPr>
          <w:color w:val="1C3A36"/>
          <w:sz w:val="21"/>
        </w:rPr>
        <w:t>The USD 1.3 billion purchase of 11 vessels was announced on 7 Aug 2026 and none of them had been delivered when this study was struck. The model carries them from their announced delivery dates and adds the announced price to net debt, which is the only treatment that keeps the fair value and the market price on the same set of assets — the market price this study is compared against was set on the day of the announcement. What is assumed is that the vessels arrive on the announced schedule at the announced price, and that they trade on the same rate path as the rest of the class. A delayed delivery would take earnings out of 2026E while leaving the debt in; a price different from the one announced would move the bridge directly. The half-year and full-year statements are the first confirmation of either.</w:t>
      </w:r>
    </w:p>
    <w:p>
      <w:pPr>
        <w:pStyle w:val="ListBullet"/>
        <w:spacing w:after="60"/>
      </w:pPr>
      <w:r>
        <w:rPr>
          <w:b/>
          <w:color w:val="1C3A36"/>
          <w:sz w:val="21"/>
        </w:rPr>
        <w:t xml:space="preserve">The open-market rate is solved out of a published average, and that construction has a load-bearing assumption inside it. </w:t>
      </w:r>
      <w:r>
        <w:rPr>
          <w:color w:val="1C3A36"/>
          <w:sz w:val="21"/>
        </w:rPr>
        <w:t>The company publishes one rate per vessel class per quarter and states that it is blended across the whole class. This study takes the 12 vessels on charter out at their own disclosed rates and solves the rest out of that average, which gives USD 151,440 a day for the largest class in the first quarter of 2026 against a published USD 145,000. The arithmetic is exact only if the published average is a straight vessel-day average of the whole class. If the company weights it differently, or if a vessel was off-hire for part of the quarter, the solved rate is too high by the same amount the average is understated. The check available is that where a class has no vessel on charter out the two figures come out identical, which they do. The half-year statement, which reports the second quarter rather than indicating it, is the first outside test of the construction.</w:t>
      </w:r>
    </w:p>
    <w:p>
      <w:pPr>
        <w:pStyle w:val="ListBullet"/>
        <w:spacing w:after="60"/>
      </w:pPr>
      <w:r>
        <w:rPr>
          <w:b/>
          <w:color w:val="1C3A36"/>
          <w:sz w:val="21"/>
        </w:rPr>
        <w:t xml:space="preserve">The fade in the asset lens is a judgement with nothing observable behind it. </w:t>
      </w:r>
      <w:r>
        <w:rPr>
          <w:color w:val="1C3A36"/>
          <w:sz w:val="21"/>
        </w:rPr>
        <w:t>Residual income beyond the fifth year is carried as a remainder decaying at 10% a year, worth USD -417 million of the USD 7,872 million this lens produces. The economic argument for a fade is solid — a fleet has to be replaced at market prices rather than at the value it is carried at, so a return above the cost of equity cannot persist unchanged — but the speed is chosen, not measured. A slower fade raises this lens and a faster one lowers it. THE READ CARRIES NO WEIGHT IN THE ANSWER, which is partly for this reason; an earlier edition gave it 15%.</w:t>
      </w:r>
    </w:p>
    <w:p>
      <w:pPr>
        <w:pStyle w:val="ListBullet"/>
        <w:spacing w:after="60"/>
      </w:pPr>
      <w:r>
        <w:rPr>
          <w:b/>
          <w:color w:val="1C3A36"/>
          <w:sz w:val="21"/>
        </w:rPr>
        <w:t xml:space="preserve">Three unit inputs are solved rather than sourced. </w:t>
      </w:r>
      <w:r>
        <w:rPr>
          <w:color w:val="1C3A36"/>
          <w:sz w:val="21"/>
        </w:rPr>
        <w:t>The tanker cost stack is two of them: a fixed base of USD 530 million a year and a variable component of 1.05× for every dollar of the owned fleet's charter-equivalent revenue, solved TOGETHER from two disclosed periods — the audited FY2025 year and the reviewed six months to 30 June 2026. The reviewed six months to 30 June 2025 are held out and the stack reproduces their earnings to within 10.7%, understating them. The third is the gas carrier day rate of USD 61,573, solved from reported FY2025 revenue over consolidated vessel-years; the same solve on the reviewed half gives USD 108,552 and is NOT adopted, because its denominator counts CONTRACTED vessels while its numerator is the whole unit's revenue, so between the two periods the ratio rose for a reason that is a MIX rather than a rate. None of the three is disclosed at a finer level anywhere in the filings. All are labelled as solved wherever they appear, and all are anchored on reported outcomes rather than assumed.</w:t>
      </w:r>
    </w:p>
    <w:p>
      <w:pPr>
        <w:pStyle w:val="ListBullet"/>
        <w:spacing w:after="60"/>
      </w:pPr>
      <w:r>
        <w:rPr>
          <w:b/>
          <w:color w:val="1C3A36"/>
          <w:sz w:val="21"/>
        </w:rPr>
        <w:t xml:space="preserve">The revenue gross-up for the tanker fleet is presentational at the earnings line — and an earlier edition of this study said it could not reach the valuation, which was wrong. </w:t>
      </w:r>
      <w:r>
        <w:rPr>
          <w:color w:val="1C3A36"/>
          <w:sz w:val="21"/>
        </w:rPr>
        <w:t>Reported Tankers revenue was 2.73× the owned fleet's own charter-equivalent revenue in FY2025, because of chartered-in and relet trading that carries almost no margin. The forecast sets that ratio at 2.61× from 2026E, on the evidence of the first quarter, where revenue fell year on year while the rate earned per vessel more than doubled. The earlier edition printed this caveat with a claim attached: that the ratio moves the revenue line and never the earnings line, SO IT CANNOT AFFECT THE VALUATION. The first half of that is true and the conclusion does not follow, and the correction is printed here rather than the sentence being quietly dropped. Revenue is not only an output — it is the denominator the working-capital cycle is expressed in. Receivable days were calibrated on FY2025 revenue, which carries the 2.73× gross-up, and then applied to a forecast revenue line built at 2.61×. Two different conventions on the two sides of one ratio understate the receivable balance, and the change in working capital is a line in the free-cash-flow waterfall. Re-based onto the revenue the forecast actually produces, 108.4 days becomes 110.1 — and that reaches the valuation, through working capital, by exactly the route the earlier caveat said did not exist. A study that quietly drops a claim it has made is worse than one that says the claim was wrong. Separately and still true: a reader comparing this study's revenue forecast with a broker's should know the two may be on different conventions.</w:t>
      </w:r>
    </w:p>
    <w:p>
      <w:pPr>
        <w:pStyle w:val="ListBullet"/>
        <w:spacing w:after="60"/>
      </w:pPr>
      <w:r>
        <w:rPr>
          <w:b/>
          <w:color w:val="1C3A36"/>
          <w:sz w:val="21"/>
        </w:rPr>
        <w:t xml:space="preserve">The cross-checks are less independent of one another than four separate reads sound. </w:t>
      </w:r>
      <w:r>
        <w:rPr>
          <w:color w:val="1C3A36"/>
          <w:sz w:val="21"/>
        </w:rPr>
        <w:t>The relative lens and the normalised lens apply the SAME three multiples to two different earnings denominators — the first forecast year in one, the five-year average of the same forecast in the other. An earlier edition weighted them 45% of its blended central, SO THAT MUCH OF THE HEADLINE RESTED ON ONE METHOD PRESENTED AS TWO READS. Neither carries any of the answer now, which removes the overlap from the central without removing the reads from the page. Both denominators are legitimate questions and neither read is redundant on its own terms, so nothing has been dropped — but the overlap is not neutral in direction. Those two lenses are the two that sit highest; collapsing them to one would move the central toward the cash-flow and asset lenses, which sit lower. This is the largest single item the reviews raised that has been left open rather than acted on, and it is stated here so that a reader weighs the field knowing it.</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4.25.</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What changed in these editions, and why</w:t>
      </w:r>
    </w:p>
    <w:p>
      <w:pPr>
        <w:spacing w:after="120" w:before="0"/>
      </w:pPr>
      <w:r>
        <w:rPr>
          <w:b w:val="0"/>
          <w:i w:val="0"/>
          <w:color w:val="1C3A36"/>
          <w:sz w:val="21"/>
        </w:rPr>
        <w:t>This study has been through two rounds of external review. 4 independent readers raised 166 findings between them. Every one was priced — what would it move the answer by, if it were right — and then adjudicated on its own evidence rather than on its confidence. Many were rejected with the receipt that rejects them; the ones that survived are below. None of this is presented as refinement: several were errors, and they are called errors here. A study that has been corrected and does not say so is worse than one that was right the first time, because the reader has no way of telling which they are holding.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232"/>
        <w:gridCol w:w="2304"/>
        <w:gridCol w:w="2232"/>
      </w:tblGrid>
      <w:tr>
        <w:trPr>
          <w:cantSplit/>
          <w:tblHeader/>
        </w:trPr>
        <w:tc>
          <w:tcPr>
            <w:tcW w:type="dxa" w:w="3312"/>
            <w:shd w:val="clear" w:color="auto" w:fill="EAF0EE"/>
          </w:tcPr>
          <w:p>
            <w:pPr>
              <w:spacing w:after="20"/>
            </w:pPr>
            <w:r>
              <w:rPr>
                <w:b/>
                <w:color w:val="1C3A36"/>
                <w:sz w:val="17"/>
              </w:rPr>
              <w:t>Edition</w:t>
            </w:r>
          </w:p>
        </w:tc>
        <w:tc>
          <w:tcPr>
            <w:tcW w:type="dxa" w:w="2232"/>
            <w:shd w:val="clear" w:color="auto" w:fill="EAF0EE"/>
          </w:tcPr>
          <w:p>
            <w:pPr>
              <w:spacing w:after="20"/>
            </w:pPr>
            <w:r>
              <w:rPr>
                <w:b/>
                <w:color w:val="1C3A36"/>
                <w:sz w:val="17"/>
              </w:rPr>
              <w:t>Cash-flow lens (AED)</w:t>
            </w:r>
          </w:p>
        </w:tc>
        <w:tc>
          <w:tcPr>
            <w:tcW w:type="dxa" w:w="2304"/>
            <w:shd w:val="clear" w:color="auto" w:fill="EAF0EE"/>
          </w:tcPr>
          <w:p>
            <w:pPr>
              <w:spacing w:after="20"/>
            </w:pPr>
            <w:r>
              <w:rPr>
                <w:b/>
                <w:color w:val="1C3A36"/>
                <w:sz w:val="17"/>
              </w:rPr>
              <w:t>Central (AED)</w:t>
            </w:r>
          </w:p>
        </w:tc>
        <w:tc>
          <w:tcPr>
            <w:tcW w:type="dxa" w:w="2232"/>
            <w:shd w:val="clear" w:color="auto" w:fill="EAF0EE"/>
          </w:tcPr>
          <w:p>
            <w:pPr>
              <w:spacing w:after="20"/>
            </w:pPr>
            <w:r>
              <w:rPr>
                <w:b/>
                <w:color w:val="1C3A36"/>
                <w:sz w:val="17"/>
              </w:rPr>
              <w:t>Against the market price of 6.80</w:t>
            </w:r>
          </w:p>
        </w:tc>
      </w:tr>
      <w:tr>
        <w:trPr>
          <w:cantSplit/>
        </w:trPr>
        <w:tc>
          <w:tcPr>
            <w:tcW w:type="dxa" w:w="3312"/>
          </w:tcPr>
          <w:p>
            <w:pPr>
              <w:spacing w:after="20"/>
            </w:pPr>
            <w:r>
              <w:rPr>
                <w:color w:val="1C3A36"/>
                <w:sz w:val="17"/>
              </w:rPr>
              <w:t>As first issued</w:t>
            </w:r>
          </w:p>
        </w:tc>
        <w:tc>
          <w:tcPr>
            <w:tcW w:type="dxa" w:w="2232"/>
          </w:tcPr>
          <w:p>
            <w:pPr>
              <w:spacing w:after="20"/>
              <w:jc w:val="right"/>
            </w:pPr>
            <w:r>
              <w:rPr>
                <w:color w:val="1C3A36"/>
                <w:sz w:val="17"/>
              </w:rPr>
              <w:t>5.69</w:t>
            </w:r>
          </w:p>
        </w:tc>
        <w:tc>
          <w:tcPr>
            <w:tcW w:type="dxa" w:w="2304"/>
          </w:tcPr>
          <w:p>
            <w:pPr>
              <w:spacing w:after="20"/>
              <w:jc w:val="right"/>
            </w:pPr>
            <w:r>
              <w:rPr>
                <w:color w:val="1C3A36"/>
                <w:sz w:val="17"/>
              </w:rPr>
              <w:t>6.60</w:t>
            </w:r>
          </w:p>
        </w:tc>
        <w:tc>
          <w:tcPr>
            <w:tcW w:type="dxa" w:w="2232"/>
          </w:tcPr>
          <w:p>
            <w:pPr>
              <w:spacing w:after="20"/>
              <w:jc w:val="right"/>
            </w:pPr>
            <w:r>
              <w:rPr>
                <w:color w:val="1C3A36"/>
                <w:sz w:val="17"/>
              </w:rPr>
              <w:t>-3%</w:t>
            </w:r>
          </w:p>
        </w:tc>
      </w:tr>
      <w:tr>
        <w:trPr>
          <w:cantSplit/>
        </w:trPr>
        <w:tc>
          <w:tcPr>
            <w:tcW w:type="dxa" w:w="3312"/>
          </w:tcPr>
          <w:p>
            <w:pPr>
              <w:spacing w:after="20"/>
            </w:pPr>
            <w:r>
              <w:rPr>
                <w:color w:val="1C3A36"/>
                <w:sz w:val="17"/>
              </w:rPr>
              <w:t>After the first round of corrections</w:t>
            </w:r>
          </w:p>
        </w:tc>
        <w:tc>
          <w:tcPr>
            <w:tcW w:type="dxa" w:w="2232"/>
          </w:tcPr>
          <w:p>
            <w:pPr>
              <w:spacing w:after="20"/>
              <w:jc w:val="right"/>
            </w:pPr>
            <w:r>
              <w:rPr>
                <w:color w:val="1C3A36"/>
                <w:sz w:val="17"/>
              </w:rPr>
              <w:t>6.03</w:t>
            </w:r>
          </w:p>
        </w:tc>
        <w:tc>
          <w:tcPr>
            <w:tcW w:type="dxa" w:w="2304"/>
          </w:tcPr>
          <w:p>
            <w:pPr>
              <w:spacing w:after="20"/>
              <w:jc w:val="right"/>
            </w:pPr>
            <w:r>
              <w:rPr>
                <w:color w:val="1C3A36"/>
                <w:sz w:val="17"/>
              </w:rPr>
              <w:t>6.58</w:t>
            </w:r>
          </w:p>
        </w:tc>
        <w:tc>
          <w:tcPr>
            <w:tcW w:type="dxa" w:w="2232"/>
          </w:tcPr>
          <w:p>
            <w:pPr>
              <w:spacing w:after="20"/>
              <w:jc w:val="right"/>
            </w:pPr>
            <w:r>
              <w:rPr>
                <w:color w:val="1C3A36"/>
                <w:sz w:val="17"/>
              </w:rPr>
              <w:t>-3%</w:t>
            </w:r>
          </w:p>
        </w:tc>
      </w:tr>
      <w:tr>
        <w:trPr>
          <w:cantSplit/>
        </w:trPr>
        <w:tc>
          <w:tcPr>
            <w:tcW w:type="dxa" w:w="3312"/>
            <w:shd w:val="clear" w:color="auto" w:fill="F6F1E6"/>
          </w:tcPr>
          <w:p>
            <w:pPr>
              <w:spacing w:after="20"/>
            </w:pPr>
            <w:r>
              <w:rPr>
                <w:b/>
                <w:color w:val="1C3A36"/>
                <w:sz w:val="17"/>
              </w:rPr>
              <w:t>This edition, after the second round</w:t>
            </w:r>
          </w:p>
        </w:tc>
        <w:tc>
          <w:tcPr>
            <w:tcW w:type="dxa" w:w="2232"/>
            <w:shd w:val="clear" w:color="auto" w:fill="F6F1E6"/>
          </w:tcPr>
          <w:p>
            <w:pPr>
              <w:spacing w:after="20"/>
              <w:jc w:val="right"/>
            </w:pPr>
            <w:r>
              <w:rPr>
                <w:b/>
                <w:color w:val="1C3A36"/>
                <w:sz w:val="17"/>
              </w:rPr>
              <w:t>5.34</w:t>
            </w:r>
          </w:p>
        </w:tc>
        <w:tc>
          <w:tcPr>
            <w:tcW w:type="dxa" w:w="2304"/>
            <w:shd w:val="clear" w:color="auto" w:fill="F6F1E6"/>
          </w:tcPr>
          <w:p>
            <w:pPr>
              <w:spacing w:after="20"/>
              <w:jc w:val="right"/>
            </w:pPr>
            <w:r>
              <w:rPr>
                <w:b/>
                <w:color w:val="1C3A36"/>
                <w:sz w:val="17"/>
              </w:rPr>
              <w:t>5.34</w:t>
            </w:r>
          </w:p>
        </w:tc>
        <w:tc>
          <w:tcPr>
            <w:tcW w:type="dxa" w:w="2232"/>
            <w:shd w:val="clear" w:color="auto" w:fill="F6F1E6"/>
          </w:tcPr>
          <w:p>
            <w:pPr>
              <w:spacing w:after="20"/>
              <w:jc w:val="right"/>
            </w:pPr>
            <w:r>
              <w:rPr>
                <w:b/>
                <w:color w:val="1C3A36"/>
                <w:sz w:val="17"/>
              </w:rPr>
              <w:t>-21%</w:t>
            </w:r>
          </w:p>
        </w:tc>
      </w:tr>
    </w:tbl>
    <w:p>
      <w:pPr>
        <w:spacing w:after="40"/>
      </w:pPr>
    </w:p>
    <w:p>
      <w:pPr>
        <w:spacing w:after="200" w:before="0"/>
      </w:pPr>
      <w:r>
        <w:rPr>
          <w:b w:val="0"/>
          <w:i/>
          <w:color w:val="6E7B77"/>
          <w:sz w:val="17"/>
        </w:rPr>
        <w:t>Read the two rounds together and the headline has moved less than the work behind it. The first round changed the central by AED -0.02 — essentially nothing — while replacing the tanker build, the cost of capital, the asset lens and the treatment of the joint ventures, because the corrections ran in both directions and very nearly cancelled. The second round moved it AED -1.24, and almost all of that is one item: a vessel purchase the first edition did not know about. The composition of the answer has changed far more than the answer has, which is the honest summary of both rounds.</w:t>
      </w:r>
    </w:p>
    <w:p>
      <w:pPr>
        <w:keepNext/>
        <w:spacing w:after="80" w:before="200"/>
      </w:pPr>
      <w:r>
        <w:rPr>
          <w:b/>
          <w:i w:val="0"/>
          <w:color w:val="1C3A36"/>
          <w:sz w:val="24"/>
        </w:rPr>
        <w:t>Round one — the corrections made in the previous edition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The tanker fleet is built vessel by vessel</w:t>
            </w:r>
          </w:p>
        </w:tc>
        <w:tc>
          <w:tcPr>
            <w:tcW w:type="dxa" w:w="2966"/>
          </w:tcPr>
          <w:p>
            <w:pPr>
              <w:spacing w:after="20"/>
            </w:pPr>
            <w:r>
              <w:rPr>
                <w:color w:val="1C3A36"/>
                <w:sz w:val="15"/>
              </w:rPr>
              <w:t>The company publishes one rate per vessel class per quarter, and that rate is a blend across the whole class — the chief financial officer said so in terms on the first-quarter call. The earlier edition read it as the open-market rate AND then added the vessels on charter out separately at their own lower rates, so the drag of the charters was charged twice.</w:t>
            </w:r>
          </w:p>
        </w:tc>
        <w:tc>
          <w:tcPr>
            <w:tcW w:type="dxa" w:w="2966"/>
          </w:tcPr>
          <w:p>
            <w:pPr>
              <w:spacing w:after="20"/>
            </w:pPr>
            <w:r>
              <w:rPr>
                <w:color w:val="1C3A36"/>
                <w:sz w:val="15"/>
              </w:rPr>
              <w:t>Each of the 12 vessels chartered out earns its own disclosed rate for exactly the days its own contract runs, and the open-market rate is solved out of the published blend rather than assumed. For the largest class in the first quarter of 2026 that gives USD 151,440 a day against a published USD 145,000. Section 1.7.</w:t>
            </w:r>
          </w:p>
        </w:tc>
        <w:tc>
          <w:tcPr>
            <w:tcW w:type="dxa" w:w="2218"/>
          </w:tcPr>
          <w:p>
            <w:pPr>
              <w:spacing w:after="20"/>
            </w:pPr>
            <w:r>
              <w:rPr>
                <w:color w:val="1C3A36"/>
                <w:sz w:val="15"/>
              </w:rPr>
              <w:t>UP. The fleet starts from a higher rate, and the same reversion judgement applied to a higher starting point produces a higher value.</w:t>
            </w:r>
          </w:p>
        </w:tc>
      </w:tr>
      <w:tr>
        <w:trPr>
          <w:cantSplit/>
        </w:trPr>
        <w:tc>
          <w:tcPr>
            <w:tcW w:type="dxa" w:w="1930"/>
          </w:tcPr>
          <w:p>
            <w:pPr>
              <w:spacing w:after="20"/>
            </w:pPr>
            <w:r>
              <w:rPr>
                <w:color w:val="1C3A36"/>
                <w:sz w:val="15"/>
              </w:rPr>
              <w:t>The perpetual capital securities are priced in the cost of capital</w:t>
            </w:r>
          </w:p>
        </w:tc>
        <w:tc>
          <w:tcPr>
            <w:tcW w:type="dxa" w:w="2966"/>
          </w:tcPr>
          <w:p>
            <w:pPr>
              <w:spacing w:after="20"/>
            </w:pPr>
            <w:r>
              <w:rPr>
                <w:color w:val="1C3A36"/>
                <w:sz w:val="15"/>
              </w:rPr>
              <w:t>They were deducted in the bridge as a claim ranking ahead of the ordinary shares but left out of the weights in the cost of capital, on the ground that including them would charge for them twice. That was a non-sequitur, and two of the four reviews said so independently: deducting a claim from value and pricing the capital it supplies are different operations, and doing only the first removes a cheap tranche of funding from the enterprise without letting it lower the rate.</w:t>
            </w:r>
          </w:p>
        </w:tc>
        <w:tc>
          <w:tcPr>
            <w:tcW w:type="dxa" w:w="2966"/>
          </w:tcPr>
          <w:p>
            <w:pPr>
              <w:spacing w:after="20"/>
            </w:pPr>
            <w:r>
              <w:rPr>
                <w:color w:val="1C3A36"/>
                <w:sz w:val="15"/>
              </w:rPr>
              <w:t>They now carry a weight of 12.0% at their own coupon of 4.90%, beside ordinary equity at 83.1% and debt at 4.9%, and that cost normalises with the risk-free rate in the terminal because the coupon floats. The cost of capital falls from 9.23% to 8.71% and the terminal rate from 9.15% to 8.68%. Section 1.8.</w:t>
            </w:r>
          </w:p>
        </w:tc>
        <w:tc>
          <w:tcPr>
            <w:tcW w:type="dxa" w:w="2218"/>
          </w:tcPr>
          <w:p>
            <w:pPr>
              <w:spacing w:after="20"/>
            </w:pPr>
            <w:r>
              <w:rPr>
                <w:color w:val="1C3A36"/>
                <w:sz w:val="15"/>
              </w:rPr>
              <w:t>UP, and this is the largest of the five. A lower discount rate raises a valuation in which most of the value sits beyond the fifth year.</w:t>
            </w:r>
          </w:p>
        </w:tc>
      </w:tr>
      <w:tr>
        <w:trPr>
          <w:cantSplit/>
        </w:trPr>
        <w:tc>
          <w:tcPr>
            <w:tcW w:type="dxa" w:w="1930"/>
          </w:tcPr>
          <w:p>
            <w:pPr>
              <w:spacing w:after="20"/>
            </w:pPr>
            <w:r>
              <w:rPr>
                <w:color w:val="1C3A36"/>
                <w:sz w:val="15"/>
              </w:rPr>
              <w:t>The joint ventures are counted once</w:t>
            </w:r>
          </w:p>
        </w:tc>
        <w:tc>
          <w:tcPr>
            <w:tcW w:type="dxa" w:w="2966"/>
          </w:tcPr>
          <w:p>
            <w:pPr>
              <w:spacing w:after="20"/>
            </w:pPr>
            <w:r>
              <w:rPr>
                <w:color w:val="1C3A36"/>
                <w:sz w:val="15"/>
              </w:rPr>
              <w:t>The earnings the company discloses for each business unit already include the group's share of its equity-accounted joint ventures — USD 21 million inside Gas Carriers and USD 16 million inside Services in FY2025, both visible in the segment note. The earlier edition forecast those earnings inside the units AND added the stakes again at carrying value in the bridge.</w:t>
            </w:r>
          </w:p>
        </w:tc>
        <w:tc>
          <w:tcPr>
            <w:tcW w:type="dxa" w:w="2966"/>
          </w:tcPr>
          <w:p>
            <w:pPr>
              <w:spacing w:after="20"/>
            </w:pPr>
            <w:r>
              <w:rPr>
                <w:color w:val="1C3A36"/>
                <w:sz w:val="15"/>
              </w:rPr>
              <w:t>The joint-venture share is taken out of the unit earnings before the forecast starts. The stakes are still added in the bridge at their reviewed book value of USD 523 million, which is now the only place they appear. Sections 1.1 and 1.6.</w:t>
            </w:r>
          </w:p>
        </w:tc>
        <w:tc>
          <w:tcPr>
            <w:tcW w:type="dxa" w:w="2218"/>
          </w:tcPr>
          <w:p>
            <w:pPr>
              <w:spacing w:after="20"/>
            </w:pPr>
            <w:r>
              <w:rPr>
                <w:color w:val="1C3A36"/>
                <w:sz w:val="15"/>
              </w:rPr>
              <w:t>DOWN. Forecast earnings are lower in both affected units, and the terminal value carries that reduction forward.</w:t>
            </w:r>
          </w:p>
        </w:tc>
      </w:tr>
      <w:tr>
        <w:trPr>
          <w:cantSplit/>
        </w:trPr>
        <w:tc>
          <w:tcPr>
            <w:tcW w:type="dxa" w:w="1930"/>
          </w:tcPr>
          <w:p>
            <w:pPr>
              <w:spacing w:after="20"/>
            </w:pPr>
            <w:r>
              <w:rPr>
                <w:color w:val="1C3A36"/>
                <w:sz w:val="15"/>
              </w:rPr>
              <w:t>The asset lens is residual income, not a justified price-to-book</w:t>
            </w:r>
          </w:p>
        </w:tc>
        <w:tc>
          <w:tcPr>
            <w:tcW w:type="dxa" w:w="2966"/>
          </w:tcPr>
          <w:p>
            <w:pPr>
              <w:spacing w:after="20"/>
            </w:pPr>
            <w:r>
              <w:rPr>
                <w:color w:val="1C3A36"/>
                <w:sz w:val="15"/>
              </w:rPr>
              <w:t>A justified price-to-book multiple assumes a steady state in which the company pays out everything it does not need to fund its growth — at this company's returns, 90% of earnings. It pays out 16% to 36% and compounds its book faster than its own cost of equity, which is the region in which that formula is not merely inaccurate but undefined.</w:t>
            </w:r>
          </w:p>
        </w:tc>
        <w:tc>
          <w:tcPr>
            <w:tcW w:type="dxa" w:w="2966"/>
          </w:tcPr>
          <w:p>
            <w:pPr>
              <w:spacing w:after="20"/>
            </w:pPr>
            <w:r>
              <w:rPr>
                <w:color w:val="1C3A36"/>
                <w:sz w:val="15"/>
              </w:rPr>
              <w:t>Opening ordinary book, plus five years of returns earned above the cost of equity on that book, discounted, plus a remainder fading at 10% a year. Section 1.2.</w:t>
            </w:r>
          </w:p>
        </w:tc>
        <w:tc>
          <w:tcPr>
            <w:tcW w:type="dxa" w:w="2218"/>
          </w:tcPr>
          <w:p>
            <w:pPr>
              <w:spacing w:after="20"/>
            </w:pPr>
            <w:r>
              <w:rPr>
                <w:color w:val="1C3A36"/>
                <w:sz w:val="15"/>
              </w:rPr>
              <w:t>DOWN, and by more than any other single change. On the same returns, the same cost of equity and the same growth, the justified-multiple form gives 2.41× book, or AED 7.02 a share; residual income gives AED 3.91. The difference no longer reaches the answer at all — at the 15% weight an earlier edition gave this read it was worth about AED 0.47 of the published figure.</w:t>
            </w:r>
          </w:p>
        </w:tc>
      </w:tr>
      <w:tr>
        <w:trPr>
          <w:cantSplit/>
        </w:trPr>
        <w:tc>
          <w:tcPr>
            <w:tcW w:type="dxa" w:w="1930"/>
          </w:tcPr>
          <w:p>
            <w:pPr>
              <w:spacing w:after="20"/>
            </w:pPr>
            <w:r>
              <w:rPr>
                <w:color w:val="1C3A36"/>
                <w:sz w:val="15"/>
              </w:rPr>
              <w:t>Earnings per share is struck after the perpetual coupon</w:t>
            </w:r>
          </w:p>
        </w:tc>
        <w:tc>
          <w:tcPr>
            <w:tcW w:type="dxa" w:w="2966"/>
          </w:tcPr>
          <w:p>
            <w:pPr>
              <w:spacing w:after="20"/>
            </w:pPr>
            <w:r>
              <w:rPr>
                <w:color w:val="1C3A36"/>
                <w:sz w:val="15"/>
              </w:rPr>
              <w:t>Forecast earnings per share was profit attributable to ordinary AND perpetual holders divided by the ordinary shares. The coupon ranks ahead of the ordinary shares, so that figure belongs to somebody else.</w:t>
            </w:r>
          </w:p>
        </w:tc>
        <w:tc>
          <w:tcPr>
            <w:tcW w:type="dxa" w:w="2966"/>
          </w:tcPr>
          <w:p>
            <w:pPr>
              <w:spacing w:after="20"/>
            </w:pPr>
            <w:r>
              <w:rPr>
                <w:color w:val="1C3A36"/>
                <w:sz w:val="15"/>
              </w:rPr>
              <w:t>Earnings per share is now profit after the USD 97 million annual coupon, over the ordinary shares. The figure before the coupon is kept as a memorandum line so the two reconcile. Appendix A.1.</w:t>
            </w:r>
          </w:p>
        </w:tc>
        <w:tc>
          <w:tcPr>
            <w:tcW w:type="dxa" w:w="2218"/>
          </w:tcPr>
          <w:p>
            <w:pPr>
              <w:spacing w:after="20"/>
            </w:pPr>
            <w:r>
              <w:rPr>
                <w:color w:val="1C3A36"/>
                <w:sz w:val="15"/>
              </w:rPr>
              <w:t>DOWN by about 5.2% on the per-share earnings, which feeds the earnings-multiple leg of the comparison and normalised lenses.</w:t>
            </w:r>
          </w:p>
        </w:tc>
      </w:tr>
      <w:tr>
        <w:trPr>
          <w:cantSplit/>
        </w:trPr>
        <w:tc>
          <w:tcPr>
            <w:tcW w:type="dxa" w:w="1930"/>
          </w:tcPr>
          <w:p>
            <w:pPr>
              <w:spacing w:after="20"/>
            </w:pPr>
            <w:r>
              <w:rPr>
                <w:color w:val="1C3A36"/>
                <w:sz w:val="15"/>
              </w:rPr>
              <w:t>Two smaller corrections, carried for completeness</w:t>
            </w:r>
          </w:p>
        </w:tc>
        <w:tc>
          <w:tcPr>
            <w:tcW w:type="dxa" w:w="2966"/>
          </w:tcPr>
          <w:p>
            <w:pPr>
              <w:spacing w:after="20"/>
            </w:pPr>
            <w:r>
              <w:rPr>
                <w:color w:val="1C3A36"/>
                <w:sz w:val="15"/>
              </w:rPr>
              <w:t>The fleet was counted at the FY2025 year end, at 53 owned tankers, after a very large crude carrier had already been sold in January 2026. And the minority interests were deducted at book value with no explanation of why book was the right measure when the minorities take 4.5% of profit.</w:t>
            </w:r>
          </w:p>
        </w:tc>
        <w:tc>
          <w:tcPr>
            <w:tcW w:type="dxa" w:w="2966"/>
          </w:tcPr>
          <w:p>
            <w:pPr>
              <w:spacing w:after="20"/>
            </w:pPr>
            <w:r>
              <w:rPr>
                <w:color w:val="1C3A36"/>
                <w:sz w:val="15"/>
              </w:rPr>
              <w:t>The fleet is 52 owned tankers at the valuation date. The minorities are deducted at USD 317 million: the USD 252 million arising on the tanker combination stays at book because that stake is contracted for purchase in mid-2027 at a price already deducted as deferred consideration, and only the remaining USD 37 million is lifted to its share of value. Sections 1.1 and 1.7.</w:t>
            </w:r>
          </w:p>
        </w:tc>
        <w:tc>
          <w:tcPr>
            <w:tcW w:type="dxa" w:w="2218"/>
          </w:tcPr>
          <w:p>
            <w:pPr>
              <w:spacing w:after="20"/>
            </w:pPr>
            <w:r>
              <w:rPr>
                <w:color w:val="1C3A36"/>
                <w:sz w:val="15"/>
              </w:rPr>
              <w:t>DOWN, marginally, on both. The minority treatment costs AED 0.01 a share, not the AED 0.11 that applying the profit share to the whole equity value would have cost — the criticism was right about the premise and wrong about the conclusion.</w:t>
            </w:r>
          </w:p>
        </w:tc>
      </w:tr>
    </w:tbl>
    <w:p>
      <w:pPr>
        <w:spacing w:after="40"/>
      </w:pPr>
    </w:p>
    <w:p>
      <w:pPr>
        <w:keepNext/>
        <w:spacing w:after="80" w:before="200"/>
      </w:pPr>
      <w:r>
        <w:rPr>
          <w:b/>
          <w:i w:val="0"/>
          <w:color w:val="1C3A36"/>
          <w:sz w:val="24"/>
        </w:rPr>
        <w:t>Round two — the corrections made in this edition</w:t>
      </w:r>
    </w:p>
    <w:p>
      <w:pPr>
        <w:spacing w:after="120" w:before="0"/>
      </w:pPr>
      <w:r>
        <w:rPr>
          <w:b w:val="0"/>
          <w:i w:val="0"/>
          <w:color w:val="1C3A36"/>
          <w:sz w:val="21"/>
        </w:rPr>
        <w:t>The second round of review produced one finding that moves the answer materially and several that do not move it at all but damage the document — a table that does not foot, a claim that contradicts the model behind it, two conventions spliced into one series. The second kind is easy to wave through precisely because it costs nothing. They are corrected here on the same terms as the first kind.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A USD 1.3 billion vessel purchase is in the model</w:t>
            </w:r>
          </w:p>
        </w:tc>
        <w:tc>
          <w:tcPr>
            <w:tcW w:type="dxa" w:w="2966"/>
          </w:tcPr>
          <w:p>
            <w:pPr>
              <w:spacing w:after="20"/>
            </w:pPr>
            <w:r>
              <w:rPr>
                <w:color w:val="1C3A36"/>
                <w:sz w:val="15"/>
              </w:rPr>
              <w:t>On 7 Aug 2026 — the anchor date of this study — the company announced the purchase of 11 vessels for about USD 1.3 billion. The previous edition omitted it entirely. That is not a modelling choice: it compared a fair value that excluded the vessels with a market price that already included them.</w:t>
            </w:r>
          </w:p>
        </w:tc>
        <w:tc>
          <w:tcPr>
            <w:tcW w:type="dxa" w:w="2966"/>
          </w:tcPr>
          <w:p>
            <w:pPr>
              <w:spacing w:after="20"/>
            </w:pPr>
            <w:r>
              <w:rPr>
                <w:color w:val="1C3A36"/>
                <w:sz w:val="15"/>
              </w:rPr>
              <w:t>6 very large crude carriers and 5 gas carriers join the fleet on their announced delivery dates and earn from those dates; the USD 1.3 billion is added to net debt in the bridge and to the depreciating asset base. It also independently confirms the fleet count corrected in round one: the company says the purchase takes it to 14 crude carriers, and the corrected valuation-date count of 8 plus 6 is 14. Headline, company overview, section 1.1 and section 1.7.</w:t>
            </w:r>
          </w:p>
        </w:tc>
        <w:tc>
          <w:tcPr>
            <w:tcW w:type="dxa" w:w="2218"/>
          </w:tcPr>
          <w:p>
            <w:pPr>
              <w:spacing w:after="20"/>
            </w:pPr>
            <w:r>
              <w:rPr>
                <w:color w:val="1C3A36"/>
                <w:sz w:val="15"/>
              </w:rPr>
              <w:t>UP, and it is nearly the whole of the second round. The earning fleet grows by more than the debt costs, on the rate path this study already assumed.</w:t>
            </w:r>
          </w:p>
        </w:tc>
      </w:tr>
      <w:tr>
        <w:trPr>
          <w:cantSplit/>
        </w:trPr>
        <w:tc>
          <w:tcPr>
            <w:tcW w:type="dxa" w:w="1930"/>
          </w:tcPr>
          <w:p>
            <w:pPr>
              <w:spacing w:after="20"/>
            </w:pPr>
            <w:r>
              <w:rPr>
                <w:color w:val="1C3A36"/>
                <w:sz w:val="15"/>
              </w:rPr>
              <w:t>The smallest tankers are no longer carried at a rate that moved the opposite way</w:t>
            </w:r>
          </w:p>
        </w:tc>
        <w:tc>
          <w:tcPr>
            <w:tcW w:type="dxa" w:w="2966"/>
          </w:tcPr>
          <w:p>
            <w:pPr>
              <w:spacing w:after="20"/>
            </w:pPr>
            <w:r>
              <w:rPr>
                <w:color w:val="1C3A36"/>
                <w:sz w:val="15"/>
              </w:rPr>
              <w:t>The handysize class is not broken out in any published rate table, so the previous edition carried it at the medium-range rate unadjusted. On the first-quarter call the company said handysize rates were SOFTER while medium range was UP — the two classes moved in opposite directions, so the substitution had the sign wrong, not merely the magnitude.</w:t>
            </w:r>
          </w:p>
        </w:tc>
        <w:tc>
          <w:tcPr>
            <w:tcW w:type="dxa" w:w="2966"/>
          </w:tcPr>
          <w:p>
            <w:pPr>
              <w:spacing w:after="20"/>
            </w:pPr>
            <w:r>
              <w:rPr>
                <w:color w:val="1C3A36"/>
                <w:sz w:val="15"/>
              </w:rPr>
              <w:t>Carried at 0.79× the medium-range rate, the relative move the company itself disclosed. Section 1.7.</w:t>
            </w:r>
          </w:p>
        </w:tc>
        <w:tc>
          <w:tcPr>
            <w:tcW w:type="dxa" w:w="2218"/>
          </w:tcPr>
          <w:p>
            <w:pPr>
              <w:spacing w:after="20"/>
            </w:pPr>
            <w:r>
              <w:rPr>
                <w:color w:val="1C3A36"/>
                <w:sz w:val="15"/>
              </w:rPr>
              <w:t>DOWN, and small: 2 of 52 owned tankers and the lowest earners in the fleet. A substitution that points the wrong way is still worth correcting.</w:t>
            </w:r>
          </w:p>
        </w:tc>
      </w:tr>
      <w:tr>
        <w:trPr>
          <w:cantSplit/>
        </w:trPr>
        <w:tc>
          <w:tcPr>
            <w:tcW w:type="dxa" w:w="1930"/>
          </w:tcPr>
          <w:p>
            <w:pPr>
              <w:spacing w:after="20"/>
            </w:pPr>
            <w:r>
              <w:rPr>
                <w:color w:val="1C3A36"/>
                <w:sz w:val="15"/>
              </w:rPr>
              <w:t>Receivable days are re-based onto the revenue the forecast is built at</w:t>
            </w:r>
          </w:p>
        </w:tc>
        <w:tc>
          <w:tcPr>
            <w:tcW w:type="dxa" w:w="2966"/>
          </w:tcPr>
          <w:p>
            <w:pPr>
              <w:spacing w:after="20"/>
            </w:pPr>
            <w:r>
              <w:rPr>
                <w:color w:val="1C3A36"/>
                <w:sz w:val="15"/>
              </w:rPr>
              <w:t>Receivable days were calibrated on FY2025 revenue, which carries a 2.73× gross-up over the owned fleet's own charter-equivalent revenue, and then applied to a forecast revenue line built at 2.61×. Two conventions on the two sides of one ratio.</w:t>
            </w:r>
          </w:p>
        </w:tc>
        <w:tc>
          <w:tcPr>
            <w:tcW w:type="dxa" w:w="2966"/>
          </w:tcPr>
          <w:p>
            <w:pPr>
              <w:spacing w:after="20"/>
            </w:pPr>
            <w:r>
              <w:rPr>
                <w:color w:val="1C3A36"/>
                <w:sz w:val="15"/>
              </w:rPr>
              <w:t>Re-based onto the basis the forecast uses: 108.4 days becomes 110.1. Section 1.1.</w:t>
            </w:r>
          </w:p>
        </w:tc>
        <w:tc>
          <w:tcPr>
            <w:tcW w:type="dxa" w:w="2218"/>
          </w:tcPr>
          <w:p>
            <w:pPr>
              <w:spacing w:after="20"/>
            </w:pPr>
            <w:r>
              <w:rPr>
                <w:color w:val="1C3A36"/>
                <w:sz w:val="15"/>
              </w:rPr>
              <w:t>DOWN. A larger receivable balance means a larger build in working capital, and the change in working capital is a line in the cash-flow waterfall. This is also what falsified a caveat the previous edition printed — see section 7.</w:t>
            </w:r>
          </w:p>
        </w:tc>
      </w:tr>
      <w:tr>
        <w:trPr>
          <w:cantSplit/>
        </w:trPr>
        <w:tc>
          <w:tcPr>
            <w:tcW w:type="dxa" w:w="1930"/>
          </w:tcPr>
          <w:p>
            <w:pPr>
              <w:spacing w:after="20"/>
            </w:pPr>
            <w:r>
              <w:rPr>
                <w:color w:val="1C3A36"/>
                <w:sz w:val="15"/>
              </w:rPr>
              <w:t>The cost of debt is described as the average it is</w:t>
            </w:r>
          </w:p>
        </w:tc>
        <w:tc>
          <w:tcPr>
            <w:tcW w:type="dxa" w:w="2966"/>
          </w:tcPr>
          <w:p>
            <w:pPr>
              <w:spacing w:after="20"/>
            </w:pPr>
            <w:r>
              <w:rPr>
                <w:color w:val="1C3A36"/>
                <w:sz w:val="15"/>
              </w:rPr>
              <w:t>The previous edition called the adopted pre-tax cost of debt a figure “weighted across the drawn book”. It is not weighted. It is the plain average of three constructions, one of which happens to be the balance-weighted one.</w:t>
            </w:r>
          </w:p>
        </w:tc>
        <w:tc>
          <w:tcPr>
            <w:tcW w:type="dxa" w:w="2966"/>
          </w:tcPr>
          <w:p>
            <w:pPr>
              <w:spacing w:after="20"/>
            </w:pPr>
            <w:r>
              <w:rPr>
                <w:color w:val="1C3A36"/>
                <w:sz w:val="15"/>
              </w:rPr>
              <w:t>Published as an average, at 6.35%, with the genuinely balance-weighted construction shown beside it at 6.35%. Section 1.8.</w:t>
            </w:r>
          </w:p>
        </w:tc>
        <w:tc>
          <w:tcPr>
            <w:tcW w:type="dxa" w:w="2218"/>
          </w:tcPr>
          <w:p>
            <w:pPr>
              <w:spacing w:after="20"/>
            </w:pPr>
            <w:r>
              <w:rPr>
                <w:color w:val="1C3A36"/>
                <w:sz w:val="15"/>
              </w:rPr>
              <w:t>NO MOVEMENT — the figure did not change, only the description of it. The two constructions are 0 basis points apart on a tranche that is 4.9% of capital.</w:t>
            </w:r>
          </w:p>
        </w:tc>
      </w:tr>
      <w:tr>
        <w:trPr>
          <w:cantSplit/>
        </w:trPr>
        <w:tc>
          <w:tcPr>
            <w:tcW w:type="dxa" w:w="1930"/>
          </w:tcPr>
          <w:p>
            <w:pPr>
              <w:spacing w:after="20"/>
            </w:pPr>
            <w:r>
              <w:rPr>
                <w:color w:val="1C3A36"/>
                <w:sz w:val="15"/>
              </w:rPr>
              <w:t>The depreciation rate is kept, and now carries its evidence</w:t>
            </w:r>
          </w:p>
        </w:tc>
        <w:tc>
          <w:tcPr>
            <w:tcW w:type="dxa" w:w="2966"/>
          </w:tcPr>
          <w:p>
            <w:pPr>
              <w:spacing w:after="20"/>
            </w:pPr>
            <w:r>
              <w:rPr>
                <w:color w:val="1C3A36"/>
                <w:sz w:val="15"/>
              </w:rPr>
              <w:t>A reviewer proposed replacing the rate used with the FY2025 realised rate of 6.75%. The previous edition gave no evidence either way, which made the choice look arbitrary.</w:t>
            </w:r>
          </w:p>
        </w:tc>
        <w:tc>
          <w:tcPr>
            <w:tcW w:type="dxa" w:w="2966"/>
          </w:tcPr>
          <w:p>
            <w:pPr>
              <w:spacing w:after="20"/>
            </w:pPr>
            <w:r>
              <w:rPr>
                <w:color w:val="1C3A36"/>
                <w:sz w:val="15"/>
              </w:rPr>
              <w:t>The disclosed useful lives, the realised rate and the rate used are now shown together. Both candidates sit ABOVE what the stated lives imply for the fleet, because dry-docking components are written off over a few years; the rate used, 5.91%, is the LOWER — the more conservative of the two forward bases. Section 1.1.</w:t>
            </w:r>
          </w:p>
        </w:tc>
        <w:tc>
          <w:tcPr>
            <w:tcW w:type="dxa" w:w="2218"/>
          </w:tcPr>
          <w:p>
            <w:pPr>
              <w:spacing w:after="20"/>
            </w:pPr>
            <w:r>
              <w:rPr>
                <w:color w:val="1C3A36"/>
                <w:sz w:val="15"/>
              </w:rPr>
              <w:t>NO MOVEMENT. The rate is unchanged; the reader can now see why, and disagree on the evidence rather than on assertion.</w:t>
            </w:r>
          </w:p>
        </w:tc>
      </w:tr>
      <w:tr>
        <w:trPr>
          <w:cantSplit/>
        </w:trPr>
        <w:tc>
          <w:tcPr>
            <w:tcW w:type="dxa" w:w="1930"/>
          </w:tcPr>
          <w:p>
            <w:pPr>
              <w:spacing w:after="20"/>
            </w:pPr>
            <w:r>
              <w:rPr>
                <w:color w:val="1C3A36"/>
                <w:sz w:val="15"/>
              </w:rPr>
              <w:t>The earnings multiple is published on both bases</w:t>
            </w:r>
          </w:p>
        </w:tc>
        <w:tc>
          <w:tcPr>
            <w:tcW w:type="dxa" w:w="2966"/>
          </w:tcPr>
          <w:p>
            <w:pPr>
              <w:spacing w:after="20"/>
            </w:pPr>
            <w:r>
              <w:rPr>
                <w:color w:val="1C3A36"/>
                <w:sz w:val="15"/>
              </w:rPr>
              <w:t>The previous edition applied the peers' FORWARD multiple to forward earnings, which is right, but quoted the company's own multiple on a TRAILING basis in the table beside peers shown forward.</w:t>
            </w:r>
          </w:p>
        </w:tc>
        <w:tc>
          <w:tcPr>
            <w:tcW w:type="dxa" w:w="2966"/>
          </w:tcPr>
          <w:p>
            <w:pPr>
              <w:spacing w:after="20"/>
            </w:pPr>
            <w:r>
              <w:rPr>
                <w:color w:val="1C3A36"/>
                <w:sz w:val="15"/>
              </w:rPr>
              <w:t>Both bases are published throughout: the blend is 11.64× forward and 12.86× trailing, and the company is shown at 7.78× forward beside 17.63× trailing. Section 1.3.</w:t>
            </w:r>
          </w:p>
        </w:tc>
        <w:tc>
          <w:tcPr>
            <w:tcW w:type="dxa" w:w="2218"/>
          </w:tcPr>
          <w:p>
            <w:pPr>
              <w:spacing w:after="20"/>
            </w:pPr>
            <w:r>
              <w:rPr>
                <w:color w:val="1C3A36"/>
                <w:sz w:val="15"/>
              </w:rPr>
              <w:t>NO MOVEMENT on the lens, which always used the forward blend. It removes a comparison that was not like for like.</w:t>
            </w:r>
          </w:p>
        </w:tc>
      </w:tr>
      <w:tr>
        <w:trPr>
          <w:cantSplit/>
        </w:trPr>
        <w:tc>
          <w:tcPr>
            <w:tcW w:type="dxa" w:w="1930"/>
          </w:tcPr>
          <w:p>
            <w:pPr>
              <w:spacing w:after="20"/>
            </w:pPr>
            <w:r>
              <w:rPr>
                <w:color w:val="1C3A36"/>
                <w:sz w:val="15"/>
              </w:rPr>
              <w:t>Several tables that did not foot, or described themselves wrongly</w:t>
            </w:r>
          </w:p>
        </w:tc>
        <w:tc>
          <w:tcPr>
            <w:tcW w:type="dxa" w:w="2966"/>
          </w:tcPr>
          <w:p>
            <w:pPr>
              <w:spacing w:after="20"/>
            </w:pPr>
            <w:r>
              <w:rPr>
                <w:color w:val="1C3A36"/>
                <w:sz w:val="15"/>
              </w:rPr>
              <w:t>The bridge from enterprise value to equity did not add up once the purchase above was in the model. The guidance reconciliation did not foot and called the study's own conversion of directional guidance “the midpoint of the ranges the company published”. Return on equity ran on closing equity in the reported years and average equity in the forecast years, inside one row and one sentence. The leverage ratio ran on two different earnings definitions in the same row. The price-to-book memorandum was struck on a wider book than the multiple printed above it. The published bear-to-bull range was described as the beta's own interval when it also moves the rate anchor and the capital programme.</w:t>
            </w:r>
          </w:p>
        </w:tc>
        <w:tc>
          <w:tcPr>
            <w:tcW w:type="dxa" w:w="2966"/>
          </w:tcPr>
          <w:p>
            <w:pPr>
              <w:spacing w:after="20"/>
            </w:pPr>
            <w:r>
              <w:rPr>
                <w:color w:val="1C3A36"/>
                <w:sz w:val="15"/>
              </w:rPr>
              <w:t>Each is corrected in place and the superseded description is named rather than removed. Sections 1.1, 1.2, 1.3, 1.5, 1.6, 1.8, 1.9 and Appendix A.2.</w:t>
            </w:r>
          </w:p>
        </w:tc>
        <w:tc>
          <w:tcPr>
            <w:tcW w:type="dxa" w:w="2218"/>
          </w:tcPr>
          <w:p>
            <w:pPr>
              <w:spacing w:after="20"/>
            </w:pPr>
            <w:r>
              <w:rPr>
                <w:color w:val="1C3A36"/>
                <w:sz w:val="15"/>
              </w:rPr>
              <w:t>NO MOVEMENT on any fair value. Every one of them was a defect in what the document says about itself, which is the class of finding that gets waved through because it prices at zero.</w:t>
            </w:r>
          </w:p>
        </w:tc>
      </w:tr>
    </w:tbl>
    <w:p>
      <w:pPr>
        <w:spacing w:after="40"/>
      </w:pPr>
    </w:p>
    <w:p>
      <w:pPr>
        <w:spacing w:after="120" w:before="0"/>
      </w:pPr>
      <w:r>
        <w:rPr>
          <w:b w:val="0"/>
          <w:i w:val="0"/>
          <w:color w:val="1C3A36"/>
          <w:sz w:val="21"/>
        </w:rPr>
        <w:t>One thing did not change and is worth saying so. The reversion judgement in section 1.7 — that the fleet glides over four years to the average of what it earned in FY2024 and FY2025 — is the same judgement it was, and it remains the largest open question in the study. The corrections above changed what the fleet is reverting FROM, not the view about where it settles.</w:t>
      </w:r>
    </w:p>
    <w:p>
      <w:pPr>
        <w:keepNext/>
        <w:spacing w:after="80" w:before="200"/>
      </w:pPr>
      <w:r>
        <w:rPr>
          <w:b/>
          <w:i w:val="0"/>
          <w:color w:val="1C3A36"/>
          <w:sz w:val="24"/>
        </w:rPr>
        <w:t>Since the second round — the beta re-measured</w:t>
      </w:r>
    </w:p>
    <w:p>
      <w:pPr>
        <w:spacing w:after="120" w:before="0"/>
      </w:pPr>
      <w:r>
        <w:rPr>
          <w:b w:val="0"/>
          <w:i w:val="0"/>
          <w:color w:val="1C3A36"/>
          <w:sz w:val="21"/>
        </w:rPr>
        <w:t>One further change has been made since the corrections above, and it comes from method rather than from a reviewer. The beta is now produced by the same standard routine used for every share covered on this desk, which resolves the market series from the exchange the share is listed on, screens both series for data quality before pairing them, and measures the weekly returns on that exchange's own trading week. The market series it resolved is the one this study was already using — the FTSE ADX General Index — so nothing about WHICH market the share is measured against has changed. What changed is the grid the returns are measured on and the screening applied before they are paired, and on 159 weekly observations that moves the measured slope from 1.085 to 1.103 and widens its 90% interval from [0.758, 1.412] to [0.586, 1.621].</w:t>
      </w:r>
    </w:p>
    <w:p>
      <w:pPr>
        <w:spacing w:after="120" w:before="0"/>
      </w:pPr>
      <w:r>
        <w:rPr>
          <w:b w:val="0"/>
          <w:i w:val="0"/>
          <w:color w:val="1C3A36"/>
          <w:sz w:val="21"/>
        </w:rPr>
        <w:t>Two consequences, both of which make this document say LESS than the last one rather than more. The cash-flow lens falls to AED 5.34 and the central with it — they are the same number, the central being that lens rather than a blend of several — because a higher beta discounts harder. And the bear and bull cases widen, because they are taken from that interval directly rather than chosen: the published range on the cash-flow lens is now AED 2.76 to AED 9.98. An interval that widens on re-measurement is information about how much a three-year price history can settle, and the answer is: less than the previous edition implied. The equal-weight composite reading of 0.690 continues to be published beside the adopted figure at full size throughout, and one thing said about it in the last edition is no longer true: it sits inside the adopted estimate's own 90% interval, where against the narrower interval of the last edition it sat outside it.</w:t>
      </w:r>
    </w:p>
    <w:p>
      <w:pPr>
        <w:spacing w:after="200" w:before="0"/>
      </w:pPr>
      <w:r>
        <w:rPr>
          <w:b w:val="0"/>
          <w:i w:val="0"/>
          <w:color w:val="1C3A36"/>
          <w:sz w:val="21"/>
        </w:rPr>
        <w:t>And one finding has been left open rather than acted on, which a reader should know before weighing the field. The relative lens and the normalised lens share all three multiples and the same weighting between the enterprise and earnings readings; what differs between them is only the earnings denominator those multiples are applied to. An earlier edition weighted them 45% of a blended central, so that much of the headline rested on one method presented as two reads. THE ARCHITECTURE RATHER THAN THE READS IS WHAT CHANGED: neither carries any of the answer now, and both are published beside it, so the overlap is visible instead of compounded. Both denominators remain legitimate questions and neither read is redundant on its own terms. It is not neutral in direction — those are the two reads that sit highest — and that is now something a reader can see rather than something buried in a weight. Section 1.5 and section 7 both carry it.</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6,982</w:t>
            </w:r>
          </w:p>
        </w:tc>
        <w:tc>
          <w:tcPr>
            <w:tcW w:type="dxa" w:w="950"/>
          </w:tcPr>
          <w:p>
            <w:pPr>
              <w:spacing w:after="20"/>
              <w:jc w:val="right"/>
            </w:pPr>
            <w:r>
              <w:rPr>
                <w:color w:val="1C3A36"/>
                <w:sz w:val="15"/>
              </w:rPr>
              <w:t>7,690</w:t>
            </w:r>
          </w:p>
        </w:tc>
        <w:tc>
          <w:tcPr>
            <w:tcW w:type="dxa" w:w="950"/>
          </w:tcPr>
          <w:p>
            <w:pPr>
              <w:spacing w:after="20"/>
              <w:jc w:val="right"/>
            </w:pPr>
            <w:r>
              <w:rPr>
                <w:color w:val="1C3A36"/>
                <w:sz w:val="15"/>
              </w:rPr>
              <w:t>7,447</w:t>
            </w:r>
          </w:p>
        </w:tc>
        <w:tc>
          <w:tcPr>
            <w:tcW w:type="dxa" w:w="950"/>
          </w:tcPr>
          <w:p>
            <w:pPr>
              <w:spacing w:after="20"/>
              <w:jc w:val="right"/>
            </w:pPr>
            <w:r>
              <w:rPr>
                <w:color w:val="1C3A36"/>
                <w:sz w:val="15"/>
              </w:rPr>
              <w:t>6,716</w:t>
            </w:r>
          </w:p>
        </w:tc>
        <w:tc>
          <w:tcPr>
            <w:tcW w:type="dxa" w:w="950"/>
          </w:tcPr>
          <w:p>
            <w:pPr>
              <w:spacing w:after="20"/>
              <w:jc w:val="right"/>
            </w:pPr>
            <w:r>
              <w:rPr>
                <w:color w:val="1C3A36"/>
                <w:sz w:val="15"/>
              </w:rPr>
              <w:t>5,890</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(4,266)</w:t>
            </w:r>
          </w:p>
        </w:tc>
        <w:tc>
          <w:tcPr>
            <w:tcW w:type="dxa" w:w="950"/>
          </w:tcPr>
          <w:p>
            <w:pPr>
              <w:spacing w:after="20"/>
              <w:jc w:val="right"/>
            </w:pPr>
            <w:r>
              <w:rPr>
                <w:color w:val="1C3A36"/>
                <w:sz w:val="15"/>
              </w:rPr>
              <w:t>(4,550)</w:t>
            </w:r>
          </w:p>
        </w:tc>
        <w:tc>
          <w:tcPr>
            <w:tcW w:type="dxa" w:w="950"/>
          </w:tcPr>
          <w:p>
            <w:pPr>
              <w:spacing w:after="20"/>
              <w:jc w:val="right"/>
            </w:pPr>
            <w:r>
              <w:rPr>
                <w:color w:val="1C3A36"/>
                <w:sz w:val="15"/>
              </w:rPr>
              <w:t>(4,523)</w:t>
            </w:r>
          </w:p>
        </w:tc>
        <w:tc>
          <w:tcPr>
            <w:tcW w:type="dxa" w:w="950"/>
          </w:tcPr>
          <w:p>
            <w:pPr>
              <w:spacing w:after="20"/>
              <w:jc w:val="right"/>
            </w:pPr>
            <w:r>
              <w:rPr>
                <w:color w:val="1C3A36"/>
                <w:sz w:val="15"/>
              </w:rPr>
              <w:t>(4,290)</w:t>
            </w:r>
          </w:p>
        </w:tc>
        <w:tc>
          <w:tcPr>
            <w:tcW w:type="dxa" w:w="950"/>
          </w:tcPr>
          <w:p>
            <w:pPr>
              <w:spacing w:after="20"/>
              <w:jc w:val="right"/>
            </w:pPr>
            <w:r>
              <w:rPr>
                <w:color w:val="1C3A36"/>
                <w:sz w:val="15"/>
              </w:rPr>
              <w:t>(4,010)</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2,716</w:t>
            </w:r>
          </w:p>
        </w:tc>
        <w:tc>
          <w:tcPr>
            <w:tcW w:type="dxa" w:w="950"/>
            <w:shd w:val="clear" w:color="auto" w:fill="F6F1E6"/>
          </w:tcPr>
          <w:p>
            <w:pPr>
              <w:spacing w:after="20"/>
              <w:jc w:val="right"/>
            </w:pPr>
            <w:r>
              <w:rPr>
                <w:b/>
                <w:color w:val="1C3A36"/>
                <w:sz w:val="15"/>
              </w:rPr>
              <w:t>3,140</w:t>
            </w:r>
          </w:p>
        </w:tc>
        <w:tc>
          <w:tcPr>
            <w:tcW w:type="dxa" w:w="950"/>
            <w:shd w:val="clear" w:color="auto" w:fill="F6F1E6"/>
          </w:tcPr>
          <w:p>
            <w:pPr>
              <w:spacing w:after="20"/>
              <w:jc w:val="right"/>
            </w:pPr>
            <w:r>
              <w:rPr>
                <w:b/>
                <w:color w:val="1C3A36"/>
                <w:sz w:val="15"/>
              </w:rPr>
              <w:t>2,924</w:t>
            </w:r>
          </w:p>
        </w:tc>
        <w:tc>
          <w:tcPr>
            <w:tcW w:type="dxa" w:w="950"/>
            <w:shd w:val="clear" w:color="auto" w:fill="F6F1E6"/>
          </w:tcPr>
          <w:p>
            <w:pPr>
              <w:spacing w:after="20"/>
              <w:jc w:val="right"/>
            </w:pPr>
            <w:r>
              <w:rPr>
                <w:b/>
                <w:color w:val="1C3A36"/>
                <w:sz w:val="15"/>
              </w:rPr>
              <w:t>2,426</w:t>
            </w:r>
          </w:p>
        </w:tc>
        <w:tc>
          <w:tcPr>
            <w:tcW w:type="dxa" w:w="950"/>
            <w:shd w:val="clear" w:color="auto" w:fill="F6F1E6"/>
          </w:tcPr>
          <w:p>
            <w:pPr>
              <w:spacing w:after="20"/>
              <w:jc w:val="right"/>
            </w:pPr>
            <w:r>
              <w:rPr>
                <w:b/>
                <w:color w:val="1C3A36"/>
                <w:sz w:val="15"/>
              </w:rPr>
              <w:t>1,880</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38.9%</w:t>
            </w:r>
          </w:p>
        </w:tc>
        <w:tc>
          <w:tcPr>
            <w:tcW w:type="dxa" w:w="950"/>
          </w:tcPr>
          <w:p>
            <w:pPr>
              <w:spacing w:after="20"/>
              <w:jc w:val="right"/>
            </w:pPr>
            <w:r>
              <w:rPr>
                <w:color w:val="1C3A36"/>
                <w:sz w:val="15"/>
              </w:rPr>
              <w:t>40.8%</w:t>
            </w:r>
          </w:p>
        </w:tc>
        <w:tc>
          <w:tcPr>
            <w:tcW w:type="dxa" w:w="950"/>
          </w:tcPr>
          <w:p>
            <w:pPr>
              <w:spacing w:after="20"/>
              <w:jc w:val="right"/>
            </w:pPr>
            <w:r>
              <w:rPr>
                <w:color w:val="1C3A36"/>
                <w:sz w:val="15"/>
              </w:rPr>
              <w:t>39.3%</w:t>
            </w:r>
          </w:p>
        </w:tc>
        <w:tc>
          <w:tcPr>
            <w:tcW w:type="dxa" w:w="950"/>
          </w:tcPr>
          <w:p>
            <w:pPr>
              <w:spacing w:after="20"/>
              <w:jc w:val="right"/>
            </w:pPr>
            <w:r>
              <w:rPr>
                <w:color w:val="1C3A36"/>
                <w:sz w:val="15"/>
              </w:rPr>
              <w:t>36.1%</w:t>
            </w:r>
          </w:p>
        </w:tc>
        <w:tc>
          <w:tcPr>
            <w:tcW w:type="dxa" w:w="950"/>
          </w:tcPr>
          <w:p>
            <w:pPr>
              <w:spacing w:after="20"/>
              <w:jc w:val="right"/>
            </w:pPr>
            <w:r>
              <w:rPr>
                <w:color w:val="1C3A36"/>
                <w:sz w:val="15"/>
              </w:rPr>
              <w:t>31.9%</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(587)</w:t>
            </w:r>
          </w:p>
        </w:tc>
        <w:tc>
          <w:tcPr>
            <w:tcW w:type="dxa" w:w="950"/>
          </w:tcPr>
          <w:p>
            <w:pPr>
              <w:spacing w:after="20"/>
              <w:jc w:val="right"/>
            </w:pPr>
            <w:r>
              <w:rPr>
                <w:color w:val="1C3A36"/>
                <w:sz w:val="15"/>
              </w:rPr>
              <w:t>(675)</w:t>
            </w:r>
          </w:p>
        </w:tc>
        <w:tc>
          <w:tcPr>
            <w:tcW w:type="dxa" w:w="950"/>
          </w:tcPr>
          <w:p>
            <w:pPr>
              <w:spacing w:after="20"/>
              <w:jc w:val="right"/>
            </w:pPr>
            <w:r>
              <w:rPr>
                <w:color w:val="1C3A36"/>
                <w:sz w:val="15"/>
              </w:rPr>
              <w:t>(717)</w:t>
            </w:r>
          </w:p>
        </w:tc>
        <w:tc>
          <w:tcPr>
            <w:tcW w:type="dxa" w:w="950"/>
          </w:tcPr>
          <w:p>
            <w:pPr>
              <w:spacing w:after="20"/>
              <w:jc w:val="right"/>
            </w:pPr>
            <w:r>
              <w:rPr>
                <w:color w:val="1C3A36"/>
                <w:sz w:val="15"/>
              </w:rPr>
              <w:t>(741)</w:t>
            </w:r>
          </w:p>
        </w:tc>
        <w:tc>
          <w:tcPr>
            <w:tcW w:type="dxa" w:w="950"/>
          </w:tcPr>
          <w:p>
            <w:pPr>
              <w:spacing w:after="20"/>
              <w:jc w:val="right"/>
            </w:pPr>
            <w:r>
              <w:rPr>
                <w:color w:val="1C3A36"/>
                <w:sz w:val="15"/>
              </w:rPr>
              <w:t>(747)</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2,129</w:t>
            </w:r>
          </w:p>
        </w:tc>
        <w:tc>
          <w:tcPr>
            <w:tcW w:type="dxa" w:w="950"/>
          </w:tcPr>
          <w:p>
            <w:pPr>
              <w:spacing w:after="20"/>
              <w:jc w:val="right"/>
            </w:pPr>
            <w:r>
              <w:rPr>
                <w:color w:val="1C3A36"/>
                <w:sz w:val="15"/>
              </w:rPr>
              <w:t>2,465</w:t>
            </w:r>
          </w:p>
        </w:tc>
        <w:tc>
          <w:tcPr>
            <w:tcW w:type="dxa" w:w="950"/>
          </w:tcPr>
          <w:p>
            <w:pPr>
              <w:spacing w:after="20"/>
              <w:jc w:val="right"/>
            </w:pPr>
            <w:r>
              <w:rPr>
                <w:color w:val="1C3A36"/>
                <w:sz w:val="15"/>
              </w:rPr>
              <w:t>2,207</w:t>
            </w:r>
          </w:p>
        </w:tc>
        <w:tc>
          <w:tcPr>
            <w:tcW w:type="dxa" w:w="950"/>
          </w:tcPr>
          <w:p>
            <w:pPr>
              <w:spacing w:after="20"/>
              <w:jc w:val="right"/>
            </w:pPr>
            <w:r>
              <w:rPr>
                <w:color w:val="1C3A36"/>
                <w:sz w:val="15"/>
              </w:rPr>
              <w:t>1,685</w:t>
            </w:r>
          </w:p>
        </w:tc>
        <w:tc>
          <w:tcPr>
            <w:tcW w:type="dxa" w:w="950"/>
          </w:tcPr>
          <w:p>
            <w:pPr>
              <w:spacing w:after="20"/>
              <w:jc w:val="right"/>
            </w:pPr>
            <w:r>
              <w:rPr>
                <w:color w:val="1C3A36"/>
                <w:sz w:val="15"/>
              </w:rPr>
              <w:t>1,134</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(111)</w:t>
            </w:r>
          </w:p>
        </w:tc>
        <w:tc>
          <w:tcPr>
            <w:tcW w:type="dxa" w:w="950"/>
          </w:tcPr>
          <w:p>
            <w:pPr>
              <w:spacing w:after="20"/>
              <w:jc w:val="right"/>
            </w:pPr>
            <w:r>
              <w:rPr>
                <w:color w:val="1C3A36"/>
                <w:sz w:val="15"/>
              </w:rPr>
              <w:t>(38)</w:t>
            </w:r>
          </w:p>
        </w:tc>
        <w:tc>
          <w:tcPr>
            <w:tcW w:type="dxa" w:w="950"/>
          </w:tcPr>
          <w:p>
            <w:pPr>
              <w:spacing w:after="20"/>
              <w:jc w:val="right"/>
            </w:pPr>
            <w:r>
              <w:rPr>
                <w:color w:val="1C3A36"/>
                <w:sz w:val="15"/>
              </w:rPr>
              <w:t>(-37)</w:t>
            </w:r>
          </w:p>
        </w:tc>
        <w:tc>
          <w:tcPr>
            <w:tcW w:type="dxa" w:w="950"/>
          </w:tcPr>
          <w:p>
            <w:pPr>
              <w:spacing w:after="20"/>
              <w:jc w:val="right"/>
            </w:pPr>
            <w:r>
              <w:rPr>
                <w:color w:val="1C3A36"/>
                <w:sz w:val="15"/>
              </w:rPr>
              <w:t>(-124)</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1,996</w:t>
            </w:r>
          </w:p>
        </w:tc>
        <w:tc>
          <w:tcPr>
            <w:tcW w:type="dxa" w:w="950"/>
          </w:tcPr>
          <w:p>
            <w:pPr>
              <w:spacing w:after="20"/>
              <w:jc w:val="right"/>
            </w:pPr>
            <w:r>
              <w:rPr>
                <w:color w:val="1C3A36"/>
                <w:sz w:val="15"/>
              </w:rPr>
              <w:t>2,354</w:t>
            </w:r>
          </w:p>
        </w:tc>
        <w:tc>
          <w:tcPr>
            <w:tcW w:type="dxa" w:w="950"/>
          </w:tcPr>
          <w:p>
            <w:pPr>
              <w:spacing w:after="20"/>
              <w:jc w:val="right"/>
            </w:pPr>
            <w:r>
              <w:rPr>
                <w:color w:val="1C3A36"/>
                <w:sz w:val="15"/>
              </w:rPr>
              <w:t>2,169</w:t>
            </w:r>
          </w:p>
        </w:tc>
        <w:tc>
          <w:tcPr>
            <w:tcW w:type="dxa" w:w="950"/>
          </w:tcPr>
          <w:p>
            <w:pPr>
              <w:spacing w:after="20"/>
              <w:jc w:val="right"/>
            </w:pPr>
            <w:r>
              <w:rPr>
                <w:color w:val="1C3A36"/>
                <w:sz w:val="15"/>
              </w:rPr>
              <w:t>1,722</w:t>
            </w:r>
          </w:p>
        </w:tc>
        <w:tc>
          <w:tcPr>
            <w:tcW w:type="dxa" w:w="950"/>
          </w:tcPr>
          <w:p>
            <w:pPr>
              <w:spacing w:after="20"/>
              <w:jc w:val="right"/>
            </w:pPr>
            <w:r>
              <w:rPr>
                <w:color w:val="1C3A36"/>
                <w:sz w:val="15"/>
              </w:rPr>
              <w:t>1,257</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(49)</w:t>
            </w:r>
          </w:p>
        </w:tc>
        <w:tc>
          <w:tcPr>
            <w:tcW w:type="dxa" w:w="950"/>
          </w:tcPr>
          <w:p>
            <w:pPr>
              <w:spacing w:after="20"/>
              <w:jc w:val="right"/>
            </w:pPr>
            <w:r>
              <w:rPr>
                <w:color w:val="1C3A36"/>
                <w:sz w:val="15"/>
              </w:rPr>
              <w:t>(57)</w:t>
            </w:r>
          </w:p>
        </w:tc>
        <w:tc>
          <w:tcPr>
            <w:tcW w:type="dxa" w:w="950"/>
          </w:tcPr>
          <w:p>
            <w:pPr>
              <w:spacing w:after="20"/>
              <w:jc w:val="right"/>
            </w:pPr>
            <w:r>
              <w:rPr>
                <w:color w:val="1C3A36"/>
                <w:sz w:val="15"/>
              </w:rPr>
              <w:t>(58)</w:t>
            </w:r>
          </w:p>
        </w:tc>
        <w:tc>
          <w:tcPr>
            <w:tcW w:type="dxa" w:w="950"/>
          </w:tcPr>
          <w:p>
            <w:pPr>
              <w:spacing w:after="20"/>
              <w:jc w:val="right"/>
            </w:pPr>
            <w:r>
              <w:rPr>
                <w:color w:val="1C3A36"/>
                <w:sz w:val="15"/>
              </w:rPr>
              <w:t>(56)</w:t>
            </w:r>
          </w:p>
        </w:tc>
        <w:tc>
          <w:tcPr>
            <w:tcW w:type="dxa" w:w="950"/>
          </w:tcPr>
          <w:p>
            <w:pPr>
              <w:spacing w:after="20"/>
              <w:jc w:val="right"/>
            </w:pPr>
            <w:r>
              <w:rPr>
                <w:color w:val="1C3A36"/>
                <w:sz w:val="15"/>
              </w:rPr>
              <w:t>(58)</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1,947</w:t>
            </w:r>
          </w:p>
        </w:tc>
        <w:tc>
          <w:tcPr>
            <w:tcW w:type="dxa" w:w="950"/>
          </w:tcPr>
          <w:p>
            <w:pPr>
              <w:spacing w:after="20"/>
              <w:jc w:val="right"/>
            </w:pPr>
            <w:r>
              <w:rPr>
                <w:color w:val="1C3A36"/>
                <w:sz w:val="15"/>
              </w:rPr>
              <w:t>2,297</w:t>
            </w:r>
          </w:p>
        </w:tc>
        <w:tc>
          <w:tcPr>
            <w:tcW w:type="dxa" w:w="950"/>
          </w:tcPr>
          <w:p>
            <w:pPr>
              <w:spacing w:after="20"/>
              <w:jc w:val="right"/>
            </w:pPr>
            <w:r>
              <w:rPr>
                <w:color w:val="1C3A36"/>
                <w:sz w:val="15"/>
              </w:rPr>
              <w:t>2,112</w:t>
            </w:r>
          </w:p>
        </w:tc>
        <w:tc>
          <w:tcPr>
            <w:tcW w:type="dxa" w:w="950"/>
          </w:tcPr>
          <w:p>
            <w:pPr>
              <w:spacing w:after="20"/>
              <w:jc w:val="right"/>
            </w:pPr>
            <w:r>
              <w:rPr>
                <w:color w:val="1C3A36"/>
                <w:sz w:val="15"/>
              </w:rPr>
              <w:t>1,666</w:t>
            </w:r>
          </w:p>
        </w:tc>
        <w:tc>
          <w:tcPr>
            <w:tcW w:type="dxa" w:w="950"/>
          </w:tcPr>
          <w:p>
            <w:pPr>
              <w:spacing w:after="20"/>
              <w:jc w:val="right"/>
            </w:pPr>
            <w:r>
              <w:rPr>
                <w:color w:val="1C3A36"/>
                <w:sz w:val="15"/>
              </w:rPr>
              <w:t>1,199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(88)</w:t>
            </w:r>
          </w:p>
        </w:tc>
        <w:tc>
          <w:tcPr>
            <w:tcW w:type="dxa" w:w="950"/>
          </w:tcPr>
          <w:p>
            <w:pPr>
              <w:spacing w:after="20"/>
              <w:jc w:val="right"/>
            </w:pPr>
            <w:r>
              <w:rPr>
                <w:color w:val="1C3A36"/>
                <w:sz w:val="15"/>
              </w:rPr>
              <w:t>(104)</w:t>
            </w:r>
          </w:p>
        </w:tc>
        <w:tc>
          <w:tcPr>
            <w:tcW w:type="dxa" w:w="950"/>
          </w:tcPr>
          <w:p>
            <w:pPr>
              <w:spacing w:after="20"/>
              <w:jc w:val="right"/>
            </w:pPr>
            <w:r>
              <w:rPr>
                <w:color w:val="1C3A36"/>
                <w:sz w:val="15"/>
              </w:rPr>
              <w:t>(96)</w:t>
            </w:r>
          </w:p>
        </w:tc>
        <w:tc>
          <w:tcPr>
            <w:tcW w:type="dxa" w:w="950"/>
          </w:tcPr>
          <w:p>
            <w:pPr>
              <w:spacing w:after="20"/>
              <w:jc w:val="right"/>
            </w:pPr>
            <w:r>
              <w:rPr>
                <w:color w:val="1C3A36"/>
                <w:sz w:val="15"/>
              </w:rPr>
              <w:t>(76)</w:t>
            </w:r>
          </w:p>
        </w:tc>
        <w:tc>
          <w:tcPr>
            <w:tcW w:type="dxa" w:w="950"/>
          </w:tcPr>
          <w:p>
            <w:pPr>
              <w:spacing w:after="20"/>
              <w:jc w:val="right"/>
            </w:pPr>
            <w:r>
              <w:rPr>
                <w:color w:val="1C3A36"/>
                <w:sz w:val="15"/>
              </w:rPr>
              <w:t>(54)</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1,859</w:t>
            </w:r>
          </w:p>
        </w:tc>
        <w:tc>
          <w:tcPr>
            <w:tcW w:type="dxa" w:w="950"/>
            <w:shd w:val="clear" w:color="auto" w:fill="F6F1E6"/>
          </w:tcPr>
          <w:p>
            <w:pPr>
              <w:spacing w:after="20"/>
              <w:jc w:val="right"/>
            </w:pPr>
            <w:r>
              <w:rPr>
                <w:b/>
                <w:color w:val="1C3A36"/>
                <w:sz w:val="15"/>
              </w:rPr>
              <w:t>2,193</w:t>
            </w:r>
          </w:p>
        </w:tc>
        <w:tc>
          <w:tcPr>
            <w:tcW w:type="dxa" w:w="950"/>
            <w:shd w:val="clear" w:color="auto" w:fill="F6F1E6"/>
          </w:tcPr>
          <w:p>
            <w:pPr>
              <w:spacing w:after="20"/>
              <w:jc w:val="right"/>
            </w:pPr>
            <w:r>
              <w:rPr>
                <w:b/>
                <w:color w:val="1C3A36"/>
                <w:sz w:val="15"/>
              </w:rPr>
              <w:t>2,016</w:t>
            </w:r>
          </w:p>
        </w:tc>
        <w:tc>
          <w:tcPr>
            <w:tcW w:type="dxa" w:w="950"/>
            <w:shd w:val="clear" w:color="auto" w:fill="F6F1E6"/>
          </w:tcPr>
          <w:p>
            <w:pPr>
              <w:spacing w:after="20"/>
              <w:jc w:val="right"/>
            </w:pPr>
            <w:r>
              <w:rPr>
                <w:b/>
                <w:color w:val="1C3A36"/>
                <w:sz w:val="15"/>
              </w:rPr>
              <w:t>1,590</w:t>
            </w:r>
          </w:p>
        </w:tc>
        <w:tc>
          <w:tcPr>
            <w:tcW w:type="dxa" w:w="950"/>
            <w:shd w:val="clear" w:color="auto" w:fill="F6F1E6"/>
          </w:tcPr>
          <w:p>
            <w:pPr>
              <w:spacing w:after="20"/>
              <w:jc w:val="right"/>
            </w:pPr>
            <w:r>
              <w:rPr>
                <w:b/>
                <w:color w:val="1C3A36"/>
                <w:sz w:val="15"/>
              </w:rPr>
              <w:t>1,145</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tcPr>
          <w:p>
            <w:pPr>
              <w:spacing w:after="20"/>
            </w:pPr>
            <w:r>
              <w:rPr>
                <w:color w:val="1C3A36"/>
                <w:sz w:val="15"/>
              </w:rPr>
              <w:t>Attributable to ordinary shareholders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777</w:t>
            </w:r>
          </w:p>
        </w:tc>
        <w:tc>
          <w:tcPr>
            <w:tcW w:type="dxa" w:w="950"/>
          </w:tcPr>
          <w:p>
            <w:pPr>
              <w:spacing w:after="20"/>
              <w:jc w:val="right"/>
            </w:pPr>
            <w:r>
              <w:rPr>
                <w:color w:val="1C3A36"/>
                <w:sz w:val="15"/>
              </w:rPr>
              <w:t>1,762</w:t>
            </w:r>
          </w:p>
        </w:tc>
        <w:tc>
          <w:tcPr>
            <w:tcW w:type="dxa" w:w="950"/>
          </w:tcPr>
          <w:p>
            <w:pPr>
              <w:spacing w:after="20"/>
              <w:jc w:val="right"/>
            </w:pPr>
            <w:r>
              <w:rPr>
                <w:color w:val="1C3A36"/>
                <w:sz w:val="15"/>
              </w:rPr>
              <w:t>2,096</w:t>
            </w:r>
          </w:p>
        </w:tc>
        <w:tc>
          <w:tcPr>
            <w:tcW w:type="dxa" w:w="950"/>
          </w:tcPr>
          <w:p>
            <w:pPr>
              <w:spacing w:after="20"/>
              <w:jc w:val="right"/>
            </w:pPr>
            <w:r>
              <w:rPr>
                <w:color w:val="1C3A36"/>
                <w:sz w:val="15"/>
              </w:rPr>
              <w:t>1,919</w:t>
            </w:r>
          </w:p>
        </w:tc>
        <w:tc>
          <w:tcPr>
            <w:tcW w:type="dxa" w:w="950"/>
          </w:tcPr>
          <w:p>
            <w:pPr>
              <w:spacing w:after="20"/>
              <w:jc w:val="right"/>
            </w:pPr>
            <w:r>
              <w:rPr>
                <w:color w:val="1C3A36"/>
                <w:sz w:val="15"/>
              </w:rPr>
              <w:t>1,493</w:t>
            </w:r>
          </w:p>
        </w:tc>
        <w:tc>
          <w:tcPr>
            <w:tcW w:type="dxa" w:w="950"/>
          </w:tcPr>
          <w:p>
            <w:pPr>
              <w:spacing w:after="20"/>
              <w:jc w:val="right"/>
            </w:pPr>
            <w:r>
              <w:rPr>
                <w:color w:val="1C3A36"/>
                <w:sz w:val="15"/>
              </w:rPr>
              <w:t>1,048</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0.238</w:t>
            </w:r>
          </w:p>
        </w:tc>
        <w:tc>
          <w:tcPr>
            <w:tcW w:type="dxa" w:w="950"/>
            <w:shd w:val="clear" w:color="auto" w:fill="F6F1E6"/>
          </w:tcPr>
          <w:p>
            <w:pPr>
              <w:spacing w:after="20"/>
              <w:jc w:val="right"/>
            </w:pPr>
            <w:r>
              <w:rPr>
                <w:b/>
                <w:color w:val="1C3A36"/>
                <w:sz w:val="15"/>
              </w:rPr>
              <w:t>0.283</w:t>
            </w:r>
          </w:p>
        </w:tc>
        <w:tc>
          <w:tcPr>
            <w:tcW w:type="dxa" w:w="950"/>
            <w:shd w:val="clear" w:color="auto" w:fill="F6F1E6"/>
          </w:tcPr>
          <w:p>
            <w:pPr>
              <w:spacing w:after="20"/>
              <w:jc w:val="right"/>
            </w:pPr>
            <w:r>
              <w:rPr>
                <w:b/>
                <w:color w:val="1C3A36"/>
                <w:sz w:val="15"/>
              </w:rPr>
              <w:t>0.259</w:t>
            </w:r>
          </w:p>
        </w:tc>
        <w:tc>
          <w:tcPr>
            <w:tcW w:type="dxa" w:w="950"/>
            <w:shd w:val="clear" w:color="auto" w:fill="F6F1E6"/>
          </w:tcPr>
          <w:p>
            <w:pPr>
              <w:spacing w:after="20"/>
              <w:jc w:val="right"/>
            </w:pPr>
            <w:r>
              <w:rPr>
                <w:b/>
                <w:color w:val="1C3A36"/>
                <w:sz w:val="15"/>
              </w:rPr>
              <w:t>0.202</w:t>
            </w:r>
          </w:p>
        </w:tc>
        <w:tc>
          <w:tcPr>
            <w:tcW w:type="dxa" w:w="950"/>
            <w:shd w:val="clear" w:color="auto" w:fill="F6F1E6"/>
          </w:tcPr>
          <w:p>
            <w:pPr>
              <w:spacing w:after="20"/>
              <w:jc w:val="right"/>
            </w:pPr>
            <w:r>
              <w:rPr>
                <w:b/>
                <w:color w:val="1C3A36"/>
                <w:sz w:val="15"/>
              </w:rPr>
              <w:t>0.142</w:t>
            </w:r>
          </w:p>
        </w:tc>
      </w:tr>
      <w:tr>
        <w:trPr>
          <w:cantSplit/>
        </w:trPr>
        <w:tc>
          <w:tcPr>
            <w:tcW w:type="dxa" w:w="2477"/>
          </w:tcPr>
          <w:p>
            <w:pPr>
              <w:spacing w:after="20"/>
            </w:pPr>
            <w:r>
              <w:rPr>
                <w:color w:val="1C3A36"/>
                <w:sz w:val="15"/>
              </w:rPr>
              <w:t xml:space="preserve">  memorandum — before the perpetual coupon (USD)</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0.251</w:t>
            </w:r>
          </w:p>
        </w:tc>
        <w:tc>
          <w:tcPr>
            <w:tcW w:type="dxa" w:w="950"/>
          </w:tcPr>
          <w:p>
            <w:pPr>
              <w:spacing w:after="20"/>
              <w:jc w:val="right"/>
            </w:pPr>
            <w:r>
              <w:rPr>
                <w:color w:val="1C3A36"/>
                <w:sz w:val="15"/>
              </w:rPr>
              <w:t>0.296</w:t>
            </w:r>
          </w:p>
        </w:tc>
        <w:tc>
          <w:tcPr>
            <w:tcW w:type="dxa" w:w="950"/>
          </w:tcPr>
          <w:p>
            <w:pPr>
              <w:spacing w:after="20"/>
              <w:jc w:val="right"/>
            </w:pPr>
            <w:r>
              <w:rPr>
                <w:color w:val="1C3A36"/>
                <w:sz w:val="15"/>
              </w:rPr>
              <w:t>0.272</w:t>
            </w:r>
          </w:p>
        </w:tc>
        <w:tc>
          <w:tcPr>
            <w:tcW w:type="dxa" w:w="950"/>
          </w:tcPr>
          <w:p>
            <w:pPr>
              <w:spacing w:after="20"/>
              <w:jc w:val="right"/>
            </w:pPr>
            <w:r>
              <w:rPr>
                <w:color w:val="1C3A36"/>
                <w:sz w:val="15"/>
              </w:rPr>
              <w:t>0.215</w:t>
            </w:r>
          </w:p>
        </w:tc>
        <w:tc>
          <w:tcPr>
            <w:tcW w:type="dxa" w:w="950"/>
          </w:tcPr>
          <w:p>
            <w:pPr>
              <w:spacing w:after="20"/>
              <w:jc w:val="right"/>
            </w:pPr>
            <w:r>
              <w:rPr>
                <w:color w:val="1C3A36"/>
                <w:sz w:val="15"/>
              </w:rPr>
              <w:t>0.155</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profit attributable to the ORDINARY shareholders over shares outstanding — that is, after the perpetual securities coupon of USD 97 million a year, which ranks ahead of them. An earlier edition struck it before that coupon, which overstated it by about 5.5%; the figure before the coupon is kept as the memorandum line so the two can be reconciled. The reported earnings per share in the first three columns are the company's own published basic figures and are not restated here.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9,088</w:t>
            </w:r>
          </w:p>
        </w:tc>
        <w:tc>
          <w:tcPr>
            <w:tcW w:type="dxa" w:w="950"/>
          </w:tcPr>
          <w:p>
            <w:pPr>
              <w:spacing w:after="20"/>
              <w:jc w:val="right"/>
            </w:pPr>
            <w:r>
              <w:rPr>
                <w:color w:val="1C3A36"/>
                <w:sz w:val="15"/>
              </w:rPr>
              <w:t>9,776</w:t>
            </w:r>
          </w:p>
        </w:tc>
        <w:tc>
          <w:tcPr>
            <w:tcW w:type="dxa" w:w="950"/>
          </w:tcPr>
          <w:p>
            <w:pPr>
              <w:spacing w:after="20"/>
              <w:jc w:val="right"/>
            </w:pPr>
            <w:r>
              <w:rPr>
                <w:color w:val="1C3A36"/>
                <w:sz w:val="15"/>
              </w:rPr>
              <w:t>10,424</w:t>
            </w:r>
          </w:p>
        </w:tc>
        <w:tc>
          <w:tcPr>
            <w:tcW w:type="dxa" w:w="950"/>
          </w:tcPr>
          <w:p>
            <w:pPr>
              <w:spacing w:after="20"/>
              <w:jc w:val="right"/>
            </w:pPr>
            <w:r>
              <w:rPr>
                <w:color w:val="1C3A36"/>
                <w:sz w:val="15"/>
              </w:rPr>
              <w:t>10,506</w:t>
            </w:r>
          </w:p>
        </w:tc>
        <w:tc>
          <w:tcPr>
            <w:tcW w:type="dxa" w:w="950"/>
          </w:tcPr>
          <w:p>
            <w:pPr>
              <w:spacing w:after="20"/>
              <w:jc w:val="right"/>
            </w:pPr>
            <w:r>
              <w:rPr>
                <w:color w:val="1C3A36"/>
                <w:sz w:val="15"/>
              </w:rPr>
              <w:t>10,535</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523</w:t>
            </w:r>
          </w:p>
        </w:tc>
        <w:tc>
          <w:tcPr>
            <w:tcW w:type="dxa" w:w="950"/>
          </w:tcPr>
          <w:p>
            <w:pPr>
              <w:spacing w:after="20"/>
              <w:jc w:val="right"/>
            </w:pPr>
            <w:r>
              <w:rPr>
                <w:color w:val="1C3A36"/>
                <w:sz w:val="15"/>
              </w:rPr>
              <w:t>523</w:t>
            </w:r>
          </w:p>
        </w:tc>
        <w:tc>
          <w:tcPr>
            <w:tcW w:type="dxa" w:w="950"/>
          </w:tcPr>
          <w:p>
            <w:pPr>
              <w:spacing w:after="20"/>
              <w:jc w:val="right"/>
            </w:pPr>
            <w:r>
              <w:rPr>
                <w:color w:val="1C3A36"/>
                <w:sz w:val="15"/>
              </w:rPr>
              <w:t>523</w:t>
            </w:r>
          </w:p>
        </w:tc>
        <w:tc>
          <w:tcPr>
            <w:tcW w:type="dxa" w:w="950"/>
          </w:tcPr>
          <w:p>
            <w:pPr>
              <w:spacing w:after="20"/>
              <w:jc w:val="right"/>
            </w:pPr>
            <w:r>
              <w:rPr>
                <w:color w:val="1C3A36"/>
                <w:sz w:val="15"/>
              </w:rPr>
              <w:t>523</w:t>
            </w:r>
          </w:p>
        </w:tc>
        <w:tc>
          <w:tcPr>
            <w:tcW w:type="dxa" w:w="950"/>
          </w:tcPr>
          <w:p>
            <w:pPr>
              <w:spacing w:after="20"/>
              <w:jc w:val="right"/>
            </w:pPr>
            <w:r>
              <w:rPr>
                <w:color w:val="1C3A36"/>
                <w:sz w:val="15"/>
              </w:rPr>
              <w:t>523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68</w:t>
            </w:r>
          </w:p>
        </w:tc>
        <w:tc>
          <w:tcPr>
            <w:tcW w:type="dxa" w:w="950"/>
          </w:tcPr>
          <w:p>
            <w:pPr>
              <w:spacing w:after="20"/>
              <w:jc w:val="right"/>
            </w:pPr>
            <w:r>
              <w:rPr>
                <w:color w:val="1C3A36"/>
                <w:sz w:val="15"/>
              </w:rPr>
              <w:t>68</w:t>
            </w:r>
          </w:p>
        </w:tc>
        <w:tc>
          <w:tcPr>
            <w:tcW w:type="dxa" w:w="950"/>
          </w:tcPr>
          <w:p>
            <w:pPr>
              <w:spacing w:after="20"/>
              <w:jc w:val="right"/>
            </w:pPr>
            <w:r>
              <w:rPr>
                <w:color w:val="1C3A36"/>
                <w:sz w:val="15"/>
              </w:rPr>
              <w:t>68</w:t>
            </w:r>
          </w:p>
        </w:tc>
        <w:tc>
          <w:tcPr>
            <w:tcW w:type="dxa" w:w="950"/>
          </w:tcPr>
          <w:p>
            <w:pPr>
              <w:spacing w:after="20"/>
              <w:jc w:val="right"/>
            </w:pPr>
            <w:r>
              <w:rPr>
                <w:color w:val="1C3A36"/>
                <w:sz w:val="15"/>
              </w:rPr>
              <w:t>68</w:t>
            </w:r>
          </w:p>
        </w:tc>
        <w:tc>
          <w:tcPr>
            <w:tcW w:type="dxa" w:w="950"/>
          </w:tcPr>
          <w:p>
            <w:pPr>
              <w:spacing w:after="20"/>
              <w:jc w:val="right"/>
            </w:pPr>
            <w:r>
              <w:rPr>
                <w:color w:val="1C3A36"/>
                <w:sz w:val="15"/>
              </w:rPr>
              <w:t>68</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732</w:t>
            </w:r>
          </w:p>
        </w:tc>
        <w:tc>
          <w:tcPr>
            <w:tcW w:type="dxa" w:w="950"/>
            <w:shd w:val="clear" w:color="auto" w:fill="F6F1E6"/>
          </w:tcPr>
          <w:p>
            <w:pPr>
              <w:spacing w:after="20"/>
              <w:jc w:val="right"/>
            </w:pPr>
            <w:r>
              <w:rPr>
                <w:b/>
                <w:color w:val="1C3A36"/>
                <w:sz w:val="15"/>
              </w:rPr>
              <w:t>854</w:t>
            </w:r>
          </w:p>
        </w:tc>
        <w:tc>
          <w:tcPr>
            <w:tcW w:type="dxa" w:w="950"/>
            <w:shd w:val="clear" w:color="auto" w:fill="F6F1E6"/>
          </w:tcPr>
          <w:p>
            <w:pPr>
              <w:spacing w:after="20"/>
              <w:jc w:val="right"/>
            </w:pPr>
            <w:r>
              <w:rPr>
                <w:b/>
                <w:color w:val="1C3A36"/>
                <w:sz w:val="15"/>
              </w:rPr>
              <w:t>789</w:t>
            </w:r>
          </w:p>
        </w:tc>
        <w:tc>
          <w:tcPr>
            <w:tcW w:type="dxa" w:w="950"/>
            <w:shd w:val="clear" w:color="auto" w:fill="F6F1E6"/>
          </w:tcPr>
          <w:p>
            <w:pPr>
              <w:spacing w:after="20"/>
              <w:jc w:val="right"/>
            </w:pPr>
            <w:r>
              <w:rPr>
                <w:b/>
                <w:color w:val="1C3A36"/>
                <w:sz w:val="15"/>
              </w:rPr>
              <w:t>644</w:t>
            </w:r>
          </w:p>
        </w:tc>
        <w:tc>
          <w:tcPr>
            <w:tcW w:type="dxa" w:w="950"/>
            <w:shd w:val="clear" w:color="auto" w:fill="F6F1E6"/>
          </w:tcPr>
          <w:p>
            <w:pPr>
              <w:spacing w:after="20"/>
              <w:jc w:val="right"/>
            </w:pPr>
            <w:r>
              <w:rPr>
                <w:b/>
                <w:color w:val="1C3A36"/>
                <w:sz w:val="15"/>
              </w:rPr>
              <w:t>485</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543</w:t>
            </w:r>
          </w:p>
        </w:tc>
        <w:tc>
          <w:tcPr>
            <w:tcW w:type="dxa" w:w="950"/>
          </w:tcPr>
          <w:p>
            <w:pPr>
              <w:spacing w:after="20"/>
              <w:jc w:val="right"/>
            </w:pPr>
            <w:r>
              <w:rPr>
                <w:color w:val="1C3A36"/>
                <w:sz w:val="15"/>
              </w:rPr>
              <w:t>543</w:t>
            </w:r>
          </w:p>
        </w:tc>
        <w:tc>
          <w:tcPr>
            <w:tcW w:type="dxa" w:w="950"/>
          </w:tcPr>
          <w:p>
            <w:pPr>
              <w:spacing w:after="20"/>
              <w:jc w:val="right"/>
            </w:pPr>
            <w:r>
              <w:rPr>
                <w:color w:val="1C3A36"/>
                <w:sz w:val="15"/>
              </w:rPr>
              <w:t>543</w:t>
            </w:r>
          </w:p>
        </w:tc>
        <w:tc>
          <w:tcPr>
            <w:tcW w:type="dxa" w:w="950"/>
          </w:tcPr>
          <w:p>
            <w:pPr>
              <w:spacing w:after="20"/>
              <w:jc w:val="right"/>
            </w:pPr>
            <w:r>
              <w:rPr>
                <w:color w:val="1C3A36"/>
                <w:sz w:val="15"/>
              </w:rPr>
              <w:t>543</w:t>
            </w:r>
          </w:p>
        </w:tc>
        <w:tc>
          <w:tcPr>
            <w:tcW w:type="dxa" w:w="950"/>
          </w:tcPr>
          <w:p>
            <w:pPr>
              <w:spacing w:after="20"/>
              <w:jc w:val="right"/>
            </w:pPr>
            <w:r>
              <w:rPr>
                <w:color w:val="1C3A36"/>
                <w:sz w:val="15"/>
              </w:rPr>
              <w:t>543</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2,404</w:t>
            </w:r>
          </w:p>
        </w:tc>
        <w:tc>
          <w:tcPr>
            <w:tcW w:type="dxa" w:w="950"/>
          </w:tcPr>
          <w:p>
            <w:pPr>
              <w:spacing w:after="20"/>
              <w:jc w:val="right"/>
            </w:pPr>
            <w:r>
              <w:rPr>
                <w:color w:val="1C3A36"/>
                <w:sz w:val="15"/>
              </w:rPr>
              <w:t>2,060</w:t>
            </w:r>
          </w:p>
        </w:tc>
        <w:tc>
          <w:tcPr>
            <w:tcW w:type="dxa" w:w="950"/>
          </w:tcPr>
          <w:p>
            <w:pPr>
              <w:spacing w:after="20"/>
              <w:jc w:val="right"/>
            </w:pPr>
            <w:r>
              <w:rPr>
                <w:color w:val="1C3A36"/>
                <w:sz w:val="15"/>
              </w:rPr>
              <w:t>903</w:t>
            </w:r>
          </w:p>
        </w:tc>
        <w:tc>
          <w:tcPr>
            <w:tcW w:type="dxa" w:w="950"/>
          </w:tcPr>
          <w:p>
            <w:pPr>
              <w:spacing w:after="20"/>
              <w:jc w:val="right"/>
            </w:pPr>
            <w:r>
              <w:rPr>
                <w:color w:val="1C3A36"/>
                <w:sz w:val="15"/>
              </w:rPr>
              <w:t>-275</w:t>
            </w:r>
          </w:p>
        </w:tc>
        <w:tc>
          <w:tcPr>
            <w:tcW w:type="dxa" w:w="950"/>
          </w:tcPr>
          <w:p>
            <w:pPr>
              <w:spacing w:after="20"/>
              <w:jc w:val="right"/>
            </w:pPr>
            <w:r>
              <w:rPr>
                <w:color w:val="1C3A36"/>
                <w:sz w:val="15"/>
              </w:rPr>
              <w:t>-1,633</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1,517</w:t>
            </w:r>
          </w:p>
        </w:tc>
        <w:tc>
          <w:tcPr>
            <w:tcW w:type="dxa" w:w="950"/>
          </w:tcPr>
          <w:p>
            <w:pPr>
              <w:spacing w:after="20"/>
              <w:jc w:val="right"/>
            </w:pPr>
            <w:r>
              <w:rPr>
                <w:color w:val="1C3A36"/>
                <w:sz w:val="15"/>
              </w:rPr>
              <w:t>360</w:t>
            </w:r>
          </w:p>
        </w:tc>
        <w:tc>
          <w:tcPr>
            <w:tcW w:type="dxa" w:w="950"/>
          </w:tcPr>
          <w:p>
            <w:pPr>
              <w:spacing w:after="20"/>
              <w:jc w:val="right"/>
            </w:pPr>
            <w:r>
              <w:rPr>
                <w:color w:val="1C3A36"/>
                <w:sz w:val="15"/>
              </w:rPr>
              <w:t>(818)</w:t>
            </w:r>
          </w:p>
        </w:tc>
        <w:tc>
          <w:tcPr>
            <w:tcW w:type="dxa" w:w="950"/>
          </w:tcPr>
          <w:p>
            <w:pPr>
              <w:spacing w:after="20"/>
              <w:jc w:val="right"/>
            </w:pPr>
            <w:r>
              <w:rPr>
                <w:color w:val="1C3A36"/>
                <w:sz w:val="15"/>
              </w:rPr>
              <w:t>(2,176)</w:t>
            </w:r>
          </w:p>
        </w:tc>
        <w:tc>
          <w:tcPr>
            <w:tcW w:type="dxa" w:w="950"/>
          </w:tcPr>
          <w:p>
            <w:pPr>
              <w:spacing w:after="20"/>
              <w:jc w:val="right"/>
            </w:pPr>
            <w:r>
              <w:rPr>
                <w:color w:val="1C3A36"/>
                <w:sz w:val="15"/>
              </w:rPr>
              <w:t>(3,114)</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289</w:t>
            </w:r>
          </w:p>
        </w:tc>
        <w:tc>
          <w:tcPr>
            <w:tcW w:type="dxa" w:w="950"/>
          </w:tcPr>
          <w:p>
            <w:pPr>
              <w:spacing w:after="20"/>
              <w:jc w:val="right"/>
            </w:pPr>
            <w:r>
              <w:rPr>
                <w:color w:val="1C3A36"/>
                <w:sz w:val="15"/>
              </w:rPr>
              <w:t>289</w:t>
            </w:r>
          </w:p>
        </w:tc>
        <w:tc>
          <w:tcPr>
            <w:tcW w:type="dxa" w:w="950"/>
          </w:tcPr>
          <w:p>
            <w:pPr>
              <w:spacing w:after="20"/>
              <w:jc w:val="right"/>
            </w:pPr>
            <w:r>
              <w:rPr>
                <w:color w:val="1C3A36"/>
                <w:sz w:val="15"/>
              </w:rPr>
              <w:t>289</w:t>
            </w:r>
          </w:p>
        </w:tc>
        <w:tc>
          <w:tcPr>
            <w:tcW w:type="dxa" w:w="950"/>
          </w:tcPr>
          <w:p>
            <w:pPr>
              <w:spacing w:after="20"/>
              <w:jc w:val="right"/>
            </w:pPr>
            <w:r>
              <w:rPr>
                <w:color w:val="1C3A36"/>
                <w:sz w:val="15"/>
              </w:rPr>
              <w:t>289</w:t>
            </w:r>
          </w:p>
        </w:tc>
        <w:tc>
          <w:tcPr>
            <w:tcW w:type="dxa" w:w="950"/>
          </w:tcPr>
          <w:p>
            <w:pPr>
              <w:spacing w:after="20"/>
              <w:jc w:val="right"/>
            </w:pPr>
            <w:r>
              <w:rPr>
                <w:color w:val="1C3A36"/>
                <w:sz w:val="15"/>
              </w:rPr>
              <w:t>289</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7,304</w:t>
            </w:r>
          </w:p>
        </w:tc>
        <w:tc>
          <w:tcPr>
            <w:tcW w:type="dxa" w:w="950"/>
            <w:shd w:val="clear" w:color="auto" w:fill="F6F1E6"/>
          </w:tcPr>
          <w:p>
            <w:pPr>
              <w:spacing w:after="20"/>
              <w:jc w:val="right"/>
            </w:pPr>
            <w:r>
              <w:rPr>
                <w:b/>
                <w:color w:val="1C3A36"/>
                <w:sz w:val="15"/>
              </w:rPr>
              <w:t>9,041</w:t>
            </w:r>
          </w:p>
        </w:tc>
        <w:tc>
          <w:tcPr>
            <w:tcW w:type="dxa" w:w="950"/>
            <w:shd w:val="clear" w:color="auto" w:fill="F6F1E6"/>
          </w:tcPr>
          <w:p>
            <w:pPr>
              <w:spacing w:after="20"/>
              <w:jc w:val="right"/>
            </w:pPr>
            <w:r>
              <w:rPr>
                <w:b/>
                <w:color w:val="1C3A36"/>
                <w:sz w:val="15"/>
              </w:rPr>
              <w:t>10,584</w:t>
            </w:r>
          </w:p>
        </w:tc>
        <w:tc>
          <w:tcPr>
            <w:tcW w:type="dxa" w:w="950"/>
            <w:shd w:val="clear" w:color="auto" w:fill="F6F1E6"/>
          </w:tcPr>
          <w:p>
            <w:pPr>
              <w:spacing w:after="20"/>
              <w:jc w:val="right"/>
            </w:pPr>
            <w:r>
              <w:rPr>
                <w:b/>
                <w:color w:val="1C3A36"/>
                <w:sz w:val="15"/>
              </w:rPr>
              <w:t>11,683</w:t>
            </w:r>
          </w:p>
        </w:tc>
        <w:tc>
          <w:tcPr>
            <w:tcW w:type="dxa" w:w="950"/>
            <w:shd w:val="clear" w:color="auto" w:fill="F6F1E6"/>
          </w:tcPr>
          <w:p>
            <w:pPr>
              <w:spacing w:after="20"/>
              <w:jc w:val="right"/>
            </w:pPr>
            <w:r>
              <w:rPr>
                <w:b/>
                <w:color w:val="1C3A36"/>
                <w:sz w:val="15"/>
              </w:rPr>
              <w:t>12,316</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0.9872</w:t>
            </w:r>
          </w:p>
        </w:tc>
        <w:tc>
          <w:tcPr>
            <w:tcW w:type="dxa" w:w="950"/>
          </w:tcPr>
          <w:p>
            <w:pPr>
              <w:spacing w:after="20"/>
              <w:jc w:val="right"/>
            </w:pPr>
            <w:r>
              <w:rPr>
                <w:color w:val="1C3A36"/>
                <w:sz w:val="15"/>
              </w:rPr>
              <w:t>1.2220</w:t>
            </w:r>
          </w:p>
        </w:tc>
        <w:tc>
          <w:tcPr>
            <w:tcW w:type="dxa" w:w="950"/>
          </w:tcPr>
          <w:p>
            <w:pPr>
              <w:spacing w:after="20"/>
              <w:jc w:val="right"/>
            </w:pPr>
            <w:r>
              <w:rPr>
                <w:color w:val="1C3A36"/>
                <w:sz w:val="15"/>
              </w:rPr>
              <w:t>1.4306</w:t>
            </w:r>
          </w:p>
        </w:tc>
        <w:tc>
          <w:tcPr>
            <w:tcW w:type="dxa" w:w="950"/>
          </w:tcPr>
          <w:p>
            <w:pPr>
              <w:spacing w:after="20"/>
              <w:jc w:val="right"/>
            </w:pPr>
            <w:r>
              <w:rPr>
                <w:color w:val="1C3A36"/>
                <w:sz w:val="15"/>
              </w:rPr>
              <w:t>1.5791</w:t>
            </w:r>
          </w:p>
        </w:tc>
        <w:tc>
          <w:tcPr>
            <w:tcW w:type="dxa" w:w="950"/>
          </w:tcPr>
          <w:p>
            <w:pPr>
              <w:spacing w:after="20"/>
              <w:jc w:val="right"/>
            </w:pPr>
            <w:r>
              <w:rPr>
                <w:color w:val="1C3A36"/>
                <w:sz w:val="15"/>
              </w:rPr>
              <w:t>1.6646</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0.48×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0.56×</w:t>
            </w:r>
          </w:p>
        </w:tc>
        <w:tc>
          <w:tcPr>
            <w:tcW w:type="dxa" w:w="950"/>
          </w:tcPr>
          <w:p>
            <w:pPr>
              <w:spacing w:after="20"/>
              <w:jc w:val="right"/>
            </w:pPr>
            <w:r>
              <w:rPr>
                <w:color w:val="1C3A36"/>
                <w:sz w:val="15"/>
              </w:rPr>
              <w:t>0.11×</w:t>
            </w:r>
          </w:p>
        </w:tc>
        <w:tc>
          <w:tcPr>
            <w:tcW w:type="dxa" w:w="950"/>
          </w:tcPr>
          <w:p>
            <w:pPr>
              <w:spacing w:after="20"/>
              <w:jc w:val="right"/>
            </w:pPr>
            <w:r>
              <w:rPr>
                <w:color w:val="1C3A36"/>
                <w:sz w:val="15"/>
              </w:rPr>
              <w:t>-0.28×</w:t>
            </w:r>
          </w:p>
        </w:tc>
        <w:tc>
          <w:tcPr>
            <w:tcW w:type="dxa" w:w="950"/>
          </w:tcPr>
          <w:p>
            <w:pPr>
              <w:spacing w:after="20"/>
              <w:jc w:val="right"/>
            </w:pPr>
            <w:r>
              <w:rPr>
                <w:color w:val="1C3A36"/>
                <w:sz w:val="15"/>
              </w:rPr>
              <w:t>-0.90×</w:t>
            </w:r>
          </w:p>
        </w:tc>
        <w:tc>
          <w:tcPr>
            <w:tcW w:type="dxa" w:w="950"/>
          </w:tcPr>
          <w:p>
            <w:pPr>
              <w:spacing w:after="20"/>
              <w:jc w:val="right"/>
            </w:pPr>
            <w:r>
              <w:rPr>
                <w:color w:val="1C3A36"/>
                <w:sz w:val="15"/>
              </w:rPr>
              <w:t>-1.66×</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25.4%</w:t>
            </w:r>
          </w:p>
        </w:tc>
        <w:tc>
          <w:tcPr>
            <w:tcW w:type="dxa" w:w="950"/>
          </w:tcPr>
          <w:p>
            <w:pPr>
              <w:spacing w:after="20"/>
              <w:jc w:val="right"/>
            </w:pPr>
            <w:r>
              <w:rPr>
                <w:color w:val="1C3A36"/>
                <w:sz w:val="15"/>
              </w:rPr>
              <w:t>24.3%</w:t>
            </w:r>
          </w:p>
        </w:tc>
        <w:tc>
          <w:tcPr>
            <w:tcW w:type="dxa" w:w="950"/>
          </w:tcPr>
          <w:p>
            <w:pPr>
              <w:spacing w:after="20"/>
              <w:jc w:val="right"/>
            </w:pPr>
            <w:r>
              <w:rPr>
                <w:color w:val="1C3A36"/>
                <w:sz w:val="15"/>
              </w:rPr>
              <w:t>19.0%</w:t>
            </w:r>
          </w:p>
        </w:tc>
        <w:tc>
          <w:tcPr>
            <w:tcW w:type="dxa" w:w="950"/>
          </w:tcPr>
          <w:p>
            <w:pPr>
              <w:spacing w:after="20"/>
              <w:jc w:val="right"/>
            </w:pPr>
            <w:r>
              <w:rPr>
                <w:color w:val="1C3A36"/>
                <w:sz w:val="15"/>
              </w:rPr>
              <w:t>13.6%</w:t>
            </w:r>
          </w:p>
        </w:tc>
        <w:tc>
          <w:tcPr>
            <w:tcW w:type="dxa" w:w="950"/>
          </w:tcPr>
          <w:p>
            <w:pPr>
              <w:spacing w:after="20"/>
              <w:jc w:val="right"/>
            </w:pPr>
            <w:r>
              <w:rPr>
                <w:color w:val="1C3A36"/>
                <w:sz w:val="15"/>
              </w:rPr>
              <w:t>9.3%</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 Two ratio rows carry one definition each, end to end, and both were spliced in an earlier edition. Return on equity is attributable profit over CLOSING equity attributable to ordinary shareholders in every column; the forecast years were previously shown over AVERAGE equity, which is a different measure and made the series read as a rise where a consistent basis shows a fall. On the average-equity convention the same forecast years are 28.2% · 26.8% · 20.5% · 14.3% · 9.5%, and the residual-income lens in section 1.2 uses a third convention — OPENING book — which is the right one for that construction and is named there. Net debt to earnings is on the operating earnings definition used throughout this study in every column; the reported years were previously shown against the company's own wider reported earnings figure, which is a different denominator from the one the forecast columns use.</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(385)</w:t>
            </w:r>
          </w:p>
        </w:tc>
        <w:tc>
          <w:tcPr>
            <w:tcW w:type="dxa" w:w="1382"/>
          </w:tcPr>
          <w:p>
            <w:pPr>
              <w:spacing w:after="20"/>
              <w:jc w:val="right"/>
            </w:pPr>
            <w:r>
              <w:rPr>
                <w:color w:val="1C3A36"/>
                <w:sz w:val="16"/>
              </w:rPr>
              <w:t>(122)</w:t>
            </w:r>
          </w:p>
        </w:tc>
        <w:tc>
          <w:tcPr>
            <w:tcW w:type="dxa" w:w="1382"/>
          </w:tcPr>
          <w:p>
            <w:pPr>
              <w:spacing w:after="20"/>
              <w:jc w:val="right"/>
            </w:pPr>
            <w:r>
              <w:rPr>
                <w:color w:val="1C3A36"/>
                <w:sz w:val="16"/>
              </w:rPr>
              <w:t>65</w:t>
            </w:r>
          </w:p>
        </w:tc>
        <w:tc>
          <w:tcPr>
            <w:tcW w:type="dxa" w:w="1382"/>
          </w:tcPr>
          <w:p>
            <w:pPr>
              <w:spacing w:after="20"/>
              <w:jc w:val="right"/>
            </w:pPr>
            <w:r>
              <w:rPr>
                <w:color w:val="1C3A36"/>
                <w:sz w:val="16"/>
              </w:rPr>
              <w:t>145</w:t>
            </w:r>
          </w:p>
        </w:tc>
        <w:tc>
          <w:tcPr>
            <w:tcW w:type="dxa" w:w="1382"/>
          </w:tcPr>
          <w:p>
            <w:pPr>
              <w:spacing w:after="20"/>
              <w:jc w:val="right"/>
            </w:pPr>
            <w:r>
              <w:rPr>
                <w:color w:val="1C3A36"/>
                <w:sz w:val="16"/>
              </w:rPr>
              <w:t>159</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903</w:t>
            </w:r>
          </w:p>
        </w:tc>
        <w:tc>
          <w:tcPr>
            <w:tcW w:type="dxa" w:w="1382"/>
            <w:shd w:val="clear" w:color="auto" w:fill="F6F1E6"/>
          </w:tcPr>
          <w:p>
            <w:pPr>
              <w:spacing w:after="20"/>
              <w:jc w:val="right"/>
            </w:pPr>
            <w:r>
              <w:rPr>
                <w:b/>
                <w:color w:val="1C3A36"/>
                <w:sz w:val="16"/>
              </w:rPr>
              <w:t>1,713</w:t>
            </w:r>
          </w:p>
        </w:tc>
        <w:tc>
          <w:tcPr>
            <w:tcW w:type="dxa" w:w="1382"/>
            <w:shd w:val="clear" w:color="auto" w:fill="F6F1E6"/>
          </w:tcPr>
          <w:p>
            <w:pPr>
              <w:spacing w:after="20"/>
              <w:jc w:val="right"/>
            </w:pPr>
            <w:r>
              <w:rPr>
                <w:b/>
                <w:color w:val="1C3A36"/>
                <w:sz w:val="16"/>
              </w:rPr>
              <w:t>1,685</w:t>
            </w:r>
          </w:p>
        </w:tc>
        <w:tc>
          <w:tcPr>
            <w:tcW w:type="dxa" w:w="1382"/>
            <w:shd w:val="clear" w:color="auto" w:fill="F6F1E6"/>
          </w:tcPr>
          <w:p>
            <w:pPr>
              <w:spacing w:after="20"/>
              <w:jc w:val="right"/>
            </w:pPr>
            <w:r>
              <w:rPr>
                <w:b/>
                <w:color w:val="1C3A36"/>
                <w:sz w:val="16"/>
              </w:rPr>
              <w:t>1,816</w:t>
            </w:r>
          </w:p>
        </w:tc>
        <w:tc>
          <w:tcPr>
            <w:tcW w:type="dxa" w:w="1382"/>
            <w:shd w:val="clear" w:color="auto" w:fill="F6F1E6"/>
          </w:tcPr>
          <w:p>
            <w:pPr>
              <w:spacing w:after="20"/>
              <w:jc w:val="right"/>
            </w:pPr>
            <w:r>
              <w:rPr>
                <w:b/>
                <w:color w:val="1C3A36"/>
                <w:sz w:val="16"/>
              </w:rPr>
              <w:t>1,337</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(153)</w:t>
            </w:r>
          </w:p>
        </w:tc>
        <w:tc>
          <w:tcPr>
            <w:tcW w:type="dxa" w:w="1382"/>
          </w:tcPr>
          <w:p>
            <w:pPr>
              <w:spacing w:after="20"/>
              <w:jc w:val="right"/>
            </w:pPr>
            <w:r>
              <w:rPr>
                <w:color w:val="1C3A36"/>
                <w:sz w:val="16"/>
              </w:rPr>
              <w:t>(131)</w:t>
            </w:r>
          </w:p>
        </w:tc>
        <w:tc>
          <w:tcPr>
            <w:tcW w:type="dxa" w:w="1382"/>
          </w:tcPr>
          <w:p>
            <w:pPr>
              <w:spacing w:after="20"/>
              <w:jc w:val="right"/>
            </w:pPr>
            <w:r>
              <w:rPr>
                <w:color w:val="1C3A36"/>
                <w:sz w:val="16"/>
              </w:rPr>
              <w:t>(57)</w:t>
            </w:r>
          </w:p>
        </w:tc>
        <w:tc>
          <w:tcPr>
            <w:tcW w:type="dxa" w:w="1382"/>
          </w:tcPr>
          <w:p>
            <w:pPr>
              <w:spacing w:after="20"/>
              <w:jc w:val="right"/>
            </w:pPr>
            <w:r>
              <w:rPr>
                <w:color w:val="1C3A36"/>
                <w:sz w:val="16"/>
              </w:rPr>
              <w:t>(-17)</w:t>
            </w:r>
          </w:p>
        </w:tc>
        <w:tc>
          <w:tcPr>
            <w:tcW w:type="dxa" w:w="1382"/>
          </w:tcPr>
          <w:p>
            <w:pPr>
              <w:spacing w:after="20"/>
              <w:jc w:val="right"/>
            </w:pPr>
            <w:r>
              <w:rPr>
                <w:color w:val="1C3A36"/>
                <w:sz w:val="16"/>
              </w:rPr>
              <w:t>(-104)</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18%</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19%</w:t>
            </w:r>
          </w:p>
        </w:tc>
        <w:tc>
          <w:tcPr>
            <w:tcW w:type="dxa" w:w="1382"/>
          </w:tcPr>
          <w:p>
            <w:pPr>
              <w:spacing w:after="20"/>
              <w:jc w:val="right"/>
            </w:pPr>
            <w:r>
              <w:rPr>
                <w:color w:val="1C3A36"/>
                <w:sz w:val="16"/>
              </w:rPr>
              <w:t>25%</w:t>
            </w:r>
          </w:p>
        </w:tc>
        <w:tc>
          <w:tcPr>
            <w:tcW w:type="dxa" w:w="1382"/>
          </w:tcPr>
          <w:p>
            <w:pPr>
              <w:spacing w:after="20"/>
              <w:jc w:val="right"/>
            </w:pPr>
            <w:r>
              <w:rPr>
                <w:color w:val="1C3A36"/>
                <w:sz w:val="16"/>
              </w:rPr>
              <w:t>36%</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2,404</w:t>
            </w:r>
          </w:p>
        </w:tc>
        <w:tc>
          <w:tcPr>
            <w:tcW w:type="dxa" w:w="1382"/>
          </w:tcPr>
          <w:p>
            <w:pPr>
              <w:spacing w:after="20"/>
              <w:jc w:val="right"/>
            </w:pPr>
            <w:r>
              <w:rPr>
                <w:color w:val="1C3A36"/>
                <w:sz w:val="16"/>
              </w:rPr>
              <w:t>2,060</w:t>
            </w:r>
          </w:p>
        </w:tc>
        <w:tc>
          <w:tcPr>
            <w:tcW w:type="dxa" w:w="1382"/>
          </w:tcPr>
          <w:p>
            <w:pPr>
              <w:spacing w:after="20"/>
              <w:jc w:val="right"/>
            </w:pPr>
            <w:r>
              <w:rPr>
                <w:color w:val="1C3A36"/>
                <w:sz w:val="16"/>
              </w:rPr>
              <w:t>903</w:t>
            </w:r>
          </w:p>
        </w:tc>
        <w:tc>
          <w:tcPr>
            <w:tcW w:type="dxa" w:w="1382"/>
          </w:tcPr>
          <w:p>
            <w:pPr>
              <w:spacing w:after="20"/>
              <w:jc w:val="right"/>
            </w:pPr>
            <w:r>
              <w:rPr>
                <w:color w:val="1C3A36"/>
                <w:sz w:val="16"/>
              </w:rPr>
              <w:t>-275</w:t>
            </w:r>
          </w:p>
        </w:tc>
        <w:tc>
          <w:tcPr>
            <w:tcW w:type="dxa" w:w="1382"/>
          </w:tcPr>
          <w:p>
            <w:pPr>
              <w:spacing w:after="20"/>
              <w:jc w:val="right"/>
            </w:pPr>
            <w:r>
              <w:rPr>
                <w:color w:val="1C3A36"/>
                <w:sz w:val="16"/>
              </w:rPr>
              <w:t>-1,633</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1,517</w:t>
            </w:r>
          </w:p>
        </w:tc>
        <w:tc>
          <w:tcPr>
            <w:tcW w:type="dxa" w:w="1382"/>
          </w:tcPr>
          <w:p>
            <w:pPr>
              <w:spacing w:after="20"/>
              <w:jc w:val="right"/>
            </w:pPr>
            <w:r>
              <w:rPr>
                <w:color w:val="1C3A36"/>
                <w:sz w:val="16"/>
              </w:rPr>
              <w:t>360</w:t>
            </w:r>
          </w:p>
        </w:tc>
        <w:tc>
          <w:tcPr>
            <w:tcW w:type="dxa" w:w="1382"/>
          </w:tcPr>
          <w:p>
            <w:pPr>
              <w:spacing w:after="20"/>
              <w:jc w:val="right"/>
            </w:pPr>
            <w:r>
              <w:rPr>
                <w:color w:val="1C3A36"/>
                <w:sz w:val="16"/>
              </w:rPr>
              <w:t>(818)</w:t>
            </w:r>
          </w:p>
        </w:tc>
        <w:tc>
          <w:tcPr>
            <w:tcW w:type="dxa" w:w="1382"/>
          </w:tcPr>
          <w:p>
            <w:pPr>
              <w:spacing w:after="20"/>
              <w:jc w:val="right"/>
            </w:pPr>
            <w:r>
              <w:rPr>
                <w:color w:val="1C3A36"/>
                <w:sz w:val="16"/>
              </w:rPr>
              <w:t>(2,176)</w:t>
            </w:r>
          </w:p>
        </w:tc>
        <w:tc>
          <w:tcPr>
            <w:tcW w:type="dxa" w:w="1382"/>
          </w:tcPr>
          <w:p>
            <w:pPr>
              <w:spacing w:after="20"/>
              <w:jc w:val="right"/>
            </w:pPr>
            <w:r>
              <w:rPr>
                <w:color w:val="1C3A36"/>
                <w:sz w:val="16"/>
              </w:rPr>
              <w:t>(3,114)</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0.56×</w:t>
            </w:r>
          </w:p>
        </w:tc>
        <w:tc>
          <w:tcPr>
            <w:tcW w:type="dxa" w:w="1382"/>
            <w:shd w:val="clear" w:color="auto" w:fill="F6F1E6"/>
          </w:tcPr>
          <w:p>
            <w:pPr>
              <w:spacing w:after="20"/>
              <w:jc w:val="right"/>
            </w:pPr>
            <w:r>
              <w:rPr>
                <w:b/>
                <w:color w:val="1C3A36"/>
                <w:sz w:val="16"/>
              </w:rPr>
              <w:t>0.11×</w:t>
            </w:r>
          </w:p>
        </w:tc>
        <w:tc>
          <w:tcPr>
            <w:tcW w:type="dxa" w:w="1382"/>
            <w:shd w:val="clear" w:color="auto" w:fill="F6F1E6"/>
          </w:tcPr>
          <w:p>
            <w:pPr>
              <w:spacing w:after="20"/>
              <w:jc w:val="right"/>
            </w:pPr>
            <w:r>
              <w:rPr>
                <w:b/>
                <w:color w:val="1C3A36"/>
                <w:sz w:val="16"/>
              </w:rPr>
              <w:t>-0.28×</w:t>
            </w:r>
          </w:p>
        </w:tc>
        <w:tc>
          <w:tcPr>
            <w:tcW w:type="dxa" w:w="1382"/>
            <w:shd w:val="clear" w:color="auto" w:fill="F6F1E6"/>
          </w:tcPr>
          <w:p>
            <w:pPr>
              <w:spacing w:after="20"/>
              <w:jc w:val="right"/>
            </w:pPr>
            <w:r>
              <w:rPr>
                <w:b/>
                <w:color w:val="1C3A36"/>
                <w:sz w:val="16"/>
              </w:rPr>
              <w:t>-0.90×</w:t>
            </w:r>
          </w:p>
        </w:tc>
        <w:tc>
          <w:tcPr>
            <w:tcW w:type="dxa" w:w="1382"/>
            <w:shd w:val="clear" w:color="auto" w:fill="F6F1E6"/>
          </w:tcPr>
          <w:p>
            <w:pPr>
              <w:spacing w:after="20"/>
              <w:jc w:val="right"/>
            </w:pPr>
            <w:r>
              <w:rPr>
                <w:b/>
                <w:color w:val="1C3A36"/>
                <w:sz w:val="16"/>
              </w:rPr>
              <w:t>-1.66×</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9,887</w:t>
            </w:r>
          </w:p>
        </w:tc>
        <w:tc>
          <w:tcPr>
            <w:tcW w:type="dxa" w:w="1382"/>
          </w:tcPr>
          <w:p>
            <w:pPr>
              <w:spacing w:after="20"/>
              <w:jc w:val="right"/>
            </w:pPr>
            <w:r>
              <w:rPr>
                <w:color w:val="1C3A36"/>
                <w:sz w:val="16"/>
              </w:rPr>
              <w:t>10,697</w:t>
            </w:r>
          </w:p>
        </w:tc>
        <w:tc>
          <w:tcPr>
            <w:tcW w:type="dxa" w:w="1382"/>
          </w:tcPr>
          <w:p>
            <w:pPr>
              <w:spacing w:after="20"/>
              <w:jc w:val="right"/>
            </w:pPr>
            <w:r>
              <w:rPr>
                <w:color w:val="1C3A36"/>
                <w:sz w:val="16"/>
              </w:rPr>
              <w:t>11,281</w:t>
            </w:r>
          </w:p>
        </w:tc>
        <w:tc>
          <w:tcPr>
            <w:tcW w:type="dxa" w:w="1382"/>
          </w:tcPr>
          <w:p>
            <w:pPr>
              <w:spacing w:after="20"/>
              <w:jc w:val="right"/>
            </w:pPr>
            <w:r>
              <w:rPr>
                <w:color w:val="1C3A36"/>
                <w:sz w:val="16"/>
              </w:rPr>
              <w:t>11,218</w:t>
            </w:r>
          </w:p>
        </w:tc>
        <w:tc>
          <w:tcPr>
            <w:tcW w:type="dxa" w:w="1382"/>
          </w:tcPr>
          <w:p>
            <w:pPr>
              <w:spacing w:after="20"/>
              <w:jc w:val="right"/>
            </w:pPr>
            <w:r>
              <w:rPr>
                <w:color w:val="1C3A36"/>
                <w:sz w:val="16"/>
              </w:rPr>
              <w:t>11,088</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21.0%</w:t>
            </w:r>
          </w:p>
        </w:tc>
        <w:tc>
          <w:tcPr>
            <w:tcW w:type="dxa" w:w="1382"/>
          </w:tcPr>
          <w:p>
            <w:pPr>
              <w:spacing w:after="20"/>
              <w:jc w:val="right"/>
            </w:pPr>
            <w:r>
              <w:rPr>
                <w:color w:val="1C3A36"/>
                <w:sz w:val="16"/>
              </w:rPr>
              <w:t>22.5%</w:t>
            </w:r>
          </w:p>
        </w:tc>
        <w:tc>
          <w:tcPr>
            <w:tcW w:type="dxa" w:w="1382"/>
          </w:tcPr>
          <w:p>
            <w:pPr>
              <w:spacing w:after="20"/>
              <w:jc w:val="right"/>
            </w:pPr>
            <w:r>
              <w:rPr>
                <w:color w:val="1C3A36"/>
                <w:sz w:val="16"/>
              </w:rPr>
              <w:t>19.0%</w:t>
            </w:r>
          </w:p>
        </w:tc>
        <w:tc>
          <w:tcPr>
            <w:tcW w:type="dxa" w:w="1382"/>
          </w:tcPr>
          <w:p>
            <w:pPr>
              <w:spacing w:after="20"/>
              <w:jc w:val="right"/>
            </w:pPr>
            <w:r>
              <w:rPr>
                <w:color w:val="1C3A36"/>
                <w:sz w:val="16"/>
              </w:rPr>
              <w:t>14.5%</w:t>
            </w:r>
          </w:p>
        </w:tc>
        <w:tc>
          <w:tcPr>
            <w:tcW w:type="dxa" w:w="1382"/>
          </w:tcPr>
          <w:p>
            <w:pPr>
              <w:spacing w:after="20"/>
              <w:jc w:val="right"/>
            </w:pPr>
            <w:r>
              <w:rPr>
                <w:color w:val="1C3A36"/>
                <w:sz w:val="16"/>
              </w:rPr>
              <w:t>9.8%</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8.70%</w:t>
            </w:r>
          </w:p>
        </w:tc>
        <w:tc>
          <w:tcPr>
            <w:tcW w:type="dxa" w:w="1382"/>
          </w:tcPr>
          <w:p>
            <w:pPr>
              <w:spacing w:after="20"/>
              <w:jc w:val="right"/>
            </w:pPr>
            <w:r>
              <w:rPr>
                <w:color w:val="1C3A36"/>
                <w:sz w:val="16"/>
              </w:rPr>
              <w:t>8.70%</w:t>
            </w:r>
          </w:p>
        </w:tc>
        <w:tc>
          <w:tcPr>
            <w:tcW w:type="dxa" w:w="1382"/>
          </w:tcPr>
          <w:p>
            <w:pPr>
              <w:spacing w:after="20"/>
              <w:jc w:val="right"/>
            </w:pPr>
            <w:r>
              <w:rPr>
                <w:color w:val="1C3A36"/>
                <w:sz w:val="16"/>
              </w:rPr>
              <w:t>8.69%</w:t>
            </w:r>
          </w:p>
        </w:tc>
        <w:tc>
          <w:tcPr>
            <w:tcW w:type="dxa" w:w="1382"/>
          </w:tcPr>
          <w:p>
            <w:pPr>
              <w:spacing w:after="20"/>
              <w:jc w:val="right"/>
            </w:pPr>
            <w:r>
              <w:rPr>
                <w:color w:val="1C3A36"/>
                <w:sz w:val="16"/>
              </w:rPr>
              <w:t>8.68%</w:t>
            </w:r>
          </w:p>
        </w:tc>
        <w:tc>
          <w:tcPr>
            <w:tcW w:type="dxa" w:w="1382"/>
          </w:tcPr>
          <w:p>
            <w:pPr>
              <w:spacing w:after="20"/>
              <w:jc w:val="right"/>
            </w:pPr>
            <w:r>
              <w:rPr>
                <w:color w:val="1C3A36"/>
                <w:sz w:val="16"/>
              </w:rPr>
              <w:t>8.68%</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+12.3pp</w:t>
            </w:r>
          </w:p>
        </w:tc>
        <w:tc>
          <w:tcPr>
            <w:tcW w:type="dxa" w:w="1382"/>
            <w:shd w:val="clear" w:color="auto" w:fill="F6F1E6"/>
          </w:tcPr>
          <w:p>
            <w:pPr>
              <w:spacing w:after="20"/>
              <w:jc w:val="right"/>
            </w:pPr>
            <w:r>
              <w:rPr>
                <w:b/>
                <w:color w:val="1C3A36"/>
                <w:sz w:val="16"/>
              </w:rPr>
              <w:t>+13.8pp</w:t>
            </w:r>
          </w:p>
        </w:tc>
        <w:tc>
          <w:tcPr>
            <w:tcW w:type="dxa" w:w="1382"/>
            <w:shd w:val="clear" w:color="auto" w:fill="F6F1E6"/>
          </w:tcPr>
          <w:p>
            <w:pPr>
              <w:spacing w:after="20"/>
              <w:jc w:val="right"/>
            </w:pPr>
            <w:r>
              <w:rPr>
                <w:b/>
                <w:color w:val="1C3A36"/>
                <w:sz w:val="16"/>
              </w:rPr>
              <w:t>+10.4pp</w:t>
            </w:r>
          </w:p>
        </w:tc>
        <w:tc>
          <w:tcPr>
            <w:tcW w:type="dxa" w:w="1382"/>
            <w:shd w:val="clear" w:color="auto" w:fill="F6F1E6"/>
          </w:tcPr>
          <w:p>
            <w:pPr>
              <w:spacing w:after="20"/>
              <w:jc w:val="right"/>
            </w:pPr>
            <w:r>
              <w:rPr>
                <w:b/>
                <w:color w:val="1C3A36"/>
                <w:sz w:val="16"/>
              </w:rPr>
              <w:t>+5.8pp</w:t>
            </w:r>
          </w:p>
        </w:tc>
        <w:tc>
          <w:tcPr>
            <w:tcW w:type="dxa" w:w="1382"/>
            <w:shd w:val="clear" w:color="auto" w:fill="F6F1E6"/>
          </w:tcPr>
          <w:p>
            <w:pPr>
              <w:spacing w:after="20"/>
              <w:jc w:val="right"/>
            </w:pPr>
            <w:r>
              <w:rPr>
                <w:b/>
                <w:color w:val="1C3A36"/>
                <w:sz w:val="16"/>
              </w:rPr>
              <w:t>+1.1pp</w:t>
            </w:r>
          </w:p>
        </w:tc>
      </w:tr>
    </w:tbl>
    <w:p>
      <w:pPr>
        <w:spacing w:after="40"/>
      </w:pPr>
    </w:p>
    <w:p>
      <w:pPr>
        <w:spacing w:after="120" w:before="0"/>
      </w:pPr>
      <w:r>
        <w:rPr>
          <w:b w:val="0"/>
          <w:i w:val="0"/>
          <w:color w:val="1C3A36"/>
          <w:sz w:val="21"/>
        </w:rPr>
        <w:t>Three things in that table are worth reading together. Free cash flow to the firm is only USD 903 million in 2026E — on earnings of USD 2,716 million — because the capital programme peaks at USD 1,375 million and working capital builds by USD 385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+12.3 percentage points to +1.1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2.83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2.03 a share between the two published constructions, and AED 3.51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8,780 million</w:t>
            </w:r>
          </w:p>
        </w:tc>
        <w:tc>
          <w:tcPr>
            <w:tcW w:type="dxa" w:w="3528"/>
          </w:tcPr>
          <w:p>
            <w:pPr>
              <w:spacing w:after="20"/>
            </w:pPr>
            <w:r>
              <w:rPr>
                <w:color w:val="1C3A36"/>
                <w:sz w:val="16"/>
              </w:rPr>
              <w:t>the capital-expenditure row spans AED 1.15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1.09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0.43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the SUBJECT COMPANY reports about itself come only from its own issued statements and disclosures; no data vendor, broker or press report is the source of any of the subject's reported historical figures. That rule is scoped deliberately and the scope matters: the comparator multiples in section 1.3 ARE taken from data-aggregator statistics pages, named and dated, and were not recomputed from each comparator's own filings. It is the largest block of non-company data in the study, it is labelled wherever it is used, and the limitation it carries — that a comparator's earnings cannot be shown to be struck on the same definition as the subject's — is stated at the table rather than here.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cost stack used — a fixed base of USD 530 million a year and 1.05× of charter-equivalent revenue — is solved from the audited FY2025 year and the reviewed six months to 30 June 2026 together, and tested on the reviewed six months to 30 June 2025, which are held out.</w:t>
      </w:r>
    </w:p>
    <w:p>
      <w:pPr>
        <w:pStyle w:val="ListBullet"/>
        <w:spacing w:after="60"/>
      </w:pPr>
      <w:r>
        <w:rPr>
          <w:b/>
          <w:color w:val="1C3A36"/>
          <w:sz w:val="21"/>
        </w:rPr>
        <w:t xml:space="preserve">The comparators' own filings were not used, and their multiples were not recomputed. </w:t>
      </w:r>
      <w:r>
        <w:rPr>
          <w:color w:val="1C3A36"/>
          <w:sz w:val="21"/>
        </w:rPr>
        <w:t>The three comparator multiples in section 1.3 come from data-aggregator statistics pages, each named and dated in the source register. Rebuilding them from each comparator's own accounts — three more sets of filings, on three different reporting conventions, in three different currencies — was not undertaken. The consequence is specific and is stated at the table itself: the study cannot demonstrate that a comparator's earnings are struck on the same definition as its own, which is a reason to read the comparison lens as evidence about relative pricing rather than as an independent valuation. It is the largest block of non-company data in the study, and the two reads that rest on it are cross-checks rather than parts of the answer, where an earlier edition gave them 45% of a blend between them.</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2,617</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(693)</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1,924</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(59)</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(44)</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20</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1,840</w:t>
            </w:r>
          </w:p>
        </w:tc>
      </w:tr>
      <w:tr>
        <w:trPr>
          <w:cantSplit/>
        </w:trPr>
        <w:tc>
          <w:tcPr>
            <w:tcW w:type="dxa" w:w="6912"/>
          </w:tcPr>
          <w:p>
            <w:pPr>
              <w:spacing w:after="20"/>
            </w:pPr>
            <w:r>
              <w:rPr>
                <w:color w:val="1C3A36"/>
                <w:sz w:val="16"/>
              </w:rPr>
              <w:t>Less non-controlling interests at 4.5% (USD mn)</w:t>
            </w:r>
          </w:p>
        </w:tc>
        <w:tc>
          <w:tcPr>
            <w:tcW w:type="dxa" w:w="3168"/>
          </w:tcPr>
          <w:p>
            <w:pPr>
              <w:spacing w:after="20"/>
              <w:jc w:val="right"/>
            </w:pPr>
            <w:r>
              <w:rPr>
                <w:color w:val="1C3A36"/>
                <w:sz w:val="16"/>
              </w:rPr>
              <w:t>(84)</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1,660</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0.2243</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9.89</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7.42 – 12.36</w:t>
            </w:r>
          </w:p>
        </w:tc>
      </w:tr>
    </w:tbl>
    <w:p>
      <w:pPr>
        <w:spacing w:after="40"/>
      </w:pPr>
    </w:p>
    <w:p>
      <w:pPr>
        <w:spacing w:after="120" w:before="0"/>
      </w:pPr>
      <w:r>
        <w:rPr>
          <w:b w:val="0"/>
          <w:i w:val="0"/>
          <w:color w:val="1C3A36"/>
          <w:sz w:val="21"/>
        </w:rPr>
        <w:t>Named sensitivity: each single turn of the multiple is worth AED 0.82 a share, so the 9×-to-15× range above spans AED 4.94. And every USD 100 million of mid-cycle earnings before interest, tax, depreciation and amortisation — about 3.8% of the base — is worth roughly AED 0.57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1,491</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(40)</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18</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1,372</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(9.43%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18,827</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9.35</w:t>
            </w:r>
          </w:p>
        </w:tc>
      </w:tr>
      <w:tr>
        <w:trPr>
          <w:cantSplit/>
        </w:trPr>
        <w:tc>
          <w:tcPr>
            <w:tcW w:type="dxa" w:w="6912"/>
          </w:tcPr>
          <w:p>
            <w:pPr>
              <w:spacing w:after="20"/>
            </w:pPr>
            <w:r>
              <w:rPr>
                <w:color w:val="1C3A36"/>
                <w:sz w:val="16"/>
              </w:rPr>
              <w:t>Range — the low end at a cost of equity of 11.95%, built on the top of the beta's 90% interval (1.621), with lower growth; the high end at 6.91% on the bottom of it (0.586) with higher growth</w:t>
            </w:r>
          </w:p>
        </w:tc>
        <w:tc>
          <w:tcPr>
            <w:tcW w:type="dxa" w:w="3168"/>
          </w:tcPr>
          <w:p>
            <w:pPr>
              <w:spacing w:after="20"/>
              <w:jc w:val="right"/>
            </w:pPr>
            <w:r>
              <w:rPr>
                <w:color w:val="1C3A36"/>
                <w:sz w:val="16"/>
              </w:rPr>
              <w:t>6.28 – 15.82</w:t>
            </w:r>
          </w:p>
        </w:tc>
      </w:tr>
    </w:tbl>
    <w:p>
      <w:pPr>
        <w:spacing w:after="40"/>
      </w:pPr>
    </w:p>
    <w:p>
      <w:pPr>
        <w:spacing w:after="120" w:before="0"/>
      </w:pPr>
      <w:r>
        <w:rPr>
          <w:b w:val="0"/>
          <w:i w:val="0"/>
          <w:color w:val="1C3A36"/>
          <w:sz w:val="21"/>
        </w:rPr>
        <w:t>One thing this leg does NOT do, and it is a genuine inconsistency across the panel rather than a feature of the method. The stream it capitalises starts from group free cash flow, which includes the 4.5% of profit that belongs to the minority holders, and it never adds the joint-venture stakes that the main bridge and Expert 3 both add at book value. Expert 1 deducts the minorities and Expert 3 runs the full bridge; this one does neither. Put on the same bridge as the other two — the minority share out, the joint ventures in — this expert would land at AED 9.18 rather than AED 9.35, a move of AED -0.16. The published figure is left as the method produces it and the difference is stated here, because three experts presented as independent reads of one balance sheet should not be quietly running three different bridges.</w:t>
      </w:r>
    </w:p>
    <w:p>
      <w:pPr>
        <w:spacing w:after="120" w:before="0"/>
      </w:pPr>
      <w:r>
        <w:rPr>
          <w:b w:val="0"/>
          <w:i w:val="0"/>
          <w:color w:val="1C3A36"/>
          <w:sz w:val="21"/>
        </w:rPr>
        <w:t>This expert lands at AED 9.35, below the study's own central of AED 5.34, and the reason is specific: the five-year average free cash flow of USD 1,491 million is dragged down by the investment years. Free cash flow to the firm is USD 903 million in 2026E and USD 1,816 million in 2029E; averaging a business across a period when it is building the assets that produce the later number is a real charge against it. That is the method doing what it says it does, and it is why the range extends as high as AED 15.82.</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7.42% instead of 9.43% — and the answer is roughly AED 12.81 a share, a rise of about 37%.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9.54.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7,827</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3,979</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1,212</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13,018</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(3,607)</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9,411</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4.67</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3.58 – 5.50</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21.0%</w:t>
            </w:r>
          </w:p>
        </w:tc>
        <w:tc>
          <w:tcPr>
            <w:tcW w:type="dxa" w:w="1382"/>
          </w:tcPr>
          <w:p>
            <w:pPr>
              <w:spacing w:after="20"/>
              <w:jc w:val="right"/>
            </w:pPr>
            <w:r>
              <w:rPr>
                <w:color w:val="1C3A36"/>
                <w:sz w:val="16"/>
              </w:rPr>
              <w:t>22.5%</w:t>
            </w:r>
          </w:p>
        </w:tc>
        <w:tc>
          <w:tcPr>
            <w:tcW w:type="dxa" w:w="1382"/>
          </w:tcPr>
          <w:p>
            <w:pPr>
              <w:spacing w:after="20"/>
              <w:jc w:val="right"/>
            </w:pPr>
            <w:r>
              <w:rPr>
                <w:color w:val="1C3A36"/>
                <w:sz w:val="16"/>
              </w:rPr>
              <w:t>19.0%</w:t>
            </w:r>
          </w:p>
        </w:tc>
        <w:tc>
          <w:tcPr>
            <w:tcW w:type="dxa" w:w="1382"/>
          </w:tcPr>
          <w:p>
            <w:pPr>
              <w:spacing w:after="20"/>
              <w:jc w:val="right"/>
            </w:pPr>
            <w:r>
              <w:rPr>
                <w:color w:val="1C3A36"/>
                <w:sz w:val="16"/>
              </w:rPr>
              <w:t>14.5%</w:t>
            </w:r>
          </w:p>
        </w:tc>
        <w:tc>
          <w:tcPr>
            <w:tcW w:type="dxa" w:w="1382"/>
          </w:tcPr>
          <w:p>
            <w:pPr>
              <w:spacing w:after="20"/>
              <w:jc w:val="right"/>
            </w:pPr>
            <w:r>
              <w:rPr>
                <w:color w:val="1C3A36"/>
                <w:sz w:val="16"/>
              </w:rPr>
              <w:t>9.8%</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8.71%</w:t>
            </w:r>
          </w:p>
        </w:tc>
        <w:tc>
          <w:tcPr>
            <w:tcW w:type="dxa" w:w="1382"/>
          </w:tcPr>
          <w:p>
            <w:pPr>
              <w:spacing w:after="20"/>
              <w:jc w:val="right"/>
            </w:pPr>
            <w:r>
              <w:rPr>
                <w:color w:val="1C3A36"/>
                <w:sz w:val="16"/>
              </w:rPr>
              <w:t>8.71%</w:t>
            </w:r>
          </w:p>
        </w:tc>
        <w:tc>
          <w:tcPr>
            <w:tcW w:type="dxa" w:w="1382"/>
          </w:tcPr>
          <w:p>
            <w:pPr>
              <w:spacing w:after="20"/>
              <w:jc w:val="right"/>
            </w:pPr>
            <w:r>
              <w:rPr>
                <w:color w:val="1C3A36"/>
                <w:sz w:val="16"/>
              </w:rPr>
              <w:t>8.71%</w:t>
            </w:r>
          </w:p>
        </w:tc>
        <w:tc>
          <w:tcPr>
            <w:tcW w:type="dxa" w:w="1382"/>
          </w:tcPr>
          <w:p>
            <w:pPr>
              <w:spacing w:after="20"/>
              <w:jc w:val="right"/>
            </w:pPr>
            <w:r>
              <w:rPr>
                <w:color w:val="1C3A36"/>
                <w:sz w:val="16"/>
              </w:rPr>
              <w:t>8.71%</w:t>
            </w:r>
          </w:p>
        </w:tc>
        <w:tc>
          <w:tcPr>
            <w:tcW w:type="dxa" w:w="1382"/>
          </w:tcPr>
          <w:p>
            <w:pPr>
              <w:spacing w:after="20"/>
              <w:jc w:val="right"/>
            </w:pPr>
            <w:r>
              <w:rPr>
                <w:color w:val="1C3A36"/>
                <w:sz w:val="16"/>
              </w:rPr>
              <w:t>8.71%</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+12.3pp</w:t>
            </w:r>
          </w:p>
        </w:tc>
        <w:tc>
          <w:tcPr>
            <w:tcW w:type="dxa" w:w="1382"/>
            <w:shd w:val="clear" w:color="auto" w:fill="F6F1E6"/>
          </w:tcPr>
          <w:p>
            <w:pPr>
              <w:spacing w:after="20"/>
              <w:jc w:val="right"/>
            </w:pPr>
            <w:r>
              <w:rPr>
                <w:b/>
                <w:color w:val="1C3A36"/>
                <w:sz w:val="16"/>
              </w:rPr>
              <w:t>+13.8pp</w:t>
            </w:r>
          </w:p>
        </w:tc>
        <w:tc>
          <w:tcPr>
            <w:tcW w:type="dxa" w:w="1382"/>
            <w:shd w:val="clear" w:color="auto" w:fill="F6F1E6"/>
          </w:tcPr>
          <w:p>
            <w:pPr>
              <w:spacing w:after="20"/>
              <w:jc w:val="right"/>
            </w:pPr>
            <w:r>
              <w:rPr>
                <w:b/>
                <w:color w:val="1C3A36"/>
                <w:sz w:val="16"/>
              </w:rPr>
              <w:t>+10.3pp</w:t>
            </w:r>
          </w:p>
        </w:tc>
        <w:tc>
          <w:tcPr>
            <w:tcW w:type="dxa" w:w="1382"/>
            <w:shd w:val="clear" w:color="auto" w:fill="F6F1E6"/>
          </w:tcPr>
          <w:p>
            <w:pPr>
              <w:spacing w:after="20"/>
              <w:jc w:val="right"/>
            </w:pPr>
            <w:r>
              <w:rPr>
                <w:b/>
                <w:color w:val="1C3A36"/>
                <w:sz w:val="16"/>
              </w:rPr>
              <w:t>+5.8pp</w:t>
            </w:r>
          </w:p>
        </w:tc>
        <w:tc>
          <w:tcPr>
            <w:tcW w:type="dxa" w:w="1382"/>
            <w:shd w:val="clear" w:color="auto" w:fill="F6F1E6"/>
          </w:tcPr>
          <w:p>
            <w:pPr>
              <w:spacing w:after="20"/>
              <w:jc w:val="right"/>
            </w:pPr>
            <w:r>
              <w:rPr>
                <w:b/>
                <w:color w:val="1C3A36"/>
                <w:sz w:val="16"/>
              </w:rPr>
              <w:t>+1.0pp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1,215</w:t>
            </w:r>
          </w:p>
        </w:tc>
        <w:tc>
          <w:tcPr>
            <w:tcW w:type="dxa" w:w="1382"/>
          </w:tcPr>
          <w:p>
            <w:pPr>
              <w:spacing w:after="20"/>
              <w:jc w:val="right"/>
            </w:pPr>
            <w:r>
              <w:rPr>
                <w:color w:val="1C3A36"/>
                <w:sz w:val="16"/>
              </w:rPr>
              <w:t>1,473</w:t>
            </w:r>
          </w:p>
        </w:tc>
        <w:tc>
          <w:tcPr>
            <w:tcW w:type="dxa" w:w="1382"/>
          </w:tcPr>
          <w:p>
            <w:pPr>
              <w:spacing w:after="20"/>
              <w:jc w:val="right"/>
            </w:pPr>
            <w:r>
              <w:rPr>
                <w:color w:val="1C3A36"/>
                <w:sz w:val="16"/>
              </w:rPr>
              <w:t>1,166</w:t>
            </w:r>
          </w:p>
        </w:tc>
        <w:tc>
          <w:tcPr>
            <w:tcW w:type="dxa" w:w="1382"/>
          </w:tcPr>
          <w:p>
            <w:pPr>
              <w:spacing w:after="20"/>
              <w:jc w:val="right"/>
            </w:pPr>
            <w:r>
              <w:rPr>
                <w:color w:val="1C3A36"/>
                <w:sz w:val="16"/>
              </w:rPr>
              <w:t>652</w:t>
            </w:r>
          </w:p>
        </w:tc>
        <w:tc>
          <w:tcPr>
            <w:tcW w:type="dxa" w:w="1382"/>
          </w:tcPr>
          <w:p>
            <w:pPr>
              <w:spacing w:after="20"/>
              <w:jc w:val="right"/>
            </w:pPr>
            <w:r>
              <w:rPr>
                <w:color w:val="1C3A36"/>
                <w:sz w:val="16"/>
              </w:rPr>
              <w:t>115</w:t>
            </w:r>
          </w:p>
        </w:tc>
      </w:tr>
    </w:tbl>
    <w:p>
      <w:pPr>
        <w:spacing w:after="40"/>
      </w:pPr>
    </w:p>
    <w:p>
      <w:pPr>
        <w:spacing w:after="200" w:before="0"/>
      </w:pPr>
      <w:r>
        <w:rPr>
          <w:b w:val="0"/>
          <w:i/>
          <w:color w:val="6E7B77"/>
          <w:sz w:val="17"/>
        </w:rPr>
        <w:t>This is the most revealing exhibit in the study. The spread is positive in every forecast year — the business earns 21% on capital in 2026E against a cost of 9%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8.71% held flat across all five years rather than the declining schedule the cash-flow model discounts at, so the spread row is exactly the return row less 8.71% and the economic-profit row is exactly that spread on the same closing capital. Appendix A.3 shows the spread on the declining schedule instead, which is why the two tables give different spreads from the same returns. Note also that this leg's enterprise value of USD 13,018 million differs from the cash-flow model's USD 14,997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4.67 that already sits 31% below the market price, and takes the fifth-year spread of +1.0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903 million to USD 1,816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9.54,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7.97, the vertical line the market price of AED 6.80.</w:t>
      </w:r>
    </w:p>
    <w:p>
      <w:pPr>
        <w:spacing w:after="120" w:before="0"/>
      </w:pPr>
      <w:r>
        <w:rPr>
          <w:b w:val="0"/>
          <w:i w:val="0"/>
          <w:color w:val="1C3A36"/>
          <w:sz w:val="21"/>
        </w:rPr>
        <w:t>The panel spans AED 4.67 to 9.89 — a factor of 2.12 between the most and least generous base case, which is a narrow disagreement by the standards of this series. That narrowness is itself informative: three methods that share almost nothing methodologically land within AED 5.22 of one another. The market price of AED 6.80 falls inside that span, and so does this study's own cash-flow lens; the central of AED 5.34 sits inside it as well.</w:t>
      </w:r>
    </w:p>
    <w:p>
      <w:pPr>
        <w:spacing w:after="120" w:before="0"/>
      </w:pPr>
      <w:r>
        <w:rPr>
          <w:b w:val="0"/>
          <w:i w:val="0"/>
          <w:color w:val="1C3A36"/>
          <w:sz w:val="21"/>
        </w:rPr>
        <w:t>The panel centre of AED 7.97 sits 17% above the market price and +49% against this study's central. That gap is real and it has a single explanation: every one of the three experts works from mid-cycle or five-year-average earnings, and none of them capitalises a terminal value the way the cash-flow model does. The cash-flow model puts 62%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9.43%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0.54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62%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 and weighted in the cost of capital at their own coupon</w:t>
            </w:r>
          </w:p>
        </w:tc>
        <w:tc>
          <w:tcPr>
            <w:tcW w:type="dxa" w:w="2074"/>
          </w:tcPr>
          <w:p>
            <w:pPr>
              <w:spacing w:after="20"/>
            </w:pPr>
            <w:r>
              <w:rPr>
                <w:color w:val="1C3A36"/>
                <w:sz w:val="15"/>
              </w:rPr>
              <w:t>the two bridge treatments differ by AED 0.43 a share in the main model</w:t>
            </w:r>
          </w:p>
        </w:tc>
      </w:tr>
      <w:tr>
        <w:trPr>
          <w:cantSplit/>
        </w:trPr>
        <w:tc>
          <w:tcPr>
            <w:tcW w:type="dxa" w:w="1872"/>
          </w:tcPr>
          <w:p>
            <w:pPr>
              <w:spacing w:after="20"/>
            </w:pPr>
            <w:r>
              <w:rPr>
                <w:color w:val="1C3A36"/>
                <w:sz w:val="15"/>
              </w:rPr>
              <w:t>The minorities and the joint ventures</w:t>
            </w:r>
          </w:p>
        </w:tc>
        <w:tc>
          <w:tcPr>
            <w:tcW w:type="dxa" w:w="2045"/>
          </w:tcPr>
          <w:p>
            <w:pPr>
              <w:spacing w:after="20"/>
            </w:pPr>
            <w:r>
              <w:rPr>
                <w:color w:val="1C3A36"/>
                <w:sz w:val="15"/>
              </w:rPr>
              <w:t>minorities deducted at 4.5% of mid-cycle profit; joint ventures not added</w:t>
            </w:r>
          </w:p>
        </w:tc>
        <w:tc>
          <w:tcPr>
            <w:tcW w:type="dxa" w:w="2045"/>
          </w:tcPr>
          <w:p>
            <w:pPr>
              <w:spacing w:after="20"/>
            </w:pPr>
            <w:r>
              <w:rPr>
                <w:color w:val="1C3A36"/>
                <w:sz w:val="15"/>
              </w:rPr>
              <w:t>neither deducted nor added — the one inconsistency in this panel</w:t>
            </w:r>
          </w:p>
        </w:tc>
        <w:tc>
          <w:tcPr>
            <w:tcW w:type="dxa" w:w="2045"/>
          </w:tcPr>
          <w:p>
            <w:pPr>
              <w:spacing w:after="20"/>
            </w:pPr>
            <w:r>
              <w:rPr>
                <w:color w:val="1C3A36"/>
                <w:sz w:val="15"/>
              </w:rPr>
              <w:t>both, on the same bridge the cash-flow model uses</w:t>
            </w:r>
          </w:p>
        </w:tc>
        <w:tc>
          <w:tcPr>
            <w:tcW w:type="dxa" w:w="2074"/>
          </w:tcPr>
          <w:p>
            <w:pPr>
              <w:spacing w:after="20"/>
            </w:pPr>
            <w:r>
              <w:rPr>
                <w:color w:val="1C3A36"/>
                <w:sz w:val="15"/>
              </w:rPr>
              <w:t>putting Expert 2 on the same bridge as the other two would move it AED -0.16 and the panel centre with it. The published figures are each method's own; the gap is stated in C.2 rather than smoothed</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7.37 appears throughout this document beside the adopted AED 5.34.</w:t>
      </w:r>
    </w:p>
    <w:p>
      <w:pPr>
        <w:spacing w:after="120" w:before="0"/>
      </w:pPr>
      <w:r>
        <w:rPr>
          <w:b w:val="0"/>
          <w:i w:val="0"/>
          <w:color w:val="1C3A36"/>
          <w:sz w:val="21"/>
        </w:rPr>
        <w:t>The same rule governs correction, and it extends to a study's own words about itself. Where a study has been reviewed and found wrong, the corrections are listed in the document itself, with the direction and the size of each, rather than absorbed into a new set of numbers that looks as though it was always there — and where a superseded edition made a CLAIM that later work falsified, the claim is reprinted and corrected rather than deleted. This edition does that twice: for a caveat that said a revenue convention could not reach the valuation, and for a cost of debt described as weighted when it is an average. This document carries the full list, under “What changed in these editions, and why”, immediately after the caveats. It covers both rounds of review and it is the section a reader who has seen an earlier edition should read first.</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