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w:t>
      </w:r>
    </w:p>
    <w:p>
      <w:pPr>
        <w:spacing w:after="100" w:before="0"/>
      </w:pPr>
      <w:r>
        <w:rPr>
          <w:b w:val="0"/>
          <w:i w:val="0"/>
          <w:color w:val="1C3A36"/>
          <w:sz w:val="20"/>
        </w:rPr>
        <w:t>THIS EDITION GOES ONE STEP FURTHER. The half-year results for 1 January to 30 June 2026, disclosed to the Egyptian Exchange on 29-30 July 2026 — one week before the anchor date — are restored to the record after the previous edition deleted them on a rule that treated "is it inside one of the four PDFs?" as the test for use. With them, a clean CONTIGUOUS twelve-month base year to 30 June 2026 exists and is the headline base. The disclosure is a press release, not a filing, and is flagged REPORTED wherever it is used; its gross-profit line is REJECTED on a coherence test recorded below and SOLVED from its own profit line instead. The fair-value estimate is EGP 11.83 in this edition, against EGP 7.16 in the audited nine-month edition and EGP 9.38 in the pre-filings edition — each restatement is itself part of the record and none is silently overwritten.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+0.0% above the profit printed in the same release, so it is rejected and the figure used, EGP 3,259mn, is SOLVED from the release's own profit line. Two coherence tests support the profit line it is solved from: the reported majority profit ties to the AUDITED statement of changes in equity within 0.9%, and the reported revenue ties to an independent triangulation within 0.0%.</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9.65% (nine audited months: 9.65%)</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91.2%, salaries 4.4%, other 3.9%,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1,502,325 tonnes and EGP 46,959mn,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1,288mn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157mn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169mn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1,739mn, 3.70%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997mn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130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13.5</w:t>
            </w:r>
          </w:p>
        </w:tc>
        <w:tc>
          <w:tcPr>
            <w:tcW w:type="dxa" w:w="1368"/>
          </w:tcPr>
          <w:p>
            <w:pPr>
              <w:spacing w:after="20"/>
            </w:pPr>
            <w:r>
              <w:rPr>
                <w:color w:val="1C3A36"/>
                <w:sz w:val="15"/>
              </w:rPr>
              <w:t>2026-09-03</w:t>
            </w:r>
          </w:p>
        </w:tc>
        <w:tc>
          <w:tcPr>
            <w:tcW w:type="dxa" w:w="3845"/>
          </w:tcPr>
          <w:p>
            <w:pPr>
              <w:spacing w:after="20"/>
            </w:pPr>
            <w:r>
              <w:rPr>
                <w:color w:val="1C3A36"/>
                <w:sz w:val="15"/>
              </w:rPr>
              <w:t>AMOC closing price on the Egyptian Exchange, 3 September 2026, from the prices supplied by the principal and committed at engine/prices/SUPPLIED_03-09-2026.json</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118,475.6; wax: 82,805.7; gasoil: 346,720.8; naphtha: 80,543.1; lpg: 47,938.8; fueloil: 799,642.3; hfo: 26,181.6; waste: 16.66</w:t>
            </w:r>
          </w:p>
        </w:tc>
        <w:tc>
          <w:tcPr>
            <w:tcW w:type="dxa" w:w="1368"/>
          </w:tcPr>
          <w:p>
            <w:pPr>
              <w:spacing w:after="20"/>
            </w:pPr>
            <w:r>
              <w:rPr>
                <w:color w:val="1C3A36"/>
                <w:sz w:val="15"/>
              </w:rPr>
              <w:t>2026-06-30</w:t>
            </w:r>
          </w:p>
        </w:tc>
        <w:tc>
          <w:tcPr>
            <w:tcW w:type="dxa" w:w="3845"/>
          </w:tcPr>
          <w:p>
            <w:pPr>
              <w:spacing w:after="20"/>
            </w:pPr>
            <w:r>
              <w:rPr>
                <w:color w:val="1C3A36"/>
                <w:sz w:val="15"/>
              </w:rPr>
              <w:t>Tonnes sold by product line,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Both halves are filed; nothing is annualised.</w:t>
            </w:r>
          </w:p>
        </w:tc>
      </w:tr>
      <w:tr>
        <w:tc>
          <w:tcPr>
            <w:tcW w:type="dxa" w:w="2736"/>
          </w:tcPr>
          <w:p>
            <w:pPr>
              <w:spacing w:after="20"/>
            </w:pPr>
            <w:r>
              <w:rPr>
                <w:color w:val="1C3A36"/>
                <w:sz w:val="15"/>
              </w:rPr>
              <w:t>prod_v</w:t>
            </w:r>
          </w:p>
        </w:tc>
        <w:tc>
          <w:tcPr>
            <w:tcW w:type="dxa" w:w="2232"/>
          </w:tcPr>
          <w:p>
            <w:pPr>
              <w:spacing w:after="20"/>
            </w:pPr>
            <w:r>
              <w:rPr>
                <w:color w:val="1C3A36"/>
                <w:sz w:val="15"/>
              </w:rPr>
              <w:t>oils: 6,910,344,291.0; wax: 4,652,865,956.0; gasoil: 13,032,962,579.0; naphtha: 2,237,624,310.0; lpg: 2,070,474,787.0; fueloil: 17,639,509,544.0; hfo: 414,784,599.0; waste: 192,200.0</w:t>
            </w:r>
          </w:p>
        </w:tc>
        <w:tc>
          <w:tcPr>
            <w:tcW w:type="dxa" w:w="1368"/>
          </w:tcPr>
          <w:p>
            <w:pPr>
              <w:spacing w:after="20"/>
            </w:pPr>
            <w:r>
              <w:rPr>
                <w:color w:val="1C3A36"/>
                <w:sz w:val="15"/>
              </w:rPr>
              <w:t>2026-06-30</w:t>
            </w:r>
          </w:p>
        </w:tc>
        <w:tc>
          <w:tcPr>
            <w:tcW w:type="dxa" w:w="3845"/>
          </w:tcPr>
          <w:p>
            <w:pPr>
              <w:spacing w:after="20"/>
            </w:pPr>
            <w:r>
              <w:rPr>
                <w:color w:val="1C3A36"/>
                <w:sz w:val="15"/>
              </w:rPr>
              <w:t>Sales value by product line, EGP,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Foots to disclosed twelve-month net sales with no scalar.</w:t>
            </w:r>
          </w:p>
        </w:tc>
      </w:tr>
      <w:tr>
        <w:tc>
          <w:tcPr>
            <w:tcW w:type="dxa" w:w="2736"/>
          </w:tcPr>
          <w:p>
            <w:pPr>
              <w:spacing w:after="20"/>
            </w:pPr>
            <w:r>
              <w:rPr>
                <w:color w:val="1C3A36"/>
                <w:sz w:val="15"/>
              </w:rPr>
              <w:t>rev_h1cy26</w:t>
            </w:r>
          </w:p>
        </w:tc>
        <w:tc>
          <w:tcPr>
            <w:tcW w:type="dxa" w:w="2232"/>
          </w:tcPr>
          <w:p>
            <w:pPr>
              <w:spacing w:after="20"/>
            </w:pPr>
            <w:r>
              <w:rPr>
                <w:color w:val="1C3A36"/>
                <w:sz w:val="15"/>
              </w:rPr>
              <w:t>26,223,032,454.0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Reviewed consolidated financial statements, six months to 30-Jun-2026, limited review report attached (note 14-A / 15-A)</w:t>
            </w:r>
          </w:p>
        </w:tc>
      </w:tr>
      <w:tr>
        <w:tc>
          <w:tcPr>
            <w:tcW w:type="dxa" w:w="2736"/>
          </w:tcPr>
          <w:p>
            <w:pPr>
              <w:spacing w:after="20"/>
            </w:pPr>
            <w:r>
              <w:rPr>
                <w:color w:val="1C3A36"/>
                <w:sz w:val="15"/>
              </w:rPr>
              <w:t>cogs_h1cy26</w:t>
            </w:r>
          </w:p>
        </w:tc>
        <w:tc>
          <w:tcPr>
            <w:tcW w:type="dxa" w:w="2232"/>
          </w:tcPr>
          <w:p>
            <w:pPr>
              <w:spacing w:after="20"/>
            </w:pPr>
            <w:r>
              <w:rPr>
                <w:color w:val="1C3A36"/>
                <w:sz w:val="15"/>
              </w:rPr>
              <w:t>22,964,084,821.0</w:t>
            </w:r>
          </w:p>
        </w:tc>
        <w:tc>
          <w:tcPr>
            <w:tcW w:type="dxa" w:w="1368"/>
          </w:tcPr>
          <w:p>
            <w:pPr>
              <w:spacing w:after="20"/>
            </w:pPr>
            <w:r>
              <w:rPr>
                <w:color w:val="1C3A36"/>
                <w:sz w:val="15"/>
              </w:rPr>
              <w:t>2026-06-30</w:t>
            </w:r>
          </w:p>
        </w:tc>
        <w:tc>
          <w:tcPr>
            <w:tcW w:type="dxa" w:w="3845"/>
          </w:tcPr>
          <w:p>
            <w:pPr>
              <w:spacing w:after="20"/>
            </w:pPr>
            <w:r>
              <w:rPr>
                <w:color w:val="1C3A36"/>
                <w:sz w:val="15"/>
              </w:rPr>
              <w:t>Cost of sales, six months to 30-Jun-2026. Reviewed consolidated financial statements, six months to 30-Jun-2026, limited review report attached (note 14-A / 15-A)</w:t>
            </w:r>
          </w:p>
        </w:tc>
      </w:tr>
      <w:tr>
        <w:tc>
          <w:tcPr>
            <w:tcW w:type="dxa" w:w="2736"/>
          </w:tcPr>
          <w:p>
            <w:pPr>
              <w:spacing w:after="20"/>
            </w:pPr>
            <w:r>
              <w:rPr>
                <w:color w:val="1C3A36"/>
                <w:sz w:val="15"/>
              </w:rPr>
              <w:t>gp_h1cy26</w:t>
            </w:r>
          </w:p>
        </w:tc>
        <w:tc>
          <w:tcPr>
            <w:tcW w:type="dxa" w:w="2232"/>
          </w:tcPr>
          <w:p>
            <w:pPr>
              <w:spacing w:after="20"/>
            </w:pPr>
            <w:r>
              <w:rPr>
                <w:color w:val="1C3A36"/>
                <w:sz w:val="15"/>
              </w:rPr>
              <w:t>3,258,947,633.0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 12.43% of net sales. Reviewed consolidated financial statements, six months to 30-Jun-2026, limited review report attached (note 14-A / 15-A)</w:t>
            </w:r>
          </w:p>
        </w:tc>
      </w:tr>
      <w:tr>
        <w:tc>
          <w:tcPr>
            <w:tcW w:type="dxa" w:w="2736"/>
          </w:tcPr>
          <w:p>
            <w:pPr>
              <w:spacing w:after="20"/>
            </w:pPr>
            <w:r>
              <w:rPr>
                <w:color w:val="1C3A36"/>
                <w:sz w:val="15"/>
              </w:rPr>
              <w:t>ga_h1cy26</w:t>
            </w:r>
          </w:p>
        </w:tc>
        <w:tc>
          <w:tcPr>
            <w:tcW w:type="dxa" w:w="2232"/>
          </w:tcPr>
          <w:p>
            <w:pPr>
              <w:spacing w:after="20"/>
            </w:pPr>
            <w:r>
              <w:rPr>
                <w:color w:val="1C3A36"/>
                <w:sz w:val="15"/>
              </w:rPr>
              <w:t>675,083,735.0</w:t>
            </w:r>
          </w:p>
        </w:tc>
        <w:tc>
          <w:tcPr>
            <w:tcW w:type="dxa" w:w="1368"/>
          </w:tcPr>
          <w:p>
            <w:pPr>
              <w:spacing w:after="20"/>
            </w:pPr>
            <w:r>
              <w:rPr>
                <w:color w:val="1C3A36"/>
                <w:sz w:val="15"/>
              </w:rPr>
              <w:t>2026-06-30</w:t>
            </w:r>
          </w:p>
        </w:tc>
        <w:tc>
          <w:tcPr>
            <w:tcW w:type="dxa" w:w="3845"/>
          </w:tcPr>
          <w:p>
            <w:pPr>
              <w:spacing w:after="20"/>
            </w:pPr>
            <w:r>
              <w:rPr>
                <w:color w:val="1C3A36"/>
                <w:sz w:val="15"/>
              </w:rPr>
              <w:t>General and administrative expenses, six months to 30-Jun-2026. Reviewed consolidated financial statements, six months to 30-Jun-2026, limited review report attached (note 14-A / 15-A)</w:t>
            </w:r>
          </w:p>
        </w:tc>
      </w:tr>
      <w:tr>
        <w:tc>
          <w:tcPr>
            <w:tcW w:type="dxa" w:w="2736"/>
          </w:tcPr>
          <w:p>
            <w:pPr>
              <w:spacing w:after="20"/>
            </w:pPr>
            <w:r>
              <w:rPr>
                <w:color w:val="1C3A36"/>
                <w:sz w:val="15"/>
              </w:rPr>
              <w:t>mkt_h1cy26</w:t>
            </w:r>
          </w:p>
        </w:tc>
        <w:tc>
          <w:tcPr>
            <w:tcW w:type="dxa" w:w="2232"/>
          </w:tcPr>
          <w:p>
            <w:pPr>
              <w:spacing w:after="20"/>
            </w:pPr>
            <w:r>
              <w:rPr>
                <w:color w:val="1C3A36"/>
                <w:sz w:val="15"/>
              </w:rPr>
              <w:t>125,019,700.0</w:t>
            </w:r>
          </w:p>
        </w:tc>
        <w:tc>
          <w:tcPr>
            <w:tcW w:type="dxa" w:w="1368"/>
          </w:tcPr>
          <w:p>
            <w:pPr>
              <w:spacing w:after="20"/>
            </w:pPr>
            <w:r>
              <w:rPr>
                <w:color w:val="1C3A36"/>
                <w:sz w:val="15"/>
              </w:rPr>
              <w:t>2026-06-30</w:t>
            </w:r>
          </w:p>
        </w:tc>
        <w:tc>
          <w:tcPr>
            <w:tcW w:type="dxa" w:w="3845"/>
          </w:tcPr>
          <w:p>
            <w:pPr>
              <w:spacing w:after="20"/>
            </w:pPr>
            <w:r>
              <w:rPr>
                <w:color w:val="1C3A36"/>
                <w:sz w:val="15"/>
              </w:rPr>
              <w:t>Marketing and selling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othexp_h1cy26</w:t>
            </w:r>
          </w:p>
        </w:tc>
        <w:tc>
          <w:tcPr>
            <w:tcW w:type="dxa" w:w="2232"/>
          </w:tcPr>
          <w:p>
            <w:pPr>
              <w:spacing w:after="20"/>
            </w:pPr>
            <w:r>
              <w:rPr>
                <w:color w:val="1C3A36"/>
                <w:sz w:val="15"/>
              </w:rPr>
              <w:t>2,599,294.0</w:t>
            </w:r>
          </w:p>
        </w:tc>
        <w:tc>
          <w:tcPr>
            <w:tcW w:type="dxa" w:w="1368"/>
          </w:tcPr>
          <w:p>
            <w:pPr>
              <w:spacing w:after="20"/>
            </w:pPr>
            <w:r>
              <w:rPr>
                <w:color w:val="1C3A36"/>
                <w:sz w:val="15"/>
              </w:rPr>
              <w:t>2026-06-30</w:t>
            </w:r>
          </w:p>
        </w:tc>
        <w:tc>
          <w:tcPr>
            <w:tcW w:type="dxa" w:w="3845"/>
          </w:tcPr>
          <w:p>
            <w:pPr>
              <w:spacing w:after="20"/>
            </w:pPr>
            <w:r>
              <w:rPr>
                <w:color w:val="1C3A36"/>
                <w:sz w:val="15"/>
              </w:rPr>
              <w:t>Other expenses, six months to 30-Jun-2026. Reviewed consolidated financial statements, six months to 30-Jun-2026, limited review report attached (note 14-A / 15-A)</w:t>
            </w:r>
          </w:p>
        </w:tc>
      </w:tr>
      <w:tr>
        <w:tc>
          <w:tcPr>
            <w:tcW w:type="dxa" w:w="2736"/>
          </w:tcPr>
          <w:p>
            <w:pPr>
              <w:spacing w:after="20"/>
            </w:pPr>
            <w:r>
              <w:rPr>
                <w:color w:val="1C3A36"/>
                <w:sz w:val="15"/>
              </w:rPr>
              <w:t>prov_h1cy26</w:t>
            </w:r>
          </w:p>
        </w:tc>
        <w:tc>
          <w:tcPr>
            <w:tcW w:type="dxa" w:w="2232"/>
          </w:tcPr>
          <w:p>
            <w:pPr>
              <w:spacing w:after="20"/>
            </w:pPr>
            <w:r>
              <w:rPr>
                <w:color w:val="1C3A36"/>
                <w:sz w:val="15"/>
              </w:rPr>
              <w:t>96,672,167.0</w:t>
            </w:r>
          </w:p>
        </w:tc>
        <w:tc>
          <w:tcPr>
            <w:tcW w:type="dxa" w:w="1368"/>
          </w:tcPr>
          <w:p>
            <w:pPr>
              <w:spacing w:after="20"/>
            </w:pPr>
            <w:r>
              <w:rPr>
                <w:color w:val="1C3A36"/>
                <w:sz w:val="15"/>
              </w:rPr>
              <w:t>2026-06-30</w:t>
            </w:r>
          </w:p>
        </w:tc>
        <w:tc>
          <w:tcPr>
            <w:tcW w:type="dxa" w:w="3845"/>
          </w:tcPr>
          <w:p>
            <w:pPr>
              <w:spacing w:after="20"/>
            </w:pPr>
            <w:r>
              <w:rPr>
                <w:color w:val="1C3A36"/>
                <w:sz w:val="15"/>
              </w:rPr>
              <w:t>Formed provisions, six months to 30-Jun-2026. Reviewed consolidated financial statements, six months to 30-Jun-2026, limited review report attached (note 14-A / 15-A)</w:t>
            </w:r>
          </w:p>
        </w:tc>
      </w:tr>
      <w:tr>
        <w:tc>
          <w:tcPr>
            <w:tcW w:type="dxa" w:w="2736"/>
          </w:tcPr>
          <w:p>
            <w:pPr>
              <w:spacing w:after="20"/>
            </w:pPr>
            <w:r>
              <w:rPr>
                <w:color w:val="1C3A36"/>
                <w:sz w:val="15"/>
              </w:rPr>
              <w:t>ecl_h1cy26</w:t>
            </w:r>
          </w:p>
        </w:tc>
        <w:tc>
          <w:tcPr>
            <w:tcW w:type="dxa" w:w="2232"/>
          </w:tcPr>
          <w:p>
            <w:pPr>
              <w:spacing w:after="20"/>
            </w:pPr>
            <w:r>
              <w:rPr>
                <w:color w:val="1C3A36"/>
                <w:sz w:val="15"/>
              </w:rPr>
              <w:t>48,692,230.0</w:t>
            </w:r>
          </w:p>
        </w:tc>
        <w:tc>
          <w:tcPr>
            <w:tcW w:type="dxa" w:w="1368"/>
          </w:tcPr>
          <w:p>
            <w:pPr>
              <w:spacing w:after="20"/>
            </w:pPr>
            <w:r>
              <w:rPr>
                <w:color w:val="1C3A36"/>
                <w:sz w:val="15"/>
              </w:rPr>
              <w:t>2026-06-30</w:t>
            </w:r>
          </w:p>
        </w:tc>
        <w:tc>
          <w:tcPr>
            <w:tcW w:type="dxa" w:w="3845"/>
          </w:tcPr>
          <w:p>
            <w:pPr>
              <w:spacing w:after="20"/>
            </w:pPr>
            <w:r>
              <w:rPr>
                <w:color w:val="1C3A36"/>
                <w:sz w:val="15"/>
              </w:rPr>
              <w:t>Expected credit losses formed, six months to 30-Jun-2026. Reviewed consolidated financial statements, six months to 30-Jun-2026, limited review report attached (note 14-A / 15-A)</w:t>
            </w:r>
          </w:p>
        </w:tc>
      </w:tr>
      <w:tr>
        <w:tc>
          <w:tcPr>
            <w:tcW w:type="dxa" w:w="2736"/>
          </w:tcPr>
          <w:p>
            <w:pPr>
              <w:spacing w:after="20"/>
            </w:pPr>
            <w:r>
              <w:rPr>
                <w:color w:val="1C3A36"/>
                <w:sz w:val="15"/>
              </w:rPr>
              <w:t>fin_h1cy26</w:t>
            </w:r>
          </w:p>
        </w:tc>
        <w:tc>
          <w:tcPr>
            <w:tcW w:type="dxa" w:w="2232"/>
          </w:tcPr>
          <w:p>
            <w:pPr>
              <w:spacing w:after="20"/>
            </w:pPr>
            <w:r>
              <w:rPr>
                <w:color w:val="1C3A36"/>
                <w:sz w:val="15"/>
              </w:rPr>
              <w:t>1,938,539.0</w:t>
            </w:r>
          </w:p>
        </w:tc>
        <w:tc>
          <w:tcPr>
            <w:tcW w:type="dxa" w:w="1368"/>
          </w:tcPr>
          <w:p>
            <w:pPr>
              <w:spacing w:after="20"/>
            </w:pPr>
            <w:r>
              <w:rPr>
                <w:color w:val="1C3A36"/>
                <w:sz w:val="15"/>
              </w:rPr>
              <w:t>2026-06-30</w:t>
            </w:r>
          </w:p>
        </w:tc>
        <w:tc>
          <w:tcPr>
            <w:tcW w:type="dxa" w:w="3845"/>
          </w:tcPr>
          <w:p>
            <w:pPr>
              <w:spacing w:after="20"/>
            </w:pPr>
            <w:r>
              <w:rPr>
                <w:color w:val="1C3A36"/>
                <w:sz w:val="15"/>
              </w:rPr>
              <w:t>Finance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othrev_h1cy26</w:t>
            </w:r>
          </w:p>
        </w:tc>
        <w:tc>
          <w:tcPr>
            <w:tcW w:type="dxa" w:w="2232"/>
          </w:tcPr>
          <w:p>
            <w:pPr>
              <w:spacing w:after="20"/>
            </w:pPr>
            <w:r>
              <w:rPr>
                <w:color w:val="1C3A36"/>
                <w:sz w:val="15"/>
              </w:rPr>
              <w:t>196,526,615.0</w:t>
            </w:r>
          </w:p>
        </w:tc>
        <w:tc>
          <w:tcPr>
            <w:tcW w:type="dxa" w:w="1368"/>
          </w:tcPr>
          <w:p>
            <w:pPr>
              <w:spacing w:after="20"/>
            </w:pPr>
            <w:r>
              <w:rPr>
                <w:color w:val="1C3A36"/>
                <w:sz w:val="15"/>
              </w:rPr>
              <w:t>2026-06-30</w:t>
            </w:r>
          </w:p>
        </w:tc>
        <w:tc>
          <w:tcPr>
            <w:tcW w:type="dxa" w:w="3845"/>
          </w:tcPr>
          <w:p>
            <w:pPr>
              <w:spacing w:after="20"/>
            </w:pPr>
            <w:r>
              <w:rPr>
                <w:color w:val="1C3A36"/>
                <w:sz w:val="15"/>
              </w:rPr>
              <w:t>Other operating income, six months to 30-Jun-2026, of which credit interest 134,944,385. Reviewed consolidated financial statements, six months to 30-Jun-2026, limited review report attached (note 14-A / 15-A)</w:t>
            </w:r>
          </w:p>
        </w:tc>
      </w:tr>
      <w:tr>
        <w:tc>
          <w:tcPr>
            <w:tcW w:type="dxa" w:w="2736"/>
          </w:tcPr>
          <w:p>
            <w:pPr>
              <w:spacing w:after="20"/>
            </w:pPr>
            <w:r>
              <w:rPr>
                <w:color w:val="1C3A36"/>
                <w:sz w:val="15"/>
              </w:rPr>
              <w:t>tax_h1cy26</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Income tax, six months to 30-Jun-2026. Reviewed consolidated financial statements, six months to 30-Jun-2026, limited review report attached (note 14-A / 15-A)</w:t>
            </w:r>
          </w:p>
        </w:tc>
      </w:tr>
      <w:tr>
        <w:tc>
          <w:tcPr>
            <w:tcW w:type="dxa" w:w="2736"/>
          </w:tcPr>
          <w:p>
            <w:pPr>
              <w:spacing w:after="20"/>
            </w:pPr>
            <w:r>
              <w:rPr>
                <w:color w:val="1C3A36"/>
                <w:sz w:val="15"/>
              </w:rPr>
              <w:t>dtax_h1cy26</w:t>
            </w:r>
          </w:p>
        </w:tc>
        <w:tc>
          <w:tcPr>
            <w:tcW w:type="dxa" w:w="2232"/>
          </w:tcPr>
          <w:p>
            <w:pPr>
              <w:spacing w:after="20"/>
            </w:pPr>
            <w:r>
              <w:rPr>
                <w:color w:val="1C3A36"/>
                <w:sz w:val="15"/>
              </w:rPr>
              <w:t>6,907,221.0</w:t>
            </w:r>
          </w:p>
        </w:tc>
        <w:tc>
          <w:tcPr>
            <w:tcW w:type="dxa" w:w="1368"/>
          </w:tcPr>
          <w:p>
            <w:pPr>
              <w:spacing w:after="20"/>
            </w:pPr>
            <w:r>
              <w:rPr>
                <w:color w:val="1C3A36"/>
                <w:sz w:val="15"/>
              </w:rPr>
              <w:t>2026-06-30</w:t>
            </w:r>
          </w:p>
        </w:tc>
        <w:tc>
          <w:tcPr>
            <w:tcW w:type="dxa" w:w="3845"/>
          </w:tcPr>
          <w:p>
            <w:pPr>
              <w:spacing w:after="20"/>
            </w:pPr>
            <w:r>
              <w:rPr>
                <w:color w:val="1C3A36"/>
                <w:sz w:val="15"/>
              </w:rPr>
              <w:t>Deferred tax revenue, six months to 30-Jun-2026. Reviewed consolidated financial statements, six months to 30-Jun-2026, limited review report attached (note 14-A / 15-A)</w:t>
            </w:r>
          </w:p>
        </w:tc>
      </w:tr>
      <w:tr>
        <w:tc>
          <w:tcPr>
            <w:tcW w:type="dxa" w:w="2736"/>
          </w:tcPr>
          <w:p>
            <w:pPr>
              <w:spacing w:after="20"/>
            </w:pPr>
            <w:r>
              <w:rPr>
                <w:color w:val="1C3A36"/>
                <w:sz w:val="15"/>
              </w:rPr>
              <w:t>pat_h1cy26</w:t>
            </w:r>
          </w:p>
        </w:tc>
        <w:tc>
          <w:tcPr>
            <w:tcW w:type="dxa" w:w="2232"/>
          </w:tcPr>
          <w:p>
            <w:pPr>
              <w:spacing w:after="20"/>
            </w:pPr>
            <w:r>
              <w:rPr>
                <w:color w:val="1C3A36"/>
                <w:sz w:val="15"/>
              </w:rPr>
              <w:t>1,920,706,543.0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Reviewed consolidated financial statements, six months to 30-Jun-2026, limited review report attached (note 14-A / 15-A)</w:t>
            </w:r>
          </w:p>
        </w:tc>
      </w:tr>
      <w:tr>
        <w:tc>
          <w:tcPr>
            <w:tcW w:type="dxa" w:w="2736"/>
          </w:tcPr>
          <w:p>
            <w:pPr>
              <w:spacing w:after="20"/>
            </w:pPr>
            <w:r>
              <w:rPr>
                <w:color w:val="1C3A36"/>
                <w:sz w:val="15"/>
              </w:rPr>
              <w:t>nci_h1cy26</w:t>
            </w:r>
          </w:p>
        </w:tc>
        <w:tc>
          <w:tcPr>
            <w:tcW w:type="dxa" w:w="2232"/>
          </w:tcPr>
          <w:p>
            <w:pPr>
              <w:spacing w:after="20"/>
            </w:pPr>
            <w:r>
              <w:rPr>
                <w:color w:val="1C3A36"/>
                <w:sz w:val="15"/>
              </w:rPr>
              <w:t>38,756,277.0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six months to 30-Jun-2026. Reviewed consolidated financial statements, six months to 30-Jun-2026, limited review report attached (note 14-A / 15-A)</w:t>
            </w:r>
          </w:p>
        </w:tc>
      </w:tr>
      <w:tr>
        <w:tc>
          <w:tcPr>
            <w:tcW w:type="dxa" w:w="2736"/>
          </w:tcPr>
          <w:p>
            <w:pPr>
              <w:spacing w:after="20"/>
            </w:pPr>
            <w:r>
              <w:rPr>
                <w:color w:val="1C3A36"/>
                <w:sz w:val="15"/>
              </w:rPr>
              <w:t>maj_h1cy26</w:t>
            </w:r>
          </w:p>
        </w:tc>
        <w:tc>
          <w:tcPr>
            <w:tcW w:type="dxa" w:w="2232"/>
          </w:tcPr>
          <w:p>
            <w:pPr>
              <w:spacing w:after="20"/>
            </w:pPr>
            <w:r>
              <w:rPr>
                <w:color w:val="1C3A36"/>
                <w:sz w:val="15"/>
              </w:rPr>
              <w:t>1,881,950,266.0</w:t>
            </w:r>
          </w:p>
        </w:tc>
        <w:tc>
          <w:tcPr>
            <w:tcW w:type="dxa" w:w="1368"/>
          </w:tcPr>
          <w:p>
            <w:pPr>
              <w:spacing w:after="20"/>
            </w:pPr>
            <w:r>
              <w:rPr>
                <w:color w:val="1C3A36"/>
                <w:sz w:val="15"/>
              </w:rPr>
              <w:t>2026-06-30</w:t>
            </w:r>
          </w:p>
        </w:tc>
        <w:tc>
          <w:tcPr>
            <w:tcW w:type="dxa" w:w="3845"/>
          </w:tcPr>
          <w:p>
            <w:pPr>
              <w:spacing w:after="20"/>
            </w:pPr>
            <w:r>
              <w:rPr>
                <w:color w:val="1C3A36"/>
                <w:sz w:val="15"/>
              </w:rPr>
              <w:t>Majority's share, six months to 30-Jun-2026 — EPS 1.46, and MORE than the whole preceding fiscal year's 1,488,520,098. Reviewed consolidated financial statements, six months to 30-Jun-2026, limited review report attached (note 14-A / 15-A)</w:t>
            </w:r>
          </w:p>
        </w:tc>
      </w:tr>
      <w:tr>
        <w:tc>
          <w:tcPr>
            <w:tcW w:type="dxa" w:w="2736"/>
          </w:tcPr>
          <w:p>
            <w:pPr>
              <w:spacing w:after="20"/>
            </w:pPr>
            <w:r>
              <w:rPr>
                <w:color w:val="1C3A36"/>
                <w:sz w:val="15"/>
              </w:rPr>
              <w:t>cos_ttm_salaries</w:t>
            </w:r>
          </w:p>
        </w:tc>
        <w:tc>
          <w:tcPr>
            <w:tcW w:type="dxa" w:w="2232"/>
          </w:tcPr>
          <w:p>
            <w:pPr>
              <w:spacing w:after="20"/>
            </w:pPr>
            <w:r>
              <w:rPr>
                <w:color w:val="1C3A36"/>
                <w:sz w:val="15"/>
              </w:rPr>
              <w:t>1,869,534,265.0</w:t>
            </w:r>
          </w:p>
        </w:tc>
        <w:tc>
          <w:tcPr>
            <w:tcW w:type="dxa" w:w="1368"/>
          </w:tcPr>
          <w:p>
            <w:pPr>
              <w:spacing w:after="20"/>
            </w:pPr>
            <w:r>
              <w:rPr>
                <w:color w:val="1C3A36"/>
                <w:sz w:val="15"/>
              </w:rPr>
              <w:t>2026-06-30</w:t>
            </w:r>
          </w:p>
        </w:tc>
        <w:tc>
          <w:tcPr>
            <w:tcW w:type="dxa" w:w="3845"/>
          </w:tcPr>
          <w:p>
            <w:pPr>
              <w:spacing w:after="20"/>
            </w:pPr>
            <w:r>
              <w:rPr>
                <w:color w:val="1C3A36"/>
                <w:sz w:val="15"/>
              </w:rPr>
              <w:t>Salaries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cos_ttm_raw</w:t>
            </w:r>
          </w:p>
        </w:tc>
        <w:tc>
          <w:tcPr>
            <w:tcW w:type="dxa" w:w="2232"/>
          </w:tcPr>
          <w:p>
            <w:pPr>
              <w:spacing w:after="20"/>
            </w:pPr>
            <w:r>
              <w:rPr>
                <w:color w:val="1C3A36"/>
                <w:sz w:val="15"/>
              </w:rPr>
              <w:t>38,674,000,341.0</w:t>
            </w:r>
          </w:p>
        </w:tc>
        <w:tc>
          <w:tcPr>
            <w:tcW w:type="dxa" w:w="1368"/>
          </w:tcPr>
          <w:p>
            <w:pPr>
              <w:spacing w:after="20"/>
            </w:pPr>
            <w:r>
              <w:rPr>
                <w:color w:val="1C3A36"/>
                <w:sz w:val="15"/>
              </w:rPr>
              <w:t>2026-06-30</w:t>
            </w:r>
          </w:p>
        </w:tc>
        <w:tc>
          <w:tcPr>
            <w:tcW w:type="dxa" w:w="3845"/>
          </w:tcPr>
          <w:p>
            <w:pPr>
              <w:spacing w:after="20"/>
            </w:pPr>
            <w:r>
              <w:rPr>
                <w:color w:val="1C3A36"/>
                <w:sz w:val="15"/>
              </w:rPr>
              <w:t>Raw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cos_ttm_support</w:t>
            </w:r>
          </w:p>
        </w:tc>
        <w:tc>
          <w:tcPr>
            <w:tcW w:type="dxa" w:w="2232"/>
          </w:tcPr>
          <w:p>
            <w:pPr>
              <w:spacing w:after="20"/>
            </w:pPr>
            <w:r>
              <w:rPr>
                <w:color w:val="1C3A36"/>
                <w:sz w:val="15"/>
              </w:rPr>
              <w:t>124,155,321.0</w:t>
            </w:r>
          </w:p>
        </w:tc>
        <w:tc>
          <w:tcPr>
            <w:tcW w:type="dxa" w:w="1368"/>
          </w:tcPr>
          <w:p>
            <w:pPr>
              <w:spacing w:after="20"/>
            </w:pPr>
            <w:r>
              <w:rPr>
                <w:color w:val="1C3A36"/>
                <w:sz w:val="15"/>
              </w:rPr>
              <w:t>2026-06-30</w:t>
            </w:r>
          </w:p>
        </w:tc>
        <w:tc>
          <w:tcPr>
            <w:tcW w:type="dxa" w:w="3845"/>
          </w:tcPr>
          <w:p>
            <w:pPr>
              <w:spacing w:after="20"/>
            </w:pPr>
            <w:r>
              <w:rPr>
                <w:color w:val="1C3A36"/>
                <w:sz w:val="15"/>
              </w:rPr>
              <w:t>Supporting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cos_ttm_dep</w:t>
            </w:r>
          </w:p>
        </w:tc>
        <w:tc>
          <w:tcPr>
            <w:tcW w:type="dxa" w:w="2232"/>
          </w:tcPr>
          <w:p>
            <w:pPr>
              <w:spacing w:after="20"/>
            </w:pPr>
            <w:r>
              <w:rPr>
                <w:color w:val="1C3A36"/>
                <w:sz w:val="15"/>
              </w:rPr>
              <w:t>123,206,229.0</w:t>
            </w:r>
          </w:p>
        </w:tc>
        <w:tc>
          <w:tcPr>
            <w:tcW w:type="dxa" w:w="1368"/>
          </w:tcPr>
          <w:p>
            <w:pPr>
              <w:spacing w:after="20"/>
            </w:pPr>
            <w:r>
              <w:rPr>
                <w:color w:val="1C3A36"/>
                <w:sz w:val="15"/>
              </w:rPr>
              <w:t>2026-06-30</w:t>
            </w:r>
          </w:p>
        </w:tc>
        <w:tc>
          <w:tcPr>
            <w:tcW w:type="dxa" w:w="3845"/>
          </w:tcPr>
          <w:p>
            <w:pPr>
              <w:spacing w:after="20"/>
            </w:pPr>
            <w:r>
              <w:rPr>
                <w:color w:val="1C3A36"/>
                <w:sz w:val="15"/>
              </w:rPr>
              <w:t>Depreciation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cos_ttm_other</w:t>
            </w:r>
          </w:p>
        </w:tc>
        <w:tc>
          <w:tcPr>
            <w:tcW w:type="dxa" w:w="2232"/>
          </w:tcPr>
          <w:p>
            <w:pPr>
              <w:spacing w:after="20"/>
            </w:pPr>
            <w:r>
              <w:rPr>
                <w:color w:val="1C3A36"/>
                <w:sz w:val="15"/>
              </w:rPr>
              <w:t>1,634,739,411.0</w:t>
            </w:r>
          </w:p>
        </w:tc>
        <w:tc>
          <w:tcPr>
            <w:tcW w:type="dxa" w:w="1368"/>
          </w:tcPr>
          <w:p>
            <w:pPr>
              <w:spacing w:after="20"/>
            </w:pPr>
            <w:r>
              <w:rPr>
                <w:color w:val="1C3A36"/>
                <w:sz w:val="15"/>
              </w:rPr>
              <w:t>2026-06-30</w:t>
            </w:r>
          </w:p>
        </w:tc>
        <w:tc>
          <w:tcPr>
            <w:tcW w:type="dxa" w:w="3845"/>
          </w:tcPr>
          <w:p>
            <w:pPr>
              <w:spacing w:after="20"/>
            </w:pPr>
            <w:r>
              <w:rPr>
                <w:color w:val="1C3A36"/>
                <w:sz w:val="15"/>
              </w:rPr>
              <w:t>Other cost of sales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dep_ttm</w:t>
            </w:r>
          </w:p>
        </w:tc>
        <w:tc>
          <w:tcPr>
            <w:tcW w:type="dxa" w:w="2232"/>
          </w:tcPr>
          <w:p>
            <w:pPr>
              <w:spacing w:after="20"/>
            </w:pPr>
            <w:r>
              <w:rPr>
                <w:color w:val="1C3A36"/>
                <w:sz w:val="15"/>
              </w:rPr>
              <w:t>156,621,007.0</w:t>
            </w:r>
          </w:p>
        </w:tc>
        <w:tc>
          <w:tcPr>
            <w:tcW w:type="dxa" w:w="1368"/>
          </w:tcPr>
          <w:p>
            <w:pPr>
              <w:spacing w:after="20"/>
            </w:pPr>
            <w:r>
              <w:rPr>
                <w:color w:val="1C3A36"/>
                <w:sz w:val="15"/>
              </w:rPr>
              <w:t>2026-06-30</w:t>
            </w:r>
          </w:p>
        </w:tc>
        <w:tc>
          <w:tcPr>
            <w:tcW w:type="dxa" w:w="3845"/>
          </w:tcPr>
          <w:p>
            <w:pPr>
              <w:spacing w:after="20"/>
            </w:pPr>
            <w:r>
              <w:rPr>
                <w:color w:val="1C3A36"/>
                <w:sz w:val="15"/>
              </w:rPr>
              <w:t>Depreciation and right-of-use amortisation, TWELVE months to 30-Jun-2026 — the audited transition half's cash-flow statement plus the reviewed half's. Reviewed consolidated financial statements, six months to 30-Jun-2026, limited review report attached (note 14-A / 15-A)</w:t>
            </w:r>
          </w:p>
        </w:tc>
      </w:tr>
      <w:tr>
        <w:tc>
          <w:tcPr>
            <w:tcW w:type="dxa" w:w="2736"/>
          </w:tcPr>
          <w:p>
            <w:pPr>
              <w:spacing w:after="20"/>
            </w:pPr>
            <w:r>
              <w:rPr>
                <w:color w:val="1C3A36"/>
                <w:sz w:val="15"/>
              </w:rPr>
              <w:t>capex_ttm</w:t>
            </w:r>
          </w:p>
        </w:tc>
        <w:tc>
          <w:tcPr>
            <w:tcW w:type="dxa" w:w="2232"/>
          </w:tcPr>
          <w:p>
            <w:pPr>
              <w:spacing w:after="20"/>
            </w:pPr>
            <w:r>
              <w:rPr>
                <w:color w:val="1C3A36"/>
                <w:sz w:val="15"/>
              </w:rPr>
              <w:t>169,466,717.0</w:t>
            </w:r>
          </w:p>
        </w:tc>
        <w:tc>
          <w:tcPr>
            <w:tcW w:type="dxa" w:w="1368"/>
          </w:tcPr>
          <w:p>
            <w:pPr>
              <w:spacing w:after="20"/>
            </w:pPr>
            <w:r>
              <w:rPr>
                <w:color w:val="1C3A36"/>
                <w:sz w:val="15"/>
              </w:rPr>
              <w:t>2026-06-30</w:t>
            </w:r>
          </w:p>
        </w:tc>
        <w:tc>
          <w:tcPr>
            <w:tcW w:type="dxa" w:w="3845"/>
          </w:tcPr>
          <w:p>
            <w:pPr>
              <w:spacing w:after="20"/>
            </w:pPr>
            <w:r>
              <w:rPr>
                <w:color w:val="1C3A36"/>
                <w:sz w:val="15"/>
              </w:rPr>
              <w:t>Payments for projects under construction and fixed assets, TWELVE months to 30-Jun-2026 — both cash-flow statements. Reviewed consolidated financial statements, six months to 30-Jun-2026, limited review report attached (note 14-A / 15-A)</w:t>
            </w:r>
          </w:p>
        </w:tc>
      </w:tr>
      <w:tr>
        <w:tc>
          <w:tcPr>
            <w:tcW w:type="dxa" w:w="2736"/>
          </w:tcPr>
          <w:p>
            <w:pPr>
              <w:spacing w:after="20"/>
            </w:pPr>
            <w:r>
              <w:rPr>
                <w:color w:val="1C3A36"/>
                <w:sz w:val="15"/>
              </w:rPr>
              <w:t>credint_h1cy26</w:t>
            </w:r>
          </w:p>
        </w:tc>
        <w:tc>
          <w:tcPr>
            <w:tcW w:type="dxa" w:w="2232"/>
          </w:tcPr>
          <w:p>
            <w:pPr>
              <w:spacing w:after="20"/>
            </w:pPr>
            <w:r>
              <w:rPr>
                <w:color w:val="1C3A36"/>
                <w:sz w:val="15"/>
              </w:rPr>
              <w:t>134,944,385.0</w:t>
            </w:r>
          </w:p>
        </w:tc>
        <w:tc>
          <w:tcPr>
            <w:tcW w:type="dxa" w:w="1368"/>
          </w:tcPr>
          <w:p>
            <w:pPr>
              <w:spacing w:after="20"/>
            </w:pPr>
            <w:r>
              <w:rPr>
                <w:color w:val="1C3A36"/>
                <w:sz w:val="15"/>
              </w:rPr>
              <w:t>2026-06-30</w:t>
            </w:r>
          </w:p>
        </w:tc>
        <w:tc>
          <w:tcPr>
            <w:tcW w:type="dxa" w:w="3845"/>
          </w:tcPr>
          <w:p>
            <w:pPr>
              <w:spacing w:after="20"/>
            </w:pPr>
            <w:r>
              <w:rPr>
                <w:color w:val="1C3A36"/>
                <w:sz w:val="15"/>
              </w:rPr>
              <w:t>Credit interest earned, six months to 30-Jun-2026 (note 14-B). Reviewed consolidated financial statements, six months to 30-Jun-2026, limited review report attached (note 14-A / 15-A)</w:t>
            </w:r>
          </w:p>
        </w:tc>
      </w:tr>
      <w:tr>
        <w:tc>
          <w:tcPr>
            <w:tcW w:type="dxa" w:w="2736"/>
          </w:tcPr>
          <w:p>
            <w:pPr>
              <w:spacing w:after="20"/>
            </w:pPr>
            <w:r>
              <w:rPr>
                <w:color w:val="1C3A36"/>
                <w:sz w:val="15"/>
              </w:rPr>
              <w:t>cos_h1cy26</w:t>
            </w:r>
          </w:p>
        </w:tc>
        <w:tc>
          <w:tcPr>
            <w:tcW w:type="dxa" w:w="2232"/>
          </w:tcPr>
          <w:p>
            <w:pPr>
              <w:spacing w:after="20"/>
            </w:pPr>
            <w:r>
              <w:rPr>
                <w:color w:val="1C3A36"/>
                <w:sz w:val="15"/>
              </w:rPr>
              <w:t>salaries: 988,514,768.0; raw: 21,023,897,616.0; support: 59,621,598.0; dep: 64,458,183.0; other: 827,592,656.0</w:t>
            </w:r>
          </w:p>
        </w:tc>
        <w:tc>
          <w:tcPr>
            <w:tcW w:type="dxa" w:w="1368"/>
          </w:tcPr>
          <w:p>
            <w:pPr>
              <w:spacing w:after="20"/>
            </w:pPr>
            <w:r>
              <w:rPr>
                <w:color w:val="1C3A36"/>
                <w:sz w:val="15"/>
              </w:rPr>
              <w:t>2026-06-30</w:t>
            </w:r>
          </w:p>
        </w:tc>
        <w:tc>
          <w:tcPr>
            <w:tcW w:type="dxa" w:w="3845"/>
          </w:tcPr>
          <w:p>
            <w:pPr>
              <w:spacing w:after="20"/>
            </w:pPr>
            <w:r>
              <w:rPr>
                <w:color w:val="1C3A36"/>
                <w:sz w:val="15"/>
              </w:rPr>
              <w:t>Cost of sales by nature, six months to 30-Jun-2026 (note 15-A); raw materials are 91.6% of the stack. Reviewed consolidated financial statements, six months to 30-Jun-2026, limited review report attached (note 14-A / 15-A)</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873,010,517.0</w:t>
            </w:r>
          </w:p>
        </w:tc>
        <w:tc>
          <w:tcPr>
            <w:tcW w:type="dxa" w:w="1368"/>
          </w:tcPr>
          <w:p>
            <w:pPr>
              <w:spacing w:after="20"/>
            </w:pPr>
            <w:r>
              <w:rPr>
                <w:color w:val="1C3A36"/>
                <w:sz w:val="15"/>
              </w:rPr>
              <w:t>2026-06-30</w:t>
            </w:r>
          </w:p>
        </w:tc>
        <w:tc>
          <w:tcPr>
            <w:tcW w:type="dxa" w:w="3845"/>
          </w:tcPr>
          <w:p>
            <w:pPr>
              <w:spacing w:after="20"/>
            </w:pPr>
            <w:r>
              <w:rPr>
                <w:color w:val="1C3A36"/>
                <w:sz w:val="15"/>
              </w:rPr>
              <w:t>Fixed assets net of accumulated depreciation at 30-Jun-2026 (note 6). Reviewed consolidated FS, six months to 30-Jun-2026, limited review</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414,641,768.0</w:t>
            </w:r>
          </w:p>
        </w:tc>
        <w:tc>
          <w:tcPr>
            <w:tcW w:type="dxa" w:w="1368"/>
          </w:tcPr>
          <w:p>
            <w:pPr>
              <w:spacing w:after="20"/>
            </w:pPr>
            <w:r>
              <w:rPr>
                <w:color w:val="1C3A36"/>
                <w:sz w:val="15"/>
              </w:rPr>
              <w:t>2026-06-30</w:t>
            </w:r>
          </w:p>
        </w:tc>
        <w:tc>
          <w:tcPr>
            <w:tcW w:type="dxa" w:w="3845"/>
          </w:tcPr>
          <w:p>
            <w:pPr>
              <w:spacing w:after="20"/>
            </w:pPr>
            <w:r>
              <w:rPr>
                <w:color w:val="1C3A36"/>
                <w:sz w:val="15"/>
              </w:rPr>
              <w:t>Projects under construction at 30-Jun-2026 (note 7). Reviewed consolidated FS, six months to 30-Jun-2026, limited review</w:t>
            </w:r>
          </w:p>
        </w:tc>
      </w:tr>
      <w:tr>
        <w:tc>
          <w:tcPr>
            <w:tcW w:type="dxa" w:w="2736"/>
          </w:tcPr>
          <w:p>
            <w:pPr>
              <w:spacing w:after="20"/>
            </w:pPr>
            <w:r>
              <w:rPr>
                <w:color w:val="1C3A36"/>
                <w:sz w:val="15"/>
              </w:rPr>
              <w:t>inventory</w:t>
            </w:r>
          </w:p>
        </w:tc>
        <w:tc>
          <w:tcPr>
            <w:tcW w:type="dxa" w:w="2232"/>
          </w:tcPr>
          <w:p>
            <w:pPr>
              <w:spacing w:after="20"/>
            </w:pPr>
            <w:r>
              <w:rPr>
                <w:color w:val="1C3A36"/>
                <w:sz w:val="15"/>
              </w:rPr>
              <w:t>3,764,066,490.0</w:t>
            </w:r>
          </w:p>
        </w:tc>
        <w:tc>
          <w:tcPr>
            <w:tcW w:type="dxa" w:w="1368"/>
          </w:tcPr>
          <w:p>
            <w:pPr>
              <w:spacing w:after="20"/>
            </w:pPr>
            <w:r>
              <w:rPr>
                <w:color w:val="1C3A36"/>
                <w:sz w:val="15"/>
              </w:rPr>
              <w:t>2026-06-30</w:t>
            </w:r>
          </w:p>
        </w:tc>
        <w:tc>
          <w:tcPr>
            <w:tcW w:type="dxa" w:w="3845"/>
          </w:tcPr>
          <w:p>
            <w:pPr>
              <w:spacing w:after="20"/>
            </w:pPr>
            <w:r>
              <w:rPr>
                <w:color w:val="1C3A36"/>
                <w:sz w:val="15"/>
              </w:rPr>
              <w:t>Inventory net of impairment at 30-Jun-2026 (note 9-A). Reviewed consolidated FS, six months to 30-Jun-2026, limited review</w:t>
            </w:r>
          </w:p>
        </w:tc>
      </w:tr>
      <w:tr>
        <w:tc>
          <w:tcPr>
            <w:tcW w:type="dxa" w:w="2736"/>
          </w:tcPr>
          <w:p>
            <w:pPr>
              <w:spacing w:after="20"/>
            </w:pPr>
            <w:r>
              <w:rPr>
                <w:color w:val="1C3A36"/>
                <w:sz w:val="15"/>
              </w:rPr>
              <w:t>recv</w:t>
            </w:r>
          </w:p>
        </w:tc>
        <w:tc>
          <w:tcPr>
            <w:tcW w:type="dxa" w:w="2232"/>
          </w:tcPr>
          <w:p>
            <w:pPr>
              <w:spacing w:after="20"/>
            </w:pPr>
            <w:r>
              <w:rPr>
                <w:color w:val="1C3A36"/>
                <w:sz w:val="15"/>
              </w:rPr>
              <w:t>2,035,100,729.0</w:t>
            </w:r>
          </w:p>
        </w:tc>
        <w:tc>
          <w:tcPr>
            <w:tcW w:type="dxa" w:w="1368"/>
          </w:tcPr>
          <w:p>
            <w:pPr>
              <w:spacing w:after="20"/>
            </w:pPr>
            <w:r>
              <w:rPr>
                <w:color w:val="1C3A36"/>
                <w:sz w:val="15"/>
              </w:rPr>
              <w:t>2026-06-30</w:t>
            </w:r>
          </w:p>
        </w:tc>
        <w:tc>
          <w:tcPr>
            <w:tcW w:type="dxa" w:w="3845"/>
          </w:tcPr>
          <w:p>
            <w:pPr>
              <w:spacing w:after="20"/>
            </w:pPr>
            <w:r>
              <w:rPr>
                <w:color w:val="1C3A36"/>
                <w:sz w:val="15"/>
              </w:rPr>
              <w:t>Accounts receivable net at 30-Jun-2026 (note 9-B). Reviewed consolidated FS, six months to 30-Jun-2026, limited review</w:t>
            </w:r>
          </w:p>
        </w:tc>
      </w:tr>
      <w:tr>
        <w:tc>
          <w:tcPr>
            <w:tcW w:type="dxa" w:w="2736"/>
          </w:tcPr>
          <w:p>
            <w:pPr>
              <w:spacing w:after="20"/>
            </w:pPr>
            <w:r>
              <w:rPr>
                <w:color w:val="1C3A36"/>
                <w:sz w:val="15"/>
              </w:rPr>
              <w:t>debtors</w:t>
            </w:r>
          </w:p>
        </w:tc>
        <w:tc>
          <w:tcPr>
            <w:tcW w:type="dxa" w:w="2232"/>
          </w:tcPr>
          <w:p>
            <w:pPr>
              <w:spacing w:after="20"/>
            </w:pPr>
            <w:r>
              <w:rPr>
                <w:color w:val="1C3A36"/>
                <w:sz w:val="15"/>
              </w:rPr>
              <w:t>632,115,619.0</w:t>
            </w:r>
          </w:p>
        </w:tc>
        <w:tc>
          <w:tcPr>
            <w:tcW w:type="dxa" w:w="1368"/>
          </w:tcPr>
          <w:p>
            <w:pPr>
              <w:spacing w:after="20"/>
            </w:pPr>
            <w:r>
              <w:rPr>
                <w:color w:val="1C3A36"/>
                <w:sz w:val="15"/>
              </w:rPr>
              <w:t>2026-06-30</w:t>
            </w:r>
          </w:p>
        </w:tc>
        <w:tc>
          <w:tcPr>
            <w:tcW w:type="dxa" w:w="3845"/>
          </w:tcPr>
          <w:p>
            <w:pPr>
              <w:spacing w:after="20"/>
            </w:pPr>
            <w:r>
              <w:rPr>
                <w:color w:val="1C3A36"/>
                <w:sz w:val="15"/>
              </w:rPr>
              <w:t>Debtors and other debit balances net at 30-Jun-2026 (notes 9-C, 9-D). Reviewed consolidated FS, six months to 30-Jun-2026, limited review</w:t>
            </w:r>
          </w:p>
        </w:tc>
      </w:tr>
      <w:tr>
        <w:tc>
          <w:tcPr>
            <w:tcW w:type="dxa" w:w="2736"/>
          </w:tcPr>
          <w:p>
            <w:pPr>
              <w:spacing w:after="20"/>
            </w:pPr>
            <w:r>
              <w:rPr>
                <w:color w:val="1C3A36"/>
                <w:sz w:val="15"/>
              </w:rPr>
              <w:t>cash</w:t>
            </w:r>
          </w:p>
        </w:tc>
        <w:tc>
          <w:tcPr>
            <w:tcW w:type="dxa" w:w="2232"/>
          </w:tcPr>
          <w:p>
            <w:pPr>
              <w:spacing w:after="20"/>
            </w:pPr>
            <w:r>
              <w:rPr>
                <w:color w:val="1C3A36"/>
                <w:sz w:val="15"/>
              </w:rPr>
              <w:t>3,018,394,920.0</w:t>
            </w:r>
          </w:p>
        </w:tc>
        <w:tc>
          <w:tcPr>
            <w:tcW w:type="dxa" w:w="1368"/>
          </w:tcPr>
          <w:p>
            <w:pPr>
              <w:spacing w:after="20"/>
            </w:pPr>
            <w:r>
              <w:rPr>
                <w:color w:val="1C3A36"/>
                <w:sz w:val="15"/>
              </w:rPr>
              <w:t>2026-06-30</w:t>
            </w:r>
          </w:p>
        </w:tc>
        <w:tc>
          <w:tcPr>
            <w:tcW w:type="dxa" w:w="3845"/>
          </w:tcPr>
          <w:p>
            <w:pPr>
              <w:spacing w:after="20"/>
            </w:pPr>
            <w:r>
              <w:rPr>
                <w:color w:val="1C3A36"/>
                <w:sz w:val="15"/>
              </w:rPr>
              <w:t>Cash and cash equivalents at 30-Jun-2026 (note 9-E). UP from 2,463,522,365 six months earlier AFTER paying 861,257,265 of dividends. Reviewed consolidated FS, six months to 30-Jun-2026, limited review</w:t>
            </w:r>
          </w:p>
        </w:tc>
      </w:tr>
      <w:tr>
        <w:tc>
          <w:tcPr>
            <w:tcW w:type="dxa" w:w="2736"/>
          </w:tcPr>
          <w:p>
            <w:pPr>
              <w:spacing w:after="20"/>
            </w:pPr>
            <w:r>
              <w:rPr>
                <w:color w:val="1C3A36"/>
                <w:sz w:val="15"/>
              </w:rPr>
              <w:t>fin_inv</w:t>
            </w:r>
          </w:p>
        </w:tc>
        <w:tc>
          <w:tcPr>
            <w:tcW w:type="dxa" w:w="2232"/>
          </w:tcPr>
          <w:p>
            <w:pPr>
              <w:spacing w:after="20"/>
            </w:pPr>
            <w:r>
              <w:rPr>
                <w:color w:val="1C3A36"/>
                <w:sz w:val="15"/>
              </w:rPr>
              <w:t>525,170,000.0</w:t>
            </w:r>
          </w:p>
        </w:tc>
        <w:tc>
          <w:tcPr>
            <w:tcW w:type="dxa" w:w="1368"/>
          </w:tcPr>
          <w:p>
            <w:pPr>
              <w:spacing w:after="20"/>
            </w:pPr>
            <w:r>
              <w:rPr>
                <w:color w:val="1C3A36"/>
                <w:sz w:val="15"/>
              </w:rPr>
              <w:t>2026-06-30</w:t>
            </w:r>
          </w:p>
        </w:tc>
        <w:tc>
          <w:tcPr>
            <w:tcW w:type="dxa" w:w="3845"/>
          </w:tcPr>
          <w:p>
            <w:pPr>
              <w:spacing w:after="20"/>
            </w:pPr>
            <w:r>
              <w:rPr>
                <w:color w:val="1C3A36"/>
                <w:sz w:val="15"/>
              </w:rPr>
              <w:t>Other financial investments at 30-Jun-2026 — deposits PLEDGED against facilities, not free cash. Reviewed consolidated FS, six months to 30-Jun-2026, limited review</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11,405,065,699.0</w:t>
            </w:r>
          </w:p>
        </w:tc>
        <w:tc>
          <w:tcPr>
            <w:tcW w:type="dxa" w:w="1368"/>
          </w:tcPr>
          <w:p>
            <w:pPr>
              <w:spacing w:after="20"/>
            </w:pPr>
            <w:r>
              <w:rPr>
                <w:color w:val="1C3A36"/>
                <w:sz w:val="15"/>
              </w:rPr>
              <w:t>2026-06-30</w:t>
            </w:r>
          </w:p>
        </w:tc>
        <w:tc>
          <w:tcPr>
            <w:tcW w:type="dxa" w:w="3845"/>
          </w:tcPr>
          <w:p>
            <w:pPr>
              <w:spacing w:after="20"/>
            </w:pPr>
            <w:r>
              <w:rPr>
                <w:color w:val="1C3A36"/>
                <w:sz w:val="15"/>
              </w:rPr>
              <w:t>Total assets at 30-Jun-2026. Reviewed consolidated FS, six months to 30-Jun-2026, limited review</w:t>
            </w:r>
          </w:p>
        </w:tc>
      </w:tr>
      <w:tr>
        <w:tc>
          <w:tcPr>
            <w:tcW w:type="dxa" w:w="2736"/>
          </w:tcPr>
          <w:p>
            <w:pPr>
              <w:spacing w:after="20"/>
            </w:pPr>
            <w:r>
              <w:rPr>
                <w:color w:val="1C3A36"/>
                <w:sz w:val="15"/>
              </w:rPr>
              <w:t>liab_snap</w:t>
            </w:r>
          </w:p>
        </w:tc>
        <w:tc>
          <w:tcPr>
            <w:tcW w:type="dxa" w:w="2232"/>
          </w:tcPr>
          <w:p>
            <w:pPr>
              <w:spacing w:after="20"/>
            </w:pPr>
            <w:r>
              <w:rPr>
                <w:color w:val="1C3A36"/>
                <w:sz w:val="15"/>
              </w:rPr>
              <w:t>5,261,891,473.0</w:t>
            </w:r>
          </w:p>
        </w:tc>
        <w:tc>
          <w:tcPr>
            <w:tcW w:type="dxa" w:w="1368"/>
          </w:tcPr>
          <w:p>
            <w:pPr>
              <w:spacing w:after="20"/>
            </w:pPr>
            <w:r>
              <w:rPr>
                <w:color w:val="1C3A36"/>
                <w:sz w:val="15"/>
              </w:rPr>
              <w:t>2026-06-30</w:t>
            </w:r>
          </w:p>
        </w:tc>
        <w:tc>
          <w:tcPr>
            <w:tcW w:type="dxa" w:w="3845"/>
          </w:tcPr>
          <w:p>
            <w:pPr>
              <w:spacing w:after="20"/>
            </w:pPr>
            <w:r>
              <w:rPr>
                <w:color w:val="1C3A36"/>
                <w:sz w:val="15"/>
              </w:rPr>
              <w:t>Total liabilities at 30-Jun-2026. Reviewed consolidated FS, six months to 30-Jun-2026, limited review</w:t>
            </w:r>
          </w:p>
        </w:tc>
      </w:tr>
      <w:tr>
        <w:tc>
          <w:tcPr>
            <w:tcW w:type="dxa" w:w="2736"/>
          </w:tcPr>
          <w:p>
            <w:pPr>
              <w:spacing w:after="20"/>
            </w:pPr>
            <w:r>
              <w:rPr>
                <w:color w:val="1C3A36"/>
                <w:sz w:val="15"/>
              </w:rPr>
              <w:t>eq_parent</w:t>
            </w:r>
          </w:p>
        </w:tc>
        <w:tc>
          <w:tcPr>
            <w:tcW w:type="dxa" w:w="2232"/>
          </w:tcPr>
          <w:p>
            <w:pPr>
              <w:spacing w:after="20"/>
            </w:pPr>
            <w:r>
              <w:rPr>
                <w:color w:val="1C3A36"/>
                <w:sz w:val="15"/>
              </w:rPr>
              <w:t>6,070,338,949.0</w:t>
            </w:r>
          </w:p>
        </w:tc>
        <w:tc>
          <w:tcPr>
            <w:tcW w:type="dxa" w:w="1368"/>
          </w:tcPr>
          <w:p>
            <w:pPr>
              <w:spacing w:after="20"/>
            </w:pPr>
            <w:r>
              <w:rPr>
                <w:color w:val="1C3A36"/>
                <w:sz w:val="15"/>
              </w:rPr>
              <w:t>2026-06-30</w:t>
            </w:r>
          </w:p>
        </w:tc>
        <w:tc>
          <w:tcPr>
            <w:tcW w:type="dxa" w:w="3845"/>
          </w:tcPr>
          <w:p>
            <w:pPr>
              <w:spacing w:after="20"/>
            </w:pPr>
            <w:r>
              <w:rPr>
                <w:color w:val="1C3A36"/>
                <w:sz w:val="15"/>
              </w:rPr>
              <w:t>Total AMOC (parent) equity at 30-Jun-2026 — EGP 4.70 a share, against 4,790,695,948 six months earlier. Reviewed consolidated FS, six months to 30-Jun-2026, limited review</w:t>
            </w:r>
          </w:p>
        </w:tc>
      </w:tr>
      <w:tr>
        <w:tc>
          <w:tcPr>
            <w:tcW w:type="dxa" w:w="2736"/>
          </w:tcPr>
          <w:p>
            <w:pPr>
              <w:spacing w:after="20"/>
            </w:pPr>
            <w:r>
              <w:rPr>
                <w:color w:val="1C3A36"/>
                <w:sz w:val="15"/>
              </w:rPr>
              <w:t>eq_nci</w:t>
            </w:r>
          </w:p>
        </w:tc>
        <w:tc>
          <w:tcPr>
            <w:tcW w:type="dxa" w:w="2232"/>
          </w:tcPr>
          <w:p>
            <w:pPr>
              <w:spacing w:after="20"/>
            </w:pPr>
            <w:r>
              <w:rPr>
                <w:color w:val="1C3A36"/>
                <w:sz w:val="15"/>
              </w:rPr>
              <w:t>72,835,277.0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carrying amount at 30-Jun-2026. Reviewed consolidated FS, six months to 30-Jun-2026, limited review</w:t>
            </w:r>
          </w:p>
        </w:tc>
      </w:tr>
      <w:tr>
        <w:tc>
          <w:tcPr>
            <w:tcW w:type="dxa" w:w="2736"/>
          </w:tcPr>
          <w:p>
            <w:pPr>
              <w:spacing w:after="20"/>
            </w:pPr>
            <w:r>
              <w:rPr>
                <w:color w:val="1C3A36"/>
                <w:sz w:val="15"/>
              </w:rPr>
              <w:t>debt_lt</w:t>
            </w:r>
          </w:p>
        </w:tc>
        <w:tc>
          <w:tcPr>
            <w:tcW w:type="dxa" w:w="2232"/>
          </w:tcPr>
          <w:p>
            <w:pPr>
              <w:spacing w:after="20"/>
            </w:pPr>
            <w:r>
              <w:rPr>
                <w:color w:val="1C3A36"/>
                <w:sz w:val="15"/>
              </w:rPr>
              <w:t>12,137,451.0</w:t>
            </w:r>
          </w:p>
        </w:tc>
        <w:tc>
          <w:tcPr>
            <w:tcW w:type="dxa" w:w="1368"/>
          </w:tcPr>
          <w:p>
            <w:pPr>
              <w:spacing w:after="20"/>
            </w:pPr>
            <w:r>
              <w:rPr>
                <w:color w:val="1C3A36"/>
                <w:sz w:val="15"/>
              </w:rPr>
              <w:t>2026-06-30</w:t>
            </w:r>
          </w:p>
        </w:tc>
        <w:tc>
          <w:tcPr>
            <w:tcW w:type="dxa" w:w="3845"/>
          </w:tcPr>
          <w:p>
            <w:pPr>
              <w:spacing w:after="20"/>
            </w:pPr>
            <w:r>
              <w:rPr>
                <w:color w:val="1C3A36"/>
                <w:sz w:val="15"/>
              </w:rPr>
              <w:t>Long-term loans at 30-Jun-2026 (note 20). Reviewed consolidated FS, six months to 30-Jun-2026, limited review</w:t>
            </w:r>
          </w:p>
        </w:tc>
      </w:tr>
      <w:tr>
        <w:tc>
          <w:tcPr>
            <w:tcW w:type="dxa" w:w="2736"/>
          </w:tcPr>
          <w:p>
            <w:pPr>
              <w:spacing w:after="20"/>
            </w:pPr>
            <w:r>
              <w:rPr>
                <w:color w:val="1C3A36"/>
                <w:sz w:val="15"/>
              </w:rPr>
              <w:t>debt_st</w:t>
            </w:r>
          </w:p>
        </w:tc>
        <w:tc>
          <w:tcPr>
            <w:tcW w:type="dxa" w:w="2232"/>
          </w:tcPr>
          <w:p>
            <w:pPr>
              <w:spacing w:after="20"/>
            </w:pPr>
            <w:r>
              <w:rPr>
                <w:color w:val="1C3A36"/>
                <w:sz w:val="15"/>
              </w:rPr>
              <w:t>4,715,153.0</w:t>
            </w:r>
          </w:p>
        </w:tc>
        <w:tc>
          <w:tcPr>
            <w:tcW w:type="dxa" w:w="1368"/>
          </w:tcPr>
          <w:p>
            <w:pPr>
              <w:spacing w:after="20"/>
            </w:pPr>
            <w:r>
              <w:rPr>
                <w:color w:val="1C3A36"/>
                <w:sz w:val="15"/>
              </w:rPr>
              <w:t>2026-06-30</w:t>
            </w:r>
          </w:p>
        </w:tc>
        <w:tc>
          <w:tcPr>
            <w:tcW w:type="dxa" w:w="3845"/>
          </w:tcPr>
          <w:p>
            <w:pPr>
              <w:spacing w:after="20"/>
            </w:pPr>
            <w:r>
              <w:rPr>
                <w:color w:val="1C3A36"/>
                <w:sz w:val="15"/>
              </w:rPr>
              <w:t>Short-term loans and facilities at 30-Jun-2026 (note 20). Reviewed consolidated FS, six months to 30-Jun-2026, limited review</w:t>
            </w:r>
          </w:p>
        </w:tc>
      </w:tr>
      <w:tr>
        <w:tc>
          <w:tcPr>
            <w:tcW w:type="dxa" w:w="2736"/>
          </w:tcPr>
          <w:p>
            <w:pPr>
              <w:spacing w:after="20"/>
            </w:pPr>
            <w:r>
              <w:rPr>
                <w:color w:val="1C3A36"/>
                <w:sz w:val="15"/>
              </w:rPr>
              <w:t>leases</w:t>
            </w:r>
          </w:p>
        </w:tc>
        <w:tc>
          <w:tcPr>
            <w:tcW w:type="dxa" w:w="2232"/>
          </w:tcPr>
          <w:p>
            <w:pPr>
              <w:spacing w:after="20"/>
            </w:pPr>
            <w:r>
              <w:rPr>
                <w:color w:val="1C3A36"/>
                <w:sz w:val="15"/>
              </w:rPr>
              <w:t>2,324,893.0</w:t>
            </w:r>
          </w:p>
        </w:tc>
        <w:tc>
          <w:tcPr>
            <w:tcW w:type="dxa" w:w="1368"/>
          </w:tcPr>
          <w:p>
            <w:pPr>
              <w:spacing w:after="20"/>
            </w:pPr>
            <w:r>
              <w:rPr>
                <w:color w:val="1C3A36"/>
                <w:sz w:val="15"/>
              </w:rPr>
              <w:t>2026-06-30</w:t>
            </w:r>
          </w:p>
        </w:tc>
        <w:tc>
          <w:tcPr>
            <w:tcW w:type="dxa" w:w="3845"/>
          </w:tcPr>
          <w:p>
            <w:pPr>
              <w:spacing w:after="20"/>
            </w:pPr>
            <w:r>
              <w:rPr>
                <w:color w:val="1C3A36"/>
                <w:sz w:val="15"/>
              </w:rPr>
              <w:t>Total lease liabilities at 30-Jun-2026 (note 8-2): 463,553 long term plus 1,861,340 short term. Reviewed consolidated FS, six months to 30-Jun-2026, limited review</w:t>
            </w:r>
          </w:p>
        </w:tc>
      </w:tr>
      <w:tr>
        <w:tc>
          <w:tcPr>
            <w:tcW w:type="dxa" w:w="2736"/>
          </w:tcPr>
          <w:p>
            <w:pPr>
              <w:spacing w:after="20"/>
            </w:pPr>
            <w:r>
              <w:rPr>
                <w:color w:val="1C3A36"/>
                <w:sz w:val="15"/>
              </w:rPr>
              <w:t>payables</w:t>
            </w:r>
          </w:p>
        </w:tc>
        <w:tc>
          <w:tcPr>
            <w:tcW w:type="dxa" w:w="2232"/>
          </w:tcPr>
          <w:p>
            <w:pPr>
              <w:spacing w:after="20"/>
            </w:pPr>
            <w:r>
              <w:rPr>
                <w:color w:val="1C3A36"/>
                <w:sz w:val="15"/>
              </w:rPr>
              <w:t>14,015,841.0</w:t>
            </w:r>
          </w:p>
        </w:tc>
        <w:tc>
          <w:tcPr>
            <w:tcW w:type="dxa" w:w="1368"/>
          </w:tcPr>
          <w:p>
            <w:pPr>
              <w:spacing w:after="20"/>
            </w:pPr>
            <w:r>
              <w:rPr>
                <w:color w:val="1C3A36"/>
                <w:sz w:val="15"/>
              </w:rPr>
              <w:t>2026-06-30</w:t>
            </w:r>
          </w:p>
        </w:tc>
        <w:tc>
          <w:tcPr>
            <w:tcW w:type="dxa" w:w="3845"/>
          </w:tcPr>
          <w:p>
            <w:pPr>
              <w:spacing w:after="20"/>
            </w:pPr>
            <w:r>
              <w:rPr>
                <w:color w:val="1C3A36"/>
                <w:sz w:val="15"/>
              </w:rPr>
              <w:t>Accounts and notes payable at 30-Jun-2026 (note 10-3). Reviewed consolidated FS, six months to 30-Jun-2026, limited review</w:t>
            </w:r>
          </w:p>
        </w:tc>
      </w:tr>
      <w:tr>
        <w:tc>
          <w:tcPr>
            <w:tcW w:type="dxa" w:w="2736"/>
          </w:tcPr>
          <w:p>
            <w:pPr>
              <w:spacing w:after="20"/>
            </w:pPr>
            <w:r>
              <w:rPr>
                <w:color w:val="1C3A36"/>
                <w:sz w:val="15"/>
              </w:rPr>
              <w:t>creditors</w:t>
            </w:r>
          </w:p>
        </w:tc>
        <w:tc>
          <w:tcPr>
            <w:tcW w:type="dxa" w:w="2232"/>
          </w:tcPr>
          <w:p>
            <w:pPr>
              <w:spacing w:after="20"/>
            </w:pPr>
            <w:r>
              <w:rPr>
                <w:color w:val="1C3A36"/>
                <w:sz w:val="15"/>
              </w:rPr>
              <w:t>3,286,150,065.0</w:t>
            </w:r>
          </w:p>
        </w:tc>
        <w:tc>
          <w:tcPr>
            <w:tcW w:type="dxa" w:w="1368"/>
          </w:tcPr>
          <w:p>
            <w:pPr>
              <w:spacing w:after="20"/>
            </w:pPr>
            <w:r>
              <w:rPr>
                <w:color w:val="1C3A36"/>
                <w:sz w:val="15"/>
              </w:rPr>
              <w:t>2026-06-30</w:t>
            </w:r>
          </w:p>
        </w:tc>
        <w:tc>
          <w:tcPr>
            <w:tcW w:type="dxa" w:w="3845"/>
          </w:tcPr>
          <w:p>
            <w:pPr>
              <w:spacing w:after="20"/>
            </w:pPr>
            <w:r>
              <w:rPr>
                <w:color w:val="1C3A36"/>
                <w:sz w:val="15"/>
              </w:rPr>
              <w:t>Creditors and other credit balances at 30-Jun-2026 (note 11). Reviewed consolidated FS, six months to 30-Jun-2026, limited review</w:t>
            </w:r>
          </w:p>
        </w:tc>
      </w:tr>
      <w:tr>
        <w:tc>
          <w:tcPr>
            <w:tcW w:type="dxa" w:w="2736"/>
          </w:tcPr>
          <w:p>
            <w:pPr>
              <w:spacing w:after="20"/>
            </w:pPr>
            <w:r>
              <w:rPr>
                <w:color w:val="1C3A36"/>
                <w:sz w:val="15"/>
              </w:rPr>
              <w:t>provisions</w:t>
            </w:r>
          </w:p>
        </w:tc>
        <w:tc>
          <w:tcPr>
            <w:tcW w:type="dxa" w:w="2232"/>
          </w:tcPr>
          <w:p>
            <w:pPr>
              <w:spacing w:after="20"/>
            </w:pPr>
            <w:r>
              <w:rPr>
                <w:color w:val="1C3A36"/>
                <w:sz w:val="15"/>
              </w:rPr>
              <w:t>996,857,074.0</w:t>
            </w:r>
          </w:p>
        </w:tc>
        <w:tc>
          <w:tcPr>
            <w:tcW w:type="dxa" w:w="1368"/>
          </w:tcPr>
          <w:p>
            <w:pPr>
              <w:spacing w:after="20"/>
            </w:pPr>
            <w:r>
              <w:rPr>
                <w:color w:val="1C3A36"/>
                <w:sz w:val="15"/>
              </w:rPr>
              <w:t>2026-06-30</w:t>
            </w:r>
          </w:p>
        </w:tc>
        <w:tc>
          <w:tcPr>
            <w:tcW w:type="dxa" w:w="3845"/>
          </w:tcPr>
          <w:p>
            <w:pPr>
              <w:spacing w:after="20"/>
            </w:pPr>
            <w:r>
              <w:rPr>
                <w:color w:val="1C3A36"/>
                <w:sz w:val="15"/>
              </w:rPr>
              <w:t>Provisions at 30-Jun-2026 (note 10-1) — a recognised liability, carried in full in the bridge. Reviewed consolidated FS, six months to 30-Jun-2026, limited review</w:t>
            </w:r>
          </w:p>
        </w:tc>
      </w:tr>
      <w:tr>
        <w:tc>
          <w:tcPr>
            <w:tcW w:type="dxa" w:w="2736"/>
          </w:tcPr>
          <w:p>
            <w:pPr>
              <w:spacing w:after="20"/>
            </w:pPr>
            <w:r>
              <w:rPr>
                <w:color w:val="1C3A36"/>
                <w:sz w:val="15"/>
              </w:rPr>
              <w:t>dtax_liab</w:t>
            </w:r>
          </w:p>
        </w:tc>
        <w:tc>
          <w:tcPr>
            <w:tcW w:type="dxa" w:w="2232"/>
          </w:tcPr>
          <w:p>
            <w:pPr>
              <w:spacing w:after="20"/>
            </w:pPr>
            <w:r>
              <w:rPr>
                <w:color w:val="1C3A36"/>
                <w:sz w:val="15"/>
              </w:rPr>
              <w:t>95,721,735.0</w:t>
            </w:r>
          </w:p>
        </w:tc>
        <w:tc>
          <w:tcPr>
            <w:tcW w:type="dxa" w:w="1368"/>
          </w:tcPr>
          <w:p>
            <w:pPr>
              <w:spacing w:after="20"/>
            </w:pPr>
            <w:r>
              <w:rPr>
                <w:color w:val="1C3A36"/>
                <w:sz w:val="15"/>
              </w:rPr>
              <w:t>2026-06-30</w:t>
            </w:r>
          </w:p>
        </w:tc>
        <w:tc>
          <w:tcPr>
            <w:tcW w:type="dxa" w:w="3845"/>
          </w:tcPr>
          <w:p>
            <w:pPr>
              <w:spacing w:after="20"/>
            </w:pPr>
            <w:r>
              <w:rPr>
                <w:color w:val="1C3A36"/>
                <w:sz w:val="15"/>
              </w:rPr>
              <w:t>Deferred tax liability at 30-Jun-2026 (note 13-A). Reviewed consolidated FS, six months to 30-Jun-2026, limited review</w:t>
            </w:r>
          </w:p>
        </w:tc>
      </w:tr>
      <w:tr>
        <w:tc>
          <w:tcPr>
            <w:tcW w:type="dxa" w:w="2736"/>
          </w:tcPr>
          <w:p>
            <w:pPr>
              <w:spacing w:after="20"/>
            </w:pPr>
            <w:r>
              <w:rPr>
                <w:color w:val="1C3A36"/>
                <w:sz w:val="15"/>
              </w:rPr>
              <w:t>tax_due</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Current income tax due at 30-Jun-2026 (note 10-2). Reviewed consolidated FS, six months to 30-Jun-2026, limited review</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258,300,000.0</w:t>
            </w:r>
          </w:p>
        </w:tc>
        <w:tc>
          <w:tcPr>
            <w:tcW w:type="dxa" w:w="1368"/>
          </w:tcPr>
          <w:p>
            <w:pPr>
              <w:spacing w:after="20"/>
            </w:pPr>
            <w:r>
              <w:rPr>
                <w:color w:val="1C3A36"/>
                <w:sz w:val="15"/>
              </w:rPr>
              <w:t>2026-06-30</w:t>
            </w:r>
          </w:p>
        </w:tc>
        <w:tc>
          <w:tcPr>
            <w:tcW w:type="dxa" w:w="3845"/>
          </w:tcPr>
          <w:p>
            <w:pPr>
              <w:spacing w:after="20"/>
            </w:pPr>
            <w:r>
              <w:rPr>
                <w:color w:val="1C3A36"/>
                <w:sz w:val="15"/>
              </w:rPr>
              <w:t>Dividends payable at 30-Jun-2026 (note 11) — HALF the 517,250,000 standing six months earlier, because the declared dividend was largely paid. Reviewed consolidated FS, six months to 30-Jun-2026, limited review</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AMOC holds 86.45% of Alexandria Wax Products S.A.E. (note 1-2). The previous edition inferred 3.0% from the gap between consolidated and standalone profit; the filing says 4.645%</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(gas oil -8.3% a year, naphtha -7.4%, fuel oil -6.4%, heavy fuel oil -28.2%; only wax +1.1% and LPG +1.7% grew).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reverts toward the five-year mean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0.908</w:t>
            </w:r>
          </w:p>
        </w:tc>
        <w:tc>
          <w:tcPr>
            <w:tcW w:type="dxa" w:w="1368"/>
          </w:tcPr>
          <w:p>
            <w:pPr>
              <w:spacing w:after="20"/>
            </w:pPr>
            <w:r>
              <w:rPr>
                <w:color w:val="1C3A36"/>
                <w:sz w:val="15"/>
              </w:rPr>
              <w:t>2026-07-22</w:t>
            </w:r>
          </w:p>
        </w:tc>
        <w:tc>
          <w:tcPr>
            <w:tcW w:type="dxa" w:w="3845"/>
          </w:tcPr>
          <w:p>
            <w:pPr>
              <w:spacing w:after="20"/>
            </w:pPr>
            <w:r>
              <w:rPr>
                <w:color w:val="1C3A36"/>
                <w:sz w:val="15"/>
              </w:rPr>
              <w:t>Own-stock tier-1 regression, AMOC weekly log-returns against the EGX30 — the published index of the exchange AMOC is listed on, series as of 22 July 2026. R-squared 0.259, n = 253, standard error 0.165, 90% confidence interval [0.637, 1.179], Blume cross-check 0.939.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-3.5% on beta and under a percent on fair value;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In the previous edition this input drove NOTHING — it was registered, published in the source register and read by no line of the model. It is now the spine of both sides of the margin: every product realisation is this deck times a crack multiple solved from the disclosed product table, and the feedstock charge is this deck times a differential solved from disclosed cost of sales</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1.33, 1.28, 1.12, 1.145, 1.13, 1.115, 1.1, 1.095</w:t>
            </w:r>
          </w:p>
        </w:tc>
        <w:tc>
          <w:tcPr>
            <w:tcW w:type="dxa" w:w="1368"/>
          </w:tcPr>
          <w:p>
            <w:pPr>
              <w:spacing w:after="20"/>
            </w:pPr>
            <w:r>
              <w:rPr>
                <w:color w:val="1C3A36"/>
                <w:sz w:val="15"/>
              </w:rPr>
              <w:t>2026-08-06</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Historical years as printed, easing toward the central bank's published target thereafter</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r>
        <w:tc>
          <w:tcPr>
            <w:tcW w:type="dxa" w:w="2736"/>
          </w:tcPr>
          <w:p>
            <w:pPr>
              <w:spacing w:after="20"/>
            </w:pPr>
            <w:r>
              <w:rPr>
                <w:color w:val="1C3A36"/>
                <w:sz w:val="15"/>
              </w:rPr>
              <w:t>g_term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growth, 7% — INFLATION ONLY, and no real growth at all. It is set equal to the central bank's published inflation target, which is the same 7% embedded in this study's own terminal risk-free rate. The previous edition used 5% against that identical 12.5% nominal rate, which is a business shrinking about 2% a year in real terms for ever — an assumption never stated as one, on a plant serving a population growing 1.6% a year. Zero real growth is still the conservative end: it assumes AMOC never again grows a tonne</w:t>
            </w:r>
          </w:p>
        </w:tc>
      </w:tr>
      <w:tr>
        <w:tc>
          <w:tcPr>
            <w:tcW w:type="dxa" w:w="2736"/>
          </w:tcPr>
          <w:p>
            <w:pPr>
              <w:spacing w:after="20"/>
            </w:pPr>
            <w:r>
              <w:rPr>
                <w:color w:val="1C3A36"/>
                <w:sz w:val="15"/>
              </w:rPr>
              <w:t>line_price_growth</w:t>
            </w:r>
          </w:p>
        </w:tc>
        <w:tc>
          <w:tcPr>
            <w:tcW w:type="dxa" w:w="2232"/>
          </w:tcPr>
          <w:p>
            <w:pPr>
              <w:spacing w:after="20"/>
            </w:pPr>
            <w:r>
              <w:rPr>
                <w:color w:val="1C3A36"/>
                <w:sz w:val="15"/>
              </w:rPr>
              <w:t>0.1171, 0.1024, 0.0878, 0.0732, 0.0683</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DERIVED, not chosen: crude is held FLAT in dollars — no forecast of it is defensible — and the pound depreciates at the inflation differential between the registered Egyptian path and United States inflation, so a dollar-priced slate fetches that many more pounds. This REPLACES a hand-set path of 9.0% falling to 5.2%, which sat two-thirds below the inflation this same model applies to the company's own costs, with no mechanism given for the gap</w:t>
            </w:r>
          </w:p>
        </w:tc>
      </w:tr>
      <w:tr>
        <w:tc>
          <w:tcPr>
            <w:tcW w:type="dxa" w:w="2736"/>
          </w:tcPr>
          <w:p>
            <w:pPr>
              <w:spacing w:after="20"/>
            </w:pPr>
            <w:r>
              <w:rPr>
                <w:color w:val="1C3A36"/>
                <w:sz w:val="15"/>
              </w:rPr>
              <w:t>fx_path</w:t>
            </w:r>
          </w:p>
        </w:tc>
        <w:tc>
          <w:tcPr>
            <w:tcW w:type="dxa" w:w="2232"/>
          </w:tcPr>
          <w:p>
            <w:pPr>
              <w:spacing w:after="20"/>
            </w:pPr>
            <w:r>
              <w:rPr>
                <w:color w:val="1C3A36"/>
                <w:sz w:val="15"/>
              </w:rPr>
              <w:t>54.4, 59.97, 65.24, 70.01, 74.8</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DERIVED from the same purchasing-power-parity relation as the price path so the two cannot disagree. It replaces a hand-set path that depreciated the pound at roughly a third of the inflation differential</w:t>
            </w:r>
          </w:p>
        </w:tc>
      </w:tr>
    </w:tbl>
    <w:p>
      <w:pPr>
        <w:spacing w:after="40"/>
      </w:pPr>
    </w:p>
    <w:p>
      <w:pPr>
        <w:spacing w:after="60" w:before="160"/>
      </w:pPr>
      <w:r>
        <w:rPr>
          <w:b/>
          <w:i w:val="0"/>
          <w:color w:val="1C3A36"/>
          <w:sz w:val="22"/>
        </w:rPr>
        <w:t>Global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us_infl</w:t>
            </w:r>
          </w:p>
        </w:tc>
        <w:tc>
          <w:tcPr>
            <w:tcW w:type="dxa" w:w="2232"/>
          </w:tcPr>
          <w:p>
            <w:pPr>
              <w:spacing w:after="20"/>
            </w:pPr>
            <w:r>
              <w:rPr>
                <w:color w:val="1C3A36"/>
                <w:sz w:val="15"/>
              </w:rPr>
              <w:t>0.025</w:t>
            </w:r>
          </w:p>
        </w:tc>
        <w:tc>
          <w:tcPr>
            <w:tcW w:type="dxa" w:w="1368"/>
          </w:tcPr>
          <w:p>
            <w:pPr>
              <w:spacing w:after="20"/>
            </w:pPr>
            <w:r>
              <w:rPr>
                <w:color w:val="1C3A36"/>
                <w:sz w:val="15"/>
              </w:rPr>
              <w:t>2026-08-06</w:t>
            </w:r>
          </w:p>
        </w:tc>
        <w:tc>
          <w:tcPr>
            <w:tcW w:type="dxa" w:w="3845"/>
          </w:tcPr>
          <w:p>
            <w:pPr>
              <w:spacing w:after="20"/>
            </w:pPr>
            <w:r>
              <w:rPr>
                <w:color w:val="1C3A36"/>
                <w:sz w:val="15"/>
              </w:rPr>
              <w:t>Long-run United States consumer price inflation, the foreign leg of the purchasing-power-parity relation used to derive the currency path</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0.2431</w:t>
            </w:r>
          </w:p>
        </w:tc>
        <w:tc>
          <w:tcPr>
            <w:tcW w:type="dxa" w:w="1368"/>
          </w:tcPr>
          <w:p>
            <w:pPr>
              <w:spacing w:after="20"/>
            </w:pPr>
            <w:r>
              <w:rPr>
                <w:color w:val="1C3A36"/>
                <w:sz w:val="15"/>
              </w:rPr>
              <w:t>2026-09-02</w:t>
            </w:r>
          </w:p>
        </w:tc>
        <w:tc>
          <w:tcPr>
            <w:tcW w:type="dxa" w:w="3845"/>
          </w:tcPr>
          <w:p>
            <w:pPr>
              <w:spacing w:after="20"/>
            </w:pPr>
            <w:r>
              <w:rPr>
                <w:color w:val="1C3A36"/>
                <w:sz w:val="15"/>
              </w:rPr>
              <w:t>Marginal cost of debt: the Egyptian ten-year sovereign yield this study discounts with, plus a 200bp corporate spread. The gross book is EGP 25mn — 0.06% of revenue — of short-dated Egyptian-pound facilities, so no observable marginal rate exists and the rate is built rather than pretended to be observed. It replaces a build off the 20.00% corridor lending rate, which produced 22.00% — below the sovereign, which a same-currency corporate cannot be.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0.2431, 0.195, 0.175, 0.16, 0.15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0.055</w:t>
            </w:r>
          </w:p>
        </w:tc>
        <w:tc>
          <w:tcPr>
            <w:tcW w:type="dxa" w:w="1368"/>
          </w:tcPr>
          <w:p>
            <w:pPr>
              <w:spacing w:after="20"/>
            </w:pPr>
            <w:r>
              <w:rPr>
                <w:color w:val="1C3A36"/>
                <w:sz w:val="15"/>
              </w:rPr>
              <w:t>2026-08-06</w:t>
            </w:r>
          </w:p>
        </w:tc>
        <w:tc>
          <w:tcPr>
            <w:tcW w:type="dxa" w:w="3845"/>
          </w:tcPr>
          <w:p>
            <w:pPr>
              <w:spacing w:after="20"/>
            </w:pPr>
            <w:r>
              <w:rPr>
                <w:color w:val="1C3A36"/>
                <w:sz w:val="15"/>
              </w:rPr>
              <w:t>Terminal real risk-free rate, the standard emerging-market convention. The terminal NOMINAL risk-free rate is not an input: it is DERIVED as this real rate plus the central bank's inflation target IN FORCE for the terminal horizon (`cbe_target`), so the single most terminal-value-sensitive number in the model cannot be set by hand. The previous edition hardcoded 10.50% by adding 5.5pp to the 5% target dated Q4-2028 while describing it as 'the' medium-term target; the target in force is 7% for Q4-2026 and the July-2026 rate decision pushed even that to H2-2027</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1,502,325 tonnes for EGP 46,959mn. Realisations per tonne are that note divided by itself; nothing is reconstructed and no crack multiple, crude parity or feedstock differential is needed or used. The specialty slate is 13.40% of tonnage and 24.62%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91.2%, salaries 4.4%, other (natural gas, electricity, water, spare parts, maintenance and the EPROM operating contract) 3.9%,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-3.2%</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