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2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53.21, and the cross-checks around it span EGP 45.65 to EGP 65.57, against a market price of EGP 77.00 — -30.9%.</w:t>
            </w:r>
          </w:p>
        </w:tc>
      </w:tr>
    </w:tbl>
    <w:p>
      <w:pPr>
        <w:spacing w:after="40"/>
      </w:pPr>
    </w:p>
    <w:p>
      <w:pPr>
        <w:spacing w:after="80" w:before="200"/>
      </w:pPr>
      <w:r>
        <w:rPr>
          <w:b/>
          <w:i w:val="0"/>
          <w:color w:val="1C3A36"/>
          <w:sz w:val="24"/>
        </w:rPr>
        <w:t>Summary valuation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53.21</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-30.9%</w:t>
            </w:r>
          </w:p>
        </w:tc>
        <w:tc>
          <w:tcPr>
            <w:tcW w:type="dxa" w:w="1699"/>
            <w:shd w:val="clear" w:color="auto" w:fill="F6F1E6"/>
          </w:tcPr>
          <w:p>
            <w:pPr>
              <w:spacing w:after="20"/>
              <w:jc w:val="right"/>
            </w:pPr>
            <w:r>
              <w:rPr>
                <w:b/>
                <w:color w:val="1C3A36"/>
                <w:sz w:val="18"/>
              </w:rPr>
              <w:t>41.4%</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(6 August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51.90;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used. A discounted cash-flow model built up from tonnes and costs carries half the weight. Relative multiples, normalised earnings power and replacement cost carry the rest, and each is reported with the reason its weight is what it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per tonne of cement</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shd w:val="clear" w:color="auto" w:fill="F6F1E6"/>
          </w:tcPr>
          <w:p>
            <w:pPr>
              <w:spacing w:after="20"/>
            </w:pPr>
            <w:r>
              <w:rPr>
                <w:b/>
                <w:color w:val="1C3A36"/>
                <w:sz w:val="18"/>
              </w:rPr>
              <w:t>Total cash cost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per tonne and the margin it produces. EBITDA is an OUTPUT of this build, not an input to it.</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which on 5.0Mt of capacity is about USD 12 per annual tonne including construction in progress — against a replacement cost of USD 130. The book is carrying the plant at roughly a tenth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+7.7%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728"/>
        <w:gridCol w:w="1440"/>
        <w:gridCol w:w="2304"/>
      </w:tblGrid>
      <w:tr>
        <w:tc>
          <w:tcPr>
            <w:tcW w:type="dxa" w:w="3744"/>
            <w:shd w:val="clear" w:color="auto" w:fill="EAF0EE"/>
          </w:tcPr>
          <w:p>
            <w:pPr>
              <w:spacing w:after="20"/>
            </w:pPr>
            <w:r>
              <w:rPr>
                <w:b/>
                <w:color w:val="1C3A36"/>
                <w:sz w:val="18"/>
              </w:rPr>
              <w:t>Facility</w:t>
            </w:r>
          </w:p>
        </w:tc>
        <w:tc>
          <w:tcPr>
            <w:tcW w:type="dxa" w:w="1728"/>
            <w:shd w:val="clear" w:color="auto" w:fill="EAF0EE"/>
          </w:tcPr>
          <w:p>
            <w:pPr>
              <w:spacing w:after="20"/>
            </w:pPr>
            <w:r>
              <w:rPr>
                <w:b/>
                <w:color w:val="1C3A36"/>
                <w:sz w:val="18"/>
              </w:rPr>
              <w:t>Balance (EGP mn)</w:t>
            </w:r>
          </w:p>
        </w:tc>
        <w:tc>
          <w:tcPr>
            <w:tcW w:type="dxa" w:w="1440"/>
            <w:shd w:val="clear" w:color="auto" w:fill="EAF0EE"/>
          </w:tcPr>
          <w:p>
            <w:pPr>
              <w:spacing w:after="20"/>
            </w:pPr>
            <w:r>
              <w:rPr>
                <w:b/>
                <w:color w:val="1C3A36"/>
                <w:sz w:val="18"/>
              </w:rPr>
              <w:t>Currency</w:t>
            </w:r>
          </w:p>
        </w:tc>
        <w:tc>
          <w:tcPr>
            <w:tcW w:type="dxa" w:w="2304"/>
            <w:shd w:val="clear" w:color="auto" w:fill="EAF0EE"/>
          </w:tcPr>
          <w:p>
            <w:pPr>
              <w:spacing w:after="20"/>
            </w:pPr>
            <w:r>
              <w:rPr>
                <w:b/>
                <w:color w:val="1C3A36"/>
                <w:sz w:val="18"/>
              </w:rPr>
              <w:t>Contractual rate</w:t>
            </w:r>
          </w:p>
        </w:tc>
      </w:tr>
      <w:tr>
        <w:tc>
          <w:tcPr>
            <w:tcW w:type="dxa" w:w="3744"/>
          </w:tcPr>
          <w:p>
            <w:pPr>
              <w:spacing w:after="20"/>
            </w:pPr>
            <w:r>
              <w:rPr>
                <w:color w:val="1C3A36"/>
                <w:sz w:val="18"/>
              </w:rPr>
              <w:t>CIB credit facilities</w:t>
            </w:r>
          </w:p>
        </w:tc>
        <w:tc>
          <w:tcPr>
            <w:tcW w:type="dxa" w:w="1728"/>
          </w:tcPr>
          <w:p>
            <w:pPr>
              <w:spacing w:after="20"/>
              <w:jc w:val="right"/>
            </w:pPr>
            <w:r>
              <w:rPr>
                <w:color w:val="1C3A36"/>
                <w:sz w:val="18"/>
              </w:rPr>
              <w:t>100</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corridor + 0.6% = 20.60%</w:t>
            </w:r>
          </w:p>
        </w:tc>
      </w:tr>
      <w:tr>
        <w:tc>
          <w:tcPr>
            <w:tcW w:type="dxa" w:w="3744"/>
          </w:tcPr>
          <w:p>
            <w:pPr>
              <w:spacing w:after="20"/>
            </w:pPr>
            <w:r>
              <w:rPr>
                <w:color w:val="1C3A36"/>
                <w:sz w:val="18"/>
              </w:rPr>
              <w:t>National Bank of Egypt / KfW</w:t>
            </w:r>
          </w:p>
        </w:tc>
        <w:tc>
          <w:tcPr>
            <w:tcW w:type="dxa" w:w="1728"/>
          </w:tcPr>
          <w:p>
            <w:pPr>
              <w:spacing w:after="20"/>
              <w:jc w:val="right"/>
            </w:pPr>
            <w:r>
              <w:rPr>
                <w:color w:val="1C3A36"/>
                <w:sz w:val="18"/>
              </w:rPr>
              <w:t>146</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+ 3.00% = 5.49%</w:t>
            </w:r>
          </w:p>
        </w:tc>
      </w:tr>
      <w:tr>
        <w:tc>
          <w:tcPr>
            <w:tcW w:type="dxa" w:w="3744"/>
          </w:tcPr>
          <w:p>
            <w:pPr>
              <w:spacing w:after="20"/>
            </w:pPr>
            <w:r>
              <w:rPr>
                <w:color w:val="1C3A36"/>
                <w:sz w:val="18"/>
              </w:rPr>
              <w:t>European Bank for Reconstruction and Development</w:t>
            </w:r>
          </w:p>
        </w:tc>
        <w:tc>
          <w:tcPr>
            <w:tcW w:type="dxa" w:w="1728"/>
          </w:tcPr>
          <w:p>
            <w:pPr>
              <w:spacing w:after="20"/>
              <w:jc w:val="right"/>
            </w:pPr>
            <w:r>
              <w:rPr>
                <w:color w:val="1C3A36"/>
                <w:sz w:val="18"/>
              </w:rPr>
              <w:t>888</w:t>
            </w:r>
          </w:p>
        </w:tc>
        <w:tc>
          <w:tcPr>
            <w:tcW w:type="dxa" w:w="1440"/>
          </w:tcPr>
          <w:p>
            <w:pPr>
              <w:spacing w:after="20"/>
              <w:jc w:val="right"/>
            </w:pPr>
            <w:r>
              <w:rPr>
                <w:color w:val="1C3A36"/>
                <w:sz w:val="18"/>
              </w:rPr>
              <w:t>EUR</w:t>
            </w:r>
          </w:p>
        </w:tc>
        <w:tc>
          <w:tcPr>
            <w:tcW w:type="dxa" w:w="2304"/>
          </w:tcPr>
          <w:p>
            <w:pPr>
              <w:spacing w:after="20"/>
              <w:jc w:val="right"/>
            </w:pPr>
            <w:r>
              <w:rPr>
                <w:color w:val="1C3A36"/>
                <w:sz w:val="18"/>
              </w:rPr>
              <w:t>Euribor + 4.35% = 6.84%</w:t>
            </w:r>
          </w:p>
        </w:tc>
      </w:tr>
      <w:tr>
        <w:tc>
          <w:tcPr>
            <w:tcW w:type="dxa" w:w="3744"/>
          </w:tcPr>
          <w:p>
            <w:pPr>
              <w:spacing w:after="20"/>
            </w:pPr>
            <w:r>
              <w:rPr>
                <w:color w:val="1C3A36"/>
                <w:sz w:val="18"/>
              </w:rPr>
              <w:t>Lease liabilities</w:t>
            </w:r>
          </w:p>
        </w:tc>
        <w:tc>
          <w:tcPr>
            <w:tcW w:type="dxa" w:w="1728"/>
          </w:tcPr>
          <w:p>
            <w:pPr>
              <w:spacing w:after="20"/>
              <w:jc w:val="right"/>
            </w:pPr>
            <w:r>
              <w:rPr>
                <w:color w:val="1C3A36"/>
                <w:sz w:val="18"/>
              </w:rPr>
              <w:t>1.2</w:t>
            </w:r>
          </w:p>
        </w:tc>
        <w:tc>
          <w:tcPr>
            <w:tcW w:type="dxa" w:w="1440"/>
          </w:tcPr>
          <w:p>
            <w:pPr>
              <w:spacing w:after="20"/>
              <w:jc w:val="right"/>
            </w:pPr>
            <w:r>
              <w:rPr>
                <w:color w:val="1C3A36"/>
                <w:sz w:val="18"/>
              </w:rPr>
              <w:t>EGP</w:t>
            </w:r>
          </w:p>
        </w:tc>
        <w:tc>
          <w:tcPr>
            <w:tcW w:type="dxa" w:w="2304"/>
          </w:tcPr>
          <w:p>
            <w:pPr>
              <w:spacing w:after="20"/>
              <w:jc w:val="right"/>
            </w:pPr>
            <w:r>
              <w:rPr>
                <w:color w:val="1C3A36"/>
                <w:sz w:val="18"/>
              </w:rPr>
              <w:t>—</w:t>
            </w:r>
          </w:p>
        </w:tc>
      </w:tr>
      <w:tr>
        <w:tc>
          <w:tcPr>
            <w:tcW w:type="dxa" w:w="3744"/>
            <w:shd w:val="clear" w:color="auto" w:fill="F6F1E6"/>
          </w:tcPr>
          <w:p>
            <w:pPr>
              <w:spacing w:after="20"/>
            </w:pPr>
            <w:r>
              <w:rPr>
                <w:b/>
                <w:color w:val="1C3A36"/>
                <w:sz w:val="18"/>
              </w:rPr>
              <w:t>Blended cost of debt, adopted</w:t>
            </w:r>
          </w:p>
        </w:tc>
        <w:tc>
          <w:tcPr>
            <w:tcW w:type="dxa" w:w="1728"/>
            <w:shd w:val="clear" w:color="auto" w:fill="F6F1E6"/>
          </w:tcPr>
          <w:p>
            <w:pPr>
              <w:spacing w:after="20"/>
              <w:jc w:val="right"/>
            </w:pPr>
            <w:r>
              <w:rPr>
                <w:b/>
                <w:color w:val="1C3A36"/>
                <w:sz w:val="18"/>
              </w:rPr>
              <w:t>1,135</w:t>
            </w:r>
          </w:p>
        </w:tc>
        <w:tc>
          <w:tcPr>
            <w:tcW w:type="dxa" w:w="1440"/>
            <w:shd w:val="clear" w:color="auto" w:fill="F6F1E6"/>
          </w:tcPr>
          <w:p>
            <w:pPr>
              <w:spacing w:after="20"/>
              <w:jc w:val="right"/>
            </w:pPr>
            <w:r>
              <w:rPr>
                <w:b/>
                <w:color w:val="1C3A36"/>
                <w:sz w:val="18"/>
              </w:rPr>
              <w:t>91% EUR</w:t>
            </w:r>
          </w:p>
        </w:tc>
        <w:tc>
          <w:tcPr>
            <w:tcW w:type="dxa" w:w="2304"/>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The blended rate is built in the model from these four lines, not pasted.</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contractual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The marginal contractual rate is the right one for a forward-looking discount rate, and the gap is disclosed so the reader can disagree.</w:t>
      </w:r>
    </w:p>
    <w:p>
      <w:pPr>
        <w:spacing w:after="120" w:before="0"/>
      </w:pPr>
      <w:r>
        <w:rPr>
          <w:b w:val="0"/>
          <w:i w:val="0"/>
          <w:color w:val="1C3A36"/>
          <w:sz w:val="21"/>
        </w:rPr>
        <w:t>One caution belongs next to that number. Adopting the contracted euro rate means the euro debt is NOT compensated for pound depreciation beyond what this study's own currency path already assumes. Loading the euro legs with 6% annual pound depreciation under interest parity gives a pound-equivalent cost of debt of 13.36% — nearly twice the adopted figure. The alternative is computed as a VALUE and not merely described: it is worth +0.2% of the cash-flow lens, because debt is only 3.8% of the capital structure. A large swing in a small weight is still a small effect, and saying so is not the same as dismissing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58.49 against 53.21 on the adopted one, a difference of +9.9%.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61.50</w:t>
            </w:r>
          </w:p>
        </w:tc>
        <w:tc>
          <w:tcPr>
            <w:tcW w:type="dxa" w:w="1391"/>
          </w:tcPr>
          <w:p>
            <w:pPr>
              <w:spacing w:after="20"/>
              <w:jc w:val="right"/>
            </w:pPr>
            <w:r>
              <w:rPr>
                <w:color w:val="1C3A36"/>
                <w:sz w:val="18"/>
              </w:rPr>
              <w:t>55.74</w:t>
            </w:r>
          </w:p>
        </w:tc>
        <w:tc>
          <w:tcPr>
            <w:tcW w:type="dxa" w:w="1391"/>
          </w:tcPr>
          <w:p>
            <w:pPr>
              <w:spacing w:after="20"/>
              <w:jc w:val="right"/>
            </w:pPr>
            <w:r>
              <w:rPr>
                <w:color w:val="1C3A36"/>
                <w:sz w:val="18"/>
              </w:rPr>
              <w:t>51.20</w:t>
            </w:r>
          </w:p>
        </w:tc>
        <w:tc>
          <w:tcPr>
            <w:tcW w:type="dxa" w:w="1391"/>
          </w:tcPr>
          <w:p>
            <w:pPr>
              <w:spacing w:after="20"/>
              <w:jc w:val="right"/>
            </w:pPr>
            <w:r>
              <w:rPr>
                <w:color w:val="1C3A36"/>
                <w:sz w:val="18"/>
              </w:rPr>
              <w:t>48.36</w:t>
            </w:r>
          </w:p>
        </w:tc>
        <w:tc>
          <w:tcPr>
            <w:tcW w:type="dxa" w:w="1391"/>
          </w:tcPr>
          <w:p>
            <w:pPr>
              <w:spacing w:after="20"/>
              <w:jc w:val="right"/>
            </w:pPr>
            <w:r>
              <w:rPr>
                <w:color w:val="1C3A36"/>
                <w:sz w:val="18"/>
              </w:rPr>
              <w:t>45.90</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7,983</w:t>
            </w:r>
          </w:p>
        </w:tc>
        <w:tc>
          <w:tcPr>
            <w:tcW w:type="dxa" w:w="2160"/>
          </w:tcPr>
          <w:p>
            <w:pPr>
              <w:spacing w:after="20"/>
              <w:jc w:val="right"/>
            </w:pPr>
            <w:r>
              <w:rPr>
                <w:color w:val="1C3A36"/>
                <w:sz w:val="18"/>
              </w:rPr>
              <w:t>21.29</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19,259</w:t>
            </w:r>
          </w:p>
        </w:tc>
        <w:tc>
          <w:tcPr>
            <w:tcW w:type="dxa" w:w="2160"/>
            <w:shd w:val="clear" w:color="auto" w:fill="F6F1E6"/>
          </w:tcPr>
          <w:p>
            <w:pPr>
              <w:spacing w:after="20"/>
              <w:jc w:val="right"/>
            </w:pPr>
            <w:r>
              <w:rPr>
                <w:b/>
                <w:color w:val="1C3A36"/>
                <w:sz w:val="18"/>
              </w:rPr>
              <w:t>51.38</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19,946</w:t>
            </w:r>
          </w:p>
        </w:tc>
        <w:tc>
          <w:tcPr>
            <w:tcW w:type="dxa" w:w="2160"/>
            <w:shd w:val="clear" w:color="auto" w:fill="F6F1E6"/>
          </w:tcPr>
          <w:p>
            <w:pPr>
              <w:spacing w:after="20"/>
              <w:jc w:val="right"/>
            </w:pPr>
            <w:r>
              <w:rPr>
                <w:b/>
                <w:color w:val="1C3A36"/>
                <w:sz w:val="18"/>
              </w:rPr>
              <w:t>53.21</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41.4%</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(6 August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-30.9%</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0.0011% of equity value. The subsidiaries are 99% to 99.99% owned.</w:t>
      </w:r>
    </w:p>
    <w:p>
      <w:pPr>
        <w:spacing w:after="120" w:before="0"/>
      </w:pPr>
      <w:r>
        <w:rPr>
          <w:b w:val="0"/>
          <w:i w:val="0"/>
          <w:color w:val="1C3A36"/>
          <w:sz w:val="21"/>
        </w:rPr>
        <w:t>At 41.4%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terminal return on capital is 11.3% and the reinvestment rate that 7% growth requires is 62.2% of terminal profit.</w:t>
      </w:r>
    </w:p>
    <w:p>
      <w:pPr>
        <w:spacing w:after="120" w:before="0"/>
      </w:pPr>
      <w:r>
        <w:rPr>
          <w:b w:val="0"/>
          <w:i w:val="0"/>
          <w:color w:val="1C3A36"/>
          <w:sz w:val="21"/>
        </w:rPr>
        <w:t>That choice of denominator all but switches the terminal growth rate off, and the reason is worth setting out because the obvious reading of it is wrong. A terminal return of 11.3% against a terminal rate of 18.3% looks like the textbook case in which growth destroys value. It is not the right test. Because reinvestment is growth divided by return on capital, and that return is itself terminal profit grown one year over a fixed capital base, the reinvestment charge collapses to a constant — growth multiplied by invested capital — and the whole terminal block reduces to terminal profit grown one year, less that charge, over the rate less growth. Differentiate it and the growth term vanishes: the DIRECTION of the lever is a constant of the model, and the hurdle is terminal profit over invested capital against the rate over one plus the rate, which is 15.50%. This company sits at 10.52% — -498 basis points above it. Growth therefore adds value, and adds almost none of it: the cash-flow lens is EGP 60.90 at 3% terminal growth and EGP 53.21 at 7%, a spread of -12.6% across four points of perpetual growth.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62.87</w:t>
            </w:r>
          </w:p>
        </w:tc>
        <w:tc>
          <w:tcPr>
            <w:tcW w:type="dxa" w:w="1469"/>
          </w:tcPr>
          <w:p>
            <w:pPr>
              <w:spacing w:after="20"/>
              <w:jc w:val="right"/>
            </w:pPr>
            <w:r>
              <w:rPr>
                <w:color w:val="1C3A36"/>
                <w:sz w:val="18"/>
              </w:rPr>
              <w:t>61.29</w:t>
            </w:r>
          </w:p>
        </w:tc>
        <w:tc>
          <w:tcPr>
            <w:tcW w:type="dxa" w:w="1469"/>
          </w:tcPr>
          <w:p>
            <w:pPr>
              <w:spacing w:after="20"/>
              <w:jc w:val="right"/>
            </w:pPr>
            <w:r>
              <w:rPr>
                <w:color w:val="1C3A36"/>
                <w:sz w:val="18"/>
              </w:rPr>
              <w:t>59.47</w:t>
            </w:r>
          </w:p>
        </w:tc>
        <w:tc>
          <w:tcPr>
            <w:tcW w:type="dxa" w:w="1469"/>
          </w:tcPr>
          <w:p>
            <w:pPr>
              <w:spacing w:after="20"/>
              <w:jc w:val="right"/>
            </w:pPr>
            <w:r>
              <w:rPr>
                <w:color w:val="1C3A36"/>
                <w:sz w:val="18"/>
              </w:rPr>
              <w:t>57.36</w:t>
            </w:r>
          </w:p>
        </w:tc>
        <w:tc>
          <w:tcPr>
            <w:tcW w:type="dxa" w:w="1469"/>
          </w:tcPr>
          <w:p>
            <w:pPr>
              <w:spacing w:after="20"/>
              <w:jc w:val="right"/>
            </w:pPr>
            <w:r>
              <w:rPr>
                <w:color w:val="1C3A36"/>
                <w:sz w:val="18"/>
              </w:rPr>
              <w:t>54.88</w:t>
            </w:r>
          </w:p>
        </w:tc>
      </w:tr>
      <w:tr>
        <w:tc>
          <w:tcPr>
            <w:tcW w:type="dxa" w:w="2477"/>
          </w:tcPr>
          <w:p>
            <w:pPr>
              <w:spacing w:after="20"/>
            </w:pPr>
            <w:r>
              <w:rPr>
                <w:color w:val="1C3A36"/>
                <w:sz w:val="18"/>
              </w:rPr>
              <w:t>26.10%</w:t>
            </w:r>
          </w:p>
        </w:tc>
        <w:tc>
          <w:tcPr>
            <w:tcW w:type="dxa" w:w="1469"/>
          </w:tcPr>
          <w:p>
            <w:pPr>
              <w:spacing w:after="20"/>
              <w:jc w:val="right"/>
            </w:pPr>
            <w:r>
              <w:rPr>
                <w:color w:val="1C3A36"/>
                <w:sz w:val="18"/>
              </w:rPr>
              <w:t>61.87</w:t>
            </w:r>
          </w:p>
        </w:tc>
        <w:tc>
          <w:tcPr>
            <w:tcW w:type="dxa" w:w="1469"/>
          </w:tcPr>
          <w:p>
            <w:pPr>
              <w:spacing w:after="20"/>
              <w:jc w:val="right"/>
            </w:pPr>
            <w:r>
              <w:rPr>
                <w:color w:val="1C3A36"/>
                <w:sz w:val="18"/>
              </w:rPr>
              <w:t>60.32</w:t>
            </w:r>
          </w:p>
        </w:tc>
        <w:tc>
          <w:tcPr>
            <w:tcW w:type="dxa" w:w="1469"/>
          </w:tcPr>
          <w:p>
            <w:pPr>
              <w:spacing w:after="20"/>
              <w:jc w:val="right"/>
            </w:pPr>
            <w:r>
              <w:rPr>
                <w:color w:val="1C3A36"/>
                <w:sz w:val="18"/>
              </w:rPr>
              <w:t>58.54</w:t>
            </w:r>
          </w:p>
        </w:tc>
        <w:tc>
          <w:tcPr>
            <w:tcW w:type="dxa" w:w="1469"/>
          </w:tcPr>
          <w:p>
            <w:pPr>
              <w:spacing w:after="20"/>
              <w:jc w:val="right"/>
            </w:pPr>
            <w:r>
              <w:rPr>
                <w:color w:val="1C3A36"/>
                <w:sz w:val="18"/>
              </w:rPr>
              <w:t>56.47</w:t>
            </w:r>
          </w:p>
        </w:tc>
        <w:tc>
          <w:tcPr>
            <w:tcW w:type="dxa" w:w="1469"/>
          </w:tcPr>
          <w:p>
            <w:pPr>
              <w:spacing w:after="20"/>
              <w:jc w:val="right"/>
            </w:pPr>
            <w:r>
              <w:rPr>
                <w:color w:val="1C3A36"/>
                <w:sz w:val="18"/>
              </w:rPr>
              <w:t>54.04</w:t>
            </w:r>
          </w:p>
        </w:tc>
      </w:tr>
      <w:tr>
        <w:tc>
          <w:tcPr>
            <w:tcW w:type="dxa" w:w="2477"/>
          </w:tcPr>
          <w:p>
            <w:pPr>
              <w:spacing w:after="20"/>
            </w:pPr>
            <w:r>
              <w:rPr>
                <w:color w:val="1C3A36"/>
                <w:sz w:val="18"/>
              </w:rPr>
              <w:t>27.60%</w:t>
            </w:r>
          </w:p>
        </w:tc>
        <w:tc>
          <w:tcPr>
            <w:tcW w:type="dxa" w:w="1469"/>
          </w:tcPr>
          <w:p>
            <w:pPr>
              <w:spacing w:after="20"/>
              <w:jc w:val="right"/>
            </w:pPr>
            <w:r>
              <w:rPr>
                <w:color w:val="1C3A36"/>
                <w:sz w:val="18"/>
              </w:rPr>
              <w:t>60.90</w:t>
            </w:r>
          </w:p>
        </w:tc>
        <w:tc>
          <w:tcPr>
            <w:tcW w:type="dxa" w:w="1469"/>
          </w:tcPr>
          <w:p>
            <w:pPr>
              <w:spacing w:after="20"/>
              <w:jc w:val="right"/>
            </w:pPr>
            <w:r>
              <w:rPr>
                <w:color w:val="1C3A36"/>
                <w:sz w:val="18"/>
              </w:rPr>
              <w:t>59.38</w:t>
            </w:r>
          </w:p>
        </w:tc>
        <w:tc>
          <w:tcPr>
            <w:tcW w:type="dxa" w:w="1469"/>
          </w:tcPr>
          <w:p>
            <w:pPr>
              <w:spacing w:after="20"/>
              <w:jc w:val="right"/>
            </w:pPr>
            <w:r>
              <w:rPr>
                <w:color w:val="1C3A36"/>
                <w:sz w:val="18"/>
              </w:rPr>
              <w:t>57.63</w:t>
            </w:r>
          </w:p>
        </w:tc>
        <w:tc>
          <w:tcPr>
            <w:tcW w:type="dxa" w:w="1469"/>
          </w:tcPr>
          <w:p>
            <w:pPr>
              <w:spacing w:after="20"/>
              <w:jc w:val="right"/>
            </w:pPr>
            <w:r>
              <w:rPr>
                <w:color w:val="1C3A36"/>
                <w:sz w:val="18"/>
              </w:rPr>
              <w:t>55.60</w:t>
            </w:r>
          </w:p>
        </w:tc>
        <w:tc>
          <w:tcPr>
            <w:tcW w:type="dxa" w:w="1469"/>
          </w:tcPr>
          <w:p>
            <w:pPr>
              <w:spacing w:after="20"/>
              <w:jc w:val="right"/>
            </w:pPr>
            <w:r>
              <w:rPr>
                <w:color w:val="1C3A36"/>
                <w:sz w:val="18"/>
              </w:rPr>
              <w:t>53.21</w:t>
            </w:r>
          </w:p>
        </w:tc>
      </w:tr>
      <w:tr>
        <w:tc>
          <w:tcPr>
            <w:tcW w:type="dxa" w:w="2477"/>
          </w:tcPr>
          <w:p>
            <w:pPr>
              <w:spacing w:after="20"/>
            </w:pPr>
            <w:r>
              <w:rPr>
                <w:color w:val="1C3A36"/>
                <w:sz w:val="18"/>
              </w:rPr>
              <w:t>29.10%</w:t>
            </w:r>
          </w:p>
        </w:tc>
        <w:tc>
          <w:tcPr>
            <w:tcW w:type="dxa" w:w="1469"/>
          </w:tcPr>
          <w:p>
            <w:pPr>
              <w:spacing w:after="20"/>
              <w:jc w:val="right"/>
            </w:pPr>
            <w:r>
              <w:rPr>
                <w:color w:val="1C3A36"/>
                <w:sz w:val="18"/>
              </w:rPr>
              <w:t>59.95</w:t>
            </w:r>
          </w:p>
        </w:tc>
        <w:tc>
          <w:tcPr>
            <w:tcW w:type="dxa" w:w="1469"/>
          </w:tcPr>
          <w:p>
            <w:pPr>
              <w:spacing w:after="20"/>
              <w:jc w:val="right"/>
            </w:pPr>
            <w:r>
              <w:rPr>
                <w:color w:val="1C3A36"/>
                <w:sz w:val="18"/>
              </w:rPr>
              <w:t>58.45</w:t>
            </w:r>
          </w:p>
        </w:tc>
        <w:tc>
          <w:tcPr>
            <w:tcW w:type="dxa" w:w="1469"/>
          </w:tcPr>
          <w:p>
            <w:pPr>
              <w:spacing w:after="20"/>
              <w:jc w:val="right"/>
            </w:pPr>
            <w:r>
              <w:rPr>
                <w:color w:val="1C3A36"/>
                <w:sz w:val="18"/>
              </w:rPr>
              <w:t>56.74</w:t>
            </w:r>
          </w:p>
        </w:tc>
        <w:tc>
          <w:tcPr>
            <w:tcW w:type="dxa" w:w="1469"/>
          </w:tcPr>
          <w:p>
            <w:pPr>
              <w:spacing w:after="20"/>
              <w:jc w:val="right"/>
            </w:pPr>
            <w:r>
              <w:rPr>
                <w:color w:val="1C3A36"/>
                <w:sz w:val="18"/>
              </w:rPr>
              <w:t>54.75</w:t>
            </w:r>
          </w:p>
        </w:tc>
        <w:tc>
          <w:tcPr>
            <w:tcW w:type="dxa" w:w="1469"/>
          </w:tcPr>
          <w:p>
            <w:pPr>
              <w:spacing w:after="20"/>
              <w:jc w:val="right"/>
            </w:pPr>
            <w:r>
              <w:rPr>
                <w:color w:val="1C3A36"/>
                <w:sz w:val="18"/>
              </w:rPr>
              <w:t>52.40</w:t>
            </w:r>
          </w:p>
        </w:tc>
      </w:tr>
      <w:tr>
        <w:tc>
          <w:tcPr>
            <w:tcW w:type="dxa" w:w="2477"/>
          </w:tcPr>
          <w:p>
            <w:pPr>
              <w:spacing w:after="20"/>
            </w:pPr>
            <w:r>
              <w:rPr>
                <w:color w:val="1C3A36"/>
                <w:sz w:val="18"/>
              </w:rPr>
              <w:t>30.60%</w:t>
            </w:r>
          </w:p>
        </w:tc>
        <w:tc>
          <w:tcPr>
            <w:tcW w:type="dxa" w:w="1469"/>
          </w:tcPr>
          <w:p>
            <w:pPr>
              <w:spacing w:after="20"/>
              <w:jc w:val="right"/>
            </w:pPr>
            <w:r>
              <w:rPr>
                <w:color w:val="1C3A36"/>
                <w:sz w:val="18"/>
              </w:rPr>
              <w:t>59.02</w:t>
            </w:r>
          </w:p>
        </w:tc>
        <w:tc>
          <w:tcPr>
            <w:tcW w:type="dxa" w:w="1469"/>
          </w:tcPr>
          <w:p>
            <w:pPr>
              <w:spacing w:after="20"/>
              <w:jc w:val="right"/>
            </w:pPr>
            <w:r>
              <w:rPr>
                <w:color w:val="1C3A36"/>
                <w:sz w:val="18"/>
              </w:rPr>
              <w:t>57.56</w:t>
            </w:r>
          </w:p>
        </w:tc>
        <w:tc>
          <w:tcPr>
            <w:tcW w:type="dxa" w:w="1469"/>
          </w:tcPr>
          <w:p>
            <w:pPr>
              <w:spacing w:after="20"/>
              <w:jc w:val="right"/>
            </w:pPr>
            <w:r>
              <w:rPr>
                <w:color w:val="1C3A36"/>
                <w:sz w:val="18"/>
              </w:rPr>
              <w:t>55.87</w:t>
            </w:r>
          </w:p>
        </w:tc>
        <w:tc>
          <w:tcPr>
            <w:tcW w:type="dxa" w:w="1469"/>
          </w:tcPr>
          <w:p>
            <w:pPr>
              <w:spacing w:after="20"/>
              <w:jc w:val="right"/>
            </w:pPr>
            <w:r>
              <w:rPr>
                <w:color w:val="1C3A36"/>
                <w:sz w:val="18"/>
              </w:rPr>
              <w:t>53.92</w:t>
            </w:r>
          </w:p>
        </w:tc>
        <w:tc>
          <w:tcPr>
            <w:tcW w:type="dxa" w:w="1469"/>
          </w:tcPr>
          <w:p>
            <w:pPr>
              <w:spacing w:after="20"/>
              <w:jc w:val="right"/>
            </w:pPr>
            <w:r>
              <w:rPr>
                <w:color w:val="1C3A36"/>
                <w:sz w:val="18"/>
              </w:rPr>
              <w:t>51.62</w:t>
            </w:r>
          </w:p>
        </w:tc>
      </w:tr>
    </w:tbl>
    <w:p>
      <w:pPr>
        <w:spacing w:after="40"/>
      </w:pPr>
    </w:p>
    <w:p>
      <w:pPr>
        <w:spacing w:after="200" w:before="0"/>
      </w:pPr>
      <w:r>
        <w:rPr>
          <w:b w:val="0"/>
          <w:i/>
          <w:color w:val="6E7B77"/>
          <w:sz w:val="17"/>
        </w:rPr>
        <w:t>Table 11 — Fair value per share across the explicit-window cost of capital and terminal growth. Growth is the STRONGER of the two levers here and it points DOWN: across a row the value moves EGP 7.99, against EGP 3.85 down a column. The paragraphs above set out why the growth axis is nearly flat — on a replacement-cost denominator this plant sits within -498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61.50</w:t>
            </w:r>
          </w:p>
        </w:tc>
        <w:tc>
          <w:tcPr>
            <w:tcW w:type="dxa" w:w="1469"/>
          </w:tcPr>
          <w:p>
            <w:pPr>
              <w:spacing w:after="20"/>
              <w:jc w:val="right"/>
            </w:pPr>
            <w:r>
              <w:rPr>
                <w:color w:val="1C3A36"/>
                <w:sz w:val="18"/>
              </w:rPr>
              <w:t>57.88</w:t>
            </w:r>
          </w:p>
        </w:tc>
        <w:tc>
          <w:tcPr>
            <w:tcW w:type="dxa" w:w="1469"/>
          </w:tcPr>
          <w:p>
            <w:pPr>
              <w:spacing w:after="20"/>
              <w:jc w:val="right"/>
            </w:pPr>
            <w:r>
              <w:rPr>
                <w:color w:val="1C3A36"/>
                <w:sz w:val="18"/>
              </w:rPr>
              <w:t>54.88</w:t>
            </w:r>
          </w:p>
        </w:tc>
        <w:tc>
          <w:tcPr>
            <w:tcW w:type="dxa" w:w="1469"/>
          </w:tcPr>
          <w:p>
            <w:pPr>
              <w:spacing w:after="20"/>
              <w:jc w:val="right"/>
            </w:pPr>
            <w:r>
              <w:rPr>
                <w:color w:val="1C3A36"/>
                <w:sz w:val="18"/>
              </w:rPr>
              <w:t>52.35</w:t>
            </w:r>
          </w:p>
        </w:tc>
        <w:tc>
          <w:tcPr>
            <w:tcW w:type="dxa" w:w="1469"/>
          </w:tcPr>
          <w:p>
            <w:pPr>
              <w:spacing w:after="20"/>
              <w:jc w:val="right"/>
            </w:pPr>
            <w:r>
              <w:rPr>
                <w:color w:val="1C3A36"/>
                <w:sz w:val="18"/>
              </w:rPr>
              <w:t>50.17</w:t>
            </w:r>
          </w:p>
        </w:tc>
      </w:tr>
      <w:tr>
        <w:tc>
          <w:tcPr>
            <w:tcW w:type="dxa" w:w="2477"/>
          </w:tcPr>
          <w:p>
            <w:pPr>
              <w:spacing w:after="20"/>
            </w:pPr>
            <w:r>
              <w:rPr>
                <w:color w:val="1C3A36"/>
                <w:sz w:val="18"/>
              </w:rPr>
              <w:t>26.10%</w:t>
            </w:r>
          </w:p>
        </w:tc>
        <w:tc>
          <w:tcPr>
            <w:tcW w:type="dxa" w:w="1469"/>
          </w:tcPr>
          <w:p>
            <w:pPr>
              <w:spacing w:after="20"/>
              <w:jc w:val="right"/>
            </w:pPr>
            <w:r>
              <w:rPr>
                <w:color w:val="1C3A36"/>
                <w:sz w:val="18"/>
              </w:rPr>
              <w:t>60.52</w:t>
            </w:r>
          </w:p>
        </w:tc>
        <w:tc>
          <w:tcPr>
            <w:tcW w:type="dxa" w:w="1469"/>
          </w:tcPr>
          <w:p>
            <w:pPr>
              <w:spacing w:after="20"/>
              <w:jc w:val="right"/>
            </w:pPr>
            <w:r>
              <w:rPr>
                <w:color w:val="1C3A36"/>
                <w:sz w:val="18"/>
              </w:rPr>
              <w:t>56.98</w:t>
            </w:r>
          </w:p>
        </w:tc>
        <w:tc>
          <w:tcPr>
            <w:tcW w:type="dxa" w:w="1469"/>
          </w:tcPr>
          <w:p>
            <w:pPr>
              <w:spacing w:after="20"/>
              <w:jc w:val="right"/>
            </w:pPr>
            <w:r>
              <w:rPr>
                <w:color w:val="1C3A36"/>
                <w:sz w:val="18"/>
              </w:rPr>
              <w:t>54.04</w:t>
            </w:r>
          </w:p>
        </w:tc>
        <w:tc>
          <w:tcPr>
            <w:tcW w:type="dxa" w:w="1469"/>
          </w:tcPr>
          <w:p>
            <w:pPr>
              <w:spacing w:after="20"/>
              <w:jc w:val="right"/>
            </w:pPr>
            <w:r>
              <w:rPr>
                <w:color w:val="1C3A36"/>
                <w:sz w:val="18"/>
              </w:rPr>
              <w:t>51.55</w:t>
            </w:r>
          </w:p>
        </w:tc>
        <w:tc>
          <w:tcPr>
            <w:tcW w:type="dxa" w:w="1469"/>
          </w:tcPr>
          <w:p>
            <w:pPr>
              <w:spacing w:after="20"/>
              <w:jc w:val="right"/>
            </w:pPr>
            <w:r>
              <w:rPr>
                <w:color w:val="1C3A36"/>
                <w:sz w:val="18"/>
              </w:rPr>
              <w:t>49.42</w:t>
            </w:r>
          </w:p>
        </w:tc>
      </w:tr>
      <w:tr>
        <w:tc>
          <w:tcPr>
            <w:tcW w:type="dxa" w:w="2477"/>
          </w:tcPr>
          <w:p>
            <w:pPr>
              <w:spacing w:after="20"/>
            </w:pPr>
            <w:r>
              <w:rPr>
                <w:color w:val="1C3A36"/>
                <w:sz w:val="18"/>
              </w:rPr>
              <w:t>27.60%</w:t>
            </w:r>
          </w:p>
        </w:tc>
        <w:tc>
          <w:tcPr>
            <w:tcW w:type="dxa" w:w="1469"/>
          </w:tcPr>
          <w:p>
            <w:pPr>
              <w:spacing w:after="20"/>
              <w:jc w:val="right"/>
            </w:pPr>
            <w:r>
              <w:rPr>
                <w:color w:val="1C3A36"/>
                <w:sz w:val="18"/>
              </w:rPr>
              <w:t>59.56</w:t>
            </w:r>
          </w:p>
        </w:tc>
        <w:tc>
          <w:tcPr>
            <w:tcW w:type="dxa" w:w="1469"/>
          </w:tcPr>
          <w:p>
            <w:pPr>
              <w:spacing w:after="20"/>
              <w:jc w:val="right"/>
            </w:pPr>
            <w:r>
              <w:rPr>
                <w:color w:val="1C3A36"/>
                <w:sz w:val="18"/>
              </w:rPr>
              <w:t>56.09</w:t>
            </w:r>
          </w:p>
        </w:tc>
        <w:tc>
          <w:tcPr>
            <w:tcW w:type="dxa" w:w="1469"/>
          </w:tcPr>
          <w:p>
            <w:pPr>
              <w:spacing w:after="20"/>
              <w:jc w:val="right"/>
            </w:pPr>
            <w:r>
              <w:rPr>
                <w:color w:val="1C3A36"/>
                <w:sz w:val="18"/>
              </w:rPr>
              <w:t>53.21</w:t>
            </w:r>
          </w:p>
        </w:tc>
        <w:tc>
          <w:tcPr>
            <w:tcW w:type="dxa" w:w="1469"/>
          </w:tcPr>
          <w:p>
            <w:pPr>
              <w:spacing w:after="20"/>
              <w:jc w:val="right"/>
            </w:pPr>
            <w:r>
              <w:rPr>
                <w:color w:val="1C3A36"/>
                <w:sz w:val="18"/>
              </w:rPr>
              <w:t>50.77</w:t>
            </w:r>
          </w:p>
        </w:tc>
        <w:tc>
          <w:tcPr>
            <w:tcW w:type="dxa" w:w="1469"/>
          </w:tcPr>
          <w:p>
            <w:pPr>
              <w:spacing w:after="20"/>
              <w:jc w:val="right"/>
            </w:pPr>
            <w:r>
              <w:rPr>
                <w:color w:val="1C3A36"/>
                <w:sz w:val="18"/>
              </w:rPr>
              <w:t>48.69</w:t>
            </w:r>
          </w:p>
        </w:tc>
      </w:tr>
      <w:tr>
        <w:tc>
          <w:tcPr>
            <w:tcW w:type="dxa" w:w="2477"/>
          </w:tcPr>
          <w:p>
            <w:pPr>
              <w:spacing w:after="20"/>
            </w:pPr>
            <w:r>
              <w:rPr>
                <w:color w:val="1C3A36"/>
                <w:sz w:val="18"/>
              </w:rPr>
              <w:t>29.10%</w:t>
            </w:r>
          </w:p>
        </w:tc>
        <w:tc>
          <w:tcPr>
            <w:tcW w:type="dxa" w:w="1469"/>
          </w:tcPr>
          <w:p>
            <w:pPr>
              <w:spacing w:after="20"/>
              <w:jc w:val="right"/>
            </w:pPr>
            <w:r>
              <w:rPr>
                <w:color w:val="1C3A36"/>
                <w:sz w:val="18"/>
              </w:rPr>
              <w:t>58.63</w:t>
            </w:r>
          </w:p>
        </w:tc>
        <w:tc>
          <w:tcPr>
            <w:tcW w:type="dxa" w:w="1469"/>
          </w:tcPr>
          <w:p>
            <w:pPr>
              <w:spacing w:after="20"/>
              <w:jc w:val="right"/>
            </w:pPr>
            <w:r>
              <w:rPr>
                <w:color w:val="1C3A36"/>
                <w:sz w:val="18"/>
              </w:rPr>
              <w:t>55.23</w:t>
            </w:r>
          </w:p>
        </w:tc>
        <w:tc>
          <w:tcPr>
            <w:tcW w:type="dxa" w:w="1469"/>
          </w:tcPr>
          <w:p>
            <w:pPr>
              <w:spacing w:after="20"/>
              <w:jc w:val="right"/>
            </w:pPr>
            <w:r>
              <w:rPr>
                <w:color w:val="1C3A36"/>
                <w:sz w:val="18"/>
              </w:rPr>
              <w:t>52.40</w:t>
            </w:r>
          </w:p>
        </w:tc>
        <w:tc>
          <w:tcPr>
            <w:tcW w:type="dxa" w:w="1469"/>
          </w:tcPr>
          <w:p>
            <w:pPr>
              <w:spacing w:after="20"/>
              <w:jc w:val="right"/>
            </w:pPr>
            <w:r>
              <w:rPr>
                <w:color w:val="1C3A36"/>
                <w:sz w:val="18"/>
              </w:rPr>
              <w:t>50.02</w:t>
            </w:r>
          </w:p>
        </w:tc>
        <w:tc>
          <w:tcPr>
            <w:tcW w:type="dxa" w:w="1469"/>
          </w:tcPr>
          <w:p>
            <w:pPr>
              <w:spacing w:after="20"/>
              <w:jc w:val="right"/>
            </w:pPr>
            <w:r>
              <w:rPr>
                <w:color w:val="1C3A36"/>
                <w:sz w:val="18"/>
              </w:rPr>
              <w:t>47.97</w:t>
            </w:r>
          </w:p>
        </w:tc>
      </w:tr>
      <w:tr>
        <w:tc>
          <w:tcPr>
            <w:tcW w:type="dxa" w:w="2477"/>
          </w:tcPr>
          <w:p>
            <w:pPr>
              <w:spacing w:after="20"/>
            </w:pPr>
            <w:r>
              <w:rPr>
                <w:color w:val="1C3A36"/>
                <w:sz w:val="18"/>
              </w:rPr>
              <w:t>30.60%</w:t>
            </w:r>
          </w:p>
        </w:tc>
        <w:tc>
          <w:tcPr>
            <w:tcW w:type="dxa" w:w="1469"/>
          </w:tcPr>
          <w:p>
            <w:pPr>
              <w:spacing w:after="20"/>
              <w:jc w:val="right"/>
            </w:pPr>
            <w:r>
              <w:rPr>
                <w:color w:val="1C3A36"/>
                <w:sz w:val="18"/>
              </w:rPr>
              <w:t>57.73</w:t>
            </w:r>
          </w:p>
        </w:tc>
        <w:tc>
          <w:tcPr>
            <w:tcW w:type="dxa" w:w="1469"/>
          </w:tcPr>
          <w:p>
            <w:pPr>
              <w:spacing w:after="20"/>
              <w:jc w:val="right"/>
            </w:pPr>
            <w:r>
              <w:rPr>
                <w:color w:val="1C3A36"/>
                <w:sz w:val="18"/>
              </w:rPr>
              <w:t>54.39</w:t>
            </w:r>
          </w:p>
        </w:tc>
        <w:tc>
          <w:tcPr>
            <w:tcW w:type="dxa" w:w="1469"/>
          </w:tcPr>
          <w:p>
            <w:pPr>
              <w:spacing w:after="20"/>
              <w:jc w:val="right"/>
            </w:pPr>
            <w:r>
              <w:rPr>
                <w:color w:val="1C3A36"/>
                <w:sz w:val="18"/>
              </w:rPr>
              <w:t>51.62</w:t>
            </w:r>
          </w:p>
        </w:tc>
        <w:tc>
          <w:tcPr>
            <w:tcW w:type="dxa" w:w="1469"/>
          </w:tcPr>
          <w:p>
            <w:pPr>
              <w:spacing w:after="20"/>
              <w:jc w:val="right"/>
            </w:pPr>
            <w:r>
              <w:rPr>
                <w:color w:val="1C3A36"/>
                <w:sz w:val="18"/>
              </w:rPr>
              <w:t>49.28</w:t>
            </w:r>
          </w:p>
        </w:tc>
        <w:tc>
          <w:tcPr>
            <w:tcW w:type="dxa" w:w="1469"/>
          </w:tcPr>
          <w:p>
            <w:pPr>
              <w:spacing w:after="20"/>
              <w:jc w:val="right"/>
            </w:pPr>
            <w:r>
              <w:rPr>
                <w:color w:val="1C3A36"/>
                <w:sz w:val="18"/>
              </w:rPr>
              <w:t>47.27</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53.30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58.49  (+9.9%)</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57.30  (+7.7%)</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59.00. Both models reproduce FY2025 revenue, cost of sales, gross profit, D&amp;A, capex and net cash to the pound, so the whole EGP 15.10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-7.62</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+2.44</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-2.51</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-0.16</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+1.28</w:t>
            </w:r>
          </w:p>
        </w:tc>
        <w:tc>
          <w:tcPr>
            <w:tcW w:type="dxa" w:w="4320"/>
          </w:tcPr>
          <w:p>
            <w:pPr>
              <w:spacing w:after="20"/>
              <w:jc w:val="right"/>
            </w:pPr>
            <w:r>
              <w:rPr>
                <w:color w:val="1C3A36"/>
                <w:sz w:val="17"/>
              </w:rPr>
              <w:t>−3.33 out of window, +4.61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Other three lenses</w:t>
            </w:r>
          </w:p>
        </w:tc>
        <w:tc>
          <w:tcPr>
            <w:tcW w:type="dxa" w:w="1224"/>
          </w:tcPr>
          <w:p>
            <w:pPr>
              <w:spacing w:after="20"/>
              <w:jc w:val="right"/>
            </w:pPr>
            <w:r>
              <w:rPr>
                <w:color w:val="1C3A36"/>
                <w:sz w:val="17"/>
              </w:rPr>
              <w:t>-0.73</w:t>
            </w:r>
          </w:p>
        </w:tc>
        <w:tc>
          <w:tcPr>
            <w:tcW w:type="dxa" w:w="4320"/>
          </w:tcPr>
          <w:p>
            <w:pPr>
              <w:spacing w:after="20"/>
              <w:jc w:val="right"/>
            </w:pPr>
            <w:r>
              <w:rPr>
                <w:color w:val="1C3A36"/>
                <w:sz w:val="17"/>
              </w:rPr>
              <w:t>50/20/22/8 weights and share count</w:t>
            </w:r>
          </w:p>
        </w:tc>
      </w:tr>
      <w:tr>
        <w:tc>
          <w:tcPr>
            <w:tcW w:type="dxa" w:w="3816"/>
          </w:tcPr>
          <w:p>
            <w:pPr>
              <w:spacing w:after="20"/>
            </w:pPr>
            <w:r>
              <w:rPr>
                <w:color w:val="1C3A36"/>
                <w:sz w:val="17"/>
              </w:rPr>
              <w:t>END — this study's weighted central</w:t>
            </w:r>
          </w:p>
        </w:tc>
        <w:tc>
          <w:tcPr>
            <w:tcW w:type="dxa" w:w="1224"/>
          </w:tcPr>
          <w:p>
            <w:pPr>
              <w:spacing w:after="20"/>
              <w:jc w:val="right"/>
            </w:pPr>
            <w:r>
              <w:rPr>
                <w:color w:val="1C3A36"/>
                <w:sz w:val="17"/>
              </w:rPr>
              <w:t>54.65</w:t>
            </w:r>
          </w:p>
        </w:tc>
        <w:tc>
          <w:tcPr>
            <w:tcW w:type="dxa" w:w="4320"/>
          </w:tcPr>
          <w:p>
            <w:pPr>
              <w:spacing w:after="20"/>
              <w:jc w:val="right"/>
            </w:pPr>
            <w:r>
              <w:rPr>
                <w:color w:val="1C3A36"/>
                <w:sz w:val="17"/>
              </w:rPr>
              <w:t>four lenses, weighted</w:t>
            </w:r>
          </w:p>
        </w:tc>
      </w:tr>
    </w:tbl>
    <w:p>
      <w:pPr>
        <w:spacing w:after="40"/>
      </w:pPr>
    </w:p>
    <w:p>
      <w:pPr>
        <w:spacing w:after="200" w:before="0"/>
      </w:pPr>
      <w:r>
        <w:rPr>
          <w:b w:val="0"/>
          <w:i/>
          <w:color w:val="6E7B77"/>
          <w:sz w:val="17"/>
        </w:rPr>
        <w:t>Table 14 — The reconciliation bridge. Bars sum to the gap exactly (-15.10 vs -15.10).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-16.65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+2.28. The remaining -0.73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(-7.62,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(+2.44,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(-2.51,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(-0.16,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(+1.28, EFG off mark). A price is what you pay today. Only 0.417 of FY2026 remains, so 0.583 of that year's FCFF leaves the discounted window — and arrives in the bridge as cash already earned. This step ADDS value on net. The +4.61 of accumulated cash is INSIDE the 54.65;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Other three lenses (-0.73, method, not error). Not an error on either side. They publish a DCF; we weight DCF 50%, multiples 20%, normalised earnings 22%, replacement cost 8%. The three non-DCF lenses land at 48.96 / 52.95 / 68.87 and pull down 0.73 net. The share count (374.867 vs 375.0) is inside that.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53.21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6 August 2026 close of EGP 77.00.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Measured over 16 independent quarterly windows, the bands cover 56%, 100% and 100% of outcomes against nominal 50%, 80% and 90%. The map is therefore TOO WIDE rather than mis-centred: it is not missing the outcome, it is covering more ground than it claims to. Its skill against a simple random walk is -1.8% — statistically indistinguishable from zero at every block size tested. No valuation conclusion in this study rests on it.</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11.29</w:t>
            </w:r>
          </w:p>
        </w:tc>
        <w:tc>
          <w:tcPr>
            <w:tcW w:type="dxa" w:w="1440"/>
            <w:shd w:val="clear" w:color="auto" w:fill="F6F1E6"/>
          </w:tcPr>
          <w:p>
            <w:pPr>
              <w:spacing w:after="20"/>
              <w:jc w:val="right"/>
            </w:pPr>
            <w:r>
              <w:rPr>
                <w:b/>
                <w:color w:val="1C3A36"/>
                <w:sz w:val="18"/>
              </w:rPr>
              <w:t>53.21</w:t>
            </w:r>
          </w:p>
        </w:tc>
        <w:tc>
          <w:tcPr>
            <w:tcW w:type="dxa" w:w="1440"/>
            <w:shd w:val="clear" w:color="auto" w:fill="F6F1E6"/>
          </w:tcPr>
          <w:p>
            <w:pPr>
              <w:spacing w:after="20"/>
              <w:jc w:val="right"/>
            </w:pPr>
            <w:r>
              <w:rPr>
                <w:b/>
                <w:color w:val="1C3A36"/>
                <w:sz w:val="18"/>
              </w:rPr>
              <w:t>53.76</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-30.9%</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Some sit ABOVE the market price — , at EGP  — and two sit below: Relative multiples, DCF (cash flow) and Asset / replacement cost, at EGP 45.65 and EGP 53.21 and EGP 65.57.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51.90; but those weights were chosen rather than tested, and an average of four methods is a fifth method nobody has checked, carrying every weakness of the weakest at whatever weight somebody typed. The value published here is the cash-flow lens alone, EGP 53.21 against EGP 77.00 — -30.9%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53.21,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contractual, not paid. </w:t>
      </w:r>
      <w:r>
        <w:rPr>
          <w:color w:val="1C3A36"/>
          <w:sz w:val="21"/>
        </w:rPr>
        <w:t>The blended 13.36% sits above the 5.03% that FY2025 interest over average debt gives and the 3.73% the first quarter of 2026 annualises to, because the book re-based mid-year and interest on assets still under construction is capitalised. Adopting the contracted euro rate also means the euro debt is not compensated for pound depreciation beyond the currency path assumed here; the pound-equivalent alternative is 13.36%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15.50%, so four points of terminal growth are worth -12.6%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over-wide. </w:t>
      </w:r>
      <w:r>
        <w:rPr>
          <w:color w:val="1C3A36"/>
          <w:sz w:val="21"/>
        </w:rPr>
        <w:t>Its bands cover 100% and 100% of outcomes against nominal 80% and 90%, and its skill against a random walk is -1.8%. It is carried as illustrative only.</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49.21</w:t>
            </w:r>
          </w:p>
        </w:tc>
        <w:tc>
          <w:tcPr>
            <w:tcW w:type="dxa" w:w="1325"/>
          </w:tcPr>
          <w:p>
            <w:pPr>
              <w:spacing w:after="20"/>
              <w:jc w:val="right"/>
            </w:pPr>
            <w:r>
              <w:rPr>
                <w:color w:val="1C3A36"/>
                <w:sz w:val="17"/>
              </w:rPr>
              <w:t>51.21</w:t>
            </w:r>
          </w:p>
        </w:tc>
        <w:tc>
          <w:tcPr>
            <w:tcW w:type="dxa" w:w="1325"/>
          </w:tcPr>
          <w:p>
            <w:pPr>
              <w:spacing w:after="20"/>
              <w:jc w:val="right"/>
            </w:pPr>
            <w:r>
              <w:rPr>
                <w:color w:val="1C3A36"/>
                <w:sz w:val="17"/>
              </w:rPr>
              <w:t>53.21</w:t>
            </w:r>
          </w:p>
        </w:tc>
        <w:tc>
          <w:tcPr>
            <w:tcW w:type="dxa" w:w="1325"/>
          </w:tcPr>
          <w:p>
            <w:pPr>
              <w:spacing w:after="20"/>
              <w:jc w:val="right"/>
            </w:pPr>
            <w:r>
              <w:rPr>
                <w:color w:val="1C3A36"/>
                <w:sz w:val="17"/>
              </w:rPr>
              <w:t>55.21</w:t>
            </w:r>
          </w:p>
        </w:tc>
        <w:tc>
          <w:tcPr>
            <w:tcW w:type="dxa" w:w="1325"/>
          </w:tcPr>
          <w:p>
            <w:pPr>
              <w:spacing w:after="20"/>
              <w:jc w:val="right"/>
            </w:pPr>
            <w:r>
              <w:rPr>
                <w:color w:val="1C3A36"/>
                <w:sz w:val="17"/>
              </w:rPr>
              <w:t>57.21</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43.36</w:t>
            </w:r>
          </w:p>
        </w:tc>
        <w:tc>
          <w:tcPr>
            <w:tcW w:type="dxa" w:w="1325"/>
          </w:tcPr>
          <w:p>
            <w:pPr>
              <w:spacing w:after="20"/>
              <w:jc w:val="right"/>
            </w:pPr>
            <w:r>
              <w:rPr>
                <w:color w:val="1C3A36"/>
                <w:sz w:val="17"/>
              </w:rPr>
              <w:t>48.29</w:t>
            </w:r>
          </w:p>
        </w:tc>
        <w:tc>
          <w:tcPr>
            <w:tcW w:type="dxa" w:w="1325"/>
          </w:tcPr>
          <w:p>
            <w:pPr>
              <w:spacing w:after="20"/>
              <w:jc w:val="right"/>
            </w:pPr>
            <w:r>
              <w:rPr>
                <w:color w:val="1C3A36"/>
                <w:sz w:val="17"/>
              </w:rPr>
              <w:t>53.21</w:t>
            </w:r>
          </w:p>
        </w:tc>
        <w:tc>
          <w:tcPr>
            <w:tcW w:type="dxa" w:w="1325"/>
          </w:tcPr>
          <w:p>
            <w:pPr>
              <w:spacing w:after="20"/>
              <w:jc w:val="right"/>
            </w:pPr>
            <w:r>
              <w:rPr>
                <w:color w:val="1C3A36"/>
                <w:sz w:val="17"/>
              </w:rPr>
              <w:t>58.13</w:t>
            </w:r>
          </w:p>
        </w:tc>
        <w:tc>
          <w:tcPr>
            <w:tcW w:type="dxa" w:w="1325"/>
          </w:tcPr>
          <w:p>
            <w:pPr>
              <w:spacing w:after="20"/>
              <w:jc w:val="right"/>
            </w:pPr>
            <w:r>
              <w:rPr>
                <w:color w:val="1C3A36"/>
                <w:sz w:val="17"/>
              </w:rPr>
              <w:t>63.06</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Income statement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sits close to the weighted central of the four principal lenses, which is a coincidence of construction rather than a confirmation — both are looking at the same company through overlapping methods.</w:t>
      </w:r>
    </w:p>
    <w:p>
      <w:pPr>
        <w:spacing w:after="120" w:before="0"/>
      </w:pPr>
      <w:r>
        <w:rPr>
          <w:b w:val="0"/>
          <w:i w:val="0"/>
          <w:color w:val="1C3A36"/>
          <w:sz w:val="21"/>
        </w:rPr>
      </w:r>
    </w:p>
    <w:p>
      <w:pPr>
        <w:spacing w:after="120" w:before="0"/>
      </w:pPr>
      <w:r>
        <w:rPr>
          <w:b w:val="0"/>
          <w:i/>
          <w:color w:val="6E7B77"/>
          <w:sz w:val="17"/>
        </w:rPr>
        <w:t>Testahil · Independent valuation research · Educational analysis, not investment advice. No rating and no price target is expressed or implied.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