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01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47</w:t>
            </w:r>
          </w:p>
        </w:tc>
      </w:tr>
      <w:tr>
        <w:tc>
          <w:tcPr>
            <w:tcW w:type="dxa" w:w="6236"/>
          </w:tcPr>
          <w:p>
            <w:r/>
            <w:r>
              <w:rPr>
                <w:color w:val="1A1D21"/>
                <w:sz w:val="18"/>
              </w:rPr>
              <w:t>Bind on a class of company (CLASS)</w:t>
            </w:r>
          </w:p>
        </w:tc>
        <w:tc>
          <w:tcPr>
            <w:tcW w:type="dxa" w:w="2721"/>
          </w:tcPr>
          <w:p>
            <w:r/>
            <w:r>
              <w:rPr>
                <w:color w:val="1A1D21"/>
                <w:sz w:val="18"/>
              </w:rPr>
              <w:t>18</w:t>
            </w:r>
          </w:p>
        </w:tc>
      </w:tr>
      <w:tr>
        <w:tc>
          <w:tcPr>
            <w:tcW w:type="dxa" w:w="6236"/>
          </w:tcPr>
          <w:p>
            <w:r/>
            <w:r>
              <w:rPr>
                <w:color w:val="1A1D21"/>
                <w:sz w:val="18"/>
              </w:rPr>
              <w:t>Bind on a single company (STOCK)</w:t>
            </w:r>
          </w:p>
        </w:tc>
        <w:tc>
          <w:tcPr>
            <w:tcW w:type="dxa" w:w="2721"/>
          </w:tcPr>
          <w:p>
            <w:r/>
            <w:r>
              <w:rPr>
                <w:color w:val="1A1D21"/>
                <w:sz w:val="18"/>
              </w:rPr>
              <w:t>5</w:t>
            </w:r>
          </w:p>
        </w:tc>
      </w:tr>
      <w:tr>
        <w:tc>
          <w:tcPr>
            <w:tcW w:type="dxa" w:w="6236"/>
          </w:tcPr>
          <w:p>
            <w:r/>
            <w:r>
              <w:rPr>
                <w:color w:val="1A1D21"/>
                <w:sz w:val="18"/>
              </w:rPr>
              <w:t>Total</w:t>
            </w:r>
          </w:p>
        </w:tc>
        <w:tc>
          <w:tcPr>
            <w:tcW w:type="dxa" w:w="2721"/>
          </w:tcPr>
          <w:p>
            <w:r/>
            <w:r>
              <w:rPr>
                <w:color w:val="1A1D21"/>
                <w:sz w:val="18"/>
              </w:rPr>
              <w:t>70</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21</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10</w:t>
            </w:r>
          </w:p>
        </w:tc>
      </w:tr>
      <w:tr>
        <w:tc>
          <w:tcPr>
            <w:tcW w:type="dxa" w:w="6236"/>
          </w:tcPr>
          <w:p>
            <w:r/>
            <w:r>
              <w:rPr>
                <w:color w:val="1A1D21"/>
                <w:sz w:val="18"/>
              </w:rPr>
              <w:t>From self-audits</w:t>
            </w:r>
          </w:p>
        </w:tc>
        <w:tc>
          <w:tcPr>
            <w:tcW w:type="dxa" w:w="2721"/>
          </w:tcPr>
          <w:p>
            <w:r/>
            <w:r>
              <w:rPr>
                <w:color w:val="1A1D21"/>
                <w:sz w:val="18"/>
              </w:rPr>
              <w:t>7</w:t>
            </w:r>
          </w:p>
        </w:tc>
      </w:tr>
      <w:tr>
        <w:tc>
          <w:tcPr>
            <w:tcW w:type="dxa" w:w="6236"/>
          </w:tcPr>
          <w:p>
            <w:r/>
            <w:r>
              <w:rPr>
                <w:color w:val="1A1D21"/>
                <w:sz w:val="18"/>
              </w:rPr>
              <w:t>Found while building</w:t>
            </w:r>
          </w:p>
        </w:tc>
        <w:tc>
          <w:tcPr>
            <w:tcW w:type="dxa" w:w="2721"/>
          </w:tcPr>
          <w:p>
            <w:r/>
            <w:r>
              <w:rPr>
                <w:color w:val="1A1D21"/>
                <w:sz w:val="18"/>
              </w:rPr>
              <w:t>30</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2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(23):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Recorded as open rather than quietly carried as done.</w:t>
      </w:r>
    </w:p>
    <w:p>
      <w:r>
        <w:br w:type="page"/>
      </w:r>
    </w:p>
    <w:p>
      <w:pPr>
        <w:pStyle w:val="Heading1"/>
      </w:pPr>
      <w:r>
        <w:t>Stocks that have been calibrated</w:t>
      </w:r>
    </w:p>
    <w:p>
      <w:pPr>
        <w:spacing w:after="120"/>
      </w:pPr>
      <w:r>
        <w:rPr>
          <w:b w:val="0"/>
          <w:i/>
          <w:color w:val="5B6570"/>
          <w:sz w:val="21"/>
        </w:rPr>
        <w:t>One row per name that has been through a fundamental calibration run. Generated from the fair-value store, never typed.</w:t>
      </w:r>
    </w:p>
    <w:tbl>
      <w:tblPr>
        <w:tblStyle w:val="TableGrid"/>
        <w:tblW w:type="auto" w:w="0"/>
        <w:jc w:val="center"/>
        <w:tblLayout w:type="fixed"/>
        <w:tblLook w:firstColumn="1" w:firstRow="1" w:lastColumn="0" w:lastRow="0" w:noHBand="0" w:noVBand="1" w:val="04A0"/>
        <w:tblLayout w:type="fixed"/>
      </w:tblPr>
      <w:tblGrid>
        <w:gridCol w:w="1134"/>
        <w:gridCol w:w="1247"/>
        <w:gridCol w:w="3062"/>
        <w:gridCol w:w="1644"/>
        <w:gridCol w:w="1644"/>
        <w:gridCol w:w="1021"/>
      </w:tblGrid>
      <w:tr>
        <w:tc>
          <w:tcPr>
            <w:tcW w:type="dxa" w:w="1134"/>
          </w:tcPr>
          <w:p>
            <w:r/>
            <w:r>
              <w:rPr>
                <w:b/>
                <w:color w:val="5B6570"/>
                <w:sz w:val="18"/>
              </w:rPr>
              <w:t>Stock</w:t>
            </w:r>
          </w:p>
        </w:tc>
        <w:tc>
          <w:tcPr>
            <w:tcW w:type="dxa" w:w="1247"/>
          </w:tcPr>
          <w:p>
            <w:r/>
            <w:r>
              <w:rPr>
                <w:b/>
                <w:color w:val="5B6570"/>
                <w:sz w:val="18"/>
              </w:rPr>
              <w:t>Market</w:t>
            </w:r>
          </w:p>
        </w:tc>
        <w:tc>
          <w:tcPr>
            <w:tcW w:type="dxa" w:w="3061"/>
          </w:tcPr>
          <w:p>
            <w:r/>
            <w:r>
              <w:rPr>
                <w:b/>
                <w:color w:val="5B6570"/>
                <w:sz w:val="18"/>
              </w:rPr>
              <w:t>Class</w:t>
            </w:r>
          </w:p>
        </w:tc>
        <w:tc>
          <w:tcPr>
            <w:tcW w:type="dxa" w:w="1644"/>
          </w:tcPr>
          <w:p>
            <w:r/>
            <w:r>
              <w:rPr>
                <w:b/>
                <w:color w:val="5B6570"/>
                <w:sz w:val="18"/>
              </w:rPr>
              <w:t>Fair price before</w:t>
            </w:r>
          </w:p>
        </w:tc>
        <w:tc>
          <w:tcPr>
            <w:tcW w:type="dxa" w:w="1644"/>
          </w:tcPr>
          <w:p>
            <w:r/>
            <w:r>
              <w:rPr>
                <w:b/>
                <w:color w:val="5B6570"/>
                <w:sz w:val="18"/>
              </w:rPr>
              <w:t>Fair price after</w:t>
            </w:r>
          </w:p>
        </w:tc>
        <w:tc>
          <w:tcPr>
            <w:tcW w:type="dxa" w:w="1020"/>
          </w:tcPr>
          <w:p>
            <w:r/>
            <w:r>
              <w:rPr>
                <w:b/>
                <w:color w:val="5B6570"/>
                <w:sz w:val="18"/>
              </w:rPr>
              <w:t>Move</w:t>
            </w:r>
          </w:p>
        </w:tc>
      </w:tr>
      <w:tr>
        <w:tc>
          <w:tcPr>
            <w:tcW w:type="dxa" w:w="1134"/>
          </w:tcPr>
          <w:p>
            <w:r/>
            <w:r>
              <w:rPr>
                <w:color w:val="1A1D21"/>
                <w:sz w:val="18"/>
              </w:rPr>
              <w:t>PHDC</w:t>
            </w:r>
          </w:p>
        </w:tc>
        <w:tc>
          <w:tcPr>
            <w:tcW w:type="dxa" w:w="1247"/>
          </w:tcPr>
          <w:p>
            <w:r/>
            <w:r>
              <w:rPr>
                <w:color w:val="1A1D21"/>
                <w:sz w:val="18"/>
              </w:rPr>
              <w:t>EG / EGX</w:t>
            </w:r>
          </w:p>
        </w:tc>
        <w:tc>
          <w:tcPr>
            <w:tcW w:type="dxa" w:w="3061"/>
          </w:tcPr>
          <w:p>
            <w:r/>
            <w:r>
              <w:rPr>
                <w:color w:val="1A1D21"/>
                <w:sz w:val="18"/>
              </w:rPr>
              <w:t>real-estate developer, off-plan, percentage-of-completion</w:t>
            </w:r>
          </w:p>
        </w:tc>
        <w:tc>
          <w:tcPr>
            <w:tcW w:type="dxa" w:w="1644"/>
          </w:tcPr>
          <w:p>
            <w:r/>
            <w:r>
              <w:rPr>
                <w:color w:val="1A1D21"/>
                <w:sz w:val="18"/>
              </w:rPr>
              <w:t>—</w:t>
            </w:r>
          </w:p>
        </w:tc>
        <w:tc>
          <w:tcPr>
            <w:tcW w:type="dxa" w:w="1644"/>
          </w:tcPr>
          <w:p>
            <w:r/>
            <w:r>
              <w:rPr>
                <w:color w:val="1A1D21"/>
                <w:sz w:val="18"/>
              </w:rPr>
              <w:t>EGP 15.89</w:t>
            </w:r>
          </w:p>
        </w:tc>
        <w:tc>
          <w:tcPr>
            <w:tcW w:type="dxa" w:w="1020"/>
          </w:tcPr>
          <w:p>
            <w:r/>
            <w:r>
              <w:rPr>
                <w:color w:val="1A1D21"/>
                <w:sz w:val="18"/>
              </w:rPr>
              <w:t>—</w:t>
            </w:r>
          </w:p>
        </w:tc>
      </w:tr>
      <w:tr>
        <w:tc>
          <w:tcPr>
            <w:tcW w:type="dxa" w:w="1134"/>
          </w:tcPr>
          <w:p>
            <w:r/>
            <w:r>
              <w:rPr>
                <w:color w:val="1A1D21"/>
                <w:sz w:val="18"/>
              </w:rPr>
              <w:t>TMGH</w:t>
            </w:r>
          </w:p>
        </w:tc>
        <w:tc>
          <w:tcPr>
            <w:tcW w:type="dxa" w:w="1247"/>
          </w:tcPr>
          <w:p>
            <w:r/>
            <w:r>
              <w:rPr>
                <w:color w:val="1A1D21"/>
                <w:sz w:val="18"/>
              </w:rPr>
              <w:t>EG / EGX</w:t>
            </w:r>
          </w:p>
        </w:tc>
        <w:tc>
          <w:tcPr>
            <w:tcW w:type="dxa" w:w="3061"/>
          </w:tcPr>
          <w:p>
            <w:r/>
            <w:r>
              <w:rPr>
                <w:color w:val="1A1D21"/>
                <w:sz w:val="18"/>
              </w:rPr>
              <w:t>real-estate developer, off-plan, point-in-time on handover</w:t>
            </w:r>
          </w:p>
        </w:tc>
        <w:tc>
          <w:tcPr>
            <w:tcW w:type="dxa" w:w="1644"/>
          </w:tcPr>
          <w:p>
            <w:r/>
            <w:r>
              <w:rPr>
                <w:color w:val="1A1D21"/>
                <w:sz w:val="18"/>
              </w:rPr>
              <w:t>EGP 147.12</w:t>
            </w:r>
          </w:p>
        </w:tc>
        <w:tc>
          <w:tcPr>
            <w:tcW w:type="dxa" w:w="1644"/>
          </w:tcPr>
          <w:p>
            <w:r/>
            <w:r>
              <w:rPr>
                <w:color w:val="1A1D21"/>
                <w:sz w:val="18"/>
              </w:rPr>
              <w:t>EGP 39.33</w:t>
            </w:r>
          </w:p>
        </w:tc>
        <w:tc>
          <w:tcPr>
            <w:tcW w:type="dxa" w:w="1020"/>
          </w:tcPr>
          <w:p>
            <w:r/>
            <w:r>
              <w:rPr>
                <w:color w:val="1A1D21"/>
                <w:sz w:val="18"/>
              </w:rPr>
              <w:t>-73.3%</w:t>
            </w:r>
          </w:p>
        </w:tc>
      </w:tr>
    </w:tbl>
    <w:p/>
    <w:p>
      <w:pPr>
        <w:spacing w:after="120"/>
      </w:pPr>
      <w:r>
        <w:rPr>
          <w:b w:val="0"/>
          <w:i w:val="0"/>
          <w:color w:val="5B6570"/>
          <w:sz w:val="18"/>
        </w:rPr>
        <w:t>PHDC — before-calibration price not recoverable — run and study delivered 30-Aug-2026, before this record existed. assets/data.js carries no date or standard stamp on fair{}, and every data.js commit reachable in this clone (23, from 30-Aug-2026) already holds 7.62/15.89/24.92 — so whether the delivered study moved it cannot be established. Recorded as absent rather than filled in with the post-run number, which would fabricate a zero movement..</w:t>
      </w:r>
    </w:p>
    <w:p>
      <w:pPr>
        <w:spacing w:after="120"/>
      </w:pPr>
      <w:r>
        <w:rPr>
          <w:b w:val="0"/>
          <w:i w:val="0"/>
          <w:color w:val="5B6570"/>
          <w:sz w:val="18"/>
        </w:rPr>
        <w:t>The fair price is the central case. Where a study publishes several cases and no single point, this column carries the median of them so the before-and-after can be compared at all; the study's own range is the thing to quote, never this cell. A move against a before-price that came from no current-standard study measures a new study against a number of unknown provenance, and the notes above say so where that is the case.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