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2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11.45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11.45 a share on a base case built from the company's own units and prices, in a range of EGP 5.22 to EGP 23.54. The shares trade at EGP 15.20.</w:t>
      </w:r>
    </w:p>
    <w:p>
      <w:pPr>
        <w:pStyle w:val="ListBullet"/>
        <w:spacing w:after="60"/>
      </w:pPr>
      <w:r>
        <w:rPr>
          <w:color w:val="1A1D21"/>
          <w:sz w:val="20"/>
        </w:rPr>
        <w:t>The forecast is built from units and prices the company itself discloses: 5,633 units sold across three regions at EGP 15.70 to 25.09 million a unit, and separately 1,886 units delivered at EGP 21.29 million of revenue each, because units handed over were contracted years earlier at lower prices.</w:t>
      </w:r>
    </w:p>
    <w:p>
      <w:pPr>
        <w:pStyle w:val="ListBullet"/>
        <w:spacing w:after="60"/>
      </w:pPr>
      <w:r>
        <w:rPr>
          <w:color w:val="1A1D21"/>
          <w:sz w:val="20"/>
        </w:rPr>
        <w:t>The company's cost of capital, built from the ground up, is 26.25% against an Egyptian ten-year government bond yield of 23.00%. The edition of 11 June 2026 discounted at 18.00%, below the sovereign; that was corrected on 30 August 2026 and the rate is unchanged here.</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4.46; at the high end, EGP 33.86.</w:t>
      </w:r>
    </w:p>
    <w:p>
      <w:pPr>
        <w:pStyle w:val="ListBullet"/>
        <w:spacing w:after="60"/>
      </w:pPr>
      <w:r>
        <w:rPr>
          <w:color w:val="1A1D21"/>
          <w:sz w:val="20"/>
        </w:rPr>
        <w:t>At the closing price of EGP 15.20 the market is paying for a conversion rate of 9.0%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134"/>
      </w:tblGrid>
      <w:tr>
        <w:trPr>
          <w:tblHeader w:val="true"/>
        </w:trPr>
        <w:tc>
          <w:tcPr>
            <w:tcW w:type="dxa" w:w="3175"/>
          </w:tcPr>
          <w:p>
            <w:r/>
            <w:r>
              <w:rPr>
                <w:b/>
                <w:color w:val="5B6570"/>
                <w:sz w:val="17"/>
              </w:rPr>
              <w:t>Lens</w:t>
            </w:r>
          </w:p>
        </w:tc>
        <w:tc>
          <w:tcPr>
            <w:tcW w:type="dxa" w:w="1474"/>
          </w:tcPr>
          <w:p>
            <w:r/>
            <w:r>
              <w:rPr>
                <w:b/>
                <w:color w:val="5B6570"/>
                <w:sz w:val="17"/>
              </w:rPr>
              <w:t>Bear</w:t>
            </w:r>
          </w:p>
        </w:tc>
        <w:tc>
          <w:tcPr>
            <w:tcW w:type="dxa" w:w="1474"/>
          </w:tcPr>
          <w:p>
            <w:r/>
            <w:r>
              <w:rPr>
                <w:b/>
                <w:color w:val="5B6570"/>
                <w:sz w:val="17"/>
              </w:rPr>
              <w:t>Base</w:t>
            </w:r>
          </w:p>
        </w:tc>
        <w:tc>
          <w:tcPr>
            <w:tcW w:type="dxa" w:w="1474"/>
          </w:tcPr>
          <w:p>
            <w:r/>
            <w:r>
              <w:rPr>
                <w:b/>
                <w:color w:val="5B6570"/>
                <w:sz w:val="17"/>
              </w:rPr>
              <w:t>Full value</w:t>
            </w:r>
          </w:p>
        </w:tc>
        <w:tc>
          <w:tcPr>
            <w:tcW w:type="dxa" w:w="1134"/>
          </w:tcPr>
          <w:p>
            <w:r/>
            <w:r>
              <w:rPr>
                <w:b/>
                <w:color w:val="5B6570"/>
                <w:sz w:val="17"/>
              </w:rPr>
              <w:t>Weight</w:t>
            </w:r>
          </w:p>
        </w:tc>
      </w:tr>
      <w:tr>
        <w:trPr>
          <w:cantSplit/>
        </w:trPr>
        <w:tc>
          <w:tcPr>
            <w:tcW w:type="dxa" w:w="3175"/>
          </w:tcPr>
          <w:p>
            <w:r/>
            <w:r>
              <w:rPr>
                <w:color w:val="1A1D21"/>
                <w:sz w:val="17"/>
              </w:rPr>
              <w:t>Discounted cash flow</w:t>
            </w:r>
          </w:p>
        </w:tc>
        <w:tc>
          <w:tcPr>
            <w:tcW w:type="dxa" w:w="1474"/>
          </w:tcPr>
          <w:p>
            <w:pPr>
              <w:jc w:val="right"/>
            </w:pPr>
            <w:r/>
            <w:r>
              <w:rPr>
                <w:color w:val="1A1D21"/>
                <w:sz w:val="17"/>
              </w:rPr>
              <w:t>3.08</w:t>
            </w:r>
          </w:p>
        </w:tc>
        <w:tc>
          <w:tcPr>
            <w:tcW w:type="dxa" w:w="1474"/>
          </w:tcPr>
          <w:p>
            <w:pPr>
              <w:jc w:val="right"/>
            </w:pPr>
            <w:r/>
            <w:r>
              <w:rPr>
                <w:color w:val="1A1D21"/>
                <w:sz w:val="17"/>
              </w:rPr>
              <w:t>14.54</w:t>
            </w:r>
          </w:p>
        </w:tc>
        <w:tc>
          <w:tcPr>
            <w:tcW w:type="dxa" w:w="1474"/>
          </w:tcPr>
          <w:p>
            <w:pPr>
              <w:jc w:val="right"/>
            </w:pPr>
            <w:r/>
            <w:r>
              <w:rPr>
                <w:color w:val="1A1D21"/>
                <w:sz w:val="17"/>
              </w:rPr>
              <w:t>37.30</w:t>
            </w:r>
          </w:p>
        </w:tc>
        <w:tc>
          <w:tcPr>
            <w:tcW w:type="dxa" w:w="1134"/>
          </w:tcPr>
          <w:p>
            <w:pPr>
              <w:jc w:val="right"/>
            </w:pPr>
            <w:r/>
            <w:r>
              <w:rPr>
                <w:color w:val="1A1D21"/>
                <w:sz w:val="17"/>
              </w:rPr>
              <w:t>45%</w:t>
            </w:r>
          </w:p>
        </w:tc>
      </w:tr>
      <w:tr>
        <w:trPr>
          <w:cantSplit/>
        </w:trPr>
        <w:tc>
          <w:tcPr>
            <w:tcW w:type="dxa" w:w="3175"/>
          </w:tcPr>
          <w:p>
            <w:r/>
            <w:r>
              <w:rPr>
                <w:color w:val="1A1D21"/>
                <w:sz w:val="17"/>
              </w:rPr>
              <w:t>Book value of equity</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134"/>
          </w:tcPr>
          <w:p>
            <w:pPr>
              <w:jc w:val="right"/>
            </w:pPr>
            <w:r/>
            <w:r>
              <w:rPr>
                <w:color w:val="1A1D21"/>
                <w:sz w:val="17"/>
              </w:rPr>
              <w:t>15%</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7.45</w:t>
            </w:r>
          </w:p>
        </w:tc>
        <w:tc>
          <w:tcPr>
            <w:tcW w:type="dxa" w:w="1474"/>
          </w:tcPr>
          <w:p>
            <w:pPr>
              <w:jc w:val="right"/>
            </w:pPr>
            <w:r/>
            <w:r>
              <w:rPr>
                <w:color w:val="1A1D21"/>
                <w:sz w:val="17"/>
              </w:rPr>
              <w:t>11.17</w:t>
            </w:r>
          </w:p>
        </w:tc>
        <w:tc>
          <w:tcPr>
            <w:tcW w:type="dxa" w:w="1474"/>
          </w:tcPr>
          <w:p>
            <w:pPr>
              <w:jc w:val="right"/>
            </w:pPr>
            <w:r/>
            <w:r>
              <w:rPr>
                <w:color w:val="1A1D21"/>
                <w:sz w:val="17"/>
              </w:rPr>
              <w:t>17.37</w:t>
            </w:r>
          </w:p>
        </w:tc>
        <w:tc>
          <w:tcPr>
            <w:tcW w:type="dxa" w:w="1134"/>
          </w:tcPr>
          <w:p>
            <w:pPr>
              <w:jc w:val="right"/>
            </w:pPr>
            <w:r/>
            <w:r>
              <w:rPr>
                <w:color w:val="1A1D21"/>
                <w:sz w:val="17"/>
              </w:rPr>
              <w:t>20%</w:t>
            </w:r>
          </w:p>
        </w:tc>
      </w:tr>
      <w:tr>
        <w:trPr>
          <w:cantSplit/>
        </w:trPr>
        <w:tc>
          <w:tcPr>
            <w:tcW w:type="dxa" w:w="3175"/>
          </w:tcPr>
          <w:p>
            <w:r/>
            <w:r>
              <w:rPr>
                <w:color w:val="1A1D21"/>
                <w:sz w:val="17"/>
              </w:rPr>
              <w:t>Normalised earnings power</w:t>
            </w:r>
          </w:p>
        </w:tc>
        <w:tc>
          <w:tcPr>
            <w:tcW w:type="dxa" w:w="1474"/>
          </w:tcPr>
          <w:p>
            <w:pPr>
              <w:jc w:val="right"/>
            </w:pPr>
            <w:r/>
            <w:r>
              <w:rPr>
                <w:color w:val="1A1D21"/>
                <w:sz w:val="17"/>
              </w:rPr>
              <w:t>7.26</w:t>
            </w:r>
          </w:p>
        </w:tc>
        <w:tc>
          <w:tcPr>
            <w:tcW w:type="dxa" w:w="1474"/>
          </w:tcPr>
          <w:p>
            <w:pPr>
              <w:jc w:val="right"/>
            </w:pPr>
            <w:r/>
            <w:r>
              <w:rPr>
                <w:color w:val="1A1D21"/>
                <w:sz w:val="17"/>
              </w:rPr>
              <w:t>8.39</w:t>
            </w:r>
          </w:p>
        </w:tc>
        <w:tc>
          <w:tcPr>
            <w:tcW w:type="dxa" w:w="1474"/>
          </w:tcPr>
          <w:p>
            <w:pPr>
              <w:jc w:val="right"/>
            </w:pPr>
            <w:r/>
            <w:r>
              <w:rPr>
                <w:color w:val="1A1D21"/>
                <w:sz w:val="17"/>
              </w:rPr>
              <w:t>9.94</w:t>
            </w:r>
          </w:p>
        </w:tc>
        <w:tc>
          <w:tcPr>
            <w:tcW w:type="dxa" w:w="1134"/>
          </w:tcPr>
          <w:p>
            <w:pPr>
              <w:jc w:val="right"/>
            </w:pPr>
            <w:r/>
            <w:r>
              <w:rPr>
                <w:color w:val="1A1D21"/>
                <w:sz w:val="17"/>
              </w:rPr>
              <w:t>20%</w:t>
            </w:r>
          </w:p>
        </w:tc>
      </w:tr>
      <w:tr>
        <w:trPr>
          <w:cantSplit/>
        </w:trPr>
        <w:tc>
          <w:tcPr>
            <w:tcW w:type="dxa" w:w="3175"/>
          </w:tcPr>
          <w:p>
            <w:r/>
            <w:r>
              <w:rPr>
                <w:color w:val="1A1D21"/>
                <w:sz w:val="17"/>
              </w:rPr>
              <w:t>Weighted central</w:t>
            </w:r>
          </w:p>
        </w:tc>
        <w:tc>
          <w:tcPr>
            <w:tcW w:type="dxa" w:w="1474"/>
          </w:tcPr>
          <w:p>
            <w:pPr>
              <w:jc w:val="right"/>
            </w:pPr>
            <w:r/>
            <w:r>
              <w:rPr>
                <w:color w:val="1A1D21"/>
                <w:sz w:val="17"/>
              </w:rPr>
              <w:t>5.22</w:t>
            </w:r>
          </w:p>
        </w:tc>
        <w:tc>
          <w:tcPr>
            <w:tcW w:type="dxa" w:w="1474"/>
          </w:tcPr>
          <w:p>
            <w:pPr>
              <w:jc w:val="right"/>
            </w:pPr>
            <w:r/>
            <w:r>
              <w:rPr>
                <w:color w:val="1A1D21"/>
                <w:sz w:val="17"/>
              </w:rPr>
              <w:t>11.45</w:t>
            </w:r>
          </w:p>
        </w:tc>
        <w:tc>
          <w:tcPr>
            <w:tcW w:type="dxa" w:w="1474"/>
          </w:tcPr>
          <w:p>
            <w:pPr>
              <w:jc w:val="right"/>
            </w:pPr>
            <w:r/>
            <w:r>
              <w:rPr>
                <w:color w:val="1A1D21"/>
                <w:sz w:val="17"/>
              </w:rPr>
              <w:t>23.54</w:t>
            </w:r>
          </w:p>
        </w:tc>
        <w:tc>
          <w:tcPr>
            <w:tcW w:type="dxa" w:w="1134"/>
          </w:tcPr>
          <w:p>
            <w:pPr>
              <w:jc w:val="right"/>
            </w:pPr>
            <w:r/>
            <w:r>
              <w:rPr>
                <w:color w:val="1A1D21"/>
                <w:sz w:val="17"/>
              </w:rPr>
              <w:t>100%</w:t>
            </w:r>
          </w:p>
        </w:tc>
      </w:tr>
      <w:tr>
        <w:trPr>
          <w:cantSplit/>
        </w:trPr>
        <w:tc>
          <w:tcPr>
            <w:tcW w:type="dxa" w:w="3175"/>
          </w:tcPr>
          <w:p>
            <w:r/>
            <w:r>
              <w:rPr>
                <w:color w:val="1A1D21"/>
                <w:sz w:val="17"/>
              </w:rPr>
              <w:t>Market price, 23 Aug 2026</w:t>
            </w:r>
          </w:p>
        </w:tc>
        <w:tc>
          <w:tcPr>
            <w:tcW w:type="dxa" w:w="1474"/>
          </w:tcPr>
          <w:p>
            <w:r/>
            <w:r>
              <w:rPr>
                <w:color w:val="1A1D21"/>
                <w:sz w:val="17"/>
              </w:rPr>
            </w:r>
          </w:p>
        </w:tc>
        <w:tc>
          <w:tcPr>
            <w:tcW w:type="dxa" w:w="1474"/>
          </w:tcPr>
          <w:p>
            <w:pPr>
              <w:jc w:val="right"/>
            </w:pPr>
            <w:r/>
            <w:r>
              <w:rPr>
                <w:color w:val="1A1D21"/>
                <w:sz w:val="17"/>
              </w:rPr>
              <w:t>15.20</w:t>
            </w:r>
          </w:p>
        </w:tc>
        <w:tc>
          <w:tcPr>
            <w:tcW w:type="dxa" w:w="1474"/>
          </w:tcPr>
          <w:p>
            <w:r/>
            <w:r>
              <w:rPr>
                <w:color w:val="1A1D21"/>
                <w:sz w:val="17"/>
              </w:rPr>
            </w:r>
          </w:p>
        </w:tc>
        <w:tc>
          <w:tcPr>
            <w:tcW w:type="dxa" w:w="1134"/>
          </w:tcPr>
          <w:p>
            <w:r/>
            <w:r>
              <w:rPr>
                <w:color w:val="1A1D21"/>
                <w:sz w:val="17"/>
              </w:rPr>
            </w:r>
          </w:p>
        </w:tc>
      </w:tr>
      <w:tr>
        <w:trPr>
          <w:cantSplit/>
        </w:trPr>
        <w:tc>
          <w:tcPr>
            <w:tcW w:type="dxa" w:w="3175"/>
          </w:tcPr>
          <w:p>
            <w:r/>
            <w:r>
              <w:rPr>
                <w:color w:val="1A1D21"/>
                <w:sz w:val="17"/>
              </w:rPr>
              <w:t>vs the weighted central</w:t>
            </w:r>
          </w:p>
        </w:tc>
        <w:tc>
          <w:tcPr>
            <w:tcW w:type="dxa" w:w="1474"/>
          </w:tcPr>
          <w:p>
            <w:r/>
            <w:r>
              <w:rPr>
                <w:color w:val="1A1D21"/>
                <w:sz w:val="17"/>
              </w:rPr>
              <w:t>+191%</w:t>
            </w:r>
          </w:p>
        </w:tc>
        <w:tc>
          <w:tcPr>
            <w:tcW w:type="dxa" w:w="1474"/>
          </w:tcPr>
          <w:p>
            <w:r/>
            <w:r>
              <w:rPr>
                <w:color w:val="1A1D21"/>
                <w:sz w:val="17"/>
              </w:rPr>
              <w:t>+33%</w:t>
            </w:r>
          </w:p>
        </w:tc>
        <w:tc>
          <w:tcPr>
            <w:tcW w:type="dxa" w:w="1474"/>
          </w:tcPr>
          <w:p>
            <w:pPr>
              <w:jc w:val="right"/>
            </w:pPr>
            <w:r/>
            <w:r>
              <w:rPr>
                <w:color w:val="1A1D21"/>
                <w:sz w:val="17"/>
              </w:rPr>
              <w:t>-35%</w:t>
            </w:r>
          </w:p>
        </w:tc>
        <w:tc>
          <w:tcPr>
            <w:tcW w:type="dxa" w:w="1134"/>
          </w:tcPr>
          <w:p>
            <w:r/>
            <w:r>
              <w:rPr>
                <w:color w:val="1A1D21"/>
                <w:sz w:val="17"/>
              </w:rPr>
            </w:r>
          </w:p>
        </w:tc>
      </w:tr>
    </w:tbl>
    <w:p>
      <w:pPr>
        <w:spacing w:after="200"/>
      </w:pPr>
      <w:r>
        <w:rPr>
          <w:b w:val="0"/>
          <w:i/>
          <w:color w:val="5B6570"/>
          <w:sz w:val="16"/>
        </w:rPr>
        <w:t>EGP per share. Weights are stated in advance and are the same across the three columns. The discounted cash flow carries the most weight because it is the only lens built from the company's own units and prices; book value carries the least because it is a floor, not a value.</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1,886 units in 2026, growing 15 per cent a year on the company's own disclosed run of handovers, at EGP 21.29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EGP mn unless stated</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Units sold</w:t>
            </w:r>
          </w:p>
        </w:tc>
        <w:tc>
          <w:tcPr>
            <w:tcW w:type="dxa" w:w="1247"/>
          </w:tcPr>
          <w:p>
            <w:pPr>
              <w:jc w:val="right"/>
            </w:pPr>
            <w:r/>
            <w:r>
              <w:rPr>
                <w:color w:val="1A1D21"/>
                <w:sz w:val="17"/>
              </w:rPr>
              <w:t>5,633</w:t>
            </w:r>
          </w:p>
        </w:tc>
        <w:tc>
          <w:tcPr>
            <w:tcW w:type="dxa" w:w="1247"/>
          </w:tcPr>
          <w:p>
            <w:pPr>
              <w:jc w:val="right"/>
            </w:pPr>
            <w:r/>
            <w:r>
              <w:rPr>
                <w:color w:val="1A1D21"/>
                <w:sz w:val="17"/>
              </w:rPr>
              <w:t>5,633</w:t>
            </w:r>
          </w:p>
        </w:tc>
        <w:tc>
          <w:tcPr>
            <w:tcW w:type="dxa" w:w="1247"/>
          </w:tcPr>
          <w:p>
            <w:pPr>
              <w:jc w:val="right"/>
            </w:pPr>
            <w:r/>
            <w:r>
              <w:rPr>
                <w:color w:val="1A1D21"/>
                <w:sz w:val="17"/>
              </w:rPr>
              <w:t>5,633</w:t>
            </w:r>
          </w:p>
        </w:tc>
        <w:tc>
          <w:tcPr>
            <w:tcW w:type="dxa" w:w="1247"/>
          </w:tcPr>
          <w:p>
            <w:pPr>
              <w:jc w:val="right"/>
            </w:pPr>
            <w:r/>
            <w:r>
              <w:rPr>
                <w:color w:val="1A1D21"/>
                <w:sz w:val="17"/>
              </w:rPr>
              <w:t>5,633</w:t>
            </w:r>
          </w:p>
        </w:tc>
        <w:tc>
          <w:tcPr>
            <w:tcW w:type="dxa" w:w="1247"/>
          </w:tcPr>
          <w:p>
            <w:pPr>
              <w:jc w:val="right"/>
            </w:pPr>
            <w:r/>
            <w:r>
              <w:rPr>
                <w:color w:val="1A1D21"/>
                <w:sz w:val="17"/>
              </w:rPr>
              <w:t>5,633</w:t>
            </w:r>
          </w:p>
        </w:tc>
      </w:tr>
      <w:tr>
        <w:trPr>
          <w:cantSplit/>
        </w:trPr>
        <w:tc>
          <w:tcPr>
            <w:tcW w:type="dxa" w:w="3515"/>
          </w:tcPr>
          <w:p>
            <w:r/>
            <w:r>
              <w:rPr>
                <w:color w:val="1A1D21"/>
                <w:sz w:val="17"/>
              </w:rPr>
              <w:t>New sales (EGP mn)</w:t>
            </w:r>
          </w:p>
        </w:tc>
        <w:tc>
          <w:tcPr>
            <w:tcW w:type="dxa" w:w="1247"/>
          </w:tcPr>
          <w:p>
            <w:pPr>
              <w:jc w:val="right"/>
            </w:pPr>
            <w:r/>
            <w:r>
              <w:rPr>
                <w:color w:val="1A1D21"/>
                <w:sz w:val="17"/>
              </w:rPr>
              <w:t>139,999</w:t>
            </w:r>
          </w:p>
        </w:tc>
        <w:tc>
          <w:tcPr>
            <w:tcW w:type="dxa" w:w="1247"/>
          </w:tcPr>
          <w:p>
            <w:pPr>
              <w:jc w:val="right"/>
            </w:pPr>
            <w:r/>
            <w:r>
              <w:rPr>
                <w:color w:val="1A1D21"/>
                <w:sz w:val="17"/>
              </w:rPr>
              <w:t>175,279</w:t>
            </w:r>
          </w:p>
        </w:tc>
        <w:tc>
          <w:tcPr>
            <w:tcW w:type="dxa" w:w="1247"/>
          </w:tcPr>
          <w:p>
            <w:pPr>
              <w:jc w:val="right"/>
            </w:pPr>
            <w:r/>
            <w:r>
              <w:rPr>
                <w:color w:val="1A1D21"/>
                <w:sz w:val="17"/>
              </w:rPr>
              <w:t>219,450</w:t>
            </w:r>
          </w:p>
        </w:tc>
        <w:tc>
          <w:tcPr>
            <w:tcW w:type="dxa" w:w="1247"/>
          </w:tcPr>
          <w:p>
            <w:pPr>
              <w:jc w:val="right"/>
            </w:pPr>
            <w:r/>
            <w:r>
              <w:rPr>
                <w:color w:val="1A1D21"/>
                <w:sz w:val="17"/>
              </w:rPr>
              <w:t>274,751</w:t>
            </w:r>
          </w:p>
        </w:tc>
        <w:tc>
          <w:tcPr>
            <w:tcW w:type="dxa" w:w="1247"/>
          </w:tcPr>
          <w:p>
            <w:pPr>
              <w:jc w:val="right"/>
            </w:pPr>
            <w:r/>
            <w:r>
              <w:rPr>
                <w:color w:val="1A1D21"/>
                <w:sz w:val="17"/>
              </w:rPr>
              <w:t>343,988</w:t>
            </w:r>
          </w:p>
        </w:tc>
      </w:tr>
      <w:tr>
        <w:trPr>
          <w:cantSplit/>
        </w:trPr>
        <w:tc>
          <w:tcPr>
            <w:tcW w:type="dxa" w:w="3515"/>
          </w:tcPr>
          <w:p>
            <w:r/>
            <w:r>
              <w:rPr>
                <w:color w:val="1A1D21"/>
                <w:sz w:val="17"/>
              </w:rPr>
              <w:t>Units delivered</w:t>
            </w:r>
          </w:p>
        </w:tc>
        <w:tc>
          <w:tcPr>
            <w:tcW w:type="dxa" w:w="1247"/>
          </w:tcPr>
          <w:p>
            <w:pPr>
              <w:jc w:val="right"/>
            </w:pPr>
            <w:r/>
            <w:r>
              <w:rPr>
                <w:color w:val="1A1D21"/>
                <w:sz w:val="17"/>
              </w:rPr>
              <w:t>1,886</w:t>
            </w:r>
          </w:p>
        </w:tc>
        <w:tc>
          <w:tcPr>
            <w:tcW w:type="dxa" w:w="1247"/>
          </w:tcPr>
          <w:p>
            <w:pPr>
              <w:jc w:val="right"/>
            </w:pPr>
            <w:r/>
            <w:r>
              <w:rPr>
                <w:color w:val="1A1D21"/>
                <w:sz w:val="17"/>
              </w:rPr>
              <w:t>2,168</w:t>
            </w:r>
          </w:p>
        </w:tc>
        <w:tc>
          <w:tcPr>
            <w:tcW w:type="dxa" w:w="1247"/>
          </w:tcPr>
          <w:p>
            <w:pPr>
              <w:jc w:val="right"/>
            </w:pPr>
            <w:r/>
            <w:r>
              <w:rPr>
                <w:color w:val="1A1D21"/>
                <w:sz w:val="17"/>
              </w:rPr>
              <w:t>2,494</w:t>
            </w:r>
          </w:p>
        </w:tc>
        <w:tc>
          <w:tcPr>
            <w:tcW w:type="dxa" w:w="1247"/>
          </w:tcPr>
          <w:p>
            <w:pPr>
              <w:jc w:val="right"/>
            </w:pPr>
            <w:r/>
            <w:r>
              <w:rPr>
                <w:color w:val="1A1D21"/>
                <w:sz w:val="17"/>
              </w:rPr>
              <w:t>2,868</w:t>
            </w:r>
          </w:p>
        </w:tc>
        <w:tc>
          <w:tcPr>
            <w:tcW w:type="dxa" w:w="1247"/>
          </w:tcPr>
          <w:p>
            <w:pPr>
              <w:jc w:val="right"/>
            </w:pPr>
            <w:r/>
            <w:r>
              <w:rPr>
                <w:color w:val="1A1D21"/>
                <w:sz w:val="17"/>
              </w:rPr>
              <w:t>3,298</w:t>
            </w:r>
          </w:p>
        </w:tc>
      </w:tr>
      <w:tr>
        <w:trPr>
          <w:cantSplit/>
        </w:trPr>
        <w:tc>
          <w:tcPr>
            <w:tcW w:type="dxa" w:w="3515"/>
          </w:tcPr>
          <w:p>
            <w:r/>
            <w:r>
              <w:rPr>
                <w:color w:val="1A1D21"/>
                <w:sz w:val="17"/>
              </w:rPr>
              <w:t>Revenue per delivered unit (EGP mn)</w:t>
            </w:r>
          </w:p>
        </w:tc>
        <w:tc>
          <w:tcPr>
            <w:tcW w:type="dxa" w:w="1247"/>
          </w:tcPr>
          <w:p>
            <w:pPr>
              <w:jc w:val="right"/>
            </w:pPr>
            <w:r/>
            <w:r>
              <w:rPr>
                <w:color w:val="1A1D21"/>
                <w:sz w:val="17"/>
              </w:rPr>
              <w:t>21.29</w:t>
            </w:r>
          </w:p>
        </w:tc>
        <w:tc>
          <w:tcPr>
            <w:tcW w:type="dxa" w:w="1247"/>
          </w:tcPr>
          <w:p>
            <w:pPr>
              <w:jc w:val="right"/>
            </w:pPr>
            <w:r/>
            <w:r>
              <w:rPr>
                <w:color w:val="1A1D21"/>
                <w:sz w:val="17"/>
              </w:rPr>
              <w:t>26.66</w:t>
            </w:r>
          </w:p>
        </w:tc>
        <w:tc>
          <w:tcPr>
            <w:tcW w:type="dxa" w:w="1247"/>
          </w:tcPr>
          <w:p>
            <w:pPr>
              <w:jc w:val="right"/>
            </w:pPr>
            <w:r/>
            <w:r>
              <w:rPr>
                <w:color w:val="1A1D21"/>
                <w:sz w:val="17"/>
              </w:rPr>
              <w:t>33.38</w:t>
            </w:r>
          </w:p>
        </w:tc>
        <w:tc>
          <w:tcPr>
            <w:tcW w:type="dxa" w:w="1247"/>
          </w:tcPr>
          <w:p>
            <w:pPr>
              <w:jc w:val="right"/>
            </w:pPr>
            <w:r/>
            <w:r>
              <w:rPr>
                <w:color w:val="1A1D21"/>
                <w:sz w:val="17"/>
              </w:rPr>
              <w:t>41.79</w:t>
            </w:r>
          </w:p>
        </w:tc>
        <w:tc>
          <w:tcPr>
            <w:tcW w:type="dxa" w:w="1247"/>
          </w:tcPr>
          <w:p>
            <w:pPr>
              <w:jc w:val="right"/>
            </w:pPr>
            <w:r/>
            <w:r>
              <w:rPr>
                <w:color w:val="1A1D21"/>
                <w:sz w:val="17"/>
              </w:rPr>
              <w:t>52.32</w:t>
            </w:r>
          </w:p>
        </w:tc>
      </w:tr>
      <w:tr>
        <w:trPr>
          <w:cantSplit/>
        </w:trPr>
        <w:tc>
          <w:tcPr>
            <w:tcW w:type="dxa" w:w="3515"/>
          </w:tcPr>
          <w:p>
            <w:r/>
            <w:r>
              <w:rPr>
                <w:color w:val="1A1D21"/>
                <w:sz w:val="17"/>
              </w:rPr>
              <w:t>Revenue</w:t>
            </w:r>
          </w:p>
        </w:tc>
        <w:tc>
          <w:tcPr>
            <w:tcW w:type="dxa" w:w="1247"/>
          </w:tcPr>
          <w:p>
            <w:pPr>
              <w:jc w:val="right"/>
            </w:pPr>
            <w:r/>
            <w:r>
              <w:rPr>
                <w:color w:val="1A1D21"/>
                <w:sz w:val="17"/>
              </w:rPr>
              <w:t>40,148</w:t>
            </w:r>
          </w:p>
        </w:tc>
        <w:tc>
          <w:tcPr>
            <w:tcW w:type="dxa" w:w="1247"/>
          </w:tcPr>
          <w:p>
            <w:pPr>
              <w:jc w:val="right"/>
            </w:pPr>
            <w:r/>
            <w:r>
              <w:rPr>
                <w:color w:val="1A1D21"/>
                <w:sz w:val="17"/>
              </w:rPr>
              <w:t>57,805</w:t>
            </w:r>
          </w:p>
        </w:tc>
        <w:tc>
          <w:tcPr>
            <w:tcW w:type="dxa" w:w="1247"/>
          </w:tcPr>
          <w:p>
            <w:pPr>
              <w:jc w:val="right"/>
            </w:pPr>
            <w:r/>
            <w:r>
              <w:rPr>
                <w:color w:val="1A1D21"/>
                <w:sz w:val="17"/>
              </w:rPr>
              <w:t>83,228</w:t>
            </w:r>
          </w:p>
        </w:tc>
        <w:tc>
          <w:tcPr>
            <w:tcW w:type="dxa" w:w="1247"/>
          </w:tcPr>
          <w:p>
            <w:pPr>
              <w:jc w:val="right"/>
            </w:pPr>
            <w:r/>
            <w:r>
              <w:rPr>
                <w:color w:val="1A1D21"/>
                <w:sz w:val="17"/>
              </w:rPr>
              <w:t>119,831</w:t>
            </w:r>
          </w:p>
        </w:tc>
        <w:tc>
          <w:tcPr>
            <w:tcW w:type="dxa" w:w="1247"/>
          </w:tcPr>
          <w:p>
            <w:pPr>
              <w:jc w:val="right"/>
            </w:pPr>
            <w:r/>
            <w:r>
              <w:rPr>
                <w:color w:val="1A1D21"/>
                <w:sz w:val="17"/>
              </w:rPr>
              <w:t>172,533</w:t>
            </w:r>
          </w:p>
        </w:tc>
      </w:tr>
      <w:tr>
        <w:trPr>
          <w:cantSplit/>
        </w:trPr>
        <w:tc>
          <w:tcPr>
            <w:tcW w:type="dxa" w:w="3515"/>
          </w:tcPr>
          <w:p>
            <w:r/>
            <w:r>
              <w:rPr>
                <w:color w:val="1A1D21"/>
                <w:sz w:val="17"/>
              </w:rPr>
              <w:t>Cost per delivered unit (EGP mn)</w:t>
            </w:r>
          </w:p>
        </w:tc>
        <w:tc>
          <w:tcPr>
            <w:tcW w:type="dxa" w:w="1247"/>
          </w:tcPr>
          <w:p>
            <w:pPr>
              <w:jc w:val="right"/>
            </w:pPr>
            <w:r/>
            <w:r>
              <w:rPr>
                <w:color w:val="1A1D21"/>
                <w:sz w:val="17"/>
              </w:rPr>
              <w:t>13.13</w:t>
            </w:r>
          </w:p>
        </w:tc>
        <w:tc>
          <w:tcPr>
            <w:tcW w:type="dxa" w:w="1247"/>
          </w:tcPr>
          <w:p>
            <w:pPr>
              <w:jc w:val="right"/>
            </w:pPr>
            <w:r/>
            <w:r>
              <w:rPr>
                <w:color w:val="1A1D21"/>
                <w:sz w:val="17"/>
              </w:rPr>
              <w:t>16.44</w:t>
            </w:r>
          </w:p>
        </w:tc>
        <w:tc>
          <w:tcPr>
            <w:tcW w:type="dxa" w:w="1247"/>
          </w:tcPr>
          <w:p>
            <w:pPr>
              <w:jc w:val="right"/>
            </w:pPr>
            <w:r/>
            <w:r>
              <w:rPr>
                <w:color w:val="1A1D21"/>
                <w:sz w:val="17"/>
              </w:rPr>
              <w:t>20.59</w:t>
            </w:r>
          </w:p>
        </w:tc>
        <w:tc>
          <w:tcPr>
            <w:tcW w:type="dxa" w:w="1247"/>
          </w:tcPr>
          <w:p>
            <w:pPr>
              <w:jc w:val="right"/>
            </w:pPr>
            <w:r/>
            <w:r>
              <w:rPr>
                <w:color w:val="1A1D21"/>
                <w:sz w:val="17"/>
              </w:rPr>
              <w:t>25.77</w:t>
            </w:r>
          </w:p>
        </w:tc>
        <w:tc>
          <w:tcPr>
            <w:tcW w:type="dxa" w:w="1247"/>
          </w:tcPr>
          <w:p>
            <w:pPr>
              <w:jc w:val="right"/>
            </w:pPr>
            <w:r/>
            <w:r>
              <w:rPr>
                <w:color w:val="1A1D21"/>
                <w:sz w:val="17"/>
              </w:rPr>
              <w:t>32.27</w:t>
            </w:r>
          </w:p>
        </w:tc>
      </w:tr>
      <w:tr>
        <w:trPr>
          <w:cantSplit/>
        </w:trPr>
        <w:tc>
          <w:tcPr>
            <w:tcW w:type="dxa" w:w="3515"/>
          </w:tcPr>
          <w:p>
            <w:r/>
            <w:r>
              <w:rPr>
                <w:color w:val="1A1D21"/>
                <w:sz w:val="17"/>
              </w:rPr>
              <w:t>Cost of revenue</w:t>
            </w:r>
          </w:p>
        </w:tc>
        <w:tc>
          <w:tcPr>
            <w:tcW w:type="dxa" w:w="1247"/>
          </w:tcPr>
          <w:p>
            <w:pPr>
              <w:jc w:val="right"/>
            </w:pPr>
            <w:r/>
            <w:r>
              <w:rPr>
                <w:color w:val="1A1D21"/>
                <w:sz w:val="17"/>
              </w:rPr>
              <w:t>24,762</w:t>
            </w:r>
          </w:p>
        </w:tc>
        <w:tc>
          <w:tcPr>
            <w:tcW w:type="dxa" w:w="1247"/>
          </w:tcPr>
          <w:p>
            <w:pPr>
              <w:jc w:val="right"/>
            </w:pPr>
            <w:r/>
            <w:r>
              <w:rPr>
                <w:color w:val="1A1D21"/>
                <w:sz w:val="17"/>
              </w:rPr>
              <w:t>35,653</w:t>
            </w:r>
          </w:p>
        </w:tc>
        <w:tc>
          <w:tcPr>
            <w:tcW w:type="dxa" w:w="1247"/>
          </w:tcPr>
          <w:p>
            <w:pPr>
              <w:jc w:val="right"/>
            </w:pPr>
            <w:r/>
            <w:r>
              <w:rPr>
                <w:color w:val="1A1D21"/>
                <w:sz w:val="17"/>
              </w:rPr>
              <w:t>51,333</w:t>
            </w:r>
          </w:p>
        </w:tc>
        <w:tc>
          <w:tcPr>
            <w:tcW w:type="dxa" w:w="1247"/>
          </w:tcPr>
          <w:p>
            <w:pPr>
              <w:jc w:val="right"/>
            </w:pPr>
            <w:r/>
            <w:r>
              <w:rPr>
                <w:color w:val="1A1D21"/>
                <w:sz w:val="17"/>
              </w:rPr>
              <w:t>73,909</w:t>
            </w:r>
          </w:p>
        </w:tc>
        <w:tc>
          <w:tcPr>
            <w:tcW w:type="dxa" w:w="1247"/>
          </w:tcPr>
          <w:p>
            <w:pPr>
              <w:jc w:val="right"/>
            </w:pPr>
            <w:r/>
            <w:r>
              <w:rPr>
                <w:color w:val="1A1D21"/>
                <w:sz w:val="17"/>
              </w:rPr>
              <w:t>106,414</w:t>
            </w:r>
          </w:p>
        </w:tc>
      </w:tr>
      <w:tr>
        <w:trPr>
          <w:cantSplit/>
        </w:trPr>
        <w:tc>
          <w:tcPr>
            <w:tcW w:type="dxa" w:w="3515"/>
          </w:tcPr>
          <w:p>
            <w:r/>
            <w:r>
              <w:rPr>
                <w:color w:val="1A1D21"/>
                <w:sz w:val="17"/>
              </w:rPr>
              <w:t>Gross profit</w:t>
            </w:r>
          </w:p>
        </w:tc>
        <w:tc>
          <w:tcPr>
            <w:tcW w:type="dxa" w:w="1247"/>
          </w:tcPr>
          <w:p>
            <w:pPr>
              <w:jc w:val="right"/>
            </w:pPr>
            <w:r/>
            <w:r>
              <w:rPr>
                <w:color w:val="1A1D21"/>
                <w:sz w:val="17"/>
              </w:rPr>
              <w:t>15,386</w:t>
            </w:r>
          </w:p>
        </w:tc>
        <w:tc>
          <w:tcPr>
            <w:tcW w:type="dxa" w:w="1247"/>
          </w:tcPr>
          <w:p>
            <w:pPr>
              <w:jc w:val="right"/>
            </w:pPr>
            <w:r/>
            <w:r>
              <w:rPr>
                <w:color w:val="1A1D21"/>
                <w:sz w:val="17"/>
              </w:rPr>
              <w:t>22,152</w:t>
            </w:r>
          </w:p>
        </w:tc>
        <w:tc>
          <w:tcPr>
            <w:tcW w:type="dxa" w:w="1247"/>
          </w:tcPr>
          <w:p>
            <w:pPr>
              <w:jc w:val="right"/>
            </w:pPr>
            <w:r/>
            <w:r>
              <w:rPr>
                <w:color w:val="1A1D21"/>
                <w:sz w:val="17"/>
              </w:rPr>
              <w:t>31,895</w:t>
            </w:r>
          </w:p>
        </w:tc>
        <w:tc>
          <w:tcPr>
            <w:tcW w:type="dxa" w:w="1247"/>
          </w:tcPr>
          <w:p>
            <w:pPr>
              <w:jc w:val="right"/>
            </w:pPr>
            <w:r/>
            <w:r>
              <w:rPr>
                <w:color w:val="1A1D21"/>
                <w:sz w:val="17"/>
              </w:rPr>
              <w:t>45,922</w:t>
            </w:r>
          </w:p>
        </w:tc>
        <w:tc>
          <w:tcPr>
            <w:tcW w:type="dxa" w:w="1247"/>
          </w:tcPr>
          <w:p>
            <w:pPr>
              <w:jc w:val="right"/>
            </w:pPr>
            <w:r/>
            <w:r>
              <w:rPr>
                <w:color w:val="1A1D21"/>
                <w:sz w:val="17"/>
              </w:rPr>
              <w:t>66,119</w:t>
            </w:r>
          </w:p>
        </w:tc>
      </w:tr>
      <w:tr>
        <w:trPr>
          <w:cantSplit/>
        </w:trPr>
        <w:tc>
          <w:tcPr>
            <w:tcW w:type="dxa" w:w="3515"/>
          </w:tcPr>
          <w:p>
            <w:r/>
            <w:r>
              <w:rPr>
                <w:color w:val="1A1D21"/>
                <w:sz w:val="17"/>
              </w:rPr>
              <w:t>Gross margin (output)</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r>
      <w:tr>
        <w:trPr>
          <w:cantSplit/>
        </w:trPr>
        <w:tc>
          <w:tcPr>
            <w:tcW w:type="dxa" w:w="3515"/>
          </w:tcPr>
          <w:p>
            <w:r/>
            <w:r>
              <w:rPr>
                <w:color w:val="1A1D21"/>
                <w:sz w:val="17"/>
              </w:rPr>
              <w:t>Overheads</w:t>
            </w:r>
          </w:p>
        </w:tc>
        <w:tc>
          <w:tcPr>
            <w:tcW w:type="dxa" w:w="1247"/>
          </w:tcPr>
          <w:p>
            <w:pPr>
              <w:jc w:val="right"/>
            </w:pPr>
            <w:r/>
            <w:r>
              <w:rPr>
                <w:color w:val="1A1D21"/>
                <w:sz w:val="17"/>
              </w:rPr>
              <w:t>7,066</w:t>
            </w:r>
          </w:p>
        </w:tc>
        <w:tc>
          <w:tcPr>
            <w:tcW w:type="dxa" w:w="1247"/>
          </w:tcPr>
          <w:p>
            <w:pPr>
              <w:jc w:val="right"/>
            </w:pPr>
            <w:r/>
            <w:r>
              <w:rPr>
                <w:color w:val="1A1D21"/>
                <w:sz w:val="17"/>
              </w:rPr>
              <w:t>10,173</w:t>
            </w:r>
          </w:p>
        </w:tc>
        <w:tc>
          <w:tcPr>
            <w:tcW w:type="dxa" w:w="1247"/>
          </w:tcPr>
          <w:p>
            <w:pPr>
              <w:jc w:val="right"/>
            </w:pPr>
            <w:r/>
            <w:r>
              <w:rPr>
                <w:color w:val="1A1D21"/>
                <w:sz w:val="17"/>
              </w:rPr>
              <w:t>14,648</w:t>
            </w:r>
          </w:p>
        </w:tc>
        <w:tc>
          <w:tcPr>
            <w:tcW w:type="dxa" w:w="1247"/>
          </w:tcPr>
          <w:p>
            <w:pPr>
              <w:jc w:val="right"/>
            </w:pPr>
            <w:r/>
            <w:r>
              <w:rPr>
                <w:color w:val="1A1D21"/>
                <w:sz w:val="17"/>
              </w:rPr>
              <w:t>21,090</w:t>
            </w:r>
          </w:p>
        </w:tc>
        <w:tc>
          <w:tcPr>
            <w:tcW w:type="dxa" w:w="1247"/>
          </w:tcPr>
          <w:p>
            <w:pPr>
              <w:jc w:val="right"/>
            </w:pPr>
            <w:r/>
            <w:r>
              <w:rPr>
                <w:color w:val="1A1D21"/>
                <w:sz w:val="17"/>
              </w:rPr>
              <w:t>30,365</w:t>
            </w:r>
          </w:p>
        </w:tc>
      </w:tr>
      <w:tr>
        <w:trPr>
          <w:cantSplit/>
        </w:trPr>
        <w:tc>
          <w:tcPr>
            <w:tcW w:type="dxa" w:w="3515"/>
          </w:tcPr>
          <w:p>
            <w:r/>
            <w:r>
              <w:rPr>
                <w:color w:val="1A1D21"/>
                <w:sz w:val="17"/>
              </w:rPr>
              <w:t>Operating profit</w:t>
            </w:r>
          </w:p>
        </w:tc>
        <w:tc>
          <w:tcPr>
            <w:tcW w:type="dxa" w:w="1247"/>
          </w:tcPr>
          <w:p>
            <w:pPr>
              <w:jc w:val="right"/>
            </w:pPr>
            <w:r/>
            <w:r>
              <w:rPr>
                <w:color w:val="1A1D21"/>
                <w:sz w:val="17"/>
              </w:rPr>
              <w:t>7,927</w:t>
            </w:r>
          </w:p>
        </w:tc>
        <w:tc>
          <w:tcPr>
            <w:tcW w:type="dxa" w:w="1247"/>
          </w:tcPr>
          <w:p>
            <w:pPr>
              <w:jc w:val="right"/>
            </w:pPr>
            <w:r/>
            <w:r>
              <w:rPr>
                <w:color w:val="1A1D21"/>
                <w:sz w:val="17"/>
              </w:rPr>
              <w:t>11,414</w:t>
            </w:r>
          </w:p>
        </w:tc>
        <w:tc>
          <w:tcPr>
            <w:tcW w:type="dxa" w:w="1247"/>
          </w:tcPr>
          <w:p>
            <w:pPr>
              <w:jc w:val="right"/>
            </w:pPr>
            <w:r/>
            <w:r>
              <w:rPr>
                <w:color w:val="1A1D21"/>
                <w:sz w:val="17"/>
              </w:rPr>
              <w:t>16,433</w:t>
            </w:r>
          </w:p>
        </w:tc>
        <w:tc>
          <w:tcPr>
            <w:tcW w:type="dxa" w:w="1247"/>
          </w:tcPr>
          <w:p>
            <w:pPr>
              <w:jc w:val="right"/>
            </w:pPr>
            <w:r/>
            <w:r>
              <w:rPr>
                <w:color w:val="1A1D21"/>
                <w:sz w:val="17"/>
              </w:rPr>
              <w:t>23,661</w:t>
            </w:r>
          </w:p>
        </w:tc>
        <w:tc>
          <w:tcPr>
            <w:tcW w:type="dxa" w:w="1247"/>
          </w:tcPr>
          <w:p>
            <w:pPr>
              <w:jc w:val="right"/>
            </w:pPr>
            <w:r/>
            <w:r>
              <w:rPr>
                <w:color w:val="1A1D21"/>
                <w:sz w:val="17"/>
              </w:rPr>
              <w:t>34,067</w:t>
            </w:r>
          </w:p>
        </w:tc>
      </w:tr>
      <w:tr>
        <w:trPr>
          <w:cantSplit/>
        </w:trPr>
        <w:tc>
          <w:tcPr>
            <w:tcW w:type="dxa" w:w="3515"/>
          </w:tcPr>
          <w:p>
            <w:r/>
            <w:r>
              <w:rPr>
                <w:color w:val="1A1D21"/>
                <w:sz w:val="17"/>
              </w:rPr>
              <w:t>Finance cost</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r>
      <w:tr>
        <w:trPr>
          <w:cantSplit/>
        </w:trPr>
        <w:tc>
          <w:tcPr>
            <w:tcW w:type="dxa" w:w="3515"/>
          </w:tcPr>
          <w:p>
            <w:r/>
            <w:r>
              <w:rPr>
                <w:color w:val="1A1D21"/>
                <w:sz w:val="17"/>
              </w:rPr>
              <w:t>Profit before tax</w:t>
            </w:r>
          </w:p>
        </w:tc>
        <w:tc>
          <w:tcPr>
            <w:tcW w:type="dxa" w:w="1247"/>
          </w:tcPr>
          <w:p>
            <w:pPr>
              <w:jc w:val="right"/>
            </w:pPr>
            <w:r/>
            <w:r>
              <w:rPr>
                <w:color w:val="1A1D21"/>
                <w:sz w:val="17"/>
              </w:rPr>
              <w:t>4,580</w:t>
            </w:r>
          </w:p>
        </w:tc>
        <w:tc>
          <w:tcPr>
            <w:tcW w:type="dxa" w:w="1247"/>
          </w:tcPr>
          <w:p>
            <w:pPr>
              <w:jc w:val="right"/>
            </w:pPr>
            <w:r/>
            <w:r>
              <w:rPr>
                <w:color w:val="1A1D21"/>
                <w:sz w:val="17"/>
              </w:rPr>
              <w:t>8,066</w:t>
            </w:r>
          </w:p>
        </w:tc>
        <w:tc>
          <w:tcPr>
            <w:tcW w:type="dxa" w:w="1247"/>
          </w:tcPr>
          <w:p>
            <w:pPr>
              <w:jc w:val="right"/>
            </w:pPr>
            <w:r/>
            <w:r>
              <w:rPr>
                <w:color w:val="1A1D21"/>
                <w:sz w:val="17"/>
              </w:rPr>
              <w:t>13,086</w:t>
            </w:r>
          </w:p>
        </w:tc>
        <w:tc>
          <w:tcPr>
            <w:tcW w:type="dxa" w:w="1247"/>
          </w:tcPr>
          <w:p>
            <w:pPr>
              <w:jc w:val="right"/>
            </w:pPr>
            <w:r/>
            <w:r>
              <w:rPr>
                <w:color w:val="1A1D21"/>
                <w:sz w:val="17"/>
              </w:rPr>
              <w:t>20,313</w:t>
            </w:r>
          </w:p>
        </w:tc>
        <w:tc>
          <w:tcPr>
            <w:tcW w:type="dxa" w:w="1247"/>
          </w:tcPr>
          <w:p>
            <w:pPr>
              <w:jc w:val="right"/>
            </w:pPr>
            <w:r/>
            <w:r>
              <w:rPr>
                <w:color w:val="1A1D21"/>
                <w:sz w:val="17"/>
              </w:rPr>
              <w:t>30,719</w:t>
            </w:r>
          </w:p>
        </w:tc>
      </w:tr>
      <w:tr>
        <w:trPr>
          <w:cantSplit/>
        </w:trPr>
        <w:tc>
          <w:tcPr>
            <w:tcW w:type="dxa" w:w="3515"/>
          </w:tcPr>
          <w:p>
            <w:r/>
            <w:r>
              <w:rPr>
                <w:color w:val="1A1D21"/>
                <w:sz w:val="17"/>
              </w:rPr>
              <w:t>Tax rate</w:t>
            </w:r>
          </w:p>
        </w:tc>
        <w:tc>
          <w:tcPr>
            <w:tcW w:type="dxa" w:w="1247"/>
          </w:tcPr>
          <w:p>
            <w:pPr>
              <w:jc w:val="right"/>
            </w:pPr>
            <w:r/>
            <w:r>
              <w:rPr>
                <w:color w:val="1A1D21"/>
                <w:sz w:val="17"/>
              </w:rPr>
              <w:t>22.5%</w:t>
            </w:r>
          </w:p>
        </w:tc>
        <w:tc>
          <w:tcPr>
            <w:tcW w:type="dxa" w:w="1247"/>
          </w:tcPr>
          <w:p>
            <w:pPr>
              <w:jc w:val="right"/>
            </w:pPr>
            <w:r/>
            <w:r>
              <w:rPr>
                <w:color w:val="1A1D21"/>
                <w:sz w:val="17"/>
              </w:rPr>
              <w:t>22.5%</w:t>
            </w:r>
          </w:p>
        </w:tc>
        <w:tc>
          <w:tcPr>
            <w:tcW w:type="dxa" w:w="1247"/>
          </w:tcPr>
          <w:p>
            <w:pPr>
              <w:jc w:val="right"/>
            </w:pPr>
            <w:r/>
            <w:r>
              <w:rPr>
                <w:color w:val="1A1D21"/>
                <w:sz w:val="17"/>
              </w:rPr>
              <w:t>22.5%</w:t>
            </w:r>
          </w:p>
        </w:tc>
        <w:tc>
          <w:tcPr>
            <w:tcW w:type="dxa" w:w="1247"/>
          </w:tcPr>
          <w:p>
            <w:pPr>
              <w:jc w:val="right"/>
            </w:pPr>
            <w:r/>
            <w:r>
              <w:rPr>
                <w:color w:val="1A1D21"/>
                <w:sz w:val="17"/>
              </w:rPr>
              <w:t>22.5%</w:t>
            </w:r>
          </w:p>
        </w:tc>
        <w:tc>
          <w:tcPr>
            <w:tcW w:type="dxa" w:w="1247"/>
          </w:tcPr>
          <w:p>
            <w:pPr>
              <w:jc w:val="right"/>
            </w:pPr>
            <w:r/>
            <w:r>
              <w:rPr>
                <w:color w:val="1A1D21"/>
                <w:sz w:val="17"/>
              </w:rPr>
              <w:t>22.5%</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Earnings per share (EGP)</w:t>
            </w:r>
          </w:p>
        </w:tc>
        <w:tc>
          <w:tcPr>
            <w:tcW w:type="dxa" w:w="1247"/>
          </w:tcPr>
          <w:p>
            <w:pPr>
              <w:jc w:val="right"/>
            </w:pPr>
            <w:r/>
            <w:r>
              <w:rPr>
                <w:color w:val="1A1D21"/>
                <w:sz w:val="17"/>
              </w:rPr>
              <w:t>1.24</w:t>
            </w:r>
          </w:p>
        </w:tc>
        <w:tc>
          <w:tcPr>
            <w:tcW w:type="dxa" w:w="1247"/>
          </w:tcPr>
          <w:p>
            <w:pPr>
              <w:jc w:val="right"/>
            </w:pPr>
            <w:r/>
            <w:r>
              <w:rPr>
                <w:color w:val="1A1D21"/>
                <w:sz w:val="17"/>
              </w:rPr>
              <w:t>2.19</w:t>
            </w:r>
          </w:p>
        </w:tc>
        <w:tc>
          <w:tcPr>
            <w:tcW w:type="dxa" w:w="1247"/>
          </w:tcPr>
          <w:p>
            <w:pPr>
              <w:jc w:val="right"/>
            </w:pPr>
            <w:r/>
            <w:r>
              <w:rPr>
                <w:color w:val="1A1D21"/>
                <w:sz w:val="17"/>
              </w:rPr>
              <w:t>3.55</w:t>
            </w:r>
          </w:p>
        </w:tc>
        <w:tc>
          <w:tcPr>
            <w:tcW w:type="dxa" w:w="1247"/>
          </w:tcPr>
          <w:p>
            <w:pPr>
              <w:jc w:val="right"/>
            </w:pPr>
            <w:r/>
            <w:r>
              <w:rPr>
                <w:color w:val="1A1D21"/>
                <w:sz w:val="17"/>
              </w:rPr>
              <w:t>5.50</w:t>
            </w:r>
          </w:p>
        </w:tc>
        <w:tc>
          <w:tcPr>
            <w:tcW w:type="dxa" w:w="1247"/>
          </w:tcPr>
          <w:p>
            <w:pPr>
              <w:jc w:val="right"/>
            </w:pPr>
            <w:r/>
            <w:r>
              <w:rPr>
                <w:color w:val="1A1D21"/>
                <w:sz w:val="17"/>
              </w:rPr>
              <w:t>8.32</w:t>
            </w:r>
          </w:p>
        </w:tc>
      </w:tr>
      <w:tr>
        <w:trPr>
          <w:cantSplit/>
        </w:trPr>
        <w:tc>
          <w:tcPr>
            <w:tcW w:type="dxa" w:w="3515"/>
          </w:tcPr>
          <w:p>
            <w:r/>
            <w:r>
              <w:rPr>
                <w:color w:val="1A1D21"/>
                <w:sz w:val="17"/>
              </w:rPr>
              <w:t>Order book, closing</w:t>
            </w:r>
          </w:p>
        </w:tc>
        <w:tc>
          <w:tcPr>
            <w:tcW w:type="dxa" w:w="1247"/>
          </w:tcPr>
          <w:p>
            <w:pPr>
              <w:jc w:val="right"/>
            </w:pPr>
            <w:r/>
            <w:r>
              <w:rPr>
                <w:color w:val="1A1D21"/>
                <w:sz w:val="17"/>
              </w:rPr>
              <w:t>362,852</w:t>
            </w:r>
          </w:p>
        </w:tc>
        <w:tc>
          <w:tcPr>
            <w:tcW w:type="dxa" w:w="1247"/>
          </w:tcPr>
          <w:p>
            <w:pPr>
              <w:jc w:val="right"/>
            </w:pPr>
            <w:r/>
            <w:r>
              <w:rPr>
                <w:color w:val="1A1D21"/>
                <w:sz w:val="17"/>
              </w:rPr>
              <w:t>480,326</w:t>
            </w:r>
          </w:p>
        </w:tc>
        <w:tc>
          <w:tcPr>
            <w:tcW w:type="dxa" w:w="1247"/>
          </w:tcPr>
          <w:p>
            <w:pPr>
              <w:jc w:val="right"/>
            </w:pPr>
            <w:r/>
            <w:r>
              <w:rPr>
                <w:color w:val="1A1D21"/>
                <w:sz w:val="17"/>
              </w:rPr>
              <w:t>616,548</w:t>
            </w:r>
          </w:p>
        </w:tc>
        <w:tc>
          <w:tcPr>
            <w:tcW w:type="dxa" w:w="1247"/>
          </w:tcPr>
          <w:p>
            <w:pPr>
              <w:jc w:val="right"/>
            </w:pPr>
            <w:r/>
            <w:r>
              <w:rPr>
                <w:color w:val="1A1D21"/>
                <w:sz w:val="17"/>
              </w:rPr>
              <w:t>771,468</w:t>
            </w:r>
          </w:p>
        </w:tc>
        <w:tc>
          <w:tcPr>
            <w:tcW w:type="dxa" w:w="1247"/>
          </w:tcPr>
          <w:p>
            <w:pPr>
              <w:jc w:val="right"/>
            </w:pPr>
            <w:r/>
            <w:r>
              <w:rPr>
                <w:color w:val="1A1D21"/>
                <w:sz w:val="17"/>
              </w:rPr>
              <w:t>942,924</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38.3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37,567</w:t>
            </w:r>
          </w:p>
        </w:tc>
        <w:tc>
          <w:tcPr>
            <w:tcW w:type="dxa" w:w="1928"/>
          </w:tcPr>
          <w:p>
            <w:pPr>
              <w:jc w:val="right"/>
            </w:pPr>
            <w:r/>
            <w:r>
              <w:rPr>
                <w:color w:val="1A1D21"/>
                <w:sz w:val="17"/>
              </w:rPr>
              <w:t>83,228</w:t>
            </w:r>
          </w:p>
        </w:tc>
        <w:tc>
          <w:tcPr>
            <w:tcW w:type="dxa" w:w="1928"/>
          </w:tcPr>
          <w:p>
            <w:pPr>
              <w:jc w:val="right"/>
            </w:pPr>
            <w:r/>
            <w:r>
              <w:rPr>
                <w:color w:val="1A1D21"/>
                <w:sz w:val="17"/>
              </w:rPr>
              <w:t>157,708</w:t>
            </w:r>
          </w:p>
        </w:tc>
      </w:tr>
      <w:tr>
        <w:trPr>
          <w:cantSplit/>
        </w:trPr>
        <w:tc>
          <w:tcPr>
            <w:tcW w:type="dxa" w:w="3402"/>
          </w:tcPr>
          <w:p>
            <w:r/>
            <w:r>
              <w:rPr>
                <w:color w:val="1A1D21"/>
                <w:sz w:val="17"/>
              </w:rPr>
              <w:t>2029</w:t>
            </w:r>
          </w:p>
        </w:tc>
        <w:tc>
          <w:tcPr>
            <w:tcW w:type="dxa" w:w="1928"/>
          </w:tcPr>
          <w:p>
            <w:pPr>
              <w:jc w:val="right"/>
            </w:pPr>
            <w:r/>
            <w:r>
              <w:rPr>
                <w:color w:val="1A1D21"/>
                <w:sz w:val="17"/>
              </w:rPr>
              <w:t>57,855</w:t>
            </w:r>
          </w:p>
        </w:tc>
        <w:tc>
          <w:tcPr>
            <w:tcW w:type="dxa" w:w="1928"/>
          </w:tcPr>
          <w:p>
            <w:pPr>
              <w:jc w:val="right"/>
            </w:pPr>
            <w:r/>
            <w:r>
              <w:rPr>
                <w:color w:val="1A1D21"/>
                <w:sz w:val="17"/>
              </w:rPr>
              <w:t>119,831</w:t>
            </w:r>
          </w:p>
        </w:tc>
        <w:tc>
          <w:tcPr>
            <w:tcW w:type="dxa" w:w="1928"/>
          </w:tcPr>
          <w:p>
            <w:pPr>
              <w:jc w:val="right"/>
            </w:pPr>
            <w:r/>
            <w:r>
              <w:rPr>
                <w:color w:val="1A1D21"/>
                <w:sz w:val="17"/>
              </w:rPr>
              <w:t>254,120</w:t>
            </w:r>
          </w:p>
        </w:tc>
      </w:tr>
      <w:tr>
        <w:trPr>
          <w:cantSplit/>
        </w:trPr>
        <w:tc>
          <w:tcPr>
            <w:tcW w:type="dxa" w:w="3402"/>
          </w:tcPr>
          <w:p>
            <w:r/>
            <w:r>
              <w:rPr>
                <w:color w:val="1A1D21"/>
                <w:sz w:val="17"/>
              </w:rPr>
              <w:t>2030</w:t>
            </w:r>
          </w:p>
        </w:tc>
        <w:tc>
          <w:tcPr>
            <w:tcW w:type="dxa" w:w="1928"/>
          </w:tcPr>
          <w:p>
            <w:pPr>
              <w:jc w:val="right"/>
            </w:pPr>
            <w:r/>
            <w:r>
              <w:rPr>
                <w:color w:val="1A1D21"/>
                <w:sz w:val="17"/>
              </w:rPr>
              <w:t>112,623</w:t>
            </w:r>
          </w:p>
        </w:tc>
        <w:tc>
          <w:tcPr>
            <w:tcW w:type="dxa" w:w="1928"/>
          </w:tcPr>
          <w:p>
            <w:pPr>
              <w:jc w:val="right"/>
            </w:pPr>
            <w:r/>
            <w:r>
              <w:rPr>
                <w:color w:val="1A1D21"/>
                <w:sz w:val="17"/>
              </w:rPr>
              <w:t>172,533</w:t>
            </w:r>
          </w:p>
        </w:tc>
        <w:tc>
          <w:tcPr>
            <w:tcW w:type="dxa" w:w="1928"/>
          </w:tcPr>
          <w:p>
            <w:pPr>
              <w:jc w:val="right"/>
            </w:pPr>
            <w:r/>
            <w:r>
              <w:rPr>
                <w:color w:val="1A1D21"/>
                <w:sz w:val="17"/>
              </w:rPr>
              <w:t>288,343</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Operating profit</w:t>
            </w:r>
          </w:p>
        </w:tc>
        <w:tc>
          <w:tcPr>
            <w:tcW w:type="dxa" w:w="1247"/>
          </w:tcPr>
          <w:p>
            <w:pPr>
              <w:jc w:val="right"/>
            </w:pPr>
            <w:r/>
            <w:r>
              <w:rPr>
                <w:color w:val="1A1D21"/>
                <w:sz w:val="17"/>
              </w:rPr>
              <w:t>7,927</w:t>
            </w:r>
          </w:p>
        </w:tc>
        <w:tc>
          <w:tcPr>
            <w:tcW w:type="dxa" w:w="1247"/>
          </w:tcPr>
          <w:p>
            <w:pPr>
              <w:jc w:val="right"/>
            </w:pPr>
            <w:r/>
            <w:r>
              <w:rPr>
                <w:color w:val="1A1D21"/>
                <w:sz w:val="17"/>
              </w:rPr>
              <w:t>11,414</w:t>
            </w:r>
          </w:p>
        </w:tc>
        <w:tc>
          <w:tcPr>
            <w:tcW w:type="dxa" w:w="1247"/>
          </w:tcPr>
          <w:p>
            <w:pPr>
              <w:jc w:val="right"/>
            </w:pPr>
            <w:r/>
            <w:r>
              <w:rPr>
                <w:color w:val="1A1D21"/>
                <w:sz w:val="17"/>
              </w:rPr>
              <w:t>16,433</w:t>
            </w:r>
          </w:p>
        </w:tc>
        <w:tc>
          <w:tcPr>
            <w:tcW w:type="dxa" w:w="1247"/>
          </w:tcPr>
          <w:p>
            <w:pPr>
              <w:jc w:val="right"/>
            </w:pPr>
            <w:r/>
            <w:r>
              <w:rPr>
                <w:color w:val="1A1D21"/>
                <w:sz w:val="17"/>
              </w:rPr>
              <w:t>23,661</w:t>
            </w:r>
          </w:p>
        </w:tc>
        <w:tc>
          <w:tcPr>
            <w:tcW w:type="dxa" w:w="1247"/>
          </w:tcPr>
          <w:p>
            <w:pPr>
              <w:jc w:val="right"/>
            </w:pPr>
            <w:r/>
            <w:r>
              <w:rPr>
                <w:color w:val="1A1D21"/>
                <w:sz w:val="17"/>
              </w:rPr>
              <w:t>34,067</w:t>
            </w:r>
          </w:p>
        </w:tc>
      </w:tr>
      <w:tr>
        <w:trPr>
          <w:cantSplit/>
        </w:trPr>
        <w:tc>
          <w:tcPr>
            <w:tcW w:type="dxa" w:w="3515"/>
          </w:tcPr>
          <w:p>
            <w:r/>
            <w:r>
              <w:rPr>
                <w:color w:val="1A1D21"/>
                <w:sz w:val="17"/>
              </w:rPr>
              <w:t>Cash from operations</w:t>
            </w:r>
          </w:p>
        </w:tc>
        <w:tc>
          <w:tcPr>
            <w:tcW w:type="dxa" w:w="1247"/>
          </w:tcPr>
          <w:p>
            <w:pPr>
              <w:jc w:val="right"/>
            </w:pPr>
            <w:r/>
            <w:r>
              <w:rPr>
                <w:color w:val="1A1D21"/>
                <w:sz w:val="17"/>
              </w:rPr>
              <w:t>3,498</w:t>
            </w:r>
          </w:p>
        </w:tc>
        <w:tc>
          <w:tcPr>
            <w:tcW w:type="dxa" w:w="1247"/>
          </w:tcPr>
          <w:p>
            <w:pPr>
              <w:jc w:val="right"/>
            </w:pPr>
            <w:r/>
            <w:r>
              <w:rPr>
                <w:color w:val="1A1D21"/>
                <w:sz w:val="17"/>
              </w:rPr>
              <w:t>5,037</w:t>
            </w:r>
          </w:p>
        </w:tc>
        <w:tc>
          <w:tcPr>
            <w:tcW w:type="dxa" w:w="1247"/>
          </w:tcPr>
          <w:p>
            <w:pPr>
              <w:jc w:val="right"/>
            </w:pPr>
            <w:r/>
            <w:r>
              <w:rPr>
                <w:color w:val="1A1D21"/>
                <w:sz w:val="17"/>
              </w:rPr>
              <w:t>7,252</w:t>
            </w:r>
          </w:p>
        </w:tc>
        <w:tc>
          <w:tcPr>
            <w:tcW w:type="dxa" w:w="1247"/>
          </w:tcPr>
          <w:p>
            <w:pPr>
              <w:jc w:val="right"/>
            </w:pPr>
            <w:r/>
            <w:r>
              <w:rPr>
                <w:color w:val="1A1D21"/>
                <w:sz w:val="17"/>
              </w:rPr>
              <w:t>10,442</w:t>
            </w:r>
          </w:p>
        </w:tc>
        <w:tc>
          <w:tcPr>
            <w:tcW w:type="dxa" w:w="1247"/>
          </w:tcPr>
          <w:p>
            <w:pPr>
              <w:jc w:val="right"/>
            </w:pPr>
            <w:r/>
            <w:r>
              <w:rPr>
                <w:color w:val="1A1D21"/>
                <w:sz w:val="17"/>
              </w:rPr>
              <w:t>15,034</w:t>
            </w:r>
          </w:p>
        </w:tc>
      </w:tr>
      <w:tr>
        <w:trPr>
          <w:cantSplit/>
        </w:trPr>
        <w:tc>
          <w:tcPr>
            <w:tcW w:type="dxa" w:w="3515"/>
          </w:tcPr>
          <w:p>
            <w:r/>
            <w:r>
              <w:rPr>
                <w:color w:val="1A1D21"/>
                <w:sz w:val="17"/>
              </w:rPr>
              <w:t xml:space="preserve">  as a share of revenue</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r>
      <w:tr>
        <w:trPr>
          <w:cantSplit/>
        </w:trPr>
        <w:tc>
          <w:tcPr>
            <w:tcW w:type="dxa" w:w="3515"/>
          </w:tcPr>
          <w:p>
            <w:r/>
            <w:r>
              <w:rPr>
                <w:color w:val="1A1D21"/>
                <w:sz w:val="17"/>
              </w:rPr>
              <w:t>plus finance cost, after tax</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r>
      <w:tr>
        <w:trPr>
          <w:cantSplit/>
        </w:trPr>
        <w:tc>
          <w:tcPr>
            <w:tcW w:type="dxa" w:w="3515"/>
          </w:tcPr>
          <w:p>
            <w:r/>
            <w:r>
              <w:rPr>
                <w:color w:val="1A1D21"/>
                <w:sz w:val="17"/>
              </w:rPr>
              <w:t>less 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Free cash flow to the firm</w:t>
            </w:r>
          </w:p>
        </w:tc>
        <w:tc>
          <w:tcPr>
            <w:tcW w:type="dxa" w:w="1247"/>
          </w:tcPr>
          <w:p>
            <w:pPr>
              <w:jc w:val="right"/>
            </w:pPr>
            <w:r/>
            <w:r>
              <w:rPr>
                <w:color w:val="1A1D21"/>
                <w:sz w:val="17"/>
              </w:rPr>
              <w:t>5,691</w:t>
            </w:r>
          </w:p>
        </w:tc>
        <w:tc>
          <w:tcPr>
            <w:tcW w:type="dxa" w:w="1247"/>
          </w:tcPr>
          <w:p>
            <w:pPr>
              <w:jc w:val="right"/>
            </w:pPr>
            <w:r/>
            <w:r>
              <w:rPr>
                <w:color w:val="1A1D21"/>
                <w:sz w:val="17"/>
              </w:rPr>
              <w:t>7,053</w:t>
            </w:r>
          </w:p>
        </w:tc>
        <w:tc>
          <w:tcPr>
            <w:tcW w:type="dxa" w:w="1247"/>
          </w:tcPr>
          <w:p>
            <w:pPr>
              <w:jc w:val="right"/>
            </w:pPr>
            <w:r/>
            <w:r>
              <w:rPr>
                <w:color w:val="1A1D21"/>
                <w:sz w:val="17"/>
              </w:rPr>
              <w:t>9,014</w:t>
            </w:r>
          </w:p>
        </w:tc>
        <w:tc>
          <w:tcPr>
            <w:tcW w:type="dxa" w:w="1247"/>
          </w:tcPr>
          <w:p>
            <w:pPr>
              <w:jc w:val="right"/>
            </w:pPr>
            <w:r/>
            <w:r>
              <w:rPr>
                <w:color w:val="1A1D21"/>
                <w:sz w:val="17"/>
              </w:rPr>
              <w:t>11,838</w:t>
            </w:r>
          </w:p>
        </w:tc>
        <w:tc>
          <w:tcPr>
            <w:tcW w:type="dxa" w:w="1247"/>
          </w:tcPr>
          <w:p>
            <w:pPr>
              <w:jc w:val="right"/>
            </w:pPr>
            <w:r/>
            <w:r>
              <w:rPr>
                <w:color w:val="1A1D21"/>
                <w:sz w:val="17"/>
              </w:rPr>
              <w:t>15,903</w:t>
            </w:r>
          </w:p>
        </w:tc>
      </w:tr>
      <w:tr>
        <w:trPr>
          <w:cantSplit/>
        </w:trPr>
        <w:tc>
          <w:tcPr>
            <w:tcW w:type="dxa" w:w="3515"/>
          </w:tcPr>
          <w:p>
            <w:r/>
            <w:r>
              <w:rPr>
                <w:color w:val="1A1D21"/>
                <w:sz w:val="17"/>
              </w:rPr>
              <w:t>Discount factor at 26.25%</w:t>
            </w:r>
          </w:p>
        </w:tc>
        <w:tc>
          <w:tcPr>
            <w:tcW w:type="dxa" w:w="1247"/>
          </w:tcPr>
          <w:p>
            <w:pPr>
              <w:jc w:val="right"/>
            </w:pPr>
            <w:r/>
            <w:r>
              <w:rPr>
                <w:color w:val="1A1D21"/>
                <w:sz w:val="17"/>
              </w:rPr>
              <w:t>0.792</w:t>
            </w:r>
          </w:p>
        </w:tc>
        <w:tc>
          <w:tcPr>
            <w:tcW w:type="dxa" w:w="1247"/>
          </w:tcPr>
          <w:p>
            <w:pPr>
              <w:jc w:val="right"/>
            </w:pPr>
            <w:r/>
            <w:r>
              <w:rPr>
                <w:color w:val="1A1D21"/>
                <w:sz w:val="17"/>
              </w:rPr>
              <w:t>0.627</w:t>
            </w:r>
          </w:p>
        </w:tc>
        <w:tc>
          <w:tcPr>
            <w:tcW w:type="dxa" w:w="1247"/>
          </w:tcPr>
          <w:p>
            <w:pPr>
              <w:jc w:val="right"/>
            </w:pPr>
            <w:r/>
            <w:r>
              <w:rPr>
                <w:color w:val="1A1D21"/>
                <w:sz w:val="17"/>
              </w:rPr>
              <w:t>0.497</w:t>
            </w:r>
          </w:p>
        </w:tc>
        <w:tc>
          <w:tcPr>
            <w:tcW w:type="dxa" w:w="1247"/>
          </w:tcPr>
          <w:p>
            <w:pPr>
              <w:jc w:val="right"/>
            </w:pPr>
            <w:r/>
            <w:r>
              <w:rPr>
                <w:color w:val="1A1D21"/>
                <w:sz w:val="17"/>
              </w:rPr>
              <w:t>0.394</w:t>
            </w:r>
          </w:p>
        </w:tc>
        <w:tc>
          <w:tcPr>
            <w:tcW w:type="dxa" w:w="1247"/>
          </w:tcPr>
          <w:p>
            <w:pPr>
              <w:jc w:val="right"/>
            </w:pPr>
            <w:r/>
            <w:r>
              <w:rPr>
                <w:color w:val="1A1D21"/>
                <w:sz w:val="17"/>
              </w:rPr>
              <w:t>0.312</w:t>
            </w:r>
          </w:p>
        </w:tc>
      </w:tr>
      <w:tr>
        <w:trPr>
          <w:cantSplit/>
        </w:trPr>
        <w:tc>
          <w:tcPr>
            <w:tcW w:type="dxa" w:w="3515"/>
          </w:tcPr>
          <w:p>
            <w:r/>
            <w:r>
              <w:rPr>
                <w:color w:val="1A1D21"/>
                <w:sz w:val="17"/>
              </w:rPr>
              <w:t>Present value</w:t>
            </w:r>
          </w:p>
        </w:tc>
        <w:tc>
          <w:tcPr>
            <w:tcW w:type="dxa" w:w="1247"/>
          </w:tcPr>
          <w:p>
            <w:pPr>
              <w:jc w:val="right"/>
            </w:pPr>
            <w:r/>
            <w:r>
              <w:rPr>
                <w:color w:val="1A1D21"/>
                <w:sz w:val="17"/>
              </w:rPr>
              <w:t>4,508</w:t>
            </w:r>
          </w:p>
        </w:tc>
        <w:tc>
          <w:tcPr>
            <w:tcW w:type="dxa" w:w="1247"/>
          </w:tcPr>
          <w:p>
            <w:pPr>
              <w:jc w:val="right"/>
            </w:pPr>
            <w:r/>
            <w:r>
              <w:rPr>
                <w:color w:val="1A1D21"/>
                <w:sz w:val="17"/>
              </w:rPr>
              <w:t>4,425</w:t>
            </w:r>
          </w:p>
        </w:tc>
        <w:tc>
          <w:tcPr>
            <w:tcW w:type="dxa" w:w="1247"/>
          </w:tcPr>
          <w:p>
            <w:pPr>
              <w:jc w:val="right"/>
            </w:pPr>
            <w:r/>
            <w:r>
              <w:rPr>
                <w:color w:val="1A1D21"/>
                <w:sz w:val="17"/>
              </w:rPr>
              <w:t>4,480</w:t>
            </w:r>
          </w:p>
        </w:tc>
        <w:tc>
          <w:tcPr>
            <w:tcW w:type="dxa" w:w="1247"/>
          </w:tcPr>
          <w:p>
            <w:pPr>
              <w:jc w:val="right"/>
            </w:pPr>
            <w:r/>
            <w:r>
              <w:rPr>
                <w:color w:val="1A1D21"/>
                <w:sz w:val="17"/>
              </w:rPr>
              <w:t>4,660</w:t>
            </w:r>
          </w:p>
        </w:tc>
        <w:tc>
          <w:tcPr>
            <w:tcW w:type="dxa" w:w="1247"/>
          </w:tcPr>
          <w:p>
            <w:pPr>
              <w:jc w:val="right"/>
            </w:pPr>
            <w:r/>
            <w:r>
              <w:rPr>
                <w:color w:val="1A1D21"/>
                <w:sz w:val="17"/>
              </w:rPr>
              <w:t>4,958</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five years</w:t>
            </w:r>
          </w:p>
        </w:tc>
        <w:tc>
          <w:tcPr>
            <w:tcW w:type="dxa" w:w="3175"/>
          </w:tcPr>
          <w:p>
            <w:pPr>
              <w:jc w:val="right"/>
            </w:pPr>
            <w:r/>
            <w:r>
              <w:rPr>
                <w:color w:val="1A1D21"/>
                <w:sz w:val="17"/>
              </w:rPr>
              <w:t>23,030.2</w:t>
            </w:r>
          </w:p>
        </w:tc>
      </w:tr>
      <w:tr>
        <w:trPr>
          <w:cantSplit/>
        </w:trPr>
        <w:tc>
          <w:tcPr>
            <w:tcW w:type="dxa" w:w="6009"/>
          </w:tcPr>
          <w:p>
            <w:r/>
            <w:r>
              <w:rPr>
                <w:color w:val="1A1D21"/>
                <w:sz w:val="17"/>
              </w:rPr>
              <w:t>Present value beyond year five</w:t>
            </w:r>
          </w:p>
        </w:tc>
        <w:tc>
          <w:tcPr>
            <w:tcW w:type="dxa" w:w="3175"/>
          </w:tcPr>
          <w:p>
            <w:pPr>
              <w:jc w:val="right"/>
            </w:pPr>
            <w:r/>
            <w:r>
              <w:rPr>
                <w:color w:val="1A1D21"/>
                <w:sz w:val="17"/>
              </w:rPr>
              <w:t>38,969.3</w:t>
            </w:r>
          </w:p>
        </w:tc>
      </w:tr>
      <w:tr>
        <w:trPr>
          <w:cantSplit/>
        </w:trPr>
        <w:tc>
          <w:tcPr>
            <w:tcW w:type="dxa" w:w="6009"/>
          </w:tcPr>
          <w:p>
            <w:r/>
            <w:r>
              <w:rPr>
                <w:color w:val="1A1D21"/>
                <w:sz w:val="17"/>
              </w:rPr>
              <w:t>Enterprise value</w:t>
            </w:r>
          </w:p>
        </w:tc>
        <w:tc>
          <w:tcPr>
            <w:tcW w:type="dxa" w:w="3175"/>
          </w:tcPr>
          <w:p>
            <w:pPr>
              <w:jc w:val="right"/>
            </w:pPr>
            <w:r/>
            <w:r>
              <w:rPr>
                <w:color w:val="1A1D21"/>
                <w:sz w:val="17"/>
              </w:rPr>
              <w:t>61,999.5</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43,613.9</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-2,042.8</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41,571.2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14.54</w:t>
            </w:r>
          </w:p>
        </w:tc>
      </w:tr>
    </w:tbl>
    <w:p>
      <w:pPr>
        <w:spacing w:after="200"/>
      </w:pPr>
      <w:r>
        <w:rPr>
          <w:b w:val="0"/>
          <w:i/>
          <w:color w:val="5B6570"/>
          <w:sz w:val="16"/>
        </w:rPr>
        <w:t>The terminal value is 63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15.20 — the shares change hands at about 2.3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are capitalised at the cost of equity of 31.26% less the same 12.0% growth the cash-flow model carries beyond its explicit years, for EGP 8.39 a share. The 30 August 2026 edition capitalised the same earnings at the cost of equity alone, for EGP 5.17 a share. In a currency whose cost of equity embeds Egyptian inflation of fourteen to fifteen per cent, capitalising at that rate with no growth is not a conservative reading of earnings power; it assumes the company shrinks by about thirteen per cent a year in real terms, for ever, which nothing in its record supports. One clock for both lenses: the growth netted here is the growth the discounted cash flow assumes, so the two do not describe different futures.</w:t>
      </w:r>
    </w:p>
    <w:p>
      <w:pPr>
        <w:pStyle w:val="Heading2"/>
      </w:pPr>
      <w:r>
        <w:t>1.5  Synthesis — the lenses in one field</w:t>
      </w:r>
    </w:p>
    <w:p>
      <w:pPr>
        <w:spacing w:after="140"/>
      </w:pPr>
      <w:r>
        <w:rPr>
          <w:b w:val="0"/>
          <w:i w:val="0"/>
          <w:color w:val="1A1D21"/>
          <w:sz w:val="20"/>
        </w:rPr>
        <w:t>The four lenses disagree, and the disagreement is the information. The discounted cash flow is the widest because it carries the crux; book value is the narrowest because it is arithmetic on a reported balance sheet, and at EGP 6.63 a share it is also the lowest read — a floor for a company that carries an undelivered order book at historical cost. Normalised earnings power sits at EGP 8.39: at a 31.3% cost of equity less 12.0% growth, a company earning a 11.7% net margin capitalises to more than its book but well below its cash flows.</w:t>
      </w:r>
    </w:p>
    <w:tbl>
      <w:tblPr>
        <w:tblStyle w:val="TableGrid"/>
        <w:tblW w:type="auto" w:w="0"/>
        <w:jc w:val="center"/>
        <w:tblLayout w:type="fixed"/>
        <w:tblLook w:firstColumn="1" w:firstRow="1" w:lastColumn="0" w:lastRow="0" w:noHBand="0" w:noVBand="1" w:val="04A0"/>
        <w:tblLayout w:type="fixed"/>
      </w:tblPr>
      <w:tblGrid>
        <w:gridCol w:w="2381"/>
        <w:gridCol w:w="1134"/>
        <w:gridCol w:w="1134"/>
        <w:gridCol w:w="1247"/>
        <w:gridCol w:w="907"/>
        <w:gridCol w:w="2495"/>
      </w:tblGrid>
      <w:tr>
        <w:trPr>
          <w:tblHeader w:val="true"/>
        </w:trPr>
        <w:tc>
          <w:tcPr>
            <w:tcW w:type="dxa" w:w="2381"/>
          </w:tcPr>
          <w:p>
            <w:r/>
            <w:r>
              <w:rPr>
                <w:b/>
                <w:color w:val="5B6570"/>
                <w:sz w:val="17"/>
              </w:rPr>
              <w:t>Lens</w:t>
            </w:r>
          </w:p>
        </w:tc>
        <w:tc>
          <w:tcPr>
            <w:tcW w:type="dxa" w:w="1134"/>
          </w:tcPr>
          <w:p>
            <w:r/>
            <w:r>
              <w:rPr>
                <w:b/>
                <w:color w:val="5B6570"/>
                <w:sz w:val="17"/>
              </w:rPr>
              <w:t>Bear</w:t>
            </w:r>
          </w:p>
        </w:tc>
        <w:tc>
          <w:tcPr>
            <w:tcW w:type="dxa" w:w="1134"/>
          </w:tcPr>
          <w:p>
            <w:r/>
            <w:r>
              <w:rPr>
                <w:b/>
                <w:color w:val="5B6570"/>
                <w:sz w:val="17"/>
              </w:rPr>
              <w:t>Base</w:t>
            </w:r>
          </w:p>
        </w:tc>
        <w:tc>
          <w:tcPr>
            <w:tcW w:type="dxa" w:w="1247"/>
          </w:tcPr>
          <w:p>
            <w:r/>
            <w:r>
              <w:rPr>
                <w:b/>
                <w:color w:val="5B6570"/>
                <w:sz w:val="17"/>
              </w:rPr>
              <w:t>Full value</w:t>
            </w:r>
          </w:p>
        </w:tc>
        <w:tc>
          <w:tcPr>
            <w:tcW w:type="dxa" w:w="907"/>
          </w:tcPr>
          <w:p>
            <w:r/>
            <w:r>
              <w:rPr>
                <w:b/>
                <w:color w:val="5B6570"/>
                <w:sz w:val="17"/>
              </w:rPr>
              <w:t>Weight</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134"/>
          </w:tcPr>
          <w:p>
            <w:pPr>
              <w:jc w:val="right"/>
            </w:pPr>
            <w:r/>
            <w:r>
              <w:rPr>
                <w:color w:val="1A1D21"/>
                <w:sz w:val="17"/>
              </w:rPr>
              <w:t>3.08</w:t>
            </w:r>
          </w:p>
        </w:tc>
        <w:tc>
          <w:tcPr>
            <w:tcW w:type="dxa" w:w="1134"/>
          </w:tcPr>
          <w:p>
            <w:pPr>
              <w:jc w:val="right"/>
            </w:pPr>
            <w:r/>
            <w:r>
              <w:rPr>
                <w:color w:val="1A1D21"/>
                <w:sz w:val="17"/>
              </w:rPr>
              <w:t>14.54</w:t>
            </w:r>
          </w:p>
        </w:tc>
        <w:tc>
          <w:tcPr>
            <w:tcW w:type="dxa" w:w="1247"/>
          </w:tcPr>
          <w:p>
            <w:pPr>
              <w:jc w:val="right"/>
            </w:pPr>
            <w:r/>
            <w:r>
              <w:rPr>
                <w:color w:val="1A1D21"/>
                <w:sz w:val="17"/>
              </w:rPr>
              <w:t>37.30</w:t>
            </w:r>
          </w:p>
        </w:tc>
        <w:tc>
          <w:tcPr>
            <w:tcW w:type="dxa" w:w="907"/>
          </w:tcPr>
          <w:p>
            <w:pPr>
              <w:jc w:val="right"/>
            </w:pPr>
            <w:r/>
            <w:r>
              <w:rPr>
                <w:color w:val="1A1D21"/>
                <w:sz w:val="17"/>
              </w:rPr>
              <w:t>45%</w:t>
            </w:r>
          </w:p>
        </w:tc>
        <w:tc>
          <w:tcPr>
            <w:tcW w:type="dxa" w:w="2494"/>
          </w:tcPr>
          <w:p>
            <w:r/>
            <w:r>
              <w:rPr>
                <w:color w:val="1A1D21"/>
                <w:sz w:val="17"/>
              </w:rPr>
              <w:t>cash conversion, then the discount rate</w:t>
            </w:r>
          </w:p>
        </w:tc>
      </w:tr>
      <w:tr>
        <w:trPr>
          <w:cantSplit/>
        </w:trPr>
        <w:tc>
          <w:tcPr>
            <w:tcW w:type="dxa" w:w="2381"/>
          </w:tcPr>
          <w:p>
            <w:r/>
            <w:r>
              <w:rPr>
                <w:color w:val="1A1D21"/>
                <w:sz w:val="17"/>
              </w:rPr>
              <w:t>Book value of equity</w:t>
            </w:r>
          </w:p>
        </w:tc>
        <w:tc>
          <w:tcPr>
            <w:tcW w:type="dxa" w:w="1134"/>
          </w:tcPr>
          <w:p>
            <w:pPr>
              <w:jc w:val="right"/>
            </w:pPr>
            <w:r/>
            <w:r>
              <w:rPr>
                <w:color w:val="1A1D21"/>
                <w:sz w:val="17"/>
              </w:rPr>
              <w:t>5.97</w:t>
            </w:r>
          </w:p>
        </w:tc>
        <w:tc>
          <w:tcPr>
            <w:tcW w:type="dxa" w:w="1134"/>
          </w:tcPr>
          <w:p>
            <w:pPr>
              <w:jc w:val="right"/>
            </w:pPr>
            <w:r/>
            <w:r>
              <w:rPr>
                <w:color w:val="1A1D21"/>
                <w:sz w:val="17"/>
              </w:rPr>
              <w:t>6.63</w:t>
            </w:r>
          </w:p>
        </w:tc>
        <w:tc>
          <w:tcPr>
            <w:tcW w:type="dxa" w:w="1247"/>
          </w:tcPr>
          <w:p>
            <w:pPr>
              <w:jc w:val="right"/>
            </w:pPr>
            <w:r/>
            <w:r>
              <w:rPr>
                <w:color w:val="1A1D21"/>
                <w:sz w:val="17"/>
              </w:rPr>
              <w:t>8.62</w:t>
            </w:r>
          </w:p>
        </w:tc>
        <w:tc>
          <w:tcPr>
            <w:tcW w:type="dxa" w:w="907"/>
          </w:tcPr>
          <w:p>
            <w:pPr>
              <w:jc w:val="right"/>
            </w:pPr>
            <w:r/>
            <w:r>
              <w:rPr>
                <w:color w:val="1A1D21"/>
                <w:sz w:val="17"/>
              </w:rPr>
              <w:t>15%</w:t>
            </w:r>
          </w:p>
        </w:tc>
        <w:tc>
          <w:tcPr>
            <w:tcW w:type="dxa" w:w="2494"/>
          </w:tcPr>
          <w:p>
            <w:r/>
            <w:r>
              <w:rPr>
                <w:color w:val="1A1D21"/>
                <w:sz w:val="17"/>
              </w:rPr>
              <w:t>nothing — it is a reported figure</w:t>
            </w:r>
          </w:p>
        </w:tc>
      </w:tr>
      <w:tr>
        <w:trPr>
          <w:cantSplit/>
        </w:trPr>
        <w:tc>
          <w:tcPr>
            <w:tcW w:type="dxa" w:w="2381"/>
          </w:tcPr>
          <w:p>
            <w:r/>
            <w:r>
              <w:rPr>
                <w:color w:val="1A1D21"/>
                <w:sz w:val="17"/>
              </w:rPr>
              <w:t>Earnings multiple on own history</w:t>
            </w:r>
          </w:p>
        </w:tc>
        <w:tc>
          <w:tcPr>
            <w:tcW w:type="dxa" w:w="1134"/>
          </w:tcPr>
          <w:p>
            <w:pPr>
              <w:jc w:val="right"/>
            </w:pPr>
            <w:r/>
            <w:r>
              <w:rPr>
                <w:color w:val="1A1D21"/>
                <w:sz w:val="17"/>
              </w:rPr>
              <w:t>7.45</w:t>
            </w:r>
          </w:p>
        </w:tc>
        <w:tc>
          <w:tcPr>
            <w:tcW w:type="dxa" w:w="1134"/>
          </w:tcPr>
          <w:p>
            <w:pPr>
              <w:jc w:val="right"/>
            </w:pPr>
            <w:r/>
            <w:r>
              <w:rPr>
                <w:color w:val="1A1D21"/>
                <w:sz w:val="17"/>
              </w:rPr>
              <w:t>11.17</w:t>
            </w:r>
          </w:p>
        </w:tc>
        <w:tc>
          <w:tcPr>
            <w:tcW w:type="dxa" w:w="1247"/>
          </w:tcPr>
          <w:p>
            <w:pPr>
              <w:jc w:val="right"/>
            </w:pPr>
            <w:r/>
            <w:r>
              <w:rPr>
                <w:color w:val="1A1D21"/>
                <w:sz w:val="17"/>
              </w:rPr>
              <w:t>17.37</w:t>
            </w:r>
          </w:p>
        </w:tc>
        <w:tc>
          <w:tcPr>
            <w:tcW w:type="dxa" w:w="907"/>
          </w:tcPr>
          <w:p>
            <w:pPr>
              <w:jc w:val="right"/>
            </w:pPr>
            <w:r/>
            <w:r>
              <w:rPr>
                <w:color w:val="1A1D21"/>
                <w:sz w:val="17"/>
              </w:rPr>
              <w:t>20%</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Normalised earnings power</w:t>
            </w:r>
          </w:p>
        </w:tc>
        <w:tc>
          <w:tcPr>
            <w:tcW w:type="dxa" w:w="1134"/>
          </w:tcPr>
          <w:p>
            <w:pPr>
              <w:jc w:val="right"/>
            </w:pPr>
            <w:r/>
            <w:r>
              <w:rPr>
                <w:color w:val="1A1D21"/>
                <w:sz w:val="17"/>
              </w:rPr>
              <w:t>7.26</w:t>
            </w:r>
          </w:p>
        </w:tc>
        <w:tc>
          <w:tcPr>
            <w:tcW w:type="dxa" w:w="1134"/>
          </w:tcPr>
          <w:p>
            <w:pPr>
              <w:jc w:val="right"/>
            </w:pPr>
            <w:r/>
            <w:r>
              <w:rPr>
                <w:color w:val="1A1D21"/>
                <w:sz w:val="17"/>
              </w:rPr>
              <w:t>8.39</w:t>
            </w:r>
          </w:p>
        </w:tc>
        <w:tc>
          <w:tcPr>
            <w:tcW w:type="dxa" w:w="1247"/>
          </w:tcPr>
          <w:p>
            <w:pPr>
              <w:jc w:val="right"/>
            </w:pPr>
            <w:r/>
            <w:r>
              <w:rPr>
                <w:color w:val="1A1D21"/>
                <w:sz w:val="17"/>
              </w:rPr>
              <w:t>9.94</w:t>
            </w:r>
          </w:p>
        </w:tc>
        <w:tc>
          <w:tcPr>
            <w:tcW w:type="dxa" w:w="907"/>
          </w:tcPr>
          <w:p>
            <w:pPr>
              <w:jc w:val="right"/>
            </w:pPr>
            <w:r/>
            <w:r>
              <w:rPr>
                <w:color w:val="1A1D21"/>
                <w:sz w:val="17"/>
              </w:rPr>
              <w:t>20%</w:t>
            </w:r>
          </w:p>
        </w:tc>
        <w:tc>
          <w:tcPr>
            <w:tcW w:type="dxa" w:w="2494"/>
          </w:tcPr>
          <w:p>
            <w:r/>
            <w:r>
              <w:rPr>
                <w:color w:val="1A1D21"/>
                <w:sz w:val="17"/>
              </w:rPr>
              <w:t>the cost of equity, and the growth netted from it</w:t>
            </w:r>
          </w:p>
        </w:tc>
      </w:tr>
      <w:tr>
        <w:trPr>
          <w:cantSplit/>
        </w:trPr>
        <w:tc>
          <w:tcPr>
            <w:tcW w:type="dxa" w:w="2381"/>
          </w:tcPr>
          <w:p>
            <w:r/>
            <w:r>
              <w:rPr>
                <w:color w:val="1A1D21"/>
                <w:sz w:val="17"/>
              </w:rPr>
              <w:t>Weighted central</w:t>
            </w:r>
          </w:p>
        </w:tc>
        <w:tc>
          <w:tcPr>
            <w:tcW w:type="dxa" w:w="1134"/>
          </w:tcPr>
          <w:p>
            <w:pPr>
              <w:jc w:val="right"/>
            </w:pPr>
            <w:r/>
            <w:r>
              <w:rPr>
                <w:color w:val="1A1D21"/>
                <w:sz w:val="17"/>
              </w:rPr>
              <w:t>5.22</w:t>
            </w:r>
          </w:p>
        </w:tc>
        <w:tc>
          <w:tcPr>
            <w:tcW w:type="dxa" w:w="1134"/>
          </w:tcPr>
          <w:p>
            <w:pPr>
              <w:jc w:val="right"/>
            </w:pPr>
            <w:r/>
            <w:r>
              <w:rPr>
                <w:color w:val="1A1D21"/>
                <w:sz w:val="17"/>
              </w:rPr>
              <w:t>11.45</w:t>
            </w:r>
          </w:p>
        </w:tc>
        <w:tc>
          <w:tcPr>
            <w:tcW w:type="dxa" w:w="1247"/>
          </w:tcPr>
          <w:p>
            <w:pPr>
              <w:jc w:val="right"/>
            </w:pPr>
            <w:r/>
            <w:r>
              <w:rPr>
                <w:color w:val="1A1D21"/>
                <w:sz w:val="17"/>
              </w:rPr>
              <w:t>23.54</w:t>
            </w:r>
          </w:p>
        </w:tc>
        <w:tc>
          <w:tcPr>
            <w:tcW w:type="dxa" w:w="907"/>
          </w:tcPr>
          <w:p>
            <w:pPr>
              <w:jc w:val="right"/>
            </w:pPr>
            <w:r/>
            <w:r>
              <w:rPr>
                <w:color w:val="1A1D21"/>
                <w:sz w:val="17"/>
              </w:rPr>
              <w:t>100%</w:t>
            </w:r>
          </w:p>
        </w:tc>
        <w:tc>
          <w:tcPr>
            <w:tcW w:type="dxa" w:w="2494"/>
          </w:tcPr>
          <w:p>
            <w:r/>
            <w:r>
              <w:rPr>
                <w:color w:val="1A1D21"/>
                <w:sz w:val="17"/>
              </w:rPr>
            </w:r>
          </w:p>
        </w:tc>
      </w:tr>
    </w:tbl>
    <w:p>
      <w:pPr>
        <w:spacing w:after="200"/>
      </w:pPr>
      <w:r>
        <w:rPr>
          <w:b w:val="0"/>
          <w:i/>
          <w:color w:val="5B6570"/>
          <w:sz w:val="16"/>
        </w:rPr>
        <w:t>EGP per share, against a close of EGP 15.20. The weights are stated before the numbers are read and are identical across the three columns.</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21.29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56.4%</w:t>
            </w:r>
          </w:p>
        </w:tc>
        <w:tc>
          <w:tcPr>
            <w:tcW w:type="dxa" w:w="2608"/>
          </w:tcPr>
          <w:p>
            <w:pPr>
              <w:jc w:val="right"/>
            </w:pPr>
            <w:r/>
            <w:r>
              <w:rPr>
                <w:color w:val="1A1D21"/>
                <w:sz w:val="17"/>
              </w:rPr>
              <w:t>56.4%</w:t>
            </w:r>
          </w:p>
        </w:tc>
      </w:tr>
      <w:tr>
        <w:trPr>
          <w:cantSplit/>
        </w:trPr>
        <w:tc>
          <w:tcPr>
            <w:tcW w:type="dxa" w:w="3969"/>
          </w:tcPr>
          <w:p>
            <w:r/>
            <w:r>
              <w:rPr>
                <w:color w:val="1A1D21"/>
                <w:sz w:val="17"/>
              </w:rPr>
              <w:t>Debt weight</w:t>
            </w:r>
          </w:p>
        </w:tc>
        <w:tc>
          <w:tcPr>
            <w:tcW w:type="dxa" w:w="2608"/>
          </w:tcPr>
          <w:p>
            <w:pPr>
              <w:jc w:val="right"/>
            </w:pPr>
            <w:r/>
            <w:r>
              <w:rPr>
                <w:color w:val="1A1D21"/>
                <w:sz w:val="17"/>
              </w:rPr>
              <w:t>43.6%</w:t>
            </w:r>
          </w:p>
        </w:tc>
        <w:tc>
          <w:tcPr>
            <w:tcW w:type="dxa" w:w="2608"/>
          </w:tcPr>
          <w:p>
            <w:pPr>
              <w:jc w:val="right"/>
            </w:pPr>
            <w:r/>
            <w:r>
              <w:rPr>
                <w:color w:val="1A1D21"/>
                <w:sz w:val="17"/>
              </w:rPr>
              <w:t>43.6%</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26.25%</w:t>
            </w:r>
          </w:p>
        </w:tc>
        <w:tc>
          <w:tcPr>
            <w:tcW w:type="dxa" w:w="2608"/>
          </w:tcPr>
          <w:p>
            <w:pPr>
              <w:jc w:val="right"/>
            </w:pPr>
            <w:r/>
            <w:r>
              <w:rPr>
                <w:color w:val="1A1D21"/>
                <w:sz w:val="17"/>
              </w:rPr>
              <w:t>25.24%</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11 June 2026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22.25%</w:t>
            </w:r>
          </w:p>
        </w:tc>
        <w:tc>
          <w:tcPr>
            <w:tcW w:type="dxa" w:w="1361"/>
          </w:tcPr>
          <w:p>
            <w:r/>
            <w:r>
              <w:rPr>
                <w:b/>
                <w:color w:val="5B6570"/>
                <w:sz w:val="17"/>
              </w:rPr>
              <w:t>24.25%</w:t>
            </w:r>
          </w:p>
        </w:tc>
        <w:tc>
          <w:tcPr>
            <w:tcW w:type="dxa" w:w="1361"/>
          </w:tcPr>
          <w:p>
            <w:r/>
            <w:r>
              <w:rPr>
                <w:b/>
                <w:color w:val="5B6570"/>
                <w:sz w:val="17"/>
              </w:rPr>
              <w:t>26.25%</w:t>
            </w:r>
          </w:p>
        </w:tc>
        <w:tc>
          <w:tcPr>
            <w:tcW w:type="dxa" w:w="1361"/>
          </w:tcPr>
          <w:p>
            <w:r/>
            <w:r>
              <w:rPr>
                <w:b/>
                <w:color w:val="5B6570"/>
                <w:sz w:val="17"/>
              </w:rPr>
              <w:t>28.25%</w:t>
            </w:r>
          </w:p>
        </w:tc>
        <w:tc>
          <w:tcPr>
            <w:tcW w:type="dxa" w:w="1361"/>
          </w:tcPr>
          <w:p>
            <w:r/>
            <w:r>
              <w:rPr>
                <w:b/>
                <w:color w:val="5B6570"/>
                <w:sz w:val="17"/>
              </w:rPr>
              <w:t>30.25%</w:t>
            </w:r>
          </w:p>
        </w:tc>
      </w:tr>
      <w:tr>
        <w:trPr>
          <w:cantSplit/>
        </w:trPr>
        <w:tc>
          <w:tcPr>
            <w:tcW w:type="dxa" w:w="2494"/>
          </w:tcPr>
          <w:p>
            <w:r/>
            <w:r>
              <w:rPr>
                <w:color w:val="1A1D21"/>
                <w:sz w:val="17"/>
              </w:rPr>
              <w:t>3.9%</w:t>
            </w:r>
          </w:p>
        </w:tc>
        <w:tc>
          <w:tcPr>
            <w:tcW w:type="dxa" w:w="1361"/>
          </w:tcPr>
          <w:p>
            <w:pPr>
              <w:jc w:val="right"/>
            </w:pPr>
            <w:r/>
            <w:r>
              <w:rPr>
                <w:color w:val="1A1D21"/>
                <w:sz w:val="17"/>
              </w:rPr>
              <w:t>8.85</w:t>
            </w:r>
          </w:p>
        </w:tc>
        <w:tc>
          <w:tcPr>
            <w:tcW w:type="dxa" w:w="1361"/>
          </w:tcPr>
          <w:p>
            <w:pPr>
              <w:jc w:val="right"/>
            </w:pPr>
            <w:r/>
            <w:r>
              <w:rPr>
                <w:color w:val="1A1D21"/>
                <w:sz w:val="17"/>
              </w:rPr>
              <w:t>6.29</w:t>
            </w:r>
          </w:p>
        </w:tc>
        <w:tc>
          <w:tcPr>
            <w:tcW w:type="dxa" w:w="1361"/>
          </w:tcPr>
          <w:p>
            <w:pPr>
              <w:jc w:val="right"/>
            </w:pPr>
            <w:r/>
            <w:r>
              <w:rPr>
                <w:color w:val="1A1D21"/>
                <w:sz w:val="17"/>
              </w:rPr>
              <w:t>4.46</w:t>
            </w:r>
          </w:p>
        </w:tc>
        <w:tc>
          <w:tcPr>
            <w:tcW w:type="dxa" w:w="1361"/>
          </w:tcPr>
          <w:p>
            <w:pPr>
              <w:jc w:val="right"/>
            </w:pPr>
            <w:r/>
            <w:r>
              <w:rPr>
                <w:color w:val="1A1D21"/>
                <w:sz w:val="17"/>
              </w:rPr>
              <w:t>3.08</w:t>
            </w:r>
          </w:p>
        </w:tc>
        <w:tc>
          <w:tcPr>
            <w:tcW w:type="dxa" w:w="1361"/>
          </w:tcPr>
          <w:p>
            <w:pPr>
              <w:jc w:val="right"/>
            </w:pPr>
            <w:r/>
            <w:r>
              <w:rPr>
                <w:color w:val="1A1D21"/>
                <w:sz w:val="17"/>
              </w:rPr>
              <w:t>2.01</w:t>
            </w:r>
          </w:p>
        </w:tc>
      </w:tr>
      <w:tr>
        <w:trPr>
          <w:cantSplit/>
        </w:trPr>
        <w:tc>
          <w:tcPr>
            <w:tcW w:type="dxa" w:w="2494"/>
          </w:tcPr>
          <w:p>
            <w:r/>
            <w:r>
              <w:rPr>
                <w:color w:val="1A1D21"/>
                <w:sz w:val="17"/>
              </w:rPr>
              <w:t>6.0%</w:t>
            </w:r>
          </w:p>
        </w:tc>
        <w:tc>
          <w:tcPr>
            <w:tcW w:type="dxa" w:w="1361"/>
          </w:tcPr>
          <w:p>
            <w:pPr>
              <w:jc w:val="right"/>
            </w:pPr>
            <w:r/>
            <w:r>
              <w:rPr>
                <w:color w:val="1A1D21"/>
                <w:sz w:val="17"/>
              </w:rPr>
              <w:t>15.20</w:t>
            </w:r>
          </w:p>
        </w:tc>
        <w:tc>
          <w:tcPr>
            <w:tcW w:type="dxa" w:w="1361"/>
          </w:tcPr>
          <w:p>
            <w:pPr>
              <w:jc w:val="right"/>
            </w:pPr>
            <w:r/>
            <w:r>
              <w:rPr>
                <w:color w:val="1A1D21"/>
                <w:sz w:val="17"/>
              </w:rPr>
              <w:t>11.47</w:t>
            </w:r>
          </w:p>
        </w:tc>
        <w:tc>
          <w:tcPr>
            <w:tcW w:type="dxa" w:w="1361"/>
          </w:tcPr>
          <w:p>
            <w:pPr>
              <w:jc w:val="right"/>
            </w:pPr>
            <w:r/>
            <w:r>
              <w:rPr>
                <w:color w:val="1A1D21"/>
                <w:sz w:val="17"/>
              </w:rPr>
              <w:t>8.81</w:t>
            </w:r>
          </w:p>
        </w:tc>
        <w:tc>
          <w:tcPr>
            <w:tcW w:type="dxa" w:w="1361"/>
          </w:tcPr>
          <w:p>
            <w:pPr>
              <w:jc w:val="right"/>
            </w:pPr>
            <w:r/>
            <w:r>
              <w:rPr>
                <w:color w:val="1A1D21"/>
                <w:sz w:val="17"/>
              </w:rPr>
              <w:t>6.81</w:t>
            </w:r>
          </w:p>
        </w:tc>
        <w:tc>
          <w:tcPr>
            <w:tcW w:type="dxa" w:w="1361"/>
          </w:tcPr>
          <w:p>
            <w:pPr>
              <w:jc w:val="right"/>
            </w:pPr>
            <w:r/>
            <w:r>
              <w:rPr>
                <w:color w:val="1A1D21"/>
                <w:sz w:val="17"/>
              </w:rPr>
              <w:t>5.26</w:t>
            </w:r>
          </w:p>
        </w:tc>
      </w:tr>
      <w:tr>
        <w:trPr>
          <w:cantSplit/>
        </w:trPr>
        <w:tc>
          <w:tcPr>
            <w:tcW w:type="dxa" w:w="2494"/>
          </w:tcPr>
          <w:p>
            <w:r/>
            <w:r>
              <w:rPr>
                <w:color w:val="1A1D21"/>
                <w:sz w:val="17"/>
              </w:rPr>
              <w:t>8.7%</w:t>
            </w:r>
          </w:p>
        </w:tc>
        <w:tc>
          <w:tcPr>
            <w:tcW w:type="dxa" w:w="1361"/>
          </w:tcPr>
          <w:p>
            <w:pPr>
              <w:jc w:val="right"/>
            </w:pPr>
            <w:r/>
            <w:r>
              <w:rPr>
                <w:color w:val="1A1D21"/>
                <w:sz w:val="17"/>
              </w:rPr>
              <w:t>23.56</w:t>
            </w:r>
          </w:p>
        </w:tc>
        <w:tc>
          <w:tcPr>
            <w:tcW w:type="dxa" w:w="1361"/>
          </w:tcPr>
          <w:p>
            <w:pPr>
              <w:jc w:val="right"/>
            </w:pPr>
            <w:r/>
            <w:r>
              <w:rPr>
                <w:color w:val="1A1D21"/>
                <w:sz w:val="17"/>
              </w:rPr>
              <w:t>18.30</w:t>
            </w:r>
          </w:p>
        </w:tc>
        <w:tc>
          <w:tcPr>
            <w:tcW w:type="dxa" w:w="1361"/>
          </w:tcPr>
          <w:p>
            <w:pPr>
              <w:jc w:val="right"/>
            </w:pPr>
            <w:r/>
            <w:r>
              <w:rPr>
                <w:color w:val="1A1D21"/>
                <w:sz w:val="17"/>
              </w:rPr>
              <w:t>14.54</w:t>
            </w:r>
          </w:p>
        </w:tc>
        <w:tc>
          <w:tcPr>
            <w:tcW w:type="dxa" w:w="1361"/>
          </w:tcPr>
          <w:p>
            <w:pPr>
              <w:jc w:val="right"/>
            </w:pPr>
            <w:r/>
            <w:r>
              <w:rPr>
                <w:color w:val="1A1D21"/>
                <w:sz w:val="17"/>
              </w:rPr>
              <w:t>11.72</w:t>
            </w:r>
          </w:p>
        </w:tc>
        <w:tc>
          <w:tcPr>
            <w:tcW w:type="dxa" w:w="1361"/>
          </w:tcPr>
          <w:p>
            <w:pPr>
              <w:jc w:val="right"/>
            </w:pPr>
            <w:r/>
            <w:r>
              <w:rPr>
                <w:color w:val="1A1D21"/>
                <w:sz w:val="17"/>
              </w:rPr>
              <w:t>9.54</w:t>
            </w:r>
          </w:p>
        </w:tc>
      </w:tr>
      <w:tr>
        <w:trPr>
          <w:cantSplit/>
        </w:trPr>
        <w:tc>
          <w:tcPr>
            <w:tcW w:type="dxa" w:w="2494"/>
          </w:tcPr>
          <w:p>
            <w:r/>
            <w:r>
              <w:rPr>
                <w:color w:val="1A1D21"/>
                <w:sz w:val="17"/>
              </w:rPr>
              <w:t>12.0%</w:t>
            </w:r>
          </w:p>
        </w:tc>
        <w:tc>
          <w:tcPr>
            <w:tcW w:type="dxa" w:w="1361"/>
          </w:tcPr>
          <w:p>
            <w:pPr>
              <w:jc w:val="right"/>
            </w:pPr>
            <w:r/>
            <w:r>
              <w:rPr>
                <w:color w:val="1A1D21"/>
                <w:sz w:val="17"/>
              </w:rPr>
              <w:t>33.68</w:t>
            </w:r>
          </w:p>
        </w:tc>
        <w:tc>
          <w:tcPr>
            <w:tcW w:type="dxa" w:w="1361"/>
          </w:tcPr>
          <w:p>
            <w:pPr>
              <w:jc w:val="right"/>
            </w:pPr>
            <w:r/>
            <w:r>
              <w:rPr>
                <w:color w:val="1A1D21"/>
                <w:sz w:val="17"/>
              </w:rPr>
              <w:t>26.56</w:t>
            </w:r>
          </w:p>
        </w:tc>
        <w:tc>
          <w:tcPr>
            <w:tcW w:type="dxa" w:w="1361"/>
          </w:tcPr>
          <w:p>
            <w:pPr>
              <w:jc w:val="right"/>
            </w:pPr>
            <w:r/>
            <w:r>
              <w:rPr>
                <w:color w:val="1A1D21"/>
                <w:sz w:val="17"/>
              </w:rPr>
              <w:t>21.47</w:t>
            </w:r>
          </w:p>
        </w:tc>
        <w:tc>
          <w:tcPr>
            <w:tcW w:type="dxa" w:w="1361"/>
          </w:tcPr>
          <w:p>
            <w:pPr>
              <w:jc w:val="right"/>
            </w:pPr>
            <w:r/>
            <w:r>
              <w:rPr>
                <w:color w:val="1A1D21"/>
                <w:sz w:val="17"/>
              </w:rPr>
              <w:t>17.66</w:t>
            </w:r>
          </w:p>
        </w:tc>
        <w:tc>
          <w:tcPr>
            <w:tcW w:type="dxa" w:w="1361"/>
          </w:tcPr>
          <w:p>
            <w:pPr>
              <w:jc w:val="right"/>
            </w:pPr>
            <w:r/>
            <w:r>
              <w:rPr>
                <w:color w:val="1A1D21"/>
                <w:sz w:val="17"/>
              </w:rPr>
              <w:t>14.71</w:t>
            </w:r>
          </w:p>
        </w:tc>
      </w:tr>
      <w:tr>
        <w:trPr>
          <w:cantSplit/>
        </w:trPr>
        <w:tc>
          <w:tcPr>
            <w:tcW w:type="dxa" w:w="2494"/>
          </w:tcPr>
          <w:p>
            <w:r/>
            <w:r>
              <w:rPr>
                <w:color w:val="1A1D21"/>
                <w:sz w:val="17"/>
              </w:rPr>
              <w:t>17.9%</w:t>
            </w:r>
          </w:p>
        </w:tc>
        <w:tc>
          <w:tcPr>
            <w:tcW w:type="dxa" w:w="1361"/>
          </w:tcPr>
          <w:p>
            <w:pPr>
              <w:jc w:val="right"/>
            </w:pPr>
            <w:r/>
            <w:r>
              <w:rPr>
                <w:color w:val="1A1D21"/>
                <w:sz w:val="17"/>
              </w:rPr>
              <w:t>51.77</w:t>
            </w:r>
          </w:p>
        </w:tc>
        <w:tc>
          <w:tcPr>
            <w:tcW w:type="dxa" w:w="1361"/>
          </w:tcPr>
          <w:p>
            <w:pPr>
              <w:jc w:val="right"/>
            </w:pPr>
            <w:r/>
            <w:r>
              <w:rPr>
                <w:color w:val="1A1D21"/>
                <w:sz w:val="17"/>
              </w:rPr>
              <w:t>41.32</w:t>
            </w:r>
          </w:p>
        </w:tc>
        <w:tc>
          <w:tcPr>
            <w:tcW w:type="dxa" w:w="1361"/>
          </w:tcPr>
          <w:p>
            <w:pPr>
              <w:jc w:val="right"/>
            </w:pPr>
            <w:r/>
            <w:r>
              <w:rPr>
                <w:color w:val="1A1D21"/>
                <w:sz w:val="17"/>
              </w:rPr>
              <w:t>33.86</w:t>
            </w:r>
          </w:p>
        </w:tc>
        <w:tc>
          <w:tcPr>
            <w:tcW w:type="dxa" w:w="1361"/>
          </w:tcPr>
          <w:p>
            <w:pPr>
              <w:jc w:val="right"/>
            </w:pPr>
            <w:r/>
            <w:r>
              <w:rPr>
                <w:color w:val="1A1D21"/>
                <w:sz w:val="17"/>
              </w:rPr>
              <w:t>28.28</w:t>
            </w:r>
          </w:p>
        </w:tc>
        <w:tc>
          <w:tcPr>
            <w:tcW w:type="dxa" w:w="1361"/>
          </w:tcPr>
          <w:p>
            <w:pPr>
              <w:jc w:val="right"/>
            </w:pPr>
            <w:r/>
            <w:r>
              <w:rPr>
                <w:color w:val="1A1D21"/>
                <w:sz w:val="17"/>
              </w:rPr>
              <w:t>23.96</w:t>
            </w:r>
          </w:p>
        </w:tc>
      </w:tr>
    </w:tbl>
    <w:p>
      <w:pPr>
        <w:spacing w:after="200"/>
      </w:pPr>
      <w:r>
        <w:rPr>
          <w:b w:val="0"/>
          <w:i/>
          <w:color w:val="5B6570"/>
          <w:sz w:val="16"/>
        </w:rPr>
        <w:t>Value per share in Egyptian pounds. The closing price on 23 August 2026 was EGP 15.20.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9.0%.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15.20 close</w:t>
            </w:r>
          </w:p>
        </w:tc>
      </w:tr>
      <w:tr>
        <w:trPr>
          <w:cantSplit/>
        </w:trPr>
        <w:tc>
          <w:tcPr>
            <w:tcW w:type="dxa" w:w="2154"/>
          </w:tcPr>
          <w:p>
            <w:r/>
            <w:r>
              <w:rPr>
                <w:color w:val="1A1D21"/>
                <w:sz w:val="17"/>
              </w:rPr>
              <w:t>Fundamental value</w:t>
            </w:r>
          </w:p>
        </w:tc>
        <w:tc>
          <w:tcPr>
            <w:tcW w:type="dxa" w:w="3628"/>
          </w:tcPr>
          <w:p>
            <w:r/>
            <w:r>
              <w:rPr>
                <w:color w:val="1A1D21"/>
                <w:sz w:val="17"/>
              </w:rPr>
              <w:t>EGP 4.46 to EGP 33.86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1.2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24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Units delivered</w:t>
            </w:r>
          </w:p>
        </w:tc>
        <w:tc>
          <w:tcPr>
            <w:tcW w:type="dxa" w:w="1247"/>
          </w:tcPr>
          <w:p>
            <w:pPr>
              <w:jc w:val="right"/>
            </w:pPr>
            <w:r/>
            <w:r>
              <w:rPr>
                <w:color w:val="1A1D21"/>
                <w:sz w:val="17"/>
              </w:rPr>
              <w:t>1,886</w:t>
            </w:r>
          </w:p>
        </w:tc>
        <w:tc>
          <w:tcPr>
            <w:tcW w:type="dxa" w:w="1247"/>
          </w:tcPr>
          <w:p>
            <w:pPr>
              <w:jc w:val="right"/>
            </w:pPr>
            <w:r/>
            <w:r>
              <w:rPr>
                <w:color w:val="1A1D21"/>
                <w:sz w:val="17"/>
              </w:rPr>
              <w:t>2,168</w:t>
            </w:r>
          </w:p>
        </w:tc>
        <w:tc>
          <w:tcPr>
            <w:tcW w:type="dxa" w:w="1247"/>
          </w:tcPr>
          <w:p>
            <w:pPr>
              <w:jc w:val="right"/>
            </w:pPr>
            <w:r/>
            <w:r>
              <w:rPr>
                <w:color w:val="1A1D21"/>
                <w:sz w:val="17"/>
              </w:rPr>
              <w:t>2,494</w:t>
            </w:r>
          </w:p>
        </w:tc>
        <w:tc>
          <w:tcPr>
            <w:tcW w:type="dxa" w:w="1247"/>
          </w:tcPr>
          <w:p>
            <w:pPr>
              <w:jc w:val="right"/>
            </w:pPr>
            <w:r/>
            <w:r>
              <w:rPr>
                <w:color w:val="1A1D21"/>
                <w:sz w:val="17"/>
              </w:rPr>
              <w:t>2,868</w:t>
            </w:r>
          </w:p>
        </w:tc>
        <w:tc>
          <w:tcPr>
            <w:tcW w:type="dxa" w:w="1247"/>
          </w:tcPr>
          <w:p>
            <w:pPr>
              <w:jc w:val="right"/>
            </w:pPr>
            <w:r/>
            <w:r>
              <w:rPr>
                <w:color w:val="1A1D21"/>
                <w:sz w:val="17"/>
              </w:rPr>
              <w:t>3,298</w:t>
            </w:r>
          </w:p>
        </w:tc>
      </w:tr>
      <w:tr>
        <w:trPr>
          <w:cantSplit/>
        </w:trPr>
        <w:tc>
          <w:tcPr>
            <w:tcW w:type="dxa" w:w="3515"/>
          </w:tcPr>
          <w:p>
            <w:r/>
            <w:r>
              <w:rPr>
                <w:color w:val="1A1D21"/>
                <w:sz w:val="17"/>
              </w:rPr>
              <w:t>Revenue per delivered unit</w:t>
            </w:r>
          </w:p>
        </w:tc>
        <w:tc>
          <w:tcPr>
            <w:tcW w:type="dxa" w:w="1247"/>
          </w:tcPr>
          <w:p>
            <w:pPr>
              <w:jc w:val="right"/>
            </w:pPr>
            <w:r/>
            <w:r>
              <w:rPr>
                <w:color w:val="1A1D21"/>
                <w:sz w:val="17"/>
              </w:rPr>
              <w:t>21.29</w:t>
            </w:r>
          </w:p>
        </w:tc>
        <w:tc>
          <w:tcPr>
            <w:tcW w:type="dxa" w:w="1247"/>
          </w:tcPr>
          <w:p>
            <w:pPr>
              <w:jc w:val="right"/>
            </w:pPr>
            <w:r/>
            <w:r>
              <w:rPr>
                <w:color w:val="1A1D21"/>
                <w:sz w:val="17"/>
              </w:rPr>
              <w:t>26.66</w:t>
            </w:r>
          </w:p>
        </w:tc>
        <w:tc>
          <w:tcPr>
            <w:tcW w:type="dxa" w:w="1247"/>
          </w:tcPr>
          <w:p>
            <w:pPr>
              <w:jc w:val="right"/>
            </w:pPr>
            <w:r/>
            <w:r>
              <w:rPr>
                <w:color w:val="1A1D21"/>
                <w:sz w:val="17"/>
              </w:rPr>
              <w:t>33.38</w:t>
            </w:r>
          </w:p>
        </w:tc>
        <w:tc>
          <w:tcPr>
            <w:tcW w:type="dxa" w:w="1247"/>
          </w:tcPr>
          <w:p>
            <w:pPr>
              <w:jc w:val="right"/>
            </w:pPr>
            <w:r/>
            <w:r>
              <w:rPr>
                <w:color w:val="1A1D21"/>
                <w:sz w:val="17"/>
              </w:rPr>
              <w:t>41.79</w:t>
            </w:r>
          </w:p>
        </w:tc>
        <w:tc>
          <w:tcPr>
            <w:tcW w:type="dxa" w:w="1247"/>
          </w:tcPr>
          <w:p>
            <w:pPr>
              <w:jc w:val="right"/>
            </w:pPr>
            <w:r/>
            <w:r>
              <w:rPr>
                <w:color w:val="1A1D21"/>
                <w:sz w:val="17"/>
              </w:rPr>
              <w:t>52.32</w:t>
            </w:r>
          </w:p>
        </w:tc>
      </w:tr>
      <w:tr>
        <w:trPr>
          <w:cantSplit/>
        </w:trPr>
        <w:tc>
          <w:tcPr>
            <w:tcW w:type="dxa" w:w="3515"/>
          </w:tcPr>
          <w:p>
            <w:r/>
            <w:r>
              <w:rPr>
                <w:color w:val="1A1D21"/>
                <w:sz w:val="17"/>
              </w:rPr>
              <w:t>Revenue</w:t>
            </w:r>
          </w:p>
        </w:tc>
        <w:tc>
          <w:tcPr>
            <w:tcW w:type="dxa" w:w="1247"/>
          </w:tcPr>
          <w:p>
            <w:pPr>
              <w:jc w:val="right"/>
            </w:pPr>
            <w:r/>
            <w:r>
              <w:rPr>
                <w:color w:val="1A1D21"/>
                <w:sz w:val="17"/>
              </w:rPr>
              <w:t>40,148</w:t>
            </w:r>
          </w:p>
        </w:tc>
        <w:tc>
          <w:tcPr>
            <w:tcW w:type="dxa" w:w="1247"/>
          </w:tcPr>
          <w:p>
            <w:pPr>
              <w:jc w:val="right"/>
            </w:pPr>
            <w:r/>
            <w:r>
              <w:rPr>
                <w:color w:val="1A1D21"/>
                <w:sz w:val="17"/>
              </w:rPr>
              <w:t>57,805</w:t>
            </w:r>
          </w:p>
        </w:tc>
        <w:tc>
          <w:tcPr>
            <w:tcW w:type="dxa" w:w="1247"/>
          </w:tcPr>
          <w:p>
            <w:pPr>
              <w:jc w:val="right"/>
            </w:pPr>
            <w:r/>
            <w:r>
              <w:rPr>
                <w:color w:val="1A1D21"/>
                <w:sz w:val="17"/>
              </w:rPr>
              <w:t>83,228</w:t>
            </w:r>
          </w:p>
        </w:tc>
        <w:tc>
          <w:tcPr>
            <w:tcW w:type="dxa" w:w="1247"/>
          </w:tcPr>
          <w:p>
            <w:pPr>
              <w:jc w:val="right"/>
            </w:pPr>
            <w:r/>
            <w:r>
              <w:rPr>
                <w:color w:val="1A1D21"/>
                <w:sz w:val="17"/>
              </w:rPr>
              <w:t>119,831</w:t>
            </w:r>
          </w:p>
        </w:tc>
        <w:tc>
          <w:tcPr>
            <w:tcW w:type="dxa" w:w="1247"/>
          </w:tcPr>
          <w:p>
            <w:pPr>
              <w:jc w:val="right"/>
            </w:pPr>
            <w:r/>
            <w:r>
              <w:rPr>
                <w:color w:val="1A1D21"/>
                <w:sz w:val="17"/>
              </w:rPr>
              <w:t>172,533</w:t>
            </w:r>
          </w:p>
        </w:tc>
      </w:tr>
      <w:tr>
        <w:trPr>
          <w:cantSplit/>
        </w:trPr>
        <w:tc>
          <w:tcPr>
            <w:tcW w:type="dxa" w:w="3515"/>
          </w:tcPr>
          <w:p>
            <w:r/>
            <w:r>
              <w:rPr>
                <w:color w:val="1A1D21"/>
                <w:sz w:val="17"/>
              </w:rPr>
              <w:t>Cost per delivered unit</w:t>
            </w:r>
          </w:p>
        </w:tc>
        <w:tc>
          <w:tcPr>
            <w:tcW w:type="dxa" w:w="1247"/>
          </w:tcPr>
          <w:p>
            <w:pPr>
              <w:jc w:val="right"/>
            </w:pPr>
            <w:r/>
            <w:r>
              <w:rPr>
                <w:color w:val="1A1D21"/>
                <w:sz w:val="17"/>
              </w:rPr>
              <w:t>13.13</w:t>
            </w:r>
          </w:p>
        </w:tc>
        <w:tc>
          <w:tcPr>
            <w:tcW w:type="dxa" w:w="1247"/>
          </w:tcPr>
          <w:p>
            <w:pPr>
              <w:jc w:val="right"/>
            </w:pPr>
            <w:r/>
            <w:r>
              <w:rPr>
                <w:color w:val="1A1D21"/>
                <w:sz w:val="17"/>
              </w:rPr>
              <w:t>16.44</w:t>
            </w:r>
          </w:p>
        </w:tc>
        <w:tc>
          <w:tcPr>
            <w:tcW w:type="dxa" w:w="1247"/>
          </w:tcPr>
          <w:p>
            <w:pPr>
              <w:jc w:val="right"/>
            </w:pPr>
            <w:r/>
            <w:r>
              <w:rPr>
                <w:color w:val="1A1D21"/>
                <w:sz w:val="17"/>
              </w:rPr>
              <w:t>20.59</w:t>
            </w:r>
          </w:p>
        </w:tc>
        <w:tc>
          <w:tcPr>
            <w:tcW w:type="dxa" w:w="1247"/>
          </w:tcPr>
          <w:p>
            <w:pPr>
              <w:jc w:val="right"/>
            </w:pPr>
            <w:r/>
            <w:r>
              <w:rPr>
                <w:color w:val="1A1D21"/>
                <w:sz w:val="17"/>
              </w:rPr>
              <w:t>25.77</w:t>
            </w:r>
          </w:p>
        </w:tc>
        <w:tc>
          <w:tcPr>
            <w:tcW w:type="dxa" w:w="1247"/>
          </w:tcPr>
          <w:p>
            <w:pPr>
              <w:jc w:val="right"/>
            </w:pPr>
            <w:r/>
            <w:r>
              <w:rPr>
                <w:color w:val="1A1D21"/>
                <w:sz w:val="17"/>
              </w:rPr>
              <w:t>32.27</w:t>
            </w:r>
          </w:p>
        </w:tc>
      </w:tr>
      <w:tr>
        <w:trPr>
          <w:cantSplit/>
        </w:trPr>
        <w:tc>
          <w:tcPr>
            <w:tcW w:type="dxa" w:w="3515"/>
          </w:tcPr>
          <w:p>
            <w:r/>
            <w:r>
              <w:rPr>
                <w:color w:val="1A1D21"/>
                <w:sz w:val="17"/>
              </w:rPr>
              <w:t>Cost of revenue</w:t>
            </w:r>
          </w:p>
        </w:tc>
        <w:tc>
          <w:tcPr>
            <w:tcW w:type="dxa" w:w="1247"/>
          </w:tcPr>
          <w:p>
            <w:pPr>
              <w:jc w:val="right"/>
            </w:pPr>
            <w:r/>
            <w:r>
              <w:rPr>
                <w:color w:val="1A1D21"/>
                <w:sz w:val="17"/>
              </w:rPr>
              <w:t>-24,762</w:t>
            </w:r>
          </w:p>
        </w:tc>
        <w:tc>
          <w:tcPr>
            <w:tcW w:type="dxa" w:w="1247"/>
          </w:tcPr>
          <w:p>
            <w:pPr>
              <w:jc w:val="right"/>
            </w:pPr>
            <w:r/>
            <w:r>
              <w:rPr>
                <w:color w:val="1A1D21"/>
                <w:sz w:val="17"/>
              </w:rPr>
              <w:t>-35,653</w:t>
            </w:r>
          </w:p>
        </w:tc>
        <w:tc>
          <w:tcPr>
            <w:tcW w:type="dxa" w:w="1247"/>
          </w:tcPr>
          <w:p>
            <w:pPr>
              <w:jc w:val="right"/>
            </w:pPr>
            <w:r/>
            <w:r>
              <w:rPr>
                <w:color w:val="1A1D21"/>
                <w:sz w:val="17"/>
              </w:rPr>
              <w:t>-51,333</w:t>
            </w:r>
          </w:p>
        </w:tc>
        <w:tc>
          <w:tcPr>
            <w:tcW w:type="dxa" w:w="1247"/>
          </w:tcPr>
          <w:p>
            <w:pPr>
              <w:jc w:val="right"/>
            </w:pPr>
            <w:r/>
            <w:r>
              <w:rPr>
                <w:color w:val="1A1D21"/>
                <w:sz w:val="17"/>
              </w:rPr>
              <w:t>-73,909</w:t>
            </w:r>
          </w:p>
        </w:tc>
        <w:tc>
          <w:tcPr>
            <w:tcW w:type="dxa" w:w="1247"/>
          </w:tcPr>
          <w:p>
            <w:pPr>
              <w:jc w:val="right"/>
            </w:pPr>
            <w:r/>
            <w:r>
              <w:rPr>
                <w:color w:val="1A1D21"/>
                <w:sz w:val="17"/>
              </w:rPr>
              <w:t>-106,414</w:t>
            </w:r>
          </w:p>
        </w:tc>
      </w:tr>
      <w:tr>
        <w:trPr>
          <w:cantSplit/>
        </w:trPr>
        <w:tc>
          <w:tcPr>
            <w:tcW w:type="dxa" w:w="3515"/>
          </w:tcPr>
          <w:p>
            <w:r/>
            <w:r>
              <w:rPr>
                <w:color w:val="1A1D21"/>
                <w:sz w:val="17"/>
              </w:rPr>
              <w:t>Gross profit</w:t>
            </w:r>
          </w:p>
        </w:tc>
        <w:tc>
          <w:tcPr>
            <w:tcW w:type="dxa" w:w="1247"/>
          </w:tcPr>
          <w:p>
            <w:pPr>
              <w:jc w:val="right"/>
            </w:pPr>
            <w:r/>
            <w:r>
              <w:rPr>
                <w:color w:val="1A1D21"/>
                <w:sz w:val="17"/>
              </w:rPr>
              <w:t>15,386</w:t>
            </w:r>
          </w:p>
        </w:tc>
        <w:tc>
          <w:tcPr>
            <w:tcW w:type="dxa" w:w="1247"/>
          </w:tcPr>
          <w:p>
            <w:pPr>
              <w:jc w:val="right"/>
            </w:pPr>
            <w:r/>
            <w:r>
              <w:rPr>
                <w:color w:val="1A1D21"/>
                <w:sz w:val="17"/>
              </w:rPr>
              <w:t>22,152</w:t>
            </w:r>
          </w:p>
        </w:tc>
        <w:tc>
          <w:tcPr>
            <w:tcW w:type="dxa" w:w="1247"/>
          </w:tcPr>
          <w:p>
            <w:pPr>
              <w:jc w:val="right"/>
            </w:pPr>
            <w:r/>
            <w:r>
              <w:rPr>
                <w:color w:val="1A1D21"/>
                <w:sz w:val="17"/>
              </w:rPr>
              <w:t>31,895</w:t>
            </w:r>
          </w:p>
        </w:tc>
        <w:tc>
          <w:tcPr>
            <w:tcW w:type="dxa" w:w="1247"/>
          </w:tcPr>
          <w:p>
            <w:pPr>
              <w:jc w:val="right"/>
            </w:pPr>
            <w:r/>
            <w:r>
              <w:rPr>
                <w:color w:val="1A1D21"/>
                <w:sz w:val="17"/>
              </w:rPr>
              <w:t>45,922</w:t>
            </w:r>
          </w:p>
        </w:tc>
        <w:tc>
          <w:tcPr>
            <w:tcW w:type="dxa" w:w="1247"/>
          </w:tcPr>
          <w:p>
            <w:pPr>
              <w:jc w:val="right"/>
            </w:pPr>
            <w:r/>
            <w:r>
              <w:rPr>
                <w:color w:val="1A1D21"/>
                <w:sz w:val="17"/>
              </w:rPr>
              <w:t>66,119</w:t>
            </w:r>
          </w:p>
        </w:tc>
      </w:tr>
      <w:tr>
        <w:trPr>
          <w:cantSplit/>
        </w:trPr>
        <w:tc>
          <w:tcPr>
            <w:tcW w:type="dxa" w:w="3515"/>
          </w:tcPr>
          <w:p>
            <w:r/>
            <w:r>
              <w:rPr>
                <w:color w:val="1A1D21"/>
                <w:sz w:val="17"/>
              </w:rPr>
              <w:t>Gross margin</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r>
      <w:tr>
        <w:trPr>
          <w:cantSplit/>
        </w:trPr>
        <w:tc>
          <w:tcPr>
            <w:tcW w:type="dxa" w:w="3515"/>
          </w:tcPr>
          <w:p>
            <w:r/>
            <w:r>
              <w:rPr>
                <w:color w:val="1A1D21"/>
                <w:sz w:val="17"/>
              </w:rPr>
              <w:t>Overheads</w:t>
            </w:r>
          </w:p>
        </w:tc>
        <w:tc>
          <w:tcPr>
            <w:tcW w:type="dxa" w:w="1247"/>
          </w:tcPr>
          <w:p>
            <w:pPr>
              <w:jc w:val="right"/>
            </w:pPr>
            <w:r/>
            <w:r>
              <w:rPr>
                <w:color w:val="1A1D21"/>
                <w:sz w:val="17"/>
              </w:rPr>
              <w:t>-7,066</w:t>
            </w:r>
          </w:p>
        </w:tc>
        <w:tc>
          <w:tcPr>
            <w:tcW w:type="dxa" w:w="1247"/>
          </w:tcPr>
          <w:p>
            <w:pPr>
              <w:jc w:val="right"/>
            </w:pPr>
            <w:r/>
            <w:r>
              <w:rPr>
                <w:color w:val="1A1D21"/>
                <w:sz w:val="17"/>
              </w:rPr>
              <w:t>-10,173</w:t>
            </w:r>
          </w:p>
        </w:tc>
        <w:tc>
          <w:tcPr>
            <w:tcW w:type="dxa" w:w="1247"/>
          </w:tcPr>
          <w:p>
            <w:pPr>
              <w:jc w:val="right"/>
            </w:pPr>
            <w:r/>
            <w:r>
              <w:rPr>
                <w:color w:val="1A1D21"/>
                <w:sz w:val="17"/>
              </w:rPr>
              <w:t>-14,648</w:t>
            </w:r>
          </w:p>
        </w:tc>
        <w:tc>
          <w:tcPr>
            <w:tcW w:type="dxa" w:w="1247"/>
          </w:tcPr>
          <w:p>
            <w:pPr>
              <w:jc w:val="right"/>
            </w:pPr>
            <w:r/>
            <w:r>
              <w:rPr>
                <w:color w:val="1A1D21"/>
                <w:sz w:val="17"/>
              </w:rPr>
              <w:t>-21,090</w:t>
            </w:r>
          </w:p>
        </w:tc>
        <w:tc>
          <w:tcPr>
            <w:tcW w:type="dxa" w:w="1247"/>
          </w:tcPr>
          <w:p>
            <w:pPr>
              <w:jc w:val="right"/>
            </w:pPr>
            <w:r/>
            <w:r>
              <w:rPr>
                <w:color w:val="1A1D21"/>
                <w:sz w:val="17"/>
              </w:rPr>
              <w:t>-30,365</w:t>
            </w:r>
          </w:p>
        </w:tc>
      </w:tr>
      <w:tr>
        <w:trPr>
          <w:cantSplit/>
        </w:trPr>
        <w:tc>
          <w:tcPr>
            <w:tcW w:type="dxa" w:w="3515"/>
          </w:tcPr>
          <w:p>
            <w:r/>
            <w:r>
              <w:rPr>
                <w:color w:val="1A1D21"/>
                <w:sz w:val="17"/>
              </w:rPr>
              <w:t>Depreciation and amortisation</w:t>
            </w:r>
          </w:p>
        </w:tc>
        <w:tc>
          <w:tcPr>
            <w:tcW w:type="dxa" w:w="1247"/>
          </w:tcPr>
          <w:p>
            <w:pPr>
              <w:jc w:val="right"/>
            </w:pPr>
            <w:r/>
            <w:r>
              <w:rPr>
                <w:color w:val="1A1D21"/>
                <w:sz w:val="17"/>
              </w:rPr>
              <w:t>-393</w:t>
            </w:r>
          </w:p>
        </w:tc>
        <w:tc>
          <w:tcPr>
            <w:tcW w:type="dxa" w:w="1247"/>
          </w:tcPr>
          <w:p>
            <w:pPr>
              <w:jc w:val="right"/>
            </w:pPr>
            <w:r/>
            <w:r>
              <w:rPr>
                <w:color w:val="1A1D21"/>
                <w:sz w:val="17"/>
              </w:rPr>
              <w:t>-565</w:t>
            </w:r>
          </w:p>
        </w:tc>
        <w:tc>
          <w:tcPr>
            <w:tcW w:type="dxa" w:w="1247"/>
          </w:tcPr>
          <w:p>
            <w:pPr>
              <w:jc w:val="right"/>
            </w:pPr>
            <w:r/>
            <w:r>
              <w:rPr>
                <w:color w:val="1A1D21"/>
                <w:sz w:val="17"/>
              </w:rPr>
              <w:t>-814</w:t>
            </w:r>
          </w:p>
        </w:tc>
        <w:tc>
          <w:tcPr>
            <w:tcW w:type="dxa" w:w="1247"/>
          </w:tcPr>
          <w:p>
            <w:pPr>
              <w:jc w:val="right"/>
            </w:pPr>
            <w:r/>
            <w:r>
              <w:rPr>
                <w:color w:val="1A1D21"/>
                <w:sz w:val="17"/>
              </w:rPr>
              <w:t>-1,172</w:t>
            </w:r>
          </w:p>
        </w:tc>
        <w:tc>
          <w:tcPr>
            <w:tcW w:type="dxa" w:w="1247"/>
          </w:tcPr>
          <w:p>
            <w:pPr>
              <w:jc w:val="right"/>
            </w:pPr>
            <w:r/>
            <w:r>
              <w:rPr>
                <w:color w:val="1A1D21"/>
                <w:sz w:val="17"/>
              </w:rPr>
              <w:t>-1,687</w:t>
            </w:r>
          </w:p>
        </w:tc>
      </w:tr>
      <w:tr>
        <w:trPr>
          <w:cantSplit/>
        </w:trPr>
        <w:tc>
          <w:tcPr>
            <w:tcW w:type="dxa" w:w="3515"/>
          </w:tcPr>
          <w:p>
            <w:r/>
            <w:r>
              <w:rPr>
                <w:color w:val="1A1D21"/>
                <w:sz w:val="17"/>
              </w:rPr>
              <w:t>Operating profit</w:t>
            </w:r>
          </w:p>
        </w:tc>
        <w:tc>
          <w:tcPr>
            <w:tcW w:type="dxa" w:w="1247"/>
          </w:tcPr>
          <w:p>
            <w:pPr>
              <w:jc w:val="right"/>
            </w:pPr>
            <w:r/>
            <w:r>
              <w:rPr>
                <w:color w:val="1A1D21"/>
                <w:sz w:val="17"/>
              </w:rPr>
              <w:t>7,927</w:t>
            </w:r>
          </w:p>
        </w:tc>
        <w:tc>
          <w:tcPr>
            <w:tcW w:type="dxa" w:w="1247"/>
          </w:tcPr>
          <w:p>
            <w:pPr>
              <w:jc w:val="right"/>
            </w:pPr>
            <w:r/>
            <w:r>
              <w:rPr>
                <w:color w:val="1A1D21"/>
                <w:sz w:val="17"/>
              </w:rPr>
              <w:t>11,414</w:t>
            </w:r>
          </w:p>
        </w:tc>
        <w:tc>
          <w:tcPr>
            <w:tcW w:type="dxa" w:w="1247"/>
          </w:tcPr>
          <w:p>
            <w:pPr>
              <w:jc w:val="right"/>
            </w:pPr>
            <w:r/>
            <w:r>
              <w:rPr>
                <w:color w:val="1A1D21"/>
                <w:sz w:val="17"/>
              </w:rPr>
              <w:t>16,433</w:t>
            </w:r>
          </w:p>
        </w:tc>
        <w:tc>
          <w:tcPr>
            <w:tcW w:type="dxa" w:w="1247"/>
          </w:tcPr>
          <w:p>
            <w:pPr>
              <w:jc w:val="right"/>
            </w:pPr>
            <w:r/>
            <w:r>
              <w:rPr>
                <w:color w:val="1A1D21"/>
                <w:sz w:val="17"/>
              </w:rPr>
              <w:t>23,661</w:t>
            </w:r>
          </w:p>
        </w:tc>
        <w:tc>
          <w:tcPr>
            <w:tcW w:type="dxa" w:w="1247"/>
          </w:tcPr>
          <w:p>
            <w:pPr>
              <w:jc w:val="right"/>
            </w:pPr>
            <w:r/>
            <w:r>
              <w:rPr>
                <w:color w:val="1A1D21"/>
                <w:sz w:val="17"/>
              </w:rPr>
              <w:t>34,067</w:t>
            </w:r>
          </w:p>
        </w:tc>
      </w:tr>
      <w:tr>
        <w:trPr>
          <w:cantSplit/>
        </w:trPr>
        <w:tc>
          <w:tcPr>
            <w:tcW w:type="dxa" w:w="3515"/>
          </w:tcPr>
          <w:p>
            <w:r/>
            <w:r>
              <w:rPr>
                <w:color w:val="1A1D21"/>
                <w:sz w:val="17"/>
              </w:rPr>
              <w:t>Finance cost</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r>
      <w:tr>
        <w:trPr>
          <w:cantSplit/>
        </w:trPr>
        <w:tc>
          <w:tcPr>
            <w:tcW w:type="dxa" w:w="3515"/>
          </w:tcPr>
          <w:p>
            <w:r/>
            <w:r>
              <w:rPr>
                <w:color w:val="1A1D21"/>
                <w:sz w:val="17"/>
              </w:rPr>
              <w:t>Profit before tax</w:t>
            </w:r>
          </w:p>
        </w:tc>
        <w:tc>
          <w:tcPr>
            <w:tcW w:type="dxa" w:w="1247"/>
          </w:tcPr>
          <w:p>
            <w:pPr>
              <w:jc w:val="right"/>
            </w:pPr>
            <w:r/>
            <w:r>
              <w:rPr>
                <w:color w:val="1A1D21"/>
                <w:sz w:val="17"/>
              </w:rPr>
              <w:t>4,580</w:t>
            </w:r>
          </w:p>
        </w:tc>
        <w:tc>
          <w:tcPr>
            <w:tcW w:type="dxa" w:w="1247"/>
          </w:tcPr>
          <w:p>
            <w:pPr>
              <w:jc w:val="right"/>
            </w:pPr>
            <w:r/>
            <w:r>
              <w:rPr>
                <w:color w:val="1A1D21"/>
                <w:sz w:val="17"/>
              </w:rPr>
              <w:t>8,066</w:t>
            </w:r>
          </w:p>
        </w:tc>
        <w:tc>
          <w:tcPr>
            <w:tcW w:type="dxa" w:w="1247"/>
          </w:tcPr>
          <w:p>
            <w:pPr>
              <w:jc w:val="right"/>
            </w:pPr>
            <w:r/>
            <w:r>
              <w:rPr>
                <w:color w:val="1A1D21"/>
                <w:sz w:val="17"/>
              </w:rPr>
              <w:t>13,086</w:t>
            </w:r>
          </w:p>
        </w:tc>
        <w:tc>
          <w:tcPr>
            <w:tcW w:type="dxa" w:w="1247"/>
          </w:tcPr>
          <w:p>
            <w:pPr>
              <w:jc w:val="right"/>
            </w:pPr>
            <w:r/>
            <w:r>
              <w:rPr>
                <w:color w:val="1A1D21"/>
                <w:sz w:val="17"/>
              </w:rPr>
              <w:t>20,313</w:t>
            </w:r>
          </w:p>
        </w:tc>
        <w:tc>
          <w:tcPr>
            <w:tcW w:type="dxa" w:w="1247"/>
          </w:tcPr>
          <w:p>
            <w:pPr>
              <w:jc w:val="right"/>
            </w:pPr>
            <w:r/>
            <w:r>
              <w:rPr>
                <w:color w:val="1A1D21"/>
                <w:sz w:val="17"/>
              </w:rPr>
              <w:t>30,719</w:t>
            </w:r>
          </w:p>
        </w:tc>
      </w:tr>
      <w:tr>
        <w:trPr>
          <w:cantSplit/>
        </w:trPr>
        <w:tc>
          <w:tcPr>
            <w:tcW w:type="dxa" w:w="3515"/>
          </w:tcPr>
          <w:p>
            <w:r/>
            <w:r>
              <w:rPr>
                <w:color w:val="1A1D21"/>
                <w:sz w:val="17"/>
              </w:rPr>
              <w:t>Tax</w:t>
            </w:r>
          </w:p>
        </w:tc>
        <w:tc>
          <w:tcPr>
            <w:tcW w:type="dxa" w:w="1247"/>
          </w:tcPr>
          <w:p>
            <w:pPr>
              <w:jc w:val="right"/>
            </w:pPr>
            <w:r/>
            <w:r>
              <w:rPr>
                <w:color w:val="1A1D21"/>
                <w:sz w:val="17"/>
              </w:rPr>
              <w:t>-1,030</w:t>
            </w:r>
          </w:p>
        </w:tc>
        <w:tc>
          <w:tcPr>
            <w:tcW w:type="dxa" w:w="1247"/>
          </w:tcPr>
          <w:p>
            <w:pPr>
              <w:jc w:val="right"/>
            </w:pPr>
            <w:r/>
            <w:r>
              <w:rPr>
                <w:color w:val="1A1D21"/>
                <w:sz w:val="17"/>
              </w:rPr>
              <w:t>-1,815</w:t>
            </w:r>
          </w:p>
        </w:tc>
        <w:tc>
          <w:tcPr>
            <w:tcW w:type="dxa" w:w="1247"/>
          </w:tcPr>
          <w:p>
            <w:pPr>
              <w:jc w:val="right"/>
            </w:pPr>
            <w:r/>
            <w:r>
              <w:rPr>
                <w:color w:val="1A1D21"/>
                <w:sz w:val="17"/>
              </w:rPr>
              <w:t>-2,944</w:t>
            </w:r>
          </w:p>
        </w:tc>
        <w:tc>
          <w:tcPr>
            <w:tcW w:type="dxa" w:w="1247"/>
          </w:tcPr>
          <w:p>
            <w:pPr>
              <w:jc w:val="right"/>
            </w:pPr>
            <w:r/>
            <w:r>
              <w:rPr>
                <w:color w:val="1A1D21"/>
                <w:sz w:val="17"/>
              </w:rPr>
              <w:t>-4,570</w:t>
            </w:r>
          </w:p>
        </w:tc>
        <w:tc>
          <w:tcPr>
            <w:tcW w:type="dxa" w:w="1247"/>
          </w:tcPr>
          <w:p>
            <w:pPr>
              <w:jc w:val="right"/>
            </w:pPr>
            <w:r/>
            <w:r>
              <w:rPr>
                <w:color w:val="1A1D21"/>
                <w:sz w:val="17"/>
              </w:rPr>
              <w:t>-6,912</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Earnings per share (EGP)</w:t>
            </w:r>
          </w:p>
        </w:tc>
        <w:tc>
          <w:tcPr>
            <w:tcW w:type="dxa" w:w="1247"/>
          </w:tcPr>
          <w:p>
            <w:pPr>
              <w:jc w:val="right"/>
            </w:pPr>
            <w:r/>
            <w:r>
              <w:rPr>
                <w:color w:val="1A1D21"/>
                <w:sz w:val="17"/>
              </w:rPr>
              <w:t>1.24</w:t>
            </w:r>
          </w:p>
        </w:tc>
        <w:tc>
          <w:tcPr>
            <w:tcW w:type="dxa" w:w="1247"/>
          </w:tcPr>
          <w:p>
            <w:pPr>
              <w:jc w:val="right"/>
            </w:pPr>
            <w:r/>
            <w:r>
              <w:rPr>
                <w:color w:val="1A1D21"/>
                <w:sz w:val="17"/>
              </w:rPr>
              <w:t>2.19</w:t>
            </w:r>
          </w:p>
        </w:tc>
        <w:tc>
          <w:tcPr>
            <w:tcW w:type="dxa" w:w="1247"/>
          </w:tcPr>
          <w:p>
            <w:pPr>
              <w:jc w:val="right"/>
            </w:pPr>
            <w:r/>
            <w:r>
              <w:rPr>
                <w:color w:val="1A1D21"/>
                <w:sz w:val="17"/>
              </w:rPr>
              <w:t>3.55</w:t>
            </w:r>
          </w:p>
        </w:tc>
        <w:tc>
          <w:tcPr>
            <w:tcW w:type="dxa" w:w="1247"/>
          </w:tcPr>
          <w:p>
            <w:pPr>
              <w:jc w:val="right"/>
            </w:pPr>
            <w:r/>
            <w:r>
              <w:rPr>
                <w:color w:val="1A1D21"/>
                <w:sz w:val="17"/>
              </w:rPr>
              <w:t>5.50</w:t>
            </w:r>
          </w:p>
        </w:tc>
        <w:tc>
          <w:tcPr>
            <w:tcW w:type="dxa" w:w="1247"/>
          </w:tcPr>
          <w:p>
            <w:pPr>
              <w:jc w:val="right"/>
            </w:pPr>
            <w:r/>
            <w:r>
              <w:rPr>
                <w:color w:val="1A1D21"/>
                <w:sz w:val="17"/>
              </w:rPr>
              <w:t>8.32</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balance sheet,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Trade and notes receivable</w:t>
            </w:r>
          </w:p>
        </w:tc>
        <w:tc>
          <w:tcPr>
            <w:tcW w:type="dxa" w:w="1247"/>
          </w:tcPr>
          <w:p>
            <w:pPr>
              <w:jc w:val="right"/>
            </w:pPr>
            <w:r/>
            <w:r>
              <w:rPr>
                <w:color w:val="1A1D21"/>
                <w:sz w:val="17"/>
              </w:rPr>
              <w:t>104,248</w:t>
            </w:r>
          </w:p>
        </w:tc>
        <w:tc>
          <w:tcPr>
            <w:tcW w:type="dxa" w:w="1247"/>
          </w:tcPr>
          <w:p>
            <w:pPr>
              <w:jc w:val="right"/>
            </w:pPr>
            <w:r/>
            <w:r>
              <w:rPr>
                <w:color w:val="1A1D21"/>
                <w:sz w:val="17"/>
              </w:rPr>
              <w:t>107,203</w:t>
            </w:r>
          </w:p>
        </w:tc>
        <w:tc>
          <w:tcPr>
            <w:tcW w:type="dxa" w:w="1247"/>
          </w:tcPr>
          <w:p>
            <w:pPr>
              <w:jc w:val="right"/>
            </w:pPr>
            <w:r/>
            <w:r>
              <w:rPr>
                <w:color w:val="1A1D21"/>
                <w:sz w:val="17"/>
              </w:rPr>
              <w:t>113,354</w:t>
            </w:r>
          </w:p>
        </w:tc>
        <w:tc>
          <w:tcPr>
            <w:tcW w:type="dxa" w:w="1247"/>
          </w:tcPr>
          <w:p>
            <w:pPr>
              <w:jc w:val="right"/>
            </w:pPr>
            <w:r/>
            <w:r>
              <w:rPr>
                <w:color w:val="1A1D21"/>
                <w:sz w:val="17"/>
              </w:rPr>
              <w:t>124,104</w:t>
            </w:r>
          </w:p>
        </w:tc>
        <w:tc>
          <w:tcPr>
            <w:tcW w:type="dxa" w:w="1247"/>
          </w:tcPr>
          <w:p>
            <w:pPr>
              <w:jc w:val="right"/>
            </w:pPr>
            <w:r/>
            <w:r>
              <w:rPr>
                <w:color w:val="1A1D21"/>
                <w:sz w:val="17"/>
              </w:rPr>
              <w:t>141,478</w:t>
            </w:r>
          </w:p>
        </w:tc>
      </w:tr>
      <w:tr>
        <w:trPr>
          <w:cantSplit/>
        </w:trPr>
        <w:tc>
          <w:tcPr>
            <w:tcW w:type="dxa" w:w="3515"/>
          </w:tcPr>
          <w:p>
            <w:r/>
            <w:r>
              <w:rPr>
                <w:color w:val="1A1D21"/>
                <w:sz w:val="17"/>
              </w:rPr>
              <w:t>Work in progress</w:t>
            </w:r>
          </w:p>
        </w:tc>
        <w:tc>
          <w:tcPr>
            <w:tcW w:type="dxa" w:w="1247"/>
          </w:tcPr>
          <w:p>
            <w:pPr>
              <w:jc w:val="right"/>
            </w:pPr>
            <w:r/>
            <w:r>
              <w:rPr>
                <w:color w:val="1A1D21"/>
                <w:sz w:val="17"/>
              </w:rPr>
              <w:t>17,696</w:t>
            </w:r>
          </w:p>
        </w:tc>
        <w:tc>
          <w:tcPr>
            <w:tcW w:type="dxa" w:w="1247"/>
          </w:tcPr>
          <w:p>
            <w:pPr>
              <w:jc w:val="right"/>
            </w:pPr>
            <w:r/>
            <w:r>
              <w:rPr>
                <w:color w:val="1A1D21"/>
                <w:sz w:val="17"/>
              </w:rPr>
              <w:t>18,198</w:t>
            </w:r>
          </w:p>
        </w:tc>
        <w:tc>
          <w:tcPr>
            <w:tcW w:type="dxa" w:w="1247"/>
          </w:tcPr>
          <w:p>
            <w:pPr>
              <w:jc w:val="right"/>
            </w:pPr>
            <w:r/>
            <w:r>
              <w:rPr>
                <w:color w:val="1A1D21"/>
                <w:sz w:val="17"/>
              </w:rPr>
              <w:t>19,242</w:t>
            </w:r>
          </w:p>
        </w:tc>
        <w:tc>
          <w:tcPr>
            <w:tcW w:type="dxa" w:w="1247"/>
          </w:tcPr>
          <w:p>
            <w:pPr>
              <w:jc w:val="right"/>
            </w:pPr>
            <w:r/>
            <w:r>
              <w:rPr>
                <w:color w:val="1A1D21"/>
                <w:sz w:val="17"/>
              </w:rPr>
              <w:t>21,067</w:t>
            </w:r>
          </w:p>
        </w:tc>
        <w:tc>
          <w:tcPr>
            <w:tcW w:type="dxa" w:w="1247"/>
          </w:tcPr>
          <w:p>
            <w:pPr>
              <w:jc w:val="right"/>
            </w:pPr>
            <w:r/>
            <w:r>
              <w:rPr>
                <w:color w:val="1A1D21"/>
                <w:sz w:val="17"/>
              </w:rPr>
              <w:t>24,016</w:t>
            </w:r>
          </w:p>
        </w:tc>
      </w:tr>
      <w:tr>
        <w:trPr>
          <w:cantSplit/>
        </w:trPr>
        <w:tc>
          <w:tcPr>
            <w:tcW w:type="dxa" w:w="3515"/>
          </w:tcPr>
          <w:p>
            <w:r/>
            <w:r>
              <w:rPr>
                <w:color w:val="1A1D21"/>
                <w:sz w:val="17"/>
              </w:rPr>
              <w:t>Other receivables and prepayments</w:t>
            </w:r>
          </w:p>
        </w:tc>
        <w:tc>
          <w:tcPr>
            <w:tcW w:type="dxa" w:w="1247"/>
          </w:tcPr>
          <w:p>
            <w:pPr>
              <w:jc w:val="right"/>
            </w:pPr>
            <w:r/>
            <w:r>
              <w:rPr>
                <w:color w:val="1A1D21"/>
                <w:sz w:val="17"/>
              </w:rPr>
              <w:t>13,014</w:t>
            </w:r>
          </w:p>
        </w:tc>
        <w:tc>
          <w:tcPr>
            <w:tcW w:type="dxa" w:w="1247"/>
          </w:tcPr>
          <w:p>
            <w:pPr>
              <w:jc w:val="right"/>
            </w:pPr>
            <w:r/>
            <w:r>
              <w:rPr>
                <w:color w:val="1A1D21"/>
                <w:sz w:val="17"/>
              </w:rPr>
              <w:t>13,383</w:t>
            </w:r>
          </w:p>
        </w:tc>
        <w:tc>
          <w:tcPr>
            <w:tcW w:type="dxa" w:w="1247"/>
          </w:tcPr>
          <w:p>
            <w:pPr>
              <w:jc w:val="right"/>
            </w:pPr>
            <w:r/>
            <w:r>
              <w:rPr>
                <w:color w:val="1A1D21"/>
                <w:sz w:val="17"/>
              </w:rPr>
              <w:t>14,151</w:t>
            </w:r>
          </w:p>
        </w:tc>
        <w:tc>
          <w:tcPr>
            <w:tcW w:type="dxa" w:w="1247"/>
          </w:tcPr>
          <w:p>
            <w:pPr>
              <w:jc w:val="right"/>
            </w:pPr>
            <w:r/>
            <w:r>
              <w:rPr>
                <w:color w:val="1A1D21"/>
                <w:sz w:val="17"/>
              </w:rPr>
              <w:t>15,493</w:t>
            </w:r>
          </w:p>
        </w:tc>
        <w:tc>
          <w:tcPr>
            <w:tcW w:type="dxa" w:w="1247"/>
          </w:tcPr>
          <w:p>
            <w:pPr>
              <w:jc w:val="right"/>
            </w:pPr>
            <w:r/>
            <w:r>
              <w:rPr>
                <w:color w:val="1A1D21"/>
                <w:sz w:val="17"/>
              </w:rPr>
              <w:t>17,662</w:t>
            </w:r>
          </w:p>
        </w:tc>
      </w:tr>
      <w:tr>
        <w:trPr>
          <w:cantSplit/>
        </w:trPr>
        <w:tc>
          <w:tcPr>
            <w:tcW w:type="dxa" w:w="3515"/>
          </w:tcPr>
          <w:p>
            <w:r/>
            <w:r>
              <w:rPr>
                <w:color w:val="1A1D21"/>
                <w:sz w:val="17"/>
              </w:rPr>
              <w:t>Advances to suppliers</w:t>
            </w:r>
          </w:p>
        </w:tc>
        <w:tc>
          <w:tcPr>
            <w:tcW w:type="dxa" w:w="1247"/>
          </w:tcPr>
          <w:p>
            <w:pPr>
              <w:jc w:val="right"/>
            </w:pPr>
            <w:r/>
            <w:r>
              <w:rPr>
                <w:color w:val="1A1D21"/>
                <w:sz w:val="17"/>
              </w:rPr>
              <w:t>9,121</w:t>
            </w:r>
          </w:p>
        </w:tc>
        <w:tc>
          <w:tcPr>
            <w:tcW w:type="dxa" w:w="1247"/>
          </w:tcPr>
          <w:p>
            <w:pPr>
              <w:jc w:val="right"/>
            </w:pPr>
            <w:r/>
            <w:r>
              <w:rPr>
                <w:color w:val="1A1D21"/>
                <w:sz w:val="17"/>
              </w:rPr>
              <w:t>9,379</w:t>
            </w:r>
          </w:p>
        </w:tc>
        <w:tc>
          <w:tcPr>
            <w:tcW w:type="dxa" w:w="1247"/>
          </w:tcPr>
          <w:p>
            <w:pPr>
              <w:jc w:val="right"/>
            </w:pPr>
            <w:r/>
            <w:r>
              <w:rPr>
                <w:color w:val="1A1D21"/>
                <w:sz w:val="17"/>
              </w:rPr>
              <w:t>9,917</w:t>
            </w:r>
          </w:p>
        </w:tc>
        <w:tc>
          <w:tcPr>
            <w:tcW w:type="dxa" w:w="1247"/>
          </w:tcPr>
          <w:p>
            <w:pPr>
              <w:jc w:val="right"/>
            </w:pPr>
            <w:r/>
            <w:r>
              <w:rPr>
                <w:color w:val="1A1D21"/>
                <w:sz w:val="17"/>
              </w:rPr>
              <w:t>10,858</w:t>
            </w:r>
          </w:p>
        </w:tc>
        <w:tc>
          <w:tcPr>
            <w:tcW w:type="dxa" w:w="1247"/>
          </w:tcPr>
          <w:p>
            <w:pPr>
              <w:jc w:val="right"/>
            </w:pPr>
            <w:r/>
            <w:r>
              <w:rPr>
                <w:color w:val="1A1D21"/>
                <w:sz w:val="17"/>
              </w:rPr>
              <w:t>12,378</w:t>
            </w:r>
          </w:p>
        </w:tc>
      </w:tr>
      <w:tr>
        <w:trPr>
          <w:cantSplit/>
        </w:trPr>
        <w:tc>
          <w:tcPr>
            <w:tcW w:type="dxa" w:w="3515"/>
          </w:tcPr>
          <w:p>
            <w:r/>
            <w:r>
              <w:rPr>
                <w:color w:val="1A1D21"/>
                <w:sz w:val="17"/>
              </w:rPr>
              <w:t>Cash and equivalents</w:t>
            </w:r>
          </w:p>
        </w:tc>
        <w:tc>
          <w:tcPr>
            <w:tcW w:type="dxa" w:w="1247"/>
          </w:tcPr>
          <w:p>
            <w:pPr>
              <w:jc w:val="right"/>
            </w:pPr>
            <w:r/>
            <w:r>
              <w:rPr>
                <w:color w:val="1A1D21"/>
                <w:sz w:val="17"/>
              </w:rPr>
              <w:t>12,516</w:t>
            </w:r>
          </w:p>
        </w:tc>
        <w:tc>
          <w:tcPr>
            <w:tcW w:type="dxa" w:w="1247"/>
          </w:tcPr>
          <w:p>
            <w:pPr>
              <w:jc w:val="right"/>
            </w:pPr>
            <w:r/>
            <w:r>
              <w:rPr>
                <w:color w:val="1A1D21"/>
                <w:sz w:val="17"/>
              </w:rPr>
              <w:t>16,975</w:t>
            </w:r>
          </w:p>
        </w:tc>
        <w:tc>
          <w:tcPr>
            <w:tcW w:type="dxa" w:w="1247"/>
          </w:tcPr>
          <w:p>
            <w:pPr>
              <w:jc w:val="right"/>
            </w:pPr>
            <w:r/>
            <w:r>
              <w:rPr>
                <w:color w:val="1A1D21"/>
                <w:sz w:val="17"/>
              </w:rPr>
              <w:t>23,395</w:t>
            </w:r>
          </w:p>
        </w:tc>
        <w:tc>
          <w:tcPr>
            <w:tcW w:type="dxa" w:w="1247"/>
          </w:tcPr>
          <w:p>
            <w:pPr>
              <w:jc w:val="right"/>
            </w:pPr>
            <w:r/>
            <w:r>
              <w:rPr>
                <w:color w:val="1A1D21"/>
                <w:sz w:val="17"/>
              </w:rPr>
              <w:t>32,639</w:t>
            </w:r>
          </w:p>
        </w:tc>
        <w:tc>
          <w:tcPr>
            <w:tcW w:type="dxa" w:w="1247"/>
          </w:tcPr>
          <w:p>
            <w:pPr>
              <w:jc w:val="right"/>
            </w:pPr>
            <w:r/>
            <w:r>
              <w:rPr>
                <w:color w:val="1A1D21"/>
                <w:sz w:val="17"/>
              </w:rPr>
              <w:t>45,947</w:t>
            </w:r>
          </w:p>
        </w:tc>
      </w:tr>
      <w:tr>
        <w:trPr>
          <w:cantSplit/>
        </w:trPr>
        <w:tc>
          <w:tcPr>
            <w:tcW w:type="dxa" w:w="3515"/>
          </w:tcPr>
          <w:p>
            <w:r/>
            <w:r>
              <w:rPr>
                <w:color w:val="1A1D21"/>
                <w:sz w:val="17"/>
              </w:rPr>
              <w:t>Property and equipment</w:t>
            </w:r>
          </w:p>
        </w:tc>
        <w:tc>
          <w:tcPr>
            <w:tcW w:type="dxa" w:w="1247"/>
          </w:tcPr>
          <w:p>
            <w:pPr>
              <w:jc w:val="right"/>
            </w:pPr>
            <w:r/>
            <w:r>
              <w:rPr>
                <w:color w:val="1A1D21"/>
                <w:sz w:val="17"/>
              </w:rPr>
              <w:t>4,531</w:t>
            </w:r>
          </w:p>
        </w:tc>
        <w:tc>
          <w:tcPr>
            <w:tcW w:type="dxa" w:w="1247"/>
          </w:tcPr>
          <w:p>
            <w:pPr>
              <w:jc w:val="right"/>
            </w:pPr>
            <w:r/>
            <w:r>
              <w:rPr>
                <w:color w:val="1A1D21"/>
                <w:sz w:val="17"/>
              </w:rPr>
              <w:t>4,544</w:t>
            </w:r>
          </w:p>
        </w:tc>
        <w:tc>
          <w:tcPr>
            <w:tcW w:type="dxa" w:w="1247"/>
          </w:tcPr>
          <w:p>
            <w:pPr>
              <w:jc w:val="right"/>
            </w:pPr>
            <w:r/>
            <w:r>
              <w:rPr>
                <w:color w:val="1A1D21"/>
                <w:sz w:val="17"/>
              </w:rPr>
              <w:t>4,562</w:t>
            </w:r>
          </w:p>
        </w:tc>
        <w:tc>
          <w:tcPr>
            <w:tcW w:type="dxa" w:w="1247"/>
          </w:tcPr>
          <w:p>
            <w:pPr>
              <w:jc w:val="right"/>
            </w:pPr>
            <w:r/>
            <w:r>
              <w:rPr>
                <w:color w:val="1A1D21"/>
                <w:sz w:val="17"/>
              </w:rPr>
              <w:t>4,589</w:t>
            </w:r>
          </w:p>
        </w:tc>
        <w:tc>
          <w:tcPr>
            <w:tcW w:type="dxa" w:w="1247"/>
          </w:tcPr>
          <w:p>
            <w:pPr>
              <w:jc w:val="right"/>
            </w:pPr>
            <w:r/>
            <w:r>
              <w:rPr>
                <w:color w:val="1A1D21"/>
                <w:sz w:val="17"/>
              </w:rPr>
              <w:t>4,627</w:t>
            </w:r>
          </w:p>
        </w:tc>
      </w:tr>
      <w:tr>
        <w:trPr>
          <w:cantSplit/>
        </w:trPr>
        <w:tc>
          <w:tcPr>
            <w:tcW w:type="dxa" w:w="3515"/>
          </w:tcPr>
          <w:p>
            <w:r/>
            <w:r>
              <w:rPr>
                <w:color w:val="1A1D21"/>
                <w:sz w:val="17"/>
              </w:rPr>
              <w:t>Other assets, held at the 2025 level</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r>
      <w:tr>
        <w:trPr>
          <w:cantSplit/>
        </w:trPr>
        <w:tc>
          <w:tcPr>
            <w:tcW w:type="dxa" w:w="3515"/>
          </w:tcPr>
          <w:p>
            <w:r/>
            <w:r>
              <w:rPr>
                <w:color w:val="1A1D21"/>
                <w:sz w:val="17"/>
              </w:rPr>
              <w:t>Total assets</w:t>
            </w:r>
          </w:p>
        </w:tc>
        <w:tc>
          <w:tcPr>
            <w:tcW w:type="dxa" w:w="1247"/>
          </w:tcPr>
          <w:p>
            <w:pPr>
              <w:jc w:val="right"/>
            </w:pPr>
            <w:r/>
            <w:r>
              <w:rPr>
                <w:color w:val="1A1D21"/>
                <w:sz w:val="17"/>
              </w:rPr>
              <w:t>176,254</w:t>
            </w:r>
          </w:p>
        </w:tc>
        <w:tc>
          <w:tcPr>
            <w:tcW w:type="dxa" w:w="1247"/>
          </w:tcPr>
          <w:p>
            <w:pPr>
              <w:jc w:val="right"/>
            </w:pPr>
            <w:r/>
            <w:r>
              <w:rPr>
                <w:color w:val="1A1D21"/>
                <w:sz w:val="17"/>
              </w:rPr>
              <w:t>184,810</w:t>
            </w:r>
          </w:p>
        </w:tc>
        <w:tc>
          <w:tcPr>
            <w:tcW w:type="dxa" w:w="1247"/>
          </w:tcPr>
          <w:p>
            <w:pPr>
              <w:jc w:val="right"/>
            </w:pPr>
            <w:r/>
            <w:r>
              <w:rPr>
                <w:color w:val="1A1D21"/>
                <w:sz w:val="17"/>
              </w:rPr>
              <w:t>199,749</w:t>
            </w:r>
          </w:p>
        </w:tc>
        <w:tc>
          <w:tcPr>
            <w:tcW w:type="dxa" w:w="1247"/>
          </w:tcPr>
          <w:p>
            <w:pPr>
              <w:jc w:val="right"/>
            </w:pPr>
            <w:r/>
            <w:r>
              <w:rPr>
                <w:color w:val="1A1D21"/>
                <w:sz w:val="17"/>
              </w:rPr>
              <w:t>223,877</w:t>
            </w:r>
          </w:p>
        </w:tc>
        <w:tc>
          <w:tcPr>
            <w:tcW w:type="dxa" w:w="1247"/>
          </w:tcPr>
          <w:p>
            <w:pPr>
              <w:jc w:val="right"/>
            </w:pPr>
            <w:r/>
            <w:r>
              <w:rPr>
                <w:color w:val="1A1D21"/>
                <w:sz w:val="17"/>
              </w:rPr>
              <w:t>261,235</w:t>
            </w:r>
          </w:p>
        </w:tc>
      </w:tr>
      <w:tr>
        <w:trPr>
          <w:cantSplit/>
        </w:trPr>
        <w:tc>
          <w:tcPr>
            <w:tcW w:type="dxa" w:w="3515"/>
          </w:tcPr>
          <w:p>
            <w:r/>
            <w:r>
              <w:rPr>
                <w:color w:val="1A1D21"/>
                <w:sz w:val="17"/>
              </w:rPr>
              <w:t>Customer advances</w:t>
            </w:r>
          </w:p>
        </w:tc>
        <w:tc>
          <w:tcPr>
            <w:tcW w:type="dxa" w:w="1247"/>
          </w:tcPr>
          <w:p>
            <w:pPr>
              <w:jc w:val="right"/>
            </w:pPr>
            <w:r/>
            <w:r>
              <w:rPr>
                <w:color w:val="1A1D21"/>
                <w:sz w:val="17"/>
              </w:rPr>
              <w:t>69,848</w:t>
            </w:r>
          </w:p>
        </w:tc>
        <w:tc>
          <w:tcPr>
            <w:tcW w:type="dxa" w:w="1247"/>
          </w:tcPr>
          <w:p>
            <w:pPr>
              <w:jc w:val="right"/>
            </w:pPr>
            <w:r/>
            <w:r>
              <w:rPr>
                <w:color w:val="1A1D21"/>
                <w:sz w:val="17"/>
              </w:rPr>
              <w:t>71,828</w:t>
            </w:r>
          </w:p>
        </w:tc>
        <w:tc>
          <w:tcPr>
            <w:tcW w:type="dxa" w:w="1247"/>
          </w:tcPr>
          <w:p>
            <w:pPr>
              <w:jc w:val="right"/>
            </w:pPr>
            <w:r/>
            <w:r>
              <w:rPr>
                <w:color w:val="1A1D21"/>
                <w:sz w:val="17"/>
              </w:rPr>
              <w:t>75,949</w:t>
            </w:r>
          </w:p>
        </w:tc>
        <w:tc>
          <w:tcPr>
            <w:tcW w:type="dxa" w:w="1247"/>
          </w:tcPr>
          <w:p>
            <w:pPr>
              <w:jc w:val="right"/>
            </w:pPr>
            <w:r/>
            <w:r>
              <w:rPr>
                <w:color w:val="1A1D21"/>
                <w:sz w:val="17"/>
              </w:rPr>
              <w:t>83,152</w:t>
            </w:r>
          </w:p>
        </w:tc>
        <w:tc>
          <w:tcPr>
            <w:tcW w:type="dxa" w:w="1247"/>
          </w:tcPr>
          <w:p>
            <w:pPr>
              <w:jc w:val="right"/>
            </w:pPr>
            <w:r/>
            <w:r>
              <w:rPr>
                <w:color w:val="1A1D21"/>
                <w:sz w:val="17"/>
              </w:rPr>
              <w:t>94,793</w:t>
            </w:r>
          </w:p>
        </w:tc>
      </w:tr>
      <w:tr>
        <w:trPr>
          <w:cantSplit/>
        </w:trPr>
        <w:tc>
          <w:tcPr>
            <w:tcW w:type="dxa" w:w="3515"/>
          </w:tcPr>
          <w:p>
            <w:r/>
            <w:r>
              <w:rPr>
                <w:color w:val="1A1D21"/>
                <w:sz w:val="17"/>
              </w:rPr>
              <w:t>Suppliers</w:t>
            </w:r>
          </w:p>
        </w:tc>
        <w:tc>
          <w:tcPr>
            <w:tcW w:type="dxa" w:w="1247"/>
          </w:tcPr>
          <w:p>
            <w:pPr>
              <w:jc w:val="right"/>
            </w:pPr>
            <w:r/>
            <w:r>
              <w:rPr>
                <w:color w:val="1A1D21"/>
                <w:sz w:val="17"/>
              </w:rPr>
              <w:t>3,834</w:t>
            </w:r>
          </w:p>
        </w:tc>
        <w:tc>
          <w:tcPr>
            <w:tcW w:type="dxa" w:w="1247"/>
          </w:tcPr>
          <w:p>
            <w:pPr>
              <w:jc w:val="right"/>
            </w:pPr>
            <w:r/>
            <w:r>
              <w:rPr>
                <w:color w:val="1A1D21"/>
                <w:sz w:val="17"/>
              </w:rPr>
              <w:t>3,943</w:t>
            </w:r>
          </w:p>
        </w:tc>
        <w:tc>
          <w:tcPr>
            <w:tcW w:type="dxa" w:w="1247"/>
          </w:tcPr>
          <w:p>
            <w:pPr>
              <w:jc w:val="right"/>
            </w:pPr>
            <w:r/>
            <w:r>
              <w:rPr>
                <w:color w:val="1A1D21"/>
                <w:sz w:val="17"/>
              </w:rPr>
              <w:t>4,169</w:t>
            </w:r>
          </w:p>
        </w:tc>
        <w:tc>
          <w:tcPr>
            <w:tcW w:type="dxa" w:w="1247"/>
          </w:tcPr>
          <w:p>
            <w:pPr>
              <w:jc w:val="right"/>
            </w:pPr>
            <w:r/>
            <w:r>
              <w:rPr>
                <w:color w:val="1A1D21"/>
                <w:sz w:val="17"/>
              </w:rPr>
              <w:t>4,564</w:t>
            </w:r>
          </w:p>
        </w:tc>
        <w:tc>
          <w:tcPr>
            <w:tcW w:type="dxa" w:w="1247"/>
          </w:tcPr>
          <w:p>
            <w:pPr>
              <w:jc w:val="right"/>
            </w:pPr>
            <w:r/>
            <w:r>
              <w:rPr>
                <w:color w:val="1A1D21"/>
                <w:sz w:val="17"/>
              </w:rPr>
              <w:t>5,203</w:t>
            </w:r>
          </w:p>
        </w:tc>
      </w:tr>
      <w:tr>
        <w:trPr>
          <w:cantSplit/>
        </w:trPr>
        <w:tc>
          <w:tcPr>
            <w:tcW w:type="dxa" w:w="3515"/>
          </w:tcPr>
          <w:p>
            <w:r/>
            <w:r>
              <w:rPr>
                <w:color w:val="1A1D21"/>
                <w:sz w:val="17"/>
              </w:rPr>
              <w:t>Other creditors</w:t>
            </w:r>
          </w:p>
        </w:tc>
        <w:tc>
          <w:tcPr>
            <w:tcW w:type="dxa" w:w="1247"/>
          </w:tcPr>
          <w:p>
            <w:pPr>
              <w:jc w:val="right"/>
            </w:pPr>
            <w:r/>
            <w:r>
              <w:rPr>
                <w:color w:val="1A1D21"/>
                <w:sz w:val="17"/>
              </w:rPr>
              <w:t>5,158</w:t>
            </w:r>
          </w:p>
        </w:tc>
        <w:tc>
          <w:tcPr>
            <w:tcW w:type="dxa" w:w="1247"/>
          </w:tcPr>
          <w:p>
            <w:pPr>
              <w:jc w:val="right"/>
            </w:pPr>
            <w:r/>
            <w:r>
              <w:rPr>
                <w:color w:val="1A1D21"/>
                <w:sz w:val="17"/>
              </w:rPr>
              <w:t>5,304</w:t>
            </w:r>
          </w:p>
        </w:tc>
        <w:tc>
          <w:tcPr>
            <w:tcW w:type="dxa" w:w="1247"/>
          </w:tcPr>
          <w:p>
            <w:pPr>
              <w:jc w:val="right"/>
            </w:pPr>
            <w:r/>
            <w:r>
              <w:rPr>
                <w:color w:val="1A1D21"/>
                <w:sz w:val="17"/>
              </w:rPr>
              <w:t>5,609</w:t>
            </w:r>
          </w:p>
        </w:tc>
        <w:tc>
          <w:tcPr>
            <w:tcW w:type="dxa" w:w="1247"/>
          </w:tcPr>
          <w:p>
            <w:pPr>
              <w:jc w:val="right"/>
            </w:pPr>
            <w:r/>
            <w:r>
              <w:rPr>
                <w:color w:val="1A1D21"/>
                <w:sz w:val="17"/>
              </w:rPr>
              <w:t>6,141</w:t>
            </w:r>
          </w:p>
        </w:tc>
        <w:tc>
          <w:tcPr>
            <w:tcW w:type="dxa" w:w="1247"/>
          </w:tcPr>
          <w:p>
            <w:pPr>
              <w:jc w:val="right"/>
            </w:pPr>
            <w:r/>
            <w:r>
              <w:rPr>
                <w:color w:val="1A1D21"/>
                <w:sz w:val="17"/>
              </w:rPr>
              <w:t>7,000</w:t>
            </w:r>
          </w:p>
        </w:tc>
      </w:tr>
      <w:tr>
        <w:trPr>
          <w:cantSplit/>
        </w:trPr>
        <w:tc>
          <w:tcPr>
            <w:tcW w:type="dxa" w:w="3515"/>
          </w:tcPr>
          <w:p>
            <w:r/>
            <w:r>
              <w:rPr>
                <w:color w:val="1A1D21"/>
                <w:sz w:val="17"/>
              </w:rPr>
              <w:t>Cheques under collection</w:t>
            </w:r>
          </w:p>
        </w:tc>
        <w:tc>
          <w:tcPr>
            <w:tcW w:type="dxa" w:w="1247"/>
          </w:tcPr>
          <w:p>
            <w:pPr>
              <w:jc w:val="right"/>
            </w:pPr>
            <w:r/>
            <w:r>
              <w:rPr>
                <w:color w:val="1A1D21"/>
                <w:sz w:val="17"/>
              </w:rPr>
              <w:t>2,471</w:t>
            </w:r>
          </w:p>
        </w:tc>
        <w:tc>
          <w:tcPr>
            <w:tcW w:type="dxa" w:w="1247"/>
          </w:tcPr>
          <w:p>
            <w:pPr>
              <w:jc w:val="right"/>
            </w:pPr>
            <w:r/>
            <w:r>
              <w:rPr>
                <w:color w:val="1A1D21"/>
                <w:sz w:val="17"/>
              </w:rPr>
              <w:t>2,541</w:t>
            </w:r>
          </w:p>
        </w:tc>
        <w:tc>
          <w:tcPr>
            <w:tcW w:type="dxa" w:w="1247"/>
          </w:tcPr>
          <w:p>
            <w:pPr>
              <w:jc w:val="right"/>
            </w:pPr>
            <w:r/>
            <w:r>
              <w:rPr>
                <w:color w:val="1A1D21"/>
                <w:sz w:val="17"/>
              </w:rPr>
              <w:t>2,687</w:t>
            </w:r>
          </w:p>
        </w:tc>
        <w:tc>
          <w:tcPr>
            <w:tcW w:type="dxa" w:w="1247"/>
          </w:tcPr>
          <w:p>
            <w:pPr>
              <w:jc w:val="right"/>
            </w:pPr>
            <w:r/>
            <w:r>
              <w:rPr>
                <w:color w:val="1A1D21"/>
                <w:sz w:val="17"/>
              </w:rPr>
              <w:t>2,942</w:t>
            </w:r>
          </w:p>
        </w:tc>
        <w:tc>
          <w:tcPr>
            <w:tcW w:type="dxa" w:w="1247"/>
          </w:tcPr>
          <w:p>
            <w:pPr>
              <w:jc w:val="right"/>
            </w:pPr>
            <w:r/>
            <w:r>
              <w:rPr>
                <w:color w:val="1A1D21"/>
                <w:sz w:val="17"/>
              </w:rPr>
              <w:t>3,354</w:t>
            </w:r>
          </w:p>
        </w:tc>
      </w:tr>
      <w:tr>
        <w:trPr>
          <w:cantSplit/>
        </w:trPr>
        <w:tc>
          <w:tcPr>
            <w:tcW w:type="dxa" w:w="3515"/>
          </w:tcPr>
          <w:p>
            <w:r/>
            <w:r>
              <w:rPr>
                <w:color w:val="1A1D21"/>
                <w:sz w:val="17"/>
              </w:rPr>
              <w:t>Borrowings</w:t>
            </w:r>
          </w:p>
        </w:tc>
        <w:tc>
          <w:tcPr>
            <w:tcW w:type="dxa" w:w="1247"/>
          </w:tcPr>
          <w:p>
            <w:pPr>
              <w:jc w:val="right"/>
            </w:pPr>
            <w:r/>
            <w:r>
              <w:rPr>
                <w:color w:val="1A1D21"/>
                <w:sz w:val="17"/>
              </w:rPr>
              <w:t>33,553</w:t>
            </w:r>
          </w:p>
        </w:tc>
        <w:tc>
          <w:tcPr>
            <w:tcW w:type="dxa" w:w="1247"/>
          </w:tcPr>
          <w:p>
            <w:pPr>
              <w:jc w:val="right"/>
            </w:pPr>
            <w:r/>
            <w:r>
              <w:rPr>
                <w:color w:val="1A1D21"/>
                <w:sz w:val="17"/>
              </w:rPr>
              <w:t>33,553</w:t>
            </w:r>
          </w:p>
        </w:tc>
        <w:tc>
          <w:tcPr>
            <w:tcW w:type="dxa" w:w="1247"/>
          </w:tcPr>
          <w:p>
            <w:pPr>
              <w:jc w:val="right"/>
            </w:pPr>
            <w:r/>
            <w:r>
              <w:rPr>
                <w:color w:val="1A1D21"/>
                <w:sz w:val="17"/>
              </w:rPr>
              <w:t>33,553</w:t>
            </w:r>
          </w:p>
        </w:tc>
        <w:tc>
          <w:tcPr>
            <w:tcW w:type="dxa" w:w="1247"/>
          </w:tcPr>
          <w:p>
            <w:pPr>
              <w:jc w:val="right"/>
            </w:pPr>
            <w:r/>
            <w:r>
              <w:rPr>
                <w:color w:val="1A1D21"/>
                <w:sz w:val="17"/>
              </w:rPr>
              <w:t>33,553</w:t>
            </w:r>
          </w:p>
        </w:tc>
        <w:tc>
          <w:tcPr>
            <w:tcW w:type="dxa" w:w="1247"/>
          </w:tcPr>
          <w:p>
            <w:pPr>
              <w:jc w:val="right"/>
            </w:pPr>
            <w:r/>
            <w:r>
              <w:rPr>
                <w:color w:val="1A1D21"/>
                <w:sz w:val="17"/>
              </w:rPr>
              <w:t>33,553</w:t>
            </w:r>
          </w:p>
        </w:tc>
      </w:tr>
      <w:tr>
        <w:trPr>
          <w:cantSplit/>
        </w:trPr>
        <w:tc>
          <w:tcPr>
            <w:tcW w:type="dxa" w:w="3515"/>
          </w:tcPr>
          <w:p>
            <w:r/>
            <w:r>
              <w:rPr>
                <w:color w:val="1A1D21"/>
                <w:sz w:val="17"/>
              </w:rPr>
              <w:t>Other liabilities, held at the 2025 level</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r>
      <w:tr>
        <w:trPr>
          <w:cantSplit/>
        </w:trPr>
        <w:tc>
          <w:tcPr>
            <w:tcW w:type="dxa" w:w="3515"/>
          </w:tcPr>
          <w:p>
            <w:r/>
            <w:r>
              <w:rPr>
                <w:color w:val="1A1D21"/>
                <w:sz w:val="17"/>
              </w:rPr>
              <w:t>Total liabilities</w:t>
            </w:r>
          </w:p>
        </w:tc>
        <w:tc>
          <w:tcPr>
            <w:tcW w:type="dxa" w:w="1247"/>
          </w:tcPr>
          <w:p>
            <w:pPr>
              <w:jc w:val="right"/>
            </w:pPr>
            <w:r/>
            <w:r>
              <w:rPr>
                <w:color w:val="1A1D21"/>
                <w:sz w:val="17"/>
              </w:rPr>
              <w:t>153,939</w:t>
            </w:r>
          </w:p>
        </w:tc>
        <w:tc>
          <w:tcPr>
            <w:tcW w:type="dxa" w:w="1247"/>
          </w:tcPr>
          <w:p>
            <w:pPr>
              <w:jc w:val="right"/>
            </w:pPr>
            <w:r/>
            <w:r>
              <w:rPr>
                <w:color w:val="1A1D21"/>
                <w:sz w:val="17"/>
              </w:rPr>
              <w:t>156,244</w:t>
            </w:r>
          </w:p>
        </w:tc>
        <w:tc>
          <w:tcPr>
            <w:tcW w:type="dxa" w:w="1247"/>
          </w:tcPr>
          <w:p>
            <w:pPr>
              <w:jc w:val="right"/>
            </w:pPr>
            <w:r/>
            <w:r>
              <w:rPr>
                <w:color w:val="1A1D21"/>
                <w:sz w:val="17"/>
              </w:rPr>
              <w:t>161,041</w:t>
            </w:r>
          </w:p>
        </w:tc>
        <w:tc>
          <w:tcPr>
            <w:tcW w:type="dxa" w:w="1247"/>
          </w:tcPr>
          <w:p>
            <w:pPr>
              <w:jc w:val="right"/>
            </w:pPr>
            <w:r/>
            <w:r>
              <w:rPr>
                <w:color w:val="1A1D21"/>
                <w:sz w:val="17"/>
              </w:rPr>
              <w:t>169,426</w:t>
            </w:r>
          </w:p>
        </w:tc>
        <w:tc>
          <w:tcPr>
            <w:tcW w:type="dxa" w:w="1247"/>
          </w:tcPr>
          <w:p>
            <w:pPr>
              <w:jc w:val="right"/>
            </w:pPr>
            <w:r/>
            <w:r>
              <w:rPr>
                <w:color w:val="1A1D21"/>
                <w:sz w:val="17"/>
              </w:rPr>
              <w:t>182,978</w:t>
            </w:r>
          </w:p>
        </w:tc>
      </w:tr>
      <w:tr>
        <w:trPr>
          <w:cantSplit/>
        </w:trPr>
        <w:tc>
          <w:tcPr>
            <w:tcW w:type="dxa" w:w="3515"/>
          </w:tcPr>
          <w:p>
            <w:r/>
            <w:r>
              <w:rPr>
                <w:color w:val="1A1D21"/>
                <w:sz w:val="17"/>
              </w:rPr>
              <w:t>Shareholders' funds</w:t>
            </w:r>
          </w:p>
        </w:tc>
        <w:tc>
          <w:tcPr>
            <w:tcW w:type="dxa" w:w="1247"/>
          </w:tcPr>
          <w:p>
            <w:pPr>
              <w:jc w:val="right"/>
            </w:pPr>
            <w:r/>
            <w:r>
              <w:rPr>
                <w:color w:val="1A1D21"/>
                <w:sz w:val="17"/>
              </w:rPr>
              <w:t>22,315</w:t>
            </w:r>
          </w:p>
        </w:tc>
        <w:tc>
          <w:tcPr>
            <w:tcW w:type="dxa" w:w="1247"/>
          </w:tcPr>
          <w:p>
            <w:pPr>
              <w:jc w:val="right"/>
            </w:pPr>
            <w:r/>
            <w:r>
              <w:rPr>
                <w:color w:val="1A1D21"/>
                <w:sz w:val="17"/>
              </w:rPr>
              <w:t>28,566</w:t>
            </w:r>
          </w:p>
        </w:tc>
        <w:tc>
          <w:tcPr>
            <w:tcW w:type="dxa" w:w="1247"/>
          </w:tcPr>
          <w:p>
            <w:pPr>
              <w:jc w:val="right"/>
            </w:pPr>
            <w:r/>
            <w:r>
              <w:rPr>
                <w:color w:val="1A1D21"/>
                <w:sz w:val="17"/>
              </w:rPr>
              <w:t>38,708</w:t>
            </w:r>
          </w:p>
        </w:tc>
        <w:tc>
          <w:tcPr>
            <w:tcW w:type="dxa" w:w="1247"/>
          </w:tcPr>
          <w:p>
            <w:pPr>
              <w:jc w:val="right"/>
            </w:pPr>
            <w:r/>
            <w:r>
              <w:rPr>
                <w:color w:val="1A1D21"/>
                <w:sz w:val="17"/>
              </w:rPr>
              <w:t>54,451</w:t>
            </w:r>
          </w:p>
        </w:tc>
        <w:tc>
          <w:tcPr>
            <w:tcW w:type="dxa" w:w="1247"/>
          </w:tcPr>
          <w:p>
            <w:pPr>
              <w:jc w:val="right"/>
            </w:pPr>
            <w:r/>
            <w:r>
              <w:rPr>
                <w:color w:val="1A1D21"/>
                <w:sz w:val="17"/>
              </w:rPr>
              <w:t>78,258</w:t>
            </w:r>
          </w:p>
        </w:tc>
      </w:tr>
      <w:tr>
        <w:trPr>
          <w:cantSplit/>
        </w:trPr>
        <w:tc>
          <w:tcPr>
            <w:tcW w:type="dxa" w:w="3515"/>
          </w:tcPr>
          <w:p>
            <w:r/>
            <w:r>
              <w:rPr>
                <w:color w:val="1A1D21"/>
                <w:sz w:val="17"/>
              </w:rPr>
              <w:t>Total liabilities and equity</w:t>
            </w:r>
          </w:p>
        </w:tc>
        <w:tc>
          <w:tcPr>
            <w:tcW w:type="dxa" w:w="1247"/>
          </w:tcPr>
          <w:p>
            <w:pPr>
              <w:jc w:val="right"/>
            </w:pPr>
            <w:r/>
            <w:r>
              <w:rPr>
                <w:color w:val="1A1D21"/>
                <w:sz w:val="17"/>
              </w:rPr>
              <w:t>176,254</w:t>
            </w:r>
          </w:p>
        </w:tc>
        <w:tc>
          <w:tcPr>
            <w:tcW w:type="dxa" w:w="1247"/>
          </w:tcPr>
          <w:p>
            <w:pPr>
              <w:jc w:val="right"/>
            </w:pPr>
            <w:r/>
            <w:r>
              <w:rPr>
                <w:color w:val="1A1D21"/>
                <w:sz w:val="17"/>
              </w:rPr>
              <w:t>184,810</w:t>
            </w:r>
          </w:p>
        </w:tc>
        <w:tc>
          <w:tcPr>
            <w:tcW w:type="dxa" w:w="1247"/>
          </w:tcPr>
          <w:p>
            <w:pPr>
              <w:jc w:val="right"/>
            </w:pPr>
            <w:r/>
            <w:r>
              <w:rPr>
                <w:color w:val="1A1D21"/>
                <w:sz w:val="17"/>
              </w:rPr>
              <w:t>199,749</w:t>
            </w:r>
          </w:p>
        </w:tc>
        <w:tc>
          <w:tcPr>
            <w:tcW w:type="dxa" w:w="1247"/>
          </w:tcPr>
          <w:p>
            <w:pPr>
              <w:jc w:val="right"/>
            </w:pPr>
            <w:r/>
            <w:r>
              <w:rPr>
                <w:color w:val="1A1D21"/>
                <w:sz w:val="17"/>
              </w:rPr>
              <w:t>223,877</w:t>
            </w:r>
          </w:p>
        </w:tc>
        <w:tc>
          <w:tcPr>
            <w:tcW w:type="dxa" w:w="1247"/>
          </w:tcPr>
          <w:p>
            <w:pPr>
              <w:jc w:val="right"/>
            </w:pPr>
            <w:r/>
            <w:r>
              <w:rPr>
                <w:color w:val="1A1D21"/>
                <w:sz w:val="17"/>
              </w:rPr>
              <w:t>261,235</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cash flow,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Depreciation and amortisation</w:t>
            </w:r>
          </w:p>
        </w:tc>
        <w:tc>
          <w:tcPr>
            <w:tcW w:type="dxa" w:w="1247"/>
          </w:tcPr>
          <w:p>
            <w:pPr>
              <w:jc w:val="right"/>
            </w:pPr>
            <w:r/>
            <w:r>
              <w:rPr>
                <w:color w:val="1A1D21"/>
                <w:sz w:val="17"/>
              </w:rPr>
              <w:t>393</w:t>
            </w:r>
          </w:p>
        </w:tc>
        <w:tc>
          <w:tcPr>
            <w:tcW w:type="dxa" w:w="1247"/>
          </w:tcPr>
          <w:p>
            <w:pPr>
              <w:jc w:val="right"/>
            </w:pPr>
            <w:r/>
            <w:r>
              <w:rPr>
                <w:color w:val="1A1D21"/>
                <w:sz w:val="17"/>
              </w:rPr>
              <w:t>565</w:t>
            </w:r>
          </w:p>
        </w:tc>
        <w:tc>
          <w:tcPr>
            <w:tcW w:type="dxa" w:w="1247"/>
          </w:tcPr>
          <w:p>
            <w:pPr>
              <w:jc w:val="right"/>
            </w:pPr>
            <w:r/>
            <w:r>
              <w:rPr>
                <w:color w:val="1A1D21"/>
                <w:sz w:val="17"/>
              </w:rPr>
              <w:t>814</w:t>
            </w:r>
          </w:p>
        </w:tc>
        <w:tc>
          <w:tcPr>
            <w:tcW w:type="dxa" w:w="1247"/>
          </w:tcPr>
          <w:p>
            <w:pPr>
              <w:jc w:val="right"/>
            </w:pPr>
            <w:r/>
            <w:r>
              <w:rPr>
                <w:color w:val="1A1D21"/>
                <w:sz w:val="17"/>
              </w:rPr>
              <w:t>1,172</w:t>
            </w:r>
          </w:p>
        </w:tc>
        <w:tc>
          <w:tcPr>
            <w:tcW w:type="dxa" w:w="1247"/>
          </w:tcPr>
          <w:p>
            <w:pPr>
              <w:jc w:val="right"/>
            </w:pPr>
            <w:r/>
            <w:r>
              <w:rPr>
                <w:color w:val="1A1D21"/>
                <w:sz w:val="17"/>
              </w:rPr>
              <w:t>1,687</w:t>
            </w:r>
          </w:p>
        </w:tc>
      </w:tr>
      <w:tr>
        <w:trPr>
          <w:cantSplit/>
        </w:trPr>
        <w:tc>
          <w:tcPr>
            <w:tcW w:type="dxa" w:w="3515"/>
          </w:tcPr>
          <w:p>
            <w:r/>
            <w:r>
              <w:rPr>
                <w:color w:val="1A1D21"/>
                <w:sz w:val="17"/>
              </w:rPr>
              <w:t>Change in working capital, cash effect</w:t>
            </w:r>
          </w:p>
        </w:tc>
        <w:tc>
          <w:tcPr>
            <w:tcW w:type="dxa" w:w="1247"/>
          </w:tcPr>
          <w:p>
            <w:pPr>
              <w:jc w:val="right"/>
            </w:pPr>
            <w:r/>
            <w:r>
              <w:rPr>
                <w:color w:val="1A1D21"/>
                <w:sz w:val="17"/>
              </w:rPr>
              <w:t>-444</w:t>
            </w:r>
          </w:p>
        </w:tc>
        <w:tc>
          <w:tcPr>
            <w:tcW w:type="dxa" w:w="1247"/>
          </w:tcPr>
          <w:p>
            <w:pPr>
              <w:jc w:val="right"/>
            </w:pPr>
            <w:r/>
            <w:r>
              <w:rPr>
                <w:color w:val="1A1D21"/>
                <w:sz w:val="17"/>
              </w:rPr>
              <w:t>-1,780</w:t>
            </w:r>
          </w:p>
        </w:tc>
        <w:tc>
          <w:tcPr>
            <w:tcW w:type="dxa" w:w="1247"/>
          </w:tcPr>
          <w:p>
            <w:pPr>
              <w:jc w:val="right"/>
            </w:pPr>
            <w:r/>
            <w:r>
              <w:rPr>
                <w:color w:val="1A1D21"/>
                <w:sz w:val="17"/>
              </w:rPr>
              <w:t>-3,703</w:t>
            </w:r>
          </w:p>
        </w:tc>
        <w:tc>
          <w:tcPr>
            <w:tcW w:type="dxa" w:w="1247"/>
          </w:tcPr>
          <w:p>
            <w:pPr>
              <w:jc w:val="right"/>
            </w:pPr>
            <w:r/>
            <w:r>
              <w:rPr>
                <w:color w:val="1A1D21"/>
                <w:sz w:val="17"/>
              </w:rPr>
              <w:t>-6,473</w:t>
            </w:r>
          </w:p>
        </w:tc>
        <w:tc>
          <w:tcPr>
            <w:tcW w:type="dxa" w:w="1247"/>
          </w:tcPr>
          <w:p>
            <w:pPr>
              <w:jc w:val="right"/>
            </w:pPr>
            <w:r/>
            <w:r>
              <w:rPr>
                <w:color w:val="1A1D21"/>
                <w:sz w:val="17"/>
              </w:rPr>
              <w:t>-10,461</w:t>
            </w:r>
          </w:p>
        </w:tc>
      </w:tr>
      <w:tr>
        <w:trPr>
          <w:cantSplit/>
        </w:trPr>
        <w:tc>
          <w:tcPr>
            <w:tcW w:type="dxa" w:w="3515"/>
          </w:tcPr>
          <w:p>
            <w:r/>
            <w:r>
              <w:rPr>
                <w:color w:val="1A1D21"/>
                <w:sz w:val="17"/>
              </w:rPr>
              <w:t>Cash from operations</w:t>
            </w:r>
          </w:p>
        </w:tc>
        <w:tc>
          <w:tcPr>
            <w:tcW w:type="dxa" w:w="1247"/>
          </w:tcPr>
          <w:p>
            <w:pPr>
              <w:jc w:val="right"/>
            </w:pPr>
            <w:r/>
            <w:r>
              <w:rPr>
                <w:color w:val="1A1D21"/>
                <w:sz w:val="17"/>
              </w:rPr>
              <w:t>3,498</w:t>
            </w:r>
          </w:p>
        </w:tc>
        <w:tc>
          <w:tcPr>
            <w:tcW w:type="dxa" w:w="1247"/>
          </w:tcPr>
          <w:p>
            <w:pPr>
              <w:jc w:val="right"/>
            </w:pPr>
            <w:r/>
            <w:r>
              <w:rPr>
                <w:color w:val="1A1D21"/>
                <w:sz w:val="17"/>
              </w:rPr>
              <w:t>5,037</w:t>
            </w:r>
          </w:p>
        </w:tc>
        <w:tc>
          <w:tcPr>
            <w:tcW w:type="dxa" w:w="1247"/>
          </w:tcPr>
          <w:p>
            <w:pPr>
              <w:jc w:val="right"/>
            </w:pPr>
            <w:r/>
            <w:r>
              <w:rPr>
                <w:color w:val="1A1D21"/>
                <w:sz w:val="17"/>
              </w:rPr>
              <w:t>7,252</w:t>
            </w:r>
          </w:p>
        </w:tc>
        <w:tc>
          <w:tcPr>
            <w:tcW w:type="dxa" w:w="1247"/>
          </w:tcPr>
          <w:p>
            <w:pPr>
              <w:jc w:val="right"/>
            </w:pPr>
            <w:r/>
            <w:r>
              <w:rPr>
                <w:color w:val="1A1D21"/>
                <w:sz w:val="17"/>
              </w:rPr>
              <w:t>10,442</w:t>
            </w:r>
          </w:p>
        </w:tc>
        <w:tc>
          <w:tcPr>
            <w:tcW w:type="dxa" w:w="1247"/>
          </w:tcPr>
          <w:p>
            <w:pPr>
              <w:jc w:val="right"/>
            </w:pPr>
            <w:r/>
            <w:r>
              <w:rPr>
                <w:color w:val="1A1D21"/>
                <w:sz w:val="17"/>
              </w:rPr>
              <w:t>15,034</w:t>
            </w:r>
          </w:p>
        </w:tc>
      </w:tr>
      <w:tr>
        <w:trPr>
          <w:cantSplit/>
        </w:trPr>
        <w:tc>
          <w:tcPr>
            <w:tcW w:type="dxa" w:w="3515"/>
          </w:tcPr>
          <w:p>
            <w:r/>
            <w:r>
              <w:rPr>
                <w:color w:val="1A1D21"/>
                <w:sz w:val="17"/>
              </w:rPr>
              <w:t xml:space="preserve">  as a share of revenue</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r>
      <w:tr>
        <w:trPr>
          <w:cantSplit/>
        </w:trPr>
        <w:tc>
          <w:tcPr>
            <w:tcW w:type="dxa" w:w="3515"/>
          </w:tcPr>
          <w:p>
            <w:r/>
            <w:r>
              <w:rPr>
                <w:color w:val="1A1D21"/>
                <w:sz w:val="17"/>
              </w:rPr>
              <w:t>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New borrowing drawn</w:t>
            </w:r>
          </w:p>
        </w:tc>
        <w:tc>
          <w:tcPr>
            <w:tcW w:type="dxa" w:w="1247"/>
          </w:tcPr>
          <w:p>
            <w:pPr>
              <w:jc w:val="right"/>
            </w:pPr>
            <w:r/>
            <w:r>
              <w:rPr>
                <w:color w:val="1A1D21"/>
                <w:sz w:val="17"/>
              </w:rPr>
              <w:t>0</w:t>
            </w:r>
          </w:p>
        </w:tc>
        <w:tc>
          <w:tcPr>
            <w:tcW w:type="dxa" w:w="1247"/>
          </w:tcPr>
          <w:p>
            <w:pPr>
              <w:jc w:val="right"/>
            </w:pPr>
            <w:r/>
            <w:r>
              <w:rPr>
                <w:color w:val="1A1D21"/>
                <w:sz w:val="17"/>
              </w:rPr>
              <w:t>0</w:t>
            </w:r>
          </w:p>
        </w:tc>
        <w:tc>
          <w:tcPr>
            <w:tcW w:type="dxa" w:w="1247"/>
          </w:tcPr>
          <w:p>
            <w:pPr>
              <w:jc w:val="right"/>
            </w:pPr>
            <w:r/>
            <w:r>
              <w:rPr>
                <w:color w:val="1A1D21"/>
                <w:sz w:val="17"/>
              </w:rPr>
              <w:t>0</w:t>
            </w:r>
          </w:p>
        </w:tc>
        <w:tc>
          <w:tcPr>
            <w:tcW w:type="dxa" w:w="1247"/>
          </w:tcPr>
          <w:p>
            <w:pPr>
              <w:jc w:val="right"/>
            </w:pPr>
            <w:r/>
            <w:r>
              <w:rPr>
                <w:color w:val="1A1D21"/>
                <w:sz w:val="17"/>
              </w:rPr>
              <w:t>0</w:t>
            </w:r>
          </w:p>
        </w:tc>
        <w:tc>
          <w:tcPr>
            <w:tcW w:type="dxa" w:w="1247"/>
          </w:tcPr>
          <w:p>
            <w:pPr>
              <w:jc w:val="right"/>
            </w:pPr>
            <w:r/>
            <w:r>
              <w:rPr>
                <w:color w:val="1A1D21"/>
                <w:sz w:val="17"/>
              </w:rPr>
              <w:t>0</w:t>
            </w:r>
          </w:p>
        </w:tc>
      </w:tr>
      <w:tr>
        <w:trPr>
          <w:cantSplit/>
        </w:trPr>
        <w:tc>
          <w:tcPr>
            <w:tcW w:type="dxa" w:w="3515"/>
          </w:tcPr>
          <w:p>
            <w:r/>
            <w:r>
              <w:rPr>
                <w:color w:val="1A1D21"/>
                <w:sz w:val="17"/>
              </w:rPr>
              <w:t>Closing cash</w:t>
            </w:r>
          </w:p>
        </w:tc>
        <w:tc>
          <w:tcPr>
            <w:tcW w:type="dxa" w:w="1247"/>
          </w:tcPr>
          <w:p>
            <w:pPr>
              <w:jc w:val="right"/>
            </w:pPr>
            <w:r/>
            <w:r>
              <w:rPr>
                <w:color w:val="1A1D21"/>
                <w:sz w:val="17"/>
              </w:rPr>
              <w:t>12,516</w:t>
            </w:r>
          </w:p>
        </w:tc>
        <w:tc>
          <w:tcPr>
            <w:tcW w:type="dxa" w:w="1247"/>
          </w:tcPr>
          <w:p>
            <w:pPr>
              <w:jc w:val="right"/>
            </w:pPr>
            <w:r/>
            <w:r>
              <w:rPr>
                <w:color w:val="1A1D21"/>
                <w:sz w:val="17"/>
              </w:rPr>
              <w:t>16,975</w:t>
            </w:r>
          </w:p>
        </w:tc>
        <w:tc>
          <w:tcPr>
            <w:tcW w:type="dxa" w:w="1247"/>
          </w:tcPr>
          <w:p>
            <w:pPr>
              <w:jc w:val="right"/>
            </w:pPr>
            <w:r/>
            <w:r>
              <w:rPr>
                <w:color w:val="1A1D21"/>
                <w:sz w:val="17"/>
              </w:rPr>
              <w:t>23,395</w:t>
            </w:r>
          </w:p>
        </w:tc>
        <w:tc>
          <w:tcPr>
            <w:tcW w:type="dxa" w:w="1247"/>
          </w:tcPr>
          <w:p>
            <w:pPr>
              <w:jc w:val="right"/>
            </w:pPr>
            <w:r/>
            <w:r>
              <w:rPr>
                <w:color w:val="1A1D21"/>
                <w:sz w:val="17"/>
              </w:rPr>
              <w:t>32,639</w:t>
            </w:r>
          </w:p>
        </w:tc>
        <w:tc>
          <w:tcPr>
            <w:tcW w:type="dxa" w:w="1247"/>
          </w:tcPr>
          <w:p>
            <w:pPr>
              <w:jc w:val="right"/>
            </w:pPr>
            <w:r/>
            <w:r>
              <w:rPr>
                <w:color w:val="1A1D21"/>
                <w:sz w:val="17"/>
              </w:rPr>
              <w:t>45,947</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The cycle this implies</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Collection period, days</w:t>
            </w:r>
          </w:p>
        </w:tc>
        <w:tc>
          <w:tcPr>
            <w:tcW w:type="dxa" w:w="1247"/>
          </w:tcPr>
          <w:p>
            <w:pPr>
              <w:jc w:val="right"/>
            </w:pPr>
            <w:r/>
            <w:r>
              <w:rPr>
                <w:color w:val="1A1D21"/>
                <w:sz w:val="17"/>
              </w:rPr>
              <w:t>948</w:t>
            </w:r>
          </w:p>
        </w:tc>
        <w:tc>
          <w:tcPr>
            <w:tcW w:type="dxa" w:w="1247"/>
          </w:tcPr>
          <w:p>
            <w:pPr>
              <w:jc w:val="right"/>
            </w:pPr>
            <w:r/>
            <w:r>
              <w:rPr>
                <w:color w:val="1A1D21"/>
                <w:sz w:val="17"/>
              </w:rPr>
              <w:t>677</w:t>
            </w:r>
          </w:p>
        </w:tc>
        <w:tc>
          <w:tcPr>
            <w:tcW w:type="dxa" w:w="1247"/>
          </w:tcPr>
          <w:p>
            <w:pPr>
              <w:jc w:val="right"/>
            </w:pPr>
            <w:r/>
            <w:r>
              <w:rPr>
                <w:color w:val="1A1D21"/>
                <w:sz w:val="17"/>
              </w:rPr>
              <w:t>497</w:t>
            </w:r>
          </w:p>
        </w:tc>
        <w:tc>
          <w:tcPr>
            <w:tcW w:type="dxa" w:w="1247"/>
          </w:tcPr>
          <w:p>
            <w:pPr>
              <w:jc w:val="right"/>
            </w:pPr>
            <w:r/>
            <w:r>
              <w:rPr>
                <w:color w:val="1A1D21"/>
                <w:sz w:val="17"/>
              </w:rPr>
              <w:t>378</w:t>
            </w:r>
          </w:p>
        </w:tc>
        <w:tc>
          <w:tcPr>
            <w:tcW w:type="dxa" w:w="1247"/>
          </w:tcPr>
          <w:p>
            <w:pPr>
              <w:jc w:val="right"/>
            </w:pPr>
            <w:r/>
            <w:r>
              <w:rPr>
                <w:color w:val="1A1D21"/>
                <w:sz w:val="17"/>
              </w:rPr>
              <w:t>299</w:t>
            </w:r>
          </w:p>
        </w:tc>
      </w:tr>
      <w:tr>
        <w:trPr>
          <w:cantSplit/>
        </w:trPr>
        <w:tc>
          <w:tcPr>
            <w:tcW w:type="dxa" w:w="3515"/>
          </w:tcPr>
          <w:p>
            <w:r/>
            <w:r>
              <w:rPr>
                <w:color w:val="1A1D21"/>
                <w:sz w:val="17"/>
              </w:rPr>
              <w:t>Work in progress, days of cost</w:t>
            </w:r>
          </w:p>
        </w:tc>
        <w:tc>
          <w:tcPr>
            <w:tcW w:type="dxa" w:w="1247"/>
          </w:tcPr>
          <w:p>
            <w:pPr>
              <w:jc w:val="right"/>
            </w:pPr>
            <w:r/>
            <w:r>
              <w:rPr>
                <w:color w:val="1A1D21"/>
                <w:sz w:val="17"/>
              </w:rPr>
              <w:t>261</w:t>
            </w:r>
          </w:p>
        </w:tc>
        <w:tc>
          <w:tcPr>
            <w:tcW w:type="dxa" w:w="1247"/>
          </w:tcPr>
          <w:p>
            <w:pPr>
              <w:jc w:val="right"/>
            </w:pPr>
            <w:r/>
            <w:r>
              <w:rPr>
                <w:color w:val="1A1D21"/>
                <w:sz w:val="17"/>
              </w:rPr>
              <w:t>186</w:t>
            </w:r>
          </w:p>
        </w:tc>
        <w:tc>
          <w:tcPr>
            <w:tcW w:type="dxa" w:w="1247"/>
          </w:tcPr>
          <w:p>
            <w:pPr>
              <w:jc w:val="right"/>
            </w:pPr>
            <w:r/>
            <w:r>
              <w:rPr>
                <w:color w:val="1A1D21"/>
                <w:sz w:val="17"/>
              </w:rPr>
              <w:t>137</w:t>
            </w:r>
          </w:p>
        </w:tc>
        <w:tc>
          <w:tcPr>
            <w:tcW w:type="dxa" w:w="1247"/>
          </w:tcPr>
          <w:p>
            <w:pPr>
              <w:jc w:val="right"/>
            </w:pPr>
            <w:r/>
            <w:r>
              <w:rPr>
                <w:color w:val="1A1D21"/>
                <w:sz w:val="17"/>
              </w:rPr>
              <w:t>104</w:t>
            </w:r>
          </w:p>
        </w:tc>
        <w:tc>
          <w:tcPr>
            <w:tcW w:type="dxa" w:w="1247"/>
          </w:tcPr>
          <w:p>
            <w:pPr>
              <w:jc w:val="right"/>
            </w:pPr>
            <w:r/>
            <w:r>
              <w:rPr>
                <w:color w:val="1A1D21"/>
                <w:sz w:val="17"/>
              </w:rPr>
              <w:t>82</w:t>
            </w:r>
          </w:p>
        </w:tc>
      </w:tr>
      <w:tr>
        <w:trPr>
          <w:cantSplit/>
        </w:trPr>
        <w:tc>
          <w:tcPr>
            <w:tcW w:type="dxa" w:w="3515"/>
          </w:tcPr>
          <w:p>
            <w:r/>
            <w:r>
              <w:rPr>
                <w:color w:val="1A1D21"/>
                <w:sz w:val="17"/>
              </w:rPr>
              <w:t>Suppliers, days of cost</w:t>
            </w:r>
          </w:p>
        </w:tc>
        <w:tc>
          <w:tcPr>
            <w:tcW w:type="dxa" w:w="1247"/>
          </w:tcPr>
          <w:p>
            <w:pPr>
              <w:jc w:val="right"/>
            </w:pPr>
            <w:r/>
            <w:r>
              <w:rPr>
                <w:color w:val="1A1D21"/>
                <w:sz w:val="17"/>
              </w:rPr>
              <w:t>57</w:t>
            </w:r>
          </w:p>
        </w:tc>
        <w:tc>
          <w:tcPr>
            <w:tcW w:type="dxa" w:w="1247"/>
          </w:tcPr>
          <w:p>
            <w:pPr>
              <w:jc w:val="right"/>
            </w:pPr>
            <w:r/>
            <w:r>
              <w:rPr>
                <w:color w:val="1A1D21"/>
                <w:sz w:val="17"/>
              </w:rPr>
              <w:t>40</w:t>
            </w:r>
          </w:p>
        </w:tc>
        <w:tc>
          <w:tcPr>
            <w:tcW w:type="dxa" w:w="1247"/>
          </w:tcPr>
          <w:p>
            <w:pPr>
              <w:jc w:val="right"/>
            </w:pPr>
            <w:r/>
            <w:r>
              <w:rPr>
                <w:color w:val="1A1D21"/>
                <w:sz w:val="17"/>
              </w:rPr>
              <w:t>30</w:t>
            </w:r>
          </w:p>
        </w:tc>
        <w:tc>
          <w:tcPr>
            <w:tcW w:type="dxa" w:w="1247"/>
          </w:tcPr>
          <w:p>
            <w:pPr>
              <w:jc w:val="right"/>
            </w:pPr>
            <w:r/>
            <w:r>
              <w:rPr>
                <w:color w:val="1A1D21"/>
                <w:sz w:val="17"/>
              </w:rPr>
              <w:t>23</w:t>
            </w:r>
          </w:p>
        </w:tc>
        <w:tc>
          <w:tcPr>
            <w:tcW w:type="dxa" w:w="1247"/>
          </w:tcPr>
          <w:p>
            <w:pPr>
              <w:jc w:val="right"/>
            </w:pPr>
            <w:r/>
            <w:r>
              <w:rPr>
                <w:color w:val="1A1D21"/>
                <w:sz w:val="17"/>
              </w:rPr>
              <w:t>18</w:t>
            </w:r>
          </w:p>
        </w:tc>
      </w:tr>
      <w:tr>
        <w:trPr>
          <w:cantSplit/>
        </w:trPr>
        <w:tc>
          <w:tcPr>
            <w:tcW w:type="dxa" w:w="3515"/>
          </w:tcPr>
          <w:p>
            <w:r/>
            <w:r>
              <w:rPr>
                <w:color w:val="1A1D21"/>
                <w:sz w:val="17"/>
              </w:rPr>
              <w:t>Customer advances, share of the order book</w:t>
            </w:r>
          </w:p>
        </w:tc>
        <w:tc>
          <w:tcPr>
            <w:tcW w:type="dxa" w:w="1247"/>
          </w:tcPr>
          <w:p>
            <w:pPr>
              <w:jc w:val="right"/>
            </w:pPr>
            <w:r/>
            <w:r>
              <w:rPr>
                <w:color w:val="1A1D21"/>
                <w:sz w:val="17"/>
              </w:rPr>
              <w:t>19.2%</w:t>
            </w:r>
          </w:p>
        </w:tc>
        <w:tc>
          <w:tcPr>
            <w:tcW w:type="dxa" w:w="1247"/>
          </w:tcPr>
          <w:p>
            <w:pPr>
              <w:jc w:val="right"/>
            </w:pPr>
            <w:r/>
            <w:r>
              <w:rPr>
                <w:color w:val="1A1D21"/>
                <w:sz w:val="17"/>
              </w:rPr>
              <w:t>15.0%</w:t>
            </w:r>
          </w:p>
        </w:tc>
        <w:tc>
          <w:tcPr>
            <w:tcW w:type="dxa" w:w="1247"/>
          </w:tcPr>
          <w:p>
            <w:pPr>
              <w:jc w:val="right"/>
            </w:pPr>
            <w:r/>
            <w:r>
              <w:rPr>
                <w:color w:val="1A1D21"/>
                <w:sz w:val="17"/>
              </w:rPr>
              <w:t>12.3%</w:t>
            </w:r>
          </w:p>
        </w:tc>
        <w:tc>
          <w:tcPr>
            <w:tcW w:type="dxa" w:w="1247"/>
          </w:tcPr>
          <w:p>
            <w:pPr>
              <w:jc w:val="right"/>
            </w:pPr>
            <w:r/>
            <w:r>
              <w:rPr>
                <w:color w:val="1A1D21"/>
                <w:sz w:val="17"/>
              </w:rPr>
              <w:t>10.8%</w:t>
            </w:r>
          </w:p>
        </w:tc>
        <w:tc>
          <w:tcPr>
            <w:tcW w:type="dxa" w:w="1247"/>
          </w:tcPr>
          <w:p>
            <w:pPr>
              <w:jc w:val="right"/>
            </w:pPr>
            <w:r/>
            <w:r>
              <w:rPr>
                <w:color w:val="1A1D21"/>
                <w:sz w:val="17"/>
              </w:rPr>
              <w:t>10.1%</w:t>
            </w:r>
          </w:p>
        </w:tc>
      </w:tr>
      <w:tr>
        <w:trPr>
          <w:cantSplit/>
        </w:trPr>
        <w:tc>
          <w:tcPr>
            <w:tcW w:type="dxa" w:w="3515"/>
          </w:tcPr>
          <w:p>
            <w:r/>
            <w:r>
              <w:rPr>
                <w:color w:val="1A1D21"/>
                <w:sz w:val="17"/>
              </w:rPr>
              <w:t>Net working capital</w:t>
            </w:r>
          </w:p>
        </w:tc>
        <w:tc>
          <w:tcPr>
            <w:tcW w:type="dxa" w:w="1247"/>
          </w:tcPr>
          <w:p>
            <w:pPr>
              <w:jc w:val="right"/>
            </w:pPr>
            <w:r/>
            <w:r>
              <w:rPr>
                <w:color w:val="1A1D21"/>
                <w:sz w:val="17"/>
              </w:rPr>
              <w:t>62,767</w:t>
            </w:r>
          </w:p>
        </w:tc>
        <w:tc>
          <w:tcPr>
            <w:tcW w:type="dxa" w:w="1247"/>
          </w:tcPr>
          <w:p>
            <w:pPr>
              <w:jc w:val="right"/>
            </w:pPr>
            <w:r/>
            <w:r>
              <w:rPr>
                <w:color w:val="1A1D21"/>
                <w:sz w:val="17"/>
              </w:rPr>
              <w:t>64,547</w:t>
            </w:r>
          </w:p>
        </w:tc>
        <w:tc>
          <w:tcPr>
            <w:tcW w:type="dxa" w:w="1247"/>
          </w:tcPr>
          <w:p>
            <w:pPr>
              <w:jc w:val="right"/>
            </w:pPr>
            <w:r/>
            <w:r>
              <w:rPr>
                <w:color w:val="1A1D21"/>
                <w:sz w:val="17"/>
              </w:rPr>
              <w:t>68,250</w:t>
            </w:r>
          </w:p>
        </w:tc>
        <w:tc>
          <w:tcPr>
            <w:tcW w:type="dxa" w:w="1247"/>
          </w:tcPr>
          <w:p>
            <w:pPr>
              <w:jc w:val="right"/>
            </w:pPr>
            <w:r/>
            <w:r>
              <w:rPr>
                <w:color w:val="1A1D21"/>
                <w:sz w:val="17"/>
              </w:rPr>
              <w:t>74,723</w:t>
            </w:r>
          </w:p>
        </w:tc>
        <w:tc>
          <w:tcPr>
            <w:tcW w:type="dxa" w:w="1247"/>
          </w:tcPr>
          <w:p>
            <w:pPr>
              <w:jc w:val="right"/>
            </w:pPr>
            <w:r/>
            <w:r>
              <w:rPr>
                <w:color w:val="1A1D21"/>
                <w:sz w:val="17"/>
              </w:rPr>
              <w:t>85,183</w:t>
            </w:r>
          </w:p>
        </w:tc>
      </w:tr>
      <w:tr>
        <w:trPr>
          <w:cantSplit/>
        </w:trPr>
        <w:tc>
          <w:tcPr>
            <w:tcW w:type="dxa" w:w="3515"/>
          </w:tcPr>
          <w:p>
            <w:r/>
            <w:r>
              <w:rPr>
                <w:color w:val="1A1D21"/>
                <w:sz w:val="17"/>
              </w:rPr>
              <w:t xml:space="preserve">  as a multiple of revenue</w:t>
            </w:r>
          </w:p>
        </w:tc>
        <w:tc>
          <w:tcPr>
            <w:tcW w:type="dxa" w:w="1247"/>
          </w:tcPr>
          <w:p>
            <w:pPr>
              <w:jc w:val="right"/>
            </w:pPr>
            <w:r/>
            <w:r>
              <w:rPr>
                <w:color w:val="1A1D21"/>
                <w:sz w:val="17"/>
              </w:rPr>
              <w:t>1.56</w:t>
            </w:r>
          </w:p>
        </w:tc>
        <w:tc>
          <w:tcPr>
            <w:tcW w:type="dxa" w:w="1247"/>
          </w:tcPr>
          <w:p>
            <w:pPr>
              <w:jc w:val="right"/>
            </w:pPr>
            <w:r/>
            <w:r>
              <w:rPr>
                <w:color w:val="1A1D21"/>
                <w:sz w:val="17"/>
              </w:rPr>
              <w:t>1.12</w:t>
            </w:r>
          </w:p>
        </w:tc>
        <w:tc>
          <w:tcPr>
            <w:tcW w:type="dxa" w:w="1247"/>
          </w:tcPr>
          <w:p>
            <w:pPr>
              <w:jc w:val="right"/>
            </w:pPr>
            <w:r/>
            <w:r>
              <w:rPr>
                <w:color w:val="1A1D21"/>
                <w:sz w:val="17"/>
              </w:rPr>
              <w:t>0.82</w:t>
            </w:r>
          </w:p>
        </w:tc>
        <w:tc>
          <w:tcPr>
            <w:tcW w:type="dxa" w:w="1247"/>
          </w:tcPr>
          <w:p>
            <w:pPr>
              <w:jc w:val="right"/>
            </w:pPr>
            <w:r/>
            <w:r>
              <w:rPr>
                <w:color w:val="1A1D21"/>
                <w:sz w:val="17"/>
              </w:rPr>
              <w:t>0.62</w:t>
            </w:r>
          </w:p>
        </w:tc>
        <w:tc>
          <w:tcPr>
            <w:tcW w:type="dxa" w:w="1247"/>
          </w:tcPr>
          <w:p>
            <w:pPr>
              <w:jc w:val="right"/>
            </w:pPr>
            <w:r/>
            <w:r>
              <w:rPr>
                <w:color w:val="1A1D21"/>
                <w:sz w:val="17"/>
              </w:rPr>
              <w:t>0.49</w:t>
            </w:r>
          </w:p>
        </w:tc>
      </w:tr>
    </w:tbl>
    <w:p>
      <w:pPr>
        <w:spacing w:after="200"/>
      </w:pPr>
      <w:r>
        <w:rPr>
          <w:b w:val="0"/>
          <w:i/>
          <w:color w:val="5B6570"/>
          <w:sz w:val="16"/>
        </w:rPr>
        <w:t>The collection period falls from 948 days to 299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Free cash flow to the firm,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Cash from operations</w:t>
            </w:r>
          </w:p>
        </w:tc>
        <w:tc>
          <w:tcPr>
            <w:tcW w:type="dxa" w:w="1247"/>
          </w:tcPr>
          <w:p>
            <w:pPr>
              <w:jc w:val="right"/>
            </w:pPr>
            <w:r/>
            <w:r>
              <w:rPr>
                <w:color w:val="1A1D21"/>
                <w:sz w:val="17"/>
              </w:rPr>
              <w:t>3,498</w:t>
            </w:r>
          </w:p>
        </w:tc>
        <w:tc>
          <w:tcPr>
            <w:tcW w:type="dxa" w:w="1247"/>
          </w:tcPr>
          <w:p>
            <w:pPr>
              <w:jc w:val="right"/>
            </w:pPr>
            <w:r/>
            <w:r>
              <w:rPr>
                <w:color w:val="1A1D21"/>
                <w:sz w:val="17"/>
              </w:rPr>
              <w:t>5,037</w:t>
            </w:r>
          </w:p>
        </w:tc>
        <w:tc>
          <w:tcPr>
            <w:tcW w:type="dxa" w:w="1247"/>
          </w:tcPr>
          <w:p>
            <w:pPr>
              <w:jc w:val="right"/>
            </w:pPr>
            <w:r/>
            <w:r>
              <w:rPr>
                <w:color w:val="1A1D21"/>
                <w:sz w:val="17"/>
              </w:rPr>
              <w:t>7,252</w:t>
            </w:r>
          </w:p>
        </w:tc>
        <w:tc>
          <w:tcPr>
            <w:tcW w:type="dxa" w:w="1247"/>
          </w:tcPr>
          <w:p>
            <w:pPr>
              <w:jc w:val="right"/>
            </w:pPr>
            <w:r/>
            <w:r>
              <w:rPr>
                <w:color w:val="1A1D21"/>
                <w:sz w:val="17"/>
              </w:rPr>
              <w:t>10,442</w:t>
            </w:r>
          </w:p>
        </w:tc>
        <w:tc>
          <w:tcPr>
            <w:tcW w:type="dxa" w:w="1247"/>
          </w:tcPr>
          <w:p>
            <w:pPr>
              <w:jc w:val="right"/>
            </w:pPr>
            <w:r/>
            <w:r>
              <w:rPr>
                <w:color w:val="1A1D21"/>
                <w:sz w:val="17"/>
              </w:rPr>
              <w:t>15,034</w:t>
            </w:r>
          </w:p>
        </w:tc>
      </w:tr>
      <w:tr>
        <w:trPr>
          <w:cantSplit/>
        </w:trPr>
        <w:tc>
          <w:tcPr>
            <w:tcW w:type="dxa" w:w="3515"/>
          </w:tcPr>
          <w:p>
            <w:r/>
            <w:r>
              <w:rPr>
                <w:color w:val="1A1D21"/>
                <w:sz w:val="17"/>
              </w:rPr>
              <w:t>plus finance cost, after tax</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r>
      <w:tr>
        <w:trPr>
          <w:cantSplit/>
        </w:trPr>
        <w:tc>
          <w:tcPr>
            <w:tcW w:type="dxa" w:w="3515"/>
          </w:tcPr>
          <w:p>
            <w:r/>
            <w:r>
              <w:rPr>
                <w:color w:val="1A1D21"/>
                <w:sz w:val="17"/>
              </w:rPr>
              <w:t>less 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Free cash flow to the firm</w:t>
            </w:r>
          </w:p>
        </w:tc>
        <w:tc>
          <w:tcPr>
            <w:tcW w:type="dxa" w:w="1247"/>
          </w:tcPr>
          <w:p>
            <w:pPr>
              <w:jc w:val="right"/>
            </w:pPr>
            <w:r/>
            <w:r>
              <w:rPr>
                <w:color w:val="1A1D21"/>
                <w:sz w:val="17"/>
              </w:rPr>
              <w:t>5,691</w:t>
            </w:r>
          </w:p>
        </w:tc>
        <w:tc>
          <w:tcPr>
            <w:tcW w:type="dxa" w:w="1247"/>
          </w:tcPr>
          <w:p>
            <w:pPr>
              <w:jc w:val="right"/>
            </w:pPr>
            <w:r/>
            <w:r>
              <w:rPr>
                <w:color w:val="1A1D21"/>
                <w:sz w:val="17"/>
              </w:rPr>
              <w:t>7,053</w:t>
            </w:r>
          </w:p>
        </w:tc>
        <w:tc>
          <w:tcPr>
            <w:tcW w:type="dxa" w:w="1247"/>
          </w:tcPr>
          <w:p>
            <w:pPr>
              <w:jc w:val="right"/>
            </w:pPr>
            <w:r/>
            <w:r>
              <w:rPr>
                <w:color w:val="1A1D21"/>
                <w:sz w:val="17"/>
              </w:rPr>
              <w:t>9,014</w:t>
            </w:r>
          </w:p>
        </w:tc>
        <w:tc>
          <w:tcPr>
            <w:tcW w:type="dxa" w:w="1247"/>
          </w:tcPr>
          <w:p>
            <w:pPr>
              <w:jc w:val="right"/>
            </w:pPr>
            <w:r/>
            <w:r>
              <w:rPr>
                <w:color w:val="1A1D21"/>
                <w:sz w:val="17"/>
              </w:rPr>
              <w:t>11,838</w:t>
            </w:r>
          </w:p>
        </w:tc>
        <w:tc>
          <w:tcPr>
            <w:tcW w:type="dxa" w:w="1247"/>
          </w:tcPr>
          <w:p>
            <w:pPr>
              <w:jc w:val="right"/>
            </w:pPr>
            <w:r/>
            <w:r>
              <w:rPr>
                <w:color w:val="1A1D21"/>
                <w:sz w:val="17"/>
              </w:rPr>
              <w:t>15,903</w:t>
            </w:r>
          </w:p>
        </w:tc>
      </w:tr>
      <w:tr>
        <w:trPr>
          <w:cantSplit/>
        </w:trPr>
        <w:tc>
          <w:tcPr>
            <w:tcW w:type="dxa" w:w="3515"/>
          </w:tcPr>
          <w:p>
            <w:r/>
            <w:r>
              <w:rPr>
                <w:color w:val="1A1D21"/>
                <w:sz w:val="17"/>
              </w:rPr>
              <w:t>Present value at 26.25 per cent</w:t>
            </w:r>
          </w:p>
        </w:tc>
        <w:tc>
          <w:tcPr>
            <w:tcW w:type="dxa" w:w="1247"/>
          </w:tcPr>
          <w:p>
            <w:pPr>
              <w:jc w:val="right"/>
            </w:pPr>
            <w:r/>
            <w:r>
              <w:rPr>
                <w:color w:val="1A1D21"/>
                <w:sz w:val="17"/>
              </w:rPr>
              <w:t>4,508</w:t>
            </w:r>
          </w:p>
        </w:tc>
        <w:tc>
          <w:tcPr>
            <w:tcW w:type="dxa" w:w="1247"/>
          </w:tcPr>
          <w:p>
            <w:pPr>
              <w:jc w:val="right"/>
            </w:pPr>
            <w:r/>
            <w:r>
              <w:rPr>
                <w:color w:val="1A1D21"/>
                <w:sz w:val="17"/>
              </w:rPr>
              <w:t>4,425</w:t>
            </w:r>
          </w:p>
        </w:tc>
        <w:tc>
          <w:tcPr>
            <w:tcW w:type="dxa" w:w="1247"/>
          </w:tcPr>
          <w:p>
            <w:pPr>
              <w:jc w:val="right"/>
            </w:pPr>
            <w:r/>
            <w:r>
              <w:rPr>
                <w:color w:val="1A1D21"/>
                <w:sz w:val="17"/>
              </w:rPr>
              <w:t>4,480</w:t>
            </w:r>
          </w:p>
        </w:tc>
        <w:tc>
          <w:tcPr>
            <w:tcW w:type="dxa" w:w="1247"/>
          </w:tcPr>
          <w:p>
            <w:pPr>
              <w:jc w:val="right"/>
            </w:pPr>
            <w:r/>
            <w:r>
              <w:rPr>
                <w:color w:val="1A1D21"/>
                <w:sz w:val="17"/>
              </w:rPr>
              <w:t>4,660</w:t>
            </w:r>
          </w:p>
        </w:tc>
        <w:tc>
          <w:tcPr>
            <w:tcW w:type="dxa" w:w="1247"/>
          </w:tcPr>
          <w:p>
            <w:pPr>
              <w:jc w:val="right"/>
            </w:pPr>
            <w:r/>
            <w:r>
              <w:rPr>
                <w:color w:val="1A1D21"/>
                <w:sz w:val="17"/>
              </w:rPr>
              <w:t>4,958</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balance sheet,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Trade and notes receivable</w:t>
            </w:r>
          </w:p>
        </w:tc>
        <w:tc>
          <w:tcPr>
            <w:tcW w:type="dxa" w:w="1247"/>
          </w:tcPr>
          <w:p>
            <w:pPr>
              <w:jc w:val="right"/>
            </w:pPr>
            <w:r/>
            <w:r>
              <w:rPr>
                <w:color w:val="1A1D21"/>
                <w:sz w:val="17"/>
              </w:rPr>
              <w:t>114,897</w:t>
            </w:r>
          </w:p>
        </w:tc>
        <w:tc>
          <w:tcPr>
            <w:tcW w:type="dxa" w:w="1247"/>
          </w:tcPr>
          <w:p>
            <w:pPr>
              <w:jc w:val="right"/>
            </w:pPr>
            <w:r/>
            <w:r>
              <w:rPr>
                <w:color w:val="1A1D21"/>
                <w:sz w:val="17"/>
              </w:rPr>
              <w:t>165,429</w:t>
            </w:r>
          </w:p>
        </w:tc>
        <w:tc>
          <w:tcPr>
            <w:tcW w:type="dxa" w:w="1247"/>
          </w:tcPr>
          <w:p>
            <w:pPr>
              <w:jc w:val="right"/>
            </w:pPr>
            <w:r/>
            <w:r>
              <w:rPr>
                <w:color w:val="1A1D21"/>
                <w:sz w:val="17"/>
              </w:rPr>
              <w:t>238,184</w:t>
            </w:r>
          </w:p>
        </w:tc>
        <w:tc>
          <w:tcPr>
            <w:tcW w:type="dxa" w:w="1247"/>
          </w:tcPr>
          <w:p>
            <w:pPr>
              <w:jc w:val="right"/>
            </w:pPr>
            <w:r/>
            <w:r>
              <w:rPr>
                <w:color w:val="1A1D21"/>
                <w:sz w:val="17"/>
              </w:rPr>
              <w:t>342,938</w:t>
            </w:r>
          </w:p>
        </w:tc>
        <w:tc>
          <w:tcPr>
            <w:tcW w:type="dxa" w:w="1247"/>
          </w:tcPr>
          <w:p>
            <w:pPr>
              <w:jc w:val="right"/>
            </w:pPr>
            <w:r/>
            <w:r>
              <w:rPr>
                <w:color w:val="1A1D21"/>
                <w:sz w:val="17"/>
              </w:rPr>
              <w:t>493,762</w:t>
            </w:r>
          </w:p>
        </w:tc>
      </w:tr>
      <w:tr>
        <w:trPr>
          <w:cantSplit/>
        </w:trPr>
        <w:tc>
          <w:tcPr>
            <w:tcW w:type="dxa" w:w="3515"/>
          </w:tcPr>
          <w:p>
            <w:r/>
            <w:r>
              <w:rPr>
                <w:color w:val="1A1D21"/>
                <w:sz w:val="17"/>
              </w:rPr>
              <w:t>Work in progress</w:t>
            </w:r>
          </w:p>
        </w:tc>
        <w:tc>
          <w:tcPr>
            <w:tcW w:type="dxa" w:w="1247"/>
          </w:tcPr>
          <w:p>
            <w:pPr>
              <w:jc w:val="right"/>
            </w:pPr>
            <w:r/>
            <w:r>
              <w:rPr>
                <w:color w:val="1A1D21"/>
                <w:sz w:val="17"/>
              </w:rPr>
              <w:t>19,504</w:t>
            </w:r>
          </w:p>
        </w:tc>
        <w:tc>
          <w:tcPr>
            <w:tcW w:type="dxa" w:w="1247"/>
          </w:tcPr>
          <w:p>
            <w:pPr>
              <w:jc w:val="right"/>
            </w:pPr>
            <w:r/>
            <w:r>
              <w:rPr>
                <w:color w:val="1A1D21"/>
                <w:sz w:val="17"/>
              </w:rPr>
              <w:t>28,081</w:t>
            </w:r>
          </w:p>
        </w:tc>
        <w:tc>
          <w:tcPr>
            <w:tcW w:type="dxa" w:w="1247"/>
          </w:tcPr>
          <w:p>
            <w:pPr>
              <w:jc w:val="right"/>
            </w:pPr>
            <w:r/>
            <w:r>
              <w:rPr>
                <w:color w:val="1A1D21"/>
                <w:sz w:val="17"/>
              </w:rPr>
              <w:t>40,432</w:t>
            </w:r>
          </w:p>
        </w:tc>
        <w:tc>
          <w:tcPr>
            <w:tcW w:type="dxa" w:w="1247"/>
          </w:tcPr>
          <w:p>
            <w:pPr>
              <w:jc w:val="right"/>
            </w:pPr>
            <w:r/>
            <w:r>
              <w:rPr>
                <w:color w:val="1A1D21"/>
                <w:sz w:val="17"/>
              </w:rPr>
              <w:t>58,213</w:t>
            </w:r>
          </w:p>
        </w:tc>
        <w:tc>
          <w:tcPr>
            <w:tcW w:type="dxa" w:w="1247"/>
          </w:tcPr>
          <w:p>
            <w:pPr>
              <w:jc w:val="right"/>
            </w:pPr>
            <w:r/>
            <w:r>
              <w:rPr>
                <w:color w:val="1A1D21"/>
                <w:sz w:val="17"/>
              </w:rPr>
              <w:t>83,816</w:t>
            </w:r>
          </w:p>
        </w:tc>
      </w:tr>
      <w:tr>
        <w:trPr>
          <w:cantSplit/>
        </w:trPr>
        <w:tc>
          <w:tcPr>
            <w:tcW w:type="dxa" w:w="3515"/>
          </w:tcPr>
          <w:p>
            <w:r/>
            <w:r>
              <w:rPr>
                <w:color w:val="1A1D21"/>
                <w:sz w:val="17"/>
              </w:rPr>
              <w:t>Other receivables and prepayments</w:t>
            </w:r>
          </w:p>
        </w:tc>
        <w:tc>
          <w:tcPr>
            <w:tcW w:type="dxa" w:w="1247"/>
          </w:tcPr>
          <w:p>
            <w:pPr>
              <w:jc w:val="right"/>
            </w:pPr>
            <w:r/>
            <w:r>
              <w:rPr>
                <w:color w:val="1A1D21"/>
                <w:sz w:val="17"/>
              </w:rPr>
              <w:t>14,343</w:t>
            </w:r>
          </w:p>
        </w:tc>
        <w:tc>
          <w:tcPr>
            <w:tcW w:type="dxa" w:w="1247"/>
          </w:tcPr>
          <w:p>
            <w:pPr>
              <w:jc w:val="right"/>
            </w:pPr>
            <w:r/>
            <w:r>
              <w:rPr>
                <w:color w:val="1A1D21"/>
                <w:sz w:val="17"/>
              </w:rPr>
              <w:t>20,652</w:t>
            </w:r>
          </w:p>
        </w:tc>
        <w:tc>
          <w:tcPr>
            <w:tcW w:type="dxa" w:w="1247"/>
          </w:tcPr>
          <w:p>
            <w:pPr>
              <w:jc w:val="right"/>
            </w:pPr>
            <w:r/>
            <w:r>
              <w:rPr>
                <w:color w:val="1A1D21"/>
                <w:sz w:val="17"/>
              </w:rPr>
              <w:t>29,734</w:t>
            </w:r>
          </w:p>
        </w:tc>
        <w:tc>
          <w:tcPr>
            <w:tcW w:type="dxa" w:w="1247"/>
          </w:tcPr>
          <w:p>
            <w:pPr>
              <w:jc w:val="right"/>
            </w:pPr>
            <w:r/>
            <w:r>
              <w:rPr>
                <w:color w:val="1A1D21"/>
                <w:sz w:val="17"/>
              </w:rPr>
              <w:t>42,811</w:t>
            </w:r>
          </w:p>
        </w:tc>
        <w:tc>
          <w:tcPr>
            <w:tcW w:type="dxa" w:w="1247"/>
          </w:tcPr>
          <w:p>
            <w:pPr>
              <w:jc w:val="right"/>
            </w:pPr>
            <w:r/>
            <w:r>
              <w:rPr>
                <w:color w:val="1A1D21"/>
                <w:sz w:val="17"/>
              </w:rPr>
              <w:t>61,640</w:t>
            </w:r>
          </w:p>
        </w:tc>
      </w:tr>
      <w:tr>
        <w:trPr>
          <w:cantSplit/>
        </w:trPr>
        <w:tc>
          <w:tcPr>
            <w:tcW w:type="dxa" w:w="3515"/>
          </w:tcPr>
          <w:p>
            <w:r/>
            <w:r>
              <w:rPr>
                <w:color w:val="1A1D21"/>
                <w:sz w:val="17"/>
              </w:rPr>
              <w:t>Advances to suppliers</w:t>
            </w:r>
          </w:p>
        </w:tc>
        <w:tc>
          <w:tcPr>
            <w:tcW w:type="dxa" w:w="1247"/>
          </w:tcPr>
          <w:p>
            <w:pPr>
              <w:jc w:val="right"/>
            </w:pPr>
            <w:r/>
            <w:r>
              <w:rPr>
                <w:color w:val="1A1D21"/>
                <w:sz w:val="17"/>
              </w:rPr>
              <w:t>10,052</w:t>
            </w:r>
          </w:p>
        </w:tc>
        <w:tc>
          <w:tcPr>
            <w:tcW w:type="dxa" w:w="1247"/>
          </w:tcPr>
          <w:p>
            <w:pPr>
              <w:jc w:val="right"/>
            </w:pPr>
            <w:r/>
            <w:r>
              <w:rPr>
                <w:color w:val="1A1D21"/>
                <w:sz w:val="17"/>
              </w:rPr>
              <w:t>14,473</w:t>
            </w:r>
          </w:p>
        </w:tc>
        <w:tc>
          <w:tcPr>
            <w:tcW w:type="dxa" w:w="1247"/>
          </w:tcPr>
          <w:p>
            <w:pPr>
              <w:jc w:val="right"/>
            </w:pPr>
            <w:r/>
            <w:r>
              <w:rPr>
                <w:color w:val="1A1D21"/>
                <w:sz w:val="17"/>
              </w:rPr>
              <w:t>20,839</w:t>
            </w:r>
          </w:p>
        </w:tc>
        <w:tc>
          <w:tcPr>
            <w:tcW w:type="dxa" w:w="1247"/>
          </w:tcPr>
          <w:p>
            <w:pPr>
              <w:jc w:val="right"/>
            </w:pPr>
            <w:r/>
            <w:r>
              <w:rPr>
                <w:color w:val="1A1D21"/>
                <w:sz w:val="17"/>
              </w:rPr>
              <w:t>30,004</w:t>
            </w:r>
          </w:p>
        </w:tc>
        <w:tc>
          <w:tcPr>
            <w:tcW w:type="dxa" w:w="1247"/>
          </w:tcPr>
          <w:p>
            <w:pPr>
              <w:jc w:val="right"/>
            </w:pPr>
            <w:r/>
            <w:r>
              <w:rPr>
                <w:color w:val="1A1D21"/>
                <w:sz w:val="17"/>
              </w:rPr>
              <w:t>43,199</w:t>
            </w:r>
          </w:p>
        </w:tc>
      </w:tr>
      <w:tr>
        <w:trPr>
          <w:cantSplit/>
        </w:trPr>
        <w:tc>
          <w:tcPr>
            <w:tcW w:type="dxa" w:w="3515"/>
          </w:tcPr>
          <w:p>
            <w:r/>
            <w:r>
              <w:rPr>
                <w:color w:val="1A1D21"/>
                <w:sz w:val="17"/>
              </w:rPr>
              <w:t>Cash and equivalents</w:t>
            </w:r>
          </w:p>
        </w:tc>
        <w:tc>
          <w:tcPr>
            <w:tcW w:type="dxa" w:w="1247"/>
          </w:tcPr>
          <w:p>
            <w:pPr>
              <w:jc w:val="right"/>
            </w:pPr>
            <w:r/>
            <w:r>
              <w:rPr>
                <w:color w:val="1A1D21"/>
                <w:sz w:val="17"/>
              </w:rPr>
              <w:t>6,104</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r>
      <w:tr>
        <w:trPr>
          <w:cantSplit/>
        </w:trPr>
        <w:tc>
          <w:tcPr>
            <w:tcW w:type="dxa" w:w="3515"/>
          </w:tcPr>
          <w:p>
            <w:r/>
            <w:r>
              <w:rPr>
                <w:color w:val="1A1D21"/>
                <w:sz w:val="17"/>
              </w:rPr>
              <w:t>Property and equipment</w:t>
            </w:r>
          </w:p>
        </w:tc>
        <w:tc>
          <w:tcPr>
            <w:tcW w:type="dxa" w:w="1247"/>
          </w:tcPr>
          <w:p>
            <w:pPr>
              <w:jc w:val="right"/>
            </w:pPr>
            <w:r/>
            <w:r>
              <w:rPr>
                <w:color w:val="1A1D21"/>
                <w:sz w:val="17"/>
              </w:rPr>
              <w:t>4,531</w:t>
            </w:r>
          </w:p>
        </w:tc>
        <w:tc>
          <w:tcPr>
            <w:tcW w:type="dxa" w:w="1247"/>
          </w:tcPr>
          <w:p>
            <w:pPr>
              <w:jc w:val="right"/>
            </w:pPr>
            <w:r/>
            <w:r>
              <w:rPr>
                <w:color w:val="1A1D21"/>
                <w:sz w:val="17"/>
              </w:rPr>
              <w:t>4,544</w:t>
            </w:r>
          </w:p>
        </w:tc>
        <w:tc>
          <w:tcPr>
            <w:tcW w:type="dxa" w:w="1247"/>
          </w:tcPr>
          <w:p>
            <w:pPr>
              <w:jc w:val="right"/>
            </w:pPr>
            <w:r/>
            <w:r>
              <w:rPr>
                <w:color w:val="1A1D21"/>
                <w:sz w:val="17"/>
              </w:rPr>
              <w:t>4,562</w:t>
            </w:r>
          </w:p>
        </w:tc>
        <w:tc>
          <w:tcPr>
            <w:tcW w:type="dxa" w:w="1247"/>
          </w:tcPr>
          <w:p>
            <w:pPr>
              <w:jc w:val="right"/>
            </w:pPr>
            <w:r/>
            <w:r>
              <w:rPr>
                <w:color w:val="1A1D21"/>
                <w:sz w:val="17"/>
              </w:rPr>
              <w:t>4,589</w:t>
            </w:r>
          </w:p>
        </w:tc>
        <w:tc>
          <w:tcPr>
            <w:tcW w:type="dxa" w:w="1247"/>
          </w:tcPr>
          <w:p>
            <w:pPr>
              <w:jc w:val="right"/>
            </w:pPr>
            <w:r/>
            <w:r>
              <w:rPr>
                <w:color w:val="1A1D21"/>
                <w:sz w:val="17"/>
              </w:rPr>
              <w:t>4,627</w:t>
            </w:r>
          </w:p>
        </w:tc>
      </w:tr>
      <w:tr>
        <w:trPr>
          <w:cantSplit/>
        </w:trPr>
        <w:tc>
          <w:tcPr>
            <w:tcW w:type="dxa" w:w="3515"/>
          </w:tcPr>
          <w:p>
            <w:r/>
            <w:r>
              <w:rPr>
                <w:color w:val="1A1D21"/>
                <w:sz w:val="17"/>
              </w:rPr>
              <w:t>Other assets, held at the 2025 level</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r>
      <w:tr>
        <w:trPr>
          <w:cantSplit/>
        </w:trPr>
        <w:tc>
          <w:tcPr>
            <w:tcW w:type="dxa" w:w="3515"/>
          </w:tcPr>
          <w:p>
            <w:r/>
            <w:r>
              <w:rPr>
                <w:color w:val="1A1D21"/>
                <w:sz w:val="17"/>
              </w:rPr>
              <w:t>Total assets</w:t>
            </w:r>
          </w:p>
        </w:tc>
        <w:tc>
          <w:tcPr>
            <w:tcW w:type="dxa" w:w="1247"/>
          </w:tcPr>
          <w:p>
            <w:pPr>
              <w:jc w:val="right"/>
            </w:pPr>
            <w:r/>
            <w:r>
              <w:rPr>
                <w:color w:val="1A1D21"/>
                <w:sz w:val="17"/>
              </w:rPr>
              <w:t>184,560</w:t>
            </w:r>
          </w:p>
        </w:tc>
        <w:tc>
          <w:tcPr>
            <w:tcW w:type="dxa" w:w="1247"/>
          </w:tcPr>
          <w:p>
            <w:pPr>
              <w:jc w:val="right"/>
            </w:pPr>
            <w:r/>
            <w:r>
              <w:rPr>
                <w:color w:val="1A1D21"/>
                <w:sz w:val="17"/>
              </w:rPr>
              <w:t>250,662</w:t>
            </w:r>
          </w:p>
        </w:tc>
        <w:tc>
          <w:tcPr>
            <w:tcW w:type="dxa" w:w="1247"/>
          </w:tcPr>
          <w:p>
            <w:pPr>
              <w:jc w:val="right"/>
            </w:pPr>
            <w:r/>
            <w:r>
              <w:rPr>
                <w:color w:val="1A1D21"/>
                <w:sz w:val="17"/>
              </w:rPr>
              <w:t>351,234</w:t>
            </w:r>
          </w:p>
        </w:tc>
        <w:tc>
          <w:tcPr>
            <w:tcW w:type="dxa" w:w="1247"/>
          </w:tcPr>
          <w:p>
            <w:pPr>
              <w:jc w:val="right"/>
            </w:pPr>
            <w:r/>
            <w:r>
              <w:rPr>
                <w:color w:val="1A1D21"/>
                <w:sz w:val="17"/>
              </w:rPr>
              <w:t>496,038</w:t>
            </w:r>
          </w:p>
        </w:tc>
        <w:tc>
          <w:tcPr>
            <w:tcW w:type="dxa" w:w="1247"/>
          </w:tcPr>
          <w:p>
            <w:pPr>
              <w:jc w:val="right"/>
            </w:pPr>
            <w:r/>
            <w:r>
              <w:rPr>
                <w:color w:val="1A1D21"/>
                <w:sz w:val="17"/>
              </w:rPr>
              <w:t>704,527</w:t>
            </w:r>
          </w:p>
        </w:tc>
      </w:tr>
      <w:tr>
        <w:trPr>
          <w:cantSplit/>
        </w:trPr>
        <w:tc>
          <w:tcPr>
            <w:tcW w:type="dxa" w:w="3515"/>
          </w:tcPr>
          <w:p>
            <w:r/>
            <w:r>
              <w:rPr>
                <w:color w:val="1A1D21"/>
                <w:sz w:val="17"/>
              </w:rPr>
              <w:t>Customer advances</w:t>
            </w:r>
          </w:p>
        </w:tc>
        <w:tc>
          <w:tcPr>
            <w:tcW w:type="dxa" w:w="1247"/>
          </w:tcPr>
          <w:p>
            <w:pPr>
              <w:jc w:val="right"/>
            </w:pPr>
            <w:r/>
            <w:r>
              <w:rPr>
                <w:color w:val="1A1D21"/>
                <w:sz w:val="17"/>
              </w:rPr>
              <w:t>76,983</w:t>
            </w:r>
          </w:p>
        </w:tc>
        <w:tc>
          <w:tcPr>
            <w:tcW w:type="dxa" w:w="1247"/>
          </w:tcPr>
          <w:p>
            <w:pPr>
              <w:jc w:val="right"/>
            </w:pPr>
            <w:r/>
            <w:r>
              <w:rPr>
                <w:color w:val="1A1D21"/>
                <w:sz w:val="17"/>
              </w:rPr>
              <w:t>110,840</w:t>
            </w:r>
          </w:p>
        </w:tc>
        <w:tc>
          <w:tcPr>
            <w:tcW w:type="dxa" w:w="1247"/>
          </w:tcPr>
          <w:p>
            <w:pPr>
              <w:jc w:val="right"/>
            </w:pPr>
            <w:r/>
            <w:r>
              <w:rPr>
                <w:color w:val="1A1D21"/>
                <w:sz w:val="17"/>
              </w:rPr>
              <w:t>159,588</w:t>
            </w:r>
          </w:p>
        </w:tc>
        <w:tc>
          <w:tcPr>
            <w:tcW w:type="dxa" w:w="1247"/>
          </w:tcPr>
          <w:p>
            <w:pPr>
              <w:jc w:val="right"/>
            </w:pPr>
            <w:r/>
            <w:r>
              <w:rPr>
                <w:color w:val="1A1D21"/>
                <w:sz w:val="17"/>
              </w:rPr>
              <w:t>229,774</w:t>
            </w:r>
          </w:p>
        </w:tc>
        <w:tc>
          <w:tcPr>
            <w:tcW w:type="dxa" w:w="1247"/>
          </w:tcPr>
          <w:p>
            <w:pPr>
              <w:jc w:val="right"/>
            </w:pPr>
            <w:r/>
            <w:r>
              <w:rPr>
                <w:color w:val="1A1D21"/>
                <w:sz w:val="17"/>
              </w:rPr>
              <w:t>330,829</w:t>
            </w:r>
          </w:p>
        </w:tc>
      </w:tr>
      <w:tr>
        <w:trPr>
          <w:cantSplit/>
        </w:trPr>
        <w:tc>
          <w:tcPr>
            <w:tcW w:type="dxa" w:w="3515"/>
          </w:tcPr>
          <w:p>
            <w:r/>
            <w:r>
              <w:rPr>
                <w:color w:val="1A1D21"/>
                <w:sz w:val="17"/>
              </w:rPr>
              <w:t>Suppliers</w:t>
            </w:r>
          </w:p>
        </w:tc>
        <w:tc>
          <w:tcPr>
            <w:tcW w:type="dxa" w:w="1247"/>
          </w:tcPr>
          <w:p>
            <w:pPr>
              <w:jc w:val="right"/>
            </w:pPr>
            <w:r/>
            <w:r>
              <w:rPr>
                <w:color w:val="1A1D21"/>
                <w:sz w:val="17"/>
              </w:rPr>
              <w:t>4,226</w:t>
            </w:r>
          </w:p>
        </w:tc>
        <w:tc>
          <w:tcPr>
            <w:tcW w:type="dxa" w:w="1247"/>
          </w:tcPr>
          <w:p>
            <w:pPr>
              <w:jc w:val="right"/>
            </w:pPr>
            <w:r/>
            <w:r>
              <w:rPr>
                <w:color w:val="1A1D21"/>
                <w:sz w:val="17"/>
              </w:rPr>
              <w:t>6,084</w:t>
            </w:r>
          </w:p>
        </w:tc>
        <w:tc>
          <w:tcPr>
            <w:tcW w:type="dxa" w:w="1247"/>
          </w:tcPr>
          <w:p>
            <w:pPr>
              <w:jc w:val="right"/>
            </w:pPr>
            <w:r/>
            <w:r>
              <w:rPr>
                <w:color w:val="1A1D21"/>
                <w:sz w:val="17"/>
              </w:rPr>
              <w:t>8,760</w:t>
            </w:r>
          </w:p>
        </w:tc>
        <w:tc>
          <w:tcPr>
            <w:tcW w:type="dxa" w:w="1247"/>
          </w:tcPr>
          <w:p>
            <w:pPr>
              <w:jc w:val="right"/>
            </w:pPr>
            <w:r/>
            <w:r>
              <w:rPr>
                <w:color w:val="1A1D21"/>
                <w:sz w:val="17"/>
              </w:rPr>
              <w:t>12,613</w:t>
            </w:r>
          </w:p>
        </w:tc>
        <w:tc>
          <w:tcPr>
            <w:tcW w:type="dxa" w:w="1247"/>
          </w:tcPr>
          <w:p>
            <w:pPr>
              <w:jc w:val="right"/>
            </w:pPr>
            <w:r/>
            <w:r>
              <w:rPr>
                <w:color w:val="1A1D21"/>
                <w:sz w:val="17"/>
              </w:rPr>
              <w:t>18,160</w:t>
            </w:r>
          </w:p>
        </w:tc>
      </w:tr>
      <w:tr>
        <w:trPr>
          <w:cantSplit/>
        </w:trPr>
        <w:tc>
          <w:tcPr>
            <w:tcW w:type="dxa" w:w="3515"/>
          </w:tcPr>
          <w:p>
            <w:r/>
            <w:r>
              <w:rPr>
                <w:color w:val="1A1D21"/>
                <w:sz w:val="17"/>
              </w:rPr>
              <w:t>Other creditors</w:t>
            </w:r>
          </w:p>
        </w:tc>
        <w:tc>
          <w:tcPr>
            <w:tcW w:type="dxa" w:w="1247"/>
          </w:tcPr>
          <w:p>
            <w:pPr>
              <w:jc w:val="right"/>
            </w:pPr>
            <w:r/>
            <w:r>
              <w:rPr>
                <w:color w:val="1A1D21"/>
                <w:sz w:val="17"/>
              </w:rPr>
              <w:t>5,685</w:t>
            </w:r>
          </w:p>
        </w:tc>
        <w:tc>
          <w:tcPr>
            <w:tcW w:type="dxa" w:w="1247"/>
          </w:tcPr>
          <w:p>
            <w:pPr>
              <w:jc w:val="right"/>
            </w:pPr>
            <w:r/>
            <w:r>
              <w:rPr>
                <w:color w:val="1A1D21"/>
                <w:sz w:val="17"/>
              </w:rPr>
              <w:t>8,185</w:t>
            </w:r>
          </w:p>
        </w:tc>
        <w:tc>
          <w:tcPr>
            <w:tcW w:type="dxa" w:w="1247"/>
          </w:tcPr>
          <w:p>
            <w:pPr>
              <w:jc w:val="right"/>
            </w:pPr>
            <w:r/>
            <w:r>
              <w:rPr>
                <w:color w:val="1A1D21"/>
                <w:sz w:val="17"/>
              </w:rPr>
              <w:t>11,785</w:t>
            </w:r>
          </w:p>
        </w:tc>
        <w:tc>
          <w:tcPr>
            <w:tcW w:type="dxa" w:w="1247"/>
          </w:tcPr>
          <w:p>
            <w:pPr>
              <w:jc w:val="right"/>
            </w:pPr>
            <w:r/>
            <w:r>
              <w:rPr>
                <w:color w:val="1A1D21"/>
                <w:sz w:val="17"/>
              </w:rPr>
              <w:t>16,969</w:t>
            </w:r>
          </w:p>
        </w:tc>
        <w:tc>
          <w:tcPr>
            <w:tcW w:type="dxa" w:w="1247"/>
          </w:tcPr>
          <w:p>
            <w:pPr>
              <w:jc w:val="right"/>
            </w:pPr>
            <w:r/>
            <w:r>
              <w:rPr>
                <w:color w:val="1A1D21"/>
                <w:sz w:val="17"/>
              </w:rPr>
              <w:t>24,431</w:t>
            </w:r>
          </w:p>
        </w:tc>
      </w:tr>
      <w:tr>
        <w:trPr>
          <w:cantSplit/>
        </w:trPr>
        <w:tc>
          <w:tcPr>
            <w:tcW w:type="dxa" w:w="3515"/>
          </w:tcPr>
          <w:p>
            <w:r/>
            <w:r>
              <w:rPr>
                <w:color w:val="1A1D21"/>
                <w:sz w:val="17"/>
              </w:rPr>
              <w:t>Cheques under collection</w:t>
            </w:r>
          </w:p>
        </w:tc>
        <w:tc>
          <w:tcPr>
            <w:tcW w:type="dxa" w:w="1247"/>
          </w:tcPr>
          <w:p>
            <w:pPr>
              <w:jc w:val="right"/>
            </w:pPr>
            <w:r/>
            <w:r>
              <w:rPr>
                <w:color w:val="1A1D21"/>
                <w:sz w:val="17"/>
              </w:rPr>
              <w:t>2,724</w:t>
            </w:r>
          </w:p>
        </w:tc>
        <w:tc>
          <w:tcPr>
            <w:tcW w:type="dxa" w:w="1247"/>
          </w:tcPr>
          <w:p>
            <w:pPr>
              <w:jc w:val="right"/>
            </w:pPr>
            <w:r/>
            <w:r>
              <w:rPr>
                <w:color w:val="1A1D21"/>
                <w:sz w:val="17"/>
              </w:rPr>
              <w:t>3,921</w:t>
            </w:r>
          </w:p>
        </w:tc>
        <w:tc>
          <w:tcPr>
            <w:tcW w:type="dxa" w:w="1247"/>
          </w:tcPr>
          <w:p>
            <w:pPr>
              <w:jc w:val="right"/>
            </w:pPr>
            <w:r/>
            <w:r>
              <w:rPr>
                <w:color w:val="1A1D21"/>
                <w:sz w:val="17"/>
              </w:rPr>
              <w:t>5,646</w:t>
            </w:r>
          </w:p>
        </w:tc>
        <w:tc>
          <w:tcPr>
            <w:tcW w:type="dxa" w:w="1247"/>
          </w:tcPr>
          <w:p>
            <w:pPr>
              <w:jc w:val="right"/>
            </w:pPr>
            <w:r/>
            <w:r>
              <w:rPr>
                <w:color w:val="1A1D21"/>
                <w:sz w:val="17"/>
              </w:rPr>
              <w:t>8,129</w:t>
            </w:r>
          </w:p>
        </w:tc>
        <w:tc>
          <w:tcPr>
            <w:tcW w:type="dxa" w:w="1247"/>
          </w:tcPr>
          <w:p>
            <w:pPr>
              <w:jc w:val="right"/>
            </w:pPr>
            <w:r/>
            <w:r>
              <w:rPr>
                <w:color w:val="1A1D21"/>
                <w:sz w:val="17"/>
              </w:rPr>
              <w:t>11,705</w:t>
            </w:r>
          </w:p>
        </w:tc>
      </w:tr>
      <w:tr>
        <w:trPr>
          <w:cantSplit/>
        </w:trPr>
        <w:tc>
          <w:tcPr>
            <w:tcW w:type="dxa" w:w="3515"/>
          </w:tcPr>
          <w:p>
            <w:r/>
            <w:r>
              <w:rPr>
                <w:color w:val="1A1D21"/>
                <w:sz w:val="17"/>
              </w:rPr>
              <w:t>Borrowings</w:t>
            </w:r>
          </w:p>
        </w:tc>
        <w:tc>
          <w:tcPr>
            <w:tcW w:type="dxa" w:w="1247"/>
          </w:tcPr>
          <w:p>
            <w:pPr>
              <w:jc w:val="right"/>
            </w:pPr>
            <w:r/>
            <w:r>
              <w:rPr>
                <w:color w:val="1A1D21"/>
                <w:sz w:val="17"/>
              </w:rPr>
              <w:t>33,553</w:t>
            </w:r>
          </w:p>
        </w:tc>
        <w:tc>
          <w:tcPr>
            <w:tcW w:type="dxa" w:w="1247"/>
          </w:tcPr>
          <w:p>
            <w:pPr>
              <w:jc w:val="right"/>
            </w:pPr>
            <w:r/>
            <w:r>
              <w:rPr>
                <w:color w:val="1A1D21"/>
                <w:sz w:val="17"/>
              </w:rPr>
              <w:t>53,990</w:t>
            </w:r>
          </w:p>
        </w:tc>
        <w:tc>
          <w:tcPr>
            <w:tcW w:type="dxa" w:w="1247"/>
          </w:tcPr>
          <w:p>
            <w:pPr>
              <w:jc w:val="right"/>
            </w:pPr>
            <w:r/>
            <w:r>
              <w:rPr>
                <w:color w:val="1A1D21"/>
                <w:sz w:val="17"/>
              </w:rPr>
              <w:t>87,673</w:t>
            </w:r>
          </w:p>
        </w:tc>
        <w:tc>
          <w:tcPr>
            <w:tcW w:type="dxa" w:w="1247"/>
          </w:tcPr>
          <w:p>
            <w:pPr>
              <w:jc w:val="right"/>
            </w:pPr>
            <w:r/>
            <w:r>
              <w:rPr>
                <w:color w:val="1A1D21"/>
                <w:sz w:val="17"/>
              </w:rPr>
              <w:t>135,028</w:t>
            </w:r>
          </w:p>
        </w:tc>
        <w:tc>
          <w:tcPr>
            <w:tcW w:type="dxa" w:w="1247"/>
          </w:tcPr>
          <w:p>
            <w:pPr>
              <w:jc w:val="right"/>
            </w:pPr>
            <w:r/>
            <w:r>
              <w:rPr>
                <w:color w:val="1A1D21"/>
                <w:sz w:val="17"/>
              </w:rPr>
              <w:t>202,069</w:t>
            </w:r>
          </w:p>
        </w:tc>
      </w:tr>
      <w:tr>
        <w:trPr>
          <w:cantSplit/>
        </w:trPr>
        <w:tc>
          <w:tcPr>
            <w:tcW w:type="dxa" w:w="3515"/>
          </w:tcPr>
          <w:p>
            <w:r/>
            <w:r>
              <w:rPr>
                <w:color w:val="1A1D21"/>
                <w:sz w:val="17"/>
              </w:rPr>
              <w:t>Other liabilities, held at the 2025 level</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r>
      <w:tr>
        <w:trPr>
          <w:cantSplit/>
        </w:trPr>
        <w:tc>
          <w:tcPr>
            <w:tcW w:type="dxa" w:w="3515"/>
          </w:tcPr>
          <w:p>
            <w:r/>
            <w:r>
              <w:rPr>
                <w:color w:val="1A1D21"/>
                <w:sz w:val="17"/>
              </w:rPr>
              <w:t>Total liabilities</w:t>
            </w:r>
          </w:p>
        </w:tc>
        <w:tc>
          <w:tcPr>
            <w:tcW w:type="dxa" w:w="1247"/>
          </w:tcPr>
          <w:p>
            <w:pPr>
              <w:jc w:val="right"/>
            </w:pPr>
            <w:r/>
            <w:r>
              <w:rPr>
                <w:color w:val="1A1D21"/>
                <w:sz w:val="17"/>
              </w:rPr>
              <w:t>162,245</w:t>
            </w:r>
          </w:p>
        </w:tc>
        <w:tc>
          <w:tcPr>
            <w:tcW w:type="dxa" w:w="1247"/>
          </w:tcPr>
          <w:p>
            <w:pPr>
              <w:jc w:val="right"/>
            </w:pPr>
            <w:r/>
            <w:r>
              <w:rPr>
                <w:color w:val="1A1D21"/>
                <w:sz w:val="17"/>
              </w:rPr>
              <w:t>222,096</w:t>
            </w:r>
          </w:p>
        </w:tc>
        <w:tc>
          <w:tcPr>
            <w:tcW w:type="dxa" w:w="1247"/>
          </w:tcPr>
          <w:p>
            <w:pPr>
              <w:jc w:val="right"/>
            </w:pPr>
            <w:r/>
            <w:r>
              <w:rPr>
                <w:color w:val="1A1D21"/>
                <w:sz w:val="17"/>
              </w:rPr>
              <w:t>312,527</w:t>
            </w:r>
          </w:p>
        </w:tc>
        <w:tc>
          <w:tcPr>
            <w:tcW w:type="dxa" w:w="1247"/>
          </w:tcPr>
          <w:p>
            <w:pPr>
              <w:jc w:val="right"/>
            </w:pPr>
            <w:r/>
            <w:r>
              <w:rPr>
                <w:color w:val="1A1D21"/>
                <w:sz w:val="17"/>
              </w:rPr>
              <w:t>441,588</w:t>
            </w:r>
          </w:p>
        </w:tc>
        <w:tc>
          <w:tcPr>
            <w:tcW w:type="dxa" w:w="1247"/>
          </w:tcPr>
          <w:p>
            <w:pPr>
              <w:jc w:val="right"/>
            </w:pPr>
            <w:r/>
            <w:r>
              <w:rPr>
                <w:color w:val="1A1D21"/>
                <w:sz w:val="17"/>
              </w:rPr>
              <w:t>626,269</w:t>
            </w:r>
          </w:p>
        </w:tc>
      </w:tr>
      <w:tr>
        <w:trPr>
          <w:cantSplit/>
        </w:trPr>
        <w:tc>
          <w:tcPr>
            <w:tcW w:type="dxa" w:w="3515"/>
          </w:tcPr>
          <w:p>
            <w:r/>
            <w:r>
              <w:rPr>
                <w:color w:val="1A1D21"/>
                <w:sz w:val="17"/>
              </w:rPr>
              <w:t>Shareholders' funds</w:t>
            </w:r>
          </w:p>
        </w:tc>
        <w:tc>
          <w:tcPr>
            <w:tcW w:type="dxa" w:w="1247"/>
          </w:tcPr>
          <w:p>
            <w:pPr>
              <w:jc w:val="right"/>
            </w:pPr>
            <w:r/>
            <w:r>
              <w:rPr>
                <w:color w:val="1A1D21"/>
                <w:sz w:val="17"/>
              </w:rPr>
              <w:t>22,315</w:t>
            </w:r>
          </w:p>
        </w:tc>
        <w:tc>
          <w:tcPr>
            <w:tcW w:type="dxa" w:w="1247"/>
          </w:tcPr>
          <w:p>
            <w:pPr>
              <w:jc w:val="right"/>
            </w:pPr>
            <w:r/>
            <w:r>
              <w:rPr>
                <w:color w:val="1A1D21"/>
                <w:sz w:val="17"/>
              </w:rPr>
              <w:t>28,566</w:t>
            </w:r>
          </w:p>
        </w:tc>
        <w:tc>
          <w:tcPr>
            <w:tcW w:type="dxa" w:w="1247"/>
          </w:tcPr>
          <w:p>
            <w:pPr>
              <w:jc w:val="right"/>
            </w:pPr>
            <w:r/>
            <w:r>
              <w:rPr>
                <w:color w:val="1A1D21"/>
                <w:sz w:val="17"/>
              </w:rPr>
              <w:t>38,708</w:t>
            </w:r>
          </w:p>
        </w:tc>
        <w:tc>
          <w:tcPr>
            <w:tcW w:type="dxa" w:w="1247"/>
          </w:tcPr>
          <w:p>
            <w:pPr>
              <w:jc w:val="right"/>
            </w:pPr>
            <w:r/>
            <w:r>
              <w:rPr>
                <w:color w:val="1A1D21"/>
                <w:sz w:val="17"/>
              </w:rPr>
              <w:t>54,451</w:t>
            </w:r>
          </w:p>
        </w:tc>
        <w:tc>
          <w:tcPr>
            <w:tcW w:type="dxa" w:w="1247"/>
          </w:tcPr>
          <w:p>
            <w:pPr>
              <w:jc w:val="right"/>
            </w:pPr>
            <w:r/>
            <w:r>
              <w:rPr>
                <w:color w:val="1A1D21"/>
                <w:sz w:val="17"/>
              </w:rPr>
              <w:t>78,258</w:t>
            </w:r>
          </w:p>
        </w:tc>
      </w:tr>
      <w:tr>
        <w:trPr>
          <w:cantSplit/>
        </w:trPr>
        <w:tc>
          <w:tcPr>
            <w:tcW w:type="dxa" w:w="3515"/>
          </w:tcPr>
          <w:p>
            <w:r/>
            <w:r>
              <w:rPr>
                <w:color w:val="1A1D21"/>
                <w:sz w:val="17"/>
              </w:rPr>
              <w:t>Total liabilities and equity</w:t>
            </w:r>
          </w:p>
        </w:tc>
        <w:tc>
          <w:tcPr>
            <w:tcW w:type="dxa" w:w="1247"/>
          </w:tcPr>
          <w:p>
            <w:pPr>
              <w:jc w:val="right"/>
            </w:pPr>
            <w:r/>
            <w:r>
              <w:rPr>
                <w:color w:val="1A1D21"/>
                <w:sz w:val="17"/>
              </w:rPr>
              <w:t>184,560</w:t>
            </w:r>
          </w:p>
        </w:tc>
        <w:tc>
          <w:tcPr>
            <w:tcW w:type="dxa" w:w="1247"/>
          </w:tcPr>
          <w:p>
            <w:pPr>
              <w:jc w:val="right"/>
            </w:pPr>
            <w:r/>
            <w:r>
              <w:rPr>
                <w:color w:val="1A1D21"/>
                <w:sz w:val="17"/>
              </w:rPr>
              <w:t>250,662</w:t>
            </w:r>
          </w:p>
        </w:tc>
        <w:tc>
          <w:tcPr>
            <w:tcW w:type="dxa" w:w="1247"/>
          </w:tcPr>
          <w:p>
            <w:pPr>
              <w:jc w:val="right"/>
            </w:pPr>
            <w:r/>
            <w:r>
              <w:rPr>
                <w:color w:val="1A1D21"/>
                <w:sz w:val="17"/>
              </w:rPr>
              <w:t>351,234</w:t>
            </w:r>
          </w:p>
        </w:tc>
        <w:tc>
          <w:tcPr>
            <w:tcW w:type="dxa" w:w="1247"/>
          </w:tcPr>
          <w:p>
            <w:pPr>
              <w:jc w:val="right"/>
            </w:pPr>
            <w:r/>
            <w:r>
              <w:rPr>
                <w:color w:val="1A1D21"/>
                <w:sz w:val="17"/>
              </w:rPr>
              <w:t>496,038</w:t>
            </w:r>
          </w:p>
        </w:tc>
        <w:tc>
          <w:tcPr>
            <w:tcW w:type="dxa" w:w="1247"/>
          </w:tcPr>
          <w:p>
            <w:pPr>
              <w:jc w:val="right"/>
            </w:pPr>
            <w:r/>
            <w:r>
              <w:rPr>
                <w:color w:val="1A1D21"/>
                <w:sz w:val="17"/>
              </w:rPr>
              <w:t>704,527</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cash flow,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Depreciation and amortisation</w:t>
            </w:r>
          </w:p>
        </w:tc>
        <w:tc>
          <w:tcPr>
            <w:tcW w:type="dxa" w:w="1247"/>
          </w:tcPr>
          <w:p>
            <w:pPr>
              <w:jc w:val="right"/>
            </w:pPr>
            <w:r/>
            <w:r>
              <w:rPr>
                <w:color w:val="1A1D21"/>
                <w:sz w:val="17"/>
              </w:rPr>
              <w:t>393</w:t>
            </w:r>
          </w:p>
        </w:tc>
        <w:tc>
          <w:tcPr>
            <w:tcW w:type="dxa" w:w="1247"/>
          </w:tcPr>
          <w:p>
            <w:pPr>
              <w:jc w:val="right"/>
            </w:pPr>
            <w:r/>
            <w:r>
              <w:rPr>
                <w:color w:val="1A1D21"/>
                <w:sz w:val="17"/>
              </w:rPr>
              <w:t>565</w:t>
            </w:r>
          </w:p>
        </w:tc>
        <w:tc>
          <w:tcPr>
            <w:tcW w:type="dxa" w:w="1247"/>
          </w:tcPr>
          <w:p>
            <w:pPr>
              <w:jc w:val="right"/>
            </w:pPr>
            <w:r/>
            <w:r>
              <w:rPr>
                <w:color w:val="1A1D21"/>
                <w:sz w:val="17"/>
              </w:rPr>
              <w:t>814</w:t>
            </w:r>
          </w:p>
        </w:tc>
        <w:tc>
          <w:tcPr>
            <w:tcW w:type="dxa" w:w="1247"/>
          </w:tcPr>
          <w:p>
            <w:pPr>
              <w:jc w:val="right"/>
            </w:pPr>
            <w:r/>
            <w:r>
              <w:rPr>
                <w:color w:val="1A1D21"/>
                <w:sz w:val="17"/>
              </w:rPr>
              <w:t>1,172</w:t>
            </w:r>
          </w:p>
        </w:tc>
        <w:tc>
          <w:tcPr>
            <w:tcW w:type="dxa" w:w="1247"/>
          </w:tcPr>
          <w:p>
            <w:pPr>
              <w:jc w:val="right"/>
            </w:pPr>
            <w:r/>
            <w:r>
              <w:rPr>
                <w:color w:val="1A1D21"/>
                <w:sz w:val="17"/>
              </w:rPr>
              <w:t>1,687</w:t>
            </w:r>
          </w:p>
        </w:tc>
      </w:tr>
      <w:tr>
        <w:trPr>
          <w:cantSplit/>
        </w:trPr>
        <w:tc>
          <w:tcPr>
            <w:tcW w:type="dxa" w:w="3515"/>
          </w:tcPr>
          <w:p>
            <w:r/>
            <w:r>
              <w:rPr>
                <w:color w:val="1A1D21"/>
                <w:sz w:val="17"/>
              </w:rPr>
              <w:t>Change in working capital, cash effect</w:t>
            </w:r>
          </w:p>
        </w:tc>
        <w:tc>
          <w:tcPr>
            <w:tcW w:type="dxa" w:w="1247"/>
          </w:tcPr>
          <w:p>
            <w:pPr>
              <w:jc w:val="right"/>
            </w:pPr>
            <w:r/>
            <w:r>
              <w:rPr>
                <w:color w:val="1A1D21"/>
                <w:sz w:val="17"/>
              </w:rPr>
              <w:t>-6,856</w:t>
            </w:r>
          </w:p>
        </w:tc>
        <w:tc>
          <w:tcPr>
            <w:tcW w:type="dxa" w:w="1247"/>
          </w:tcPr>
          <w:p>
            <w:pPr>
              <w:jc w:val="right"/>
            </w:pPr>
            <w:r/>
            <w:r>
              <w:rPr>
                <w:color w:val="1A1D21"/>
                <w:sz w:val="17"/>
              </w:rPr>
              <w:t>-30,425</w:t>
            </w:r>
          </w:p>
        </w:tc>
        <w:tc>
          <w:tcPr>
            <w:tcW w:type="dxa" w:w="1247"/>
          </w:tcPr>
          <w:p>
            <w:pPr>
              <w:jc w:val="right"/>
            </w:pPr>
            <w:r/>
            <w:r>
              <w:rPr>
                <w:color w:val="1A1D21"/>
                <w:sz w:val="17"/>
              </w:rPr>
              <w:t>-43,806</w:t>
            </w:r>
          </w:p>
        </w:tc>
        <w:tc>
          <w:tcPr>
            <w:tcW w:type="dxa" w:w="1247"/>
          </w:tcPr>
          <w:p>
            <w:pPr>
              <w:jc w:val="right"/>
            </w:pPr>
            <w:r/>
            <w:r>
              <w:rPr>
                <w:color w:val="1A1D21"/>
                <w:sz w:val="17"/>
              </w:rPr>
              <w:t>-63,072</w:t>
            </w:r>
          </w:p>
        </w:tc>
        <w:tc>
          <w:tcPr>
            <w:tcW w:type="dxa" w:w="1247"/>
          </w:tcPr>
          <w:p>
            <w:pPr>
              <w:jc w:val="right"/>
            </w:pPr>
            <w:r/>
            <w:r>
              <w:rPr>
                <w:color w:val="1A1D21"/>
                <w:sz w:val="17"/>
              </w:rPr>
              <w:t>-90,811</w:t>
            </w:r>
          </w:p>
        </w:tc>
      </w:tr>
      <w:tr>
        <w:trPr>
          <w:cantSplit/>
        </w:trPr>
        <w:tc>
          <w:tcPr>
            <w:tcW w:type="dxa" w:w="3515"/>
          </w:tcPr>
          <w:p>
            <w:r/>
            <w:r>
              <w:rPr>
                <w:color w:val="1A1D21"/>
                <w:sz w:val="17"/>
              </w:rPr>
              <w:t>Cash from operations</w:t>
            </w:r>
          </w:p>
        </w:tc>
        <w:tc>
          <w:tcPr>
            <w:tcW w:type="dxa" w:w="1247"/>
          </w:tcPr>
          <w:p>
            <w:pPr>
              <w:jc w:val="right"/>
            </w:pPr>
            <w:r/>
            <w:r>
              <w:rPr>
                <w:color w:val="1A1D21"/>
                <w:sz w:val="17"/>
              </w:rPr>
              <w:t>-2,914</w:t>
            </w:r>
          </w:p>
        </w:tc>
        <w:tc>
          <w:tcPr>
            <w:tcW w:type="dxa" w:w="1247"/>
          </w:tcPr>
          <w:p>
            <w:pPr>
              <w:jc w:val="right"/>
            </w:pPr>
            <w:r/>
            <w:r>
              <w:rPr>
                <w:color w:val="1A1D21"/>
                <w:sz w:val="17"/>
              </w:rPr>
              <w:t>-23,608</w:t>
            </w:r>
          </w:p>
        </w:tc>
        <w:tc>
          <w:tcPr>
            <w:tcW w:type="dxa" w:w="1247"/>
          </w:tcPr>
          <w:p>
            <w:pPr>
              <w:jc w:val="right"/>
            </w:pPr>
            <w:r/>
            <w:r>
              <w:rPr>
                <w:color w:val="1A1D21"/>
                <w:sz w:val="17"/>
              </w:rPr>
              <w:t>-32,850</w:t>
            </w:r>
          </w:p>
        </w:tc>
        <w:tc>
          <w:tcPr>
            <w:tcW w:type="dxa" w:w="1247"/>
          </w:tcPr>
          <w:p>
            <w:pPr>
              <w:jc w:val="right"/>
            </w:pPr>
            <w:r/>
            <w:r>
              <w:rPr>
                <w:color w:val="1A1D21"/>
                <w:sz w:val="17"/>
              </w:rPr>
              <w:t>-46,157</w:t>
            </w:r>
          </w:p>
        </w:tc>
        <w:tc>
          <w:tcPr>
            <w:tcW w:type="dxa" w:w="1247"/>
          </w:tcPr>
          <w:p>
            <w:pPr>
              <w:jc w:val="right"/>
            </w:pPr>
            <w:r/>
            <w:r>
              <w:rPr>
                <w:color w:val="1A1D21"/>
                <w:sz w:val="17"/>
              </w:rPr>
              <w:t>-65,316</w:t>
            </w:r>
          </w:p>
        </w:tc>
      </w:tr>
      <w:tr>
        <w:trPr>
          <w:cantSplit/>
        </w:trPr>
        <w:tc>
          <w:tcPr>
            <w:tcW w:type="dxa" w:w="3515"/>
          </w:tcPr>
          <w:p>
            <w:r/>
            <w:r>
              <w:rPr>
                <w:color w:val="1A1D21"/>
                <w:sz w:val="17"/>
              </w:rPr>
              <w:t xml:space="preserve">  as a share of revenue</w:t>
            </w:r>
          </w:p>
        </w:tc>
        <w:tc>
          <w:tcPr>
            <w:tcW w:type="dxa" w:w="1247"/>
          </w:tcPr>
          <w:p>
            <w:pPr>
              <w:jc w:val="right"/>
            </w:pPr>
            <w:r/>
            <w:r>
              <w:rPr>
                <w:color w:val="1A1D21"/>
                <w:sz w:val="17"/>
              </w:rPr>
              <w:t>-7.3%</w:t>
            </w:r>
          </w:p>
        </w:tc>
        <w:tc>
          <w:tcPr>
            <w:tcW w:type="dxa" w:w="1247"/>
          </w:tcPr>
          <w:p>
            <w:pPr>
              <w:jc w:val="right"/>
            </w:pPr>
            <w:r/>
            <w:r>
              <w:rPr>
                <w:color w:val="1A1D21"/>
                <w:sz w:val="17"/>
              </w:rPr>
              <w:t>-40.8%</w:t>
            </w:r>
          </w:p>
        </w:tc>
        <w:tc>
          <w:tcPr>
            <w:tcW w:type="dxa" w:w="1247"/>
          </w:tcPr>
          <w:p>
            <w:pPr>
              <w:jc w:val="right"/>
            </w:pPr>
            <w:r/>
            <w:r>
              <w:rPr>
                <w:color w:val="1A1D21"/>
                <w:sz w:val="17"/>
              </w:rPr>
              <w:t>-39.5%</w:t>
            </w:r>
          </w:p>
        </w:tc>
        <w:tc>
          <w:tcPr>
            <w:tcW w:type="dxa" w:w="1247"/>
          </w:tcPr>
          <w:p>
            <w:pPr>
              <w:jc w:val="right"/>
            </w:pPr>
            <w:r/>
            <w:r>
              <w:rPr>
                <w:color w:val="1A1D21"/>
                <w:sz w:val="17"/>
              </w:rPr>
              <w:t>-38.5%</w:t>
            </w:r>
          </w:p>
        </w:tc>
        <w:tc>
          <w:tcPr>
            <w:tcW w:type="dxa" w:w="1247"/>
          </w:tcPr>
          <w:p>
            <w:pPr>
              <w:jc w:val="right"/>
            </w:pPr>
            <w:r/>
            <w:r>
              <w:rPr>
                <w:color w:val="1A1D21"/>
                <w:sz w:val="17"/>
              </w:rPr>
              <w:t>-37.9%</w:t>
            </w:r>
          </w:p>
        </w:tc>
      </w:tr>
      <w:tr>
        <w:trPr>
          <w:cantSplit/>
        </w:trPr>
        <w:tc>
          <w:tcPr>
            <w:tcW w:type="dxa" w:w="3515"/>
          </w:tcPr>
          <w:p>
            <w:r/>
            <w:r>
              <w:rPr>
                <w:color w:val="1A1D21"/>
                <w:sz w:val="17"/>
              </w:rPr>
              <w:t>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New borrowing drawn</w:t>
            </w:r>
          </w:p>
        </w:tc>
        <w:tc>
          <w:tcPr>
            <w:tcW w:type="dxa" w:w="1247"/>
          </w:tcPr>
          <w:p>
            <w:pPr>
              <w:jc w:val="right"/>
            </w:pPr>
            <w:r/>
            <w:r>
              <w:rPr>
                <w:color w:val="1A1D21"/>
                <w:sz w:val="17"/>
              </w:rPr>
              <w:t>0</w:t>
            </w:r>
          </w:p>
        </w:tc>
        <w:tc>
          <w:tcPr>
            <w:tcW w:type="dxa" w:w="1247"/>
          </w:tcPr>
          <w:p>
            <w:pPr>
              <w:jc w:val="right"/>
            </w:pPr>
            <w:r/>
            <w:r>
              <w:rPr>
                <w:color w:val="1A1D21"/>
                <w:sz w:val="17"/>
              </w:rPr>
              <w:t>20,437</w:t>
            </w:r>
          </w:p>
        </w:tc>
        <w:tc>
          <w:tcPr>
            <w:tcW w:type="dxa" w:w="1247"/>
          </w:tcPr>
          <w:p>
            <w:pPr>
              <w:jc w:val="right"/>
            </w:pPr>
            <w:r/>
            <w:r>
              <w:rPr>
                <w:color w:val="1A1D21"/>
                <w:sz w:val="17"/>
              </w:rPr>
              <w:t>33,683</w:t>
            </w:r>
          </w:p>
        </w:tc>
        <w:tc>
          <w:tcPr>
            <w:tcW w:type="dxa" w:w="1247"/>
          </w:tcPr>
          <w:p>
            <w:pPr>
              <w:jc w:val="right"/>
            </w:pPr>
            <w:r/>
            <w:r>
              <w:rPr>
                <w:color w:val="1A1D21"/>
                <w:sz w:val="17"/>
              </w:rPr>
              <w:t>47,355</w:t>
            </w:r>
          </w:p>
        </w:tc>
        <w:tc>
          <w:tcPr>
            <w:tcW w:type="dxa" w:w="1247"/>
          </w:tcPr>
          <w:p>
            <w:pPr>
              <w:jc w:val="right"/>
            </w:pPr>
            <w:r/>
            <w:r>
              <w:rPr>
                <w:color w:val="1A1D21"/>
                <w:sz w:val="17"/>
              </w:rPr>
              <w:t>67,041</w:t>
            </w:r>
          </w:p>
        </w:tc>
      </w:tr>
      <w:tr>
        <w:trPr>
          <w:cantSplit/>
        </w:trPr>
        <w:tc>
          <w:tcPr>
            <w:tcW w:type="dxa" w:w="3515"/>
          </w:tcPr>
          <w:p>
            <w:r/>
            <w:r>
              <w:rPr>
                <w:color w:val="1A1D21"/>
                <w:sz w:val="17"/>
              </w:rPr>
              <w:t>Closing cash</w:t>
            </w:r>
          </w:p>
        </w:tc>
        <w:tc>
          <w:tcPr>
            <w:tcW w:type="dxa" w:w="1247"/>
          </w:tcPr>
          <w:p>
            <w:pPr>
              <w:jc w:val="right"/>
            </w:pPr>
            <w:r/>
            <w:r>
              <w:rPr>
                <w:color w:val="1A1D21"/>
                <w:sz w:val="17"/>
              </w:rPr>
              <w:t>6,104</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The cycle this implies</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Collection period, days</w:t>
            </w:r>
          </w:p>
        </w:tc>
        <w:tc>
          <w:tcPr>
            <w:tcW w:type="dxa" w:w="1247"/>
          </w:tcPr>
          <w:p>
            <w:pPr>
              <w:jc w:val="right"/>
            </w:pPr>
            <w:r/>
            <w:r>
              <w:rPr>
                <w:color w:val="1A1D21"/>
                <w:sz w:val="17"/>
              </w:rPr>
              <w:t>1045</w:t>
            </w:r>
          </w:p>
        </w:tc>
        <w:tc>
          <w:tcPr>
            <w:tcW w:type="dxa" w:w="1247"/>
          </w:tcPr>
          <w:p>
            <w:pPr>
              <w:jc w:val="right"/>
            </w:pPr>
            <w:r/>
            <w:r>
              <w:rPr>
                <w:color w:val="1A1D21"/>
                <w:sz w:val="17"/>
              </w:rPr>
              <w:t>1045</w:t>
            </w:r>
          </w:p>
        </w:tc>
        <w:tc>
          <w:tcPr>
            <w:tcW w:type="dxa" w:w="1247"/>
          </w:tcPr>
          <w:p>
            <w:pPr>
              <w:jc w:val="right"/>
            </w:pPr>
            <w:r/>
            <w:r>
              <w:rPr>
                <w:color w:val="1A1D21"/>
                <w:sz w:val="17"/>
              </w:rPr>
              <w:t>1045</w:t>
            </w:r>
          </w:p>
        </w:tc>
        <w:tc>
          <w:tcPr>
            <w:tcW w:type="dxa" w:w="1247"/>
          </w:tcPr>
          <w:p>
            <w:pPr>
              <w:jc w:val="right"/>
            </w:pPr>
            <w:r/>
            <w:r>
              <w:rPr>
                <w:color w:val="1A1D21"/>
                <w:sz w:val="17"/>
              </w:rPr>
              <w:t>1045</w:t>
            </w:r>
          </w:p>
        </w:tc>
        <w:tc>
          <w:tcPr>
            <w:tcW w:type="dxa" w:w="1247"/>
          </w:tcPr>
          <w:p>
            <w:pPr>
              <w:jc w:val="right"/>
            </w:pPr>
            <w:r/>
            <w:r>
              <w:rPr>
                <w:color w:val="1A1D21"/>
                <w:sz w:val="17"/>
              </w:rPr>
              <w:t>1045</w:t>
            </w:r>
          </w:p>
        </w:tc>
      </w:tr>
      <w:tr>
        <w:trPr>
          <w:cantSplit/>
        </w:trPr>
        <w:tc>
          <w:tcPr>
            <w:tcW w:type="dxa" w:w="3515"/>
          </w:tcPr>
          <w:p>
            <w:r/>
            <w:r>
              <w:rPr>
                <w:color w:val="1A1D21"/>
                <w:sz w:val="17"/>
              </w:rPr>
              <w:t>Work in progress, days of cost</w:t>
            </w:r>
          </w:p>
        </w:tc>
        <w:tc>
          <w:tcPr>
            <w:tcW w:type="dxa" w:w="1247"/>
          </w:tcPr>
          <w:p>
            <w:pPr>
              <w:jc w:val="right"/>
            </w:pPr>
            <w:r/>
            <w:r>
              <w:rPr>
                <w:color w:val="1A1D21"/>
                <w:sz w:val="17"/>
              </w:rPr>
              <w:t>287</w:t>
            </w:r>
          </w:p>
        </w:tc>
        <w:tc>
          <w:tcPr>
            <w:tcW w:type="dxa" w:w="1247"/>
          </w:tcPr>
          <w:p>
            <w:pPr>
              <w:jc w:val="right"/>
            </w:pPr>
            <w:r/>
            <w:r>
              <w:rPr>
                <w:color w:val="1A1D21"/>
                <w:sz w:val="17"/>
              </w:rPr>
              <w:t>287</w:t>
            </w:r>
          </w:p>
        </w:tc>
        <w:tc>
          <w:tcPr>
            <w:tcW w:type="dxa" w:w="1247"/>
          </w:tcPr>
          <w:p>
            <w:pPr>
              <w:jc w:val="right"/>
            </w:pPr>
            <w:r/>
            <w:r>
              <w:rPr>
                <w:color w:val="1A1D21"/>
                <w:sz w:val="17"/>
              </w:rPr>
              <w:t>287</w:t>
            </w:r>
          </w:p>
        </w:tc>
        <w:tc>
          <w:tcPr>
            <w:tcW w:type="dxa" w:w="1247"/>
          </w:tcPr>
          <w:p>
            <w:pPr>
              <w:jc w:val="right"/>
            </w:pPr>
            <w:r/>
            <w:r>
              <w:rPr>
                <w:color w:val="1A1D21"/>
                <w:sz w:val="17"/>
              </w:rPr>
              <w:t>287</w:t>
            </w:r>
          </w:p>
        </w:tc>
        <w:tc>
          <w:tcPr>
            <w:tcW w:type="dxa" w:w="1247"/>
          </w:tcPr>
          <w:p>
            <w:pPr>
              <w:jc w:val="right"/>
            </w:pPr>
            <w:r/>
            <w:r>
              <w:rPr>
                <w:color w:val="1A1D21"/>
                <w:sz w:val="17"/>
              </w:rPr>
              <w:t>287</w:t>
            </w:r>
          </w:p>
        </w:tc>
      </w:tr>
      <w:tr>
        <w:trPr>
          <w:cantSplit/>
        </w:trPr>
        <w:tc>
          <w:tcPr>
            <w:tcW w:type="dxa" w:w="3515"/>
          </w:tcPr>
          <w:p>
            <w:r/>
            <w:r>
              <w:rPr>
                <w:color w:val="1A1D21"/>
                <w:sz w:val="17"/>
              </w:rPr>
              <w:t>Suppliers, days of cost</w:t>
            </w:r>
          </w:p>
        </w:tc>
        <w:tc>
          <w:tcPr>
            <w:tcW w:type="dxa" w:w="1247"/>
          </w:tcPr>
          <w:p>
            <w:pPr>
              <w:jc w:val="right"/>
            </w:pPr>
            <w:r/>
            <w:r>
              <w:rPr>
                <w:color w:val="1A1D21"/>
                <w:sz w:val="17"/>
              </w:rPr>
              <w:t>62</w:t>
            </w:r>
          </w:p>
        </w:tc>
        <w:tc>
          <w:tcPr>
            <w:tcW w:type="dxa" w:w="1247"/>
          </w:tcPr>
          <w:p>
            <w:pPr>
              <w:jc w:val="right"/>
            </w:pPr>
            <w:r/>
            <w:r>
              <w:rPr>
                <w:color w:val="1A1D21"/>
                <w:sz w:val="17"/>
              </w:rPr>
              <w:t>62</w:t>
            </w:r>
          </w:p>
        </w:tc>
        <w:tc>
          <w:tcPr>
            <w:tcW w:type="dxa" w:w="1247"/>
          </w:tcPr>
          <w:p>
            <w:pPr>
              <w:jc w:val="right"/>
            </w:pPr>
            <w:r/>
            <w:r>
              <w:rPr>
                <w:color w:val="1A1D21"/>
                <w:sz w:val="17"/>
              </w:rPr>
              <w:t>62</w:t>
            </w:r>
          </w:p>
        </w:tc>
        <w:tc>
          <w:tcPr>
            <w:tcW w:type="dxa" w:w="1247"/>
          </w:tcPr>
          <w:p>
            <w:pPr>
              <w:jc w:val="right"/>
            </w:pPr>
            <w:r/>
            <w:r>
              <w:rPr>
                <w:color w:val="1A1D21"/>
                <w:sz w:val="17"/>
              </w:rPr>
              <w:t>62</w:t>
            </w:r>
          </w:p>
        </w:tc>
        <w:tc>
          <w:tcPr>
            <w:tcW w:type="dxa" w:w="1247"/>
          </w:tcPr>
          <w:p>
            <w:pPr>
              <w:jc w:val="right"/>
            </w:pPr>
            <w:r/>
            <w:r>
              <w:rPr>
                <w:color w:val="1A1D21"/>
                <w:sz w:val="17"/>
              </w:rPr>
              <w:t>62</w:t>
            </w:r>
          </w:p>
        </w:tc>
      </w:tr>
      <w:tr>
        <w:trPr>
          <w:cantSplit/>
        </w:trPr>
        <w:tc>
          <w:tcPr>
            <w:tcW w:type="dxa" w:w="3515"/>
          </w:tcPr>
          <w:p>
            <w:r/>
            <w:r>
              <w:rPr>
                <w:color w:val="1A1D21"/>
                <w:sz w:val="17"/>
              </w:rPr>
              <w:t>Customer advances, share of the order book</w:t>
            </w:r>
          </w:p>
        </w:tc>
        <w:tc>
          <w:tcPr>
            <w:tcW w:type="dxa" w:w="1247"/>
          </w:tcPr>
          <w:p>
            <w:pPr>
              <w:jc w:val="right"/>
            </w:pPr>
            <w:r/>
            <w:r>
              <w:rPr>
                <w:color w:val="1A1D21"/>
                <w:sz w:val="17"/>
              </w:rPr>
              <w:t>21.2%</w:t>
            </w:r>
          </w:p>
        </w:tc>
        <w:tc>
          <w:tcPr>
            <w:tcW w:type="dxa" w:w="1247"/>
          </w:tcPr>
          <w:p>
            <w:pPr>
              <w:jc w:val="right"/>
            </w:pPr>
            <w:r/>
            <w:r>
              <w:rPr>
                <w:color w:val="1A1D21"/>
                <w:sz w:val="17"/>
              </w:rPr>
              <w:t>23.1%</w:t>
            </w:r>
          </w:p>
        </w:tc>
        <w:tc>
          <w:tcPr>
            <w:tcW w:type="dxa" w:w="1247"/>
          </w:tcPr>
          <w:p>
            <w:pPr>
              <w:jc w:val="right"/>
            </w:pPr>
            <w:r/>
            <w:r>
              <w:rPr>
                <w:color w:val="1A1D21"/>
                <w:sz w:val="17"/>
              </w:rPr>
              <w:t>25.9%</w:t>
            </w:r>
          </w:p>
        </w:tc>
        <w:tc>
          <w:tcPr>
            <w:tcW w:type="dxa" w:w="1247"/>
          </w:tcPr>
          <w:p>
            <w:pPr>
              <w:jc w:val="right"/>
            </w:pPr>
            <w:r/>
            <w:r>
              <w:rPr>
                <w:color w:val="1A1D21"/>
                <w:sz w:val="17"/>
              </w:rPr>
              <w:t>29.8%</w:t>
            </w:r>
          </w:p>
        </w:tc>
        <w:tc>
          <w:tcPr>
            <w:tcW w:type="dxa" w:w="1247"/>
          </w:tcPr>
          <w:p>
            <w:pPr>
              <w:jc w:val="right"/>
            </w:pPr>
            <w:r/>
            <w:r>
              <w:rPr>
                <w:color w:val="1A1D21"/>
                <w:sz w:val="17"/>
              </w:rPr>
              <w:t>35.1%</w:t>
            </w:r>
          </w:p>
        </w:tc>
      </w:tr>
      <w:tr>
        <w:trPr>
          <w:cantSplit/>
        </w:trPr>
        <w:tc>
          <w:tcPr>
            <w:tcW w:type="dxa" w:w="3515"/>
          </w:tcPr>
          <w:p>
            <w:r/>
            <w:r>
              <w:rPr>
                <w:color w:val="1A1D21"/>
                <w:sz w:val="17"/>
              </w:rPr>
              <w:t>Net working capital</w:t>
            </w:r>
          </w:p>
        </w:tc>
        <w:tc>
          <w:tcPr>
            <w:tcW w:type="dxa" w:w="1247"/>
          </w:tcPr>
          <w:p>
            <w:pPr>
              <w:jc w:val="right"/>
            </w:pPr>
            <w:r/>
            <w:r>
              <w:rPr>
                <w:color w:val="1A1D21"/>
                <w:sz w:val="17"/>
              </w:rPr>
              <w:t>69,179</w:t>
            </w:r>
          </w:p>
        </w:tc>
        <w:tc>
          <w:tcPr>
            <w:tcW w:type="dxa" w:w="1247"/>
          </w:tcPr>
          <w:p>
            <w:pPr>
              <w:jc w:val="right"/>
            </w:pPr>
            <w:r/>
            <w:r>
              <w:rPr>
                <w:color w:val="1A1D21"/>
                <w:sz w:val="17"/>
              </w:rPr>
              <w:t>99,604</w:t>
            </w:r>
          </w:p>
        </w:tc>
        <w:tc>
          <w:tcPr>
            <w:tcW w:type="dxa" w:w="1247"/>
          </w:tcPr>
          <w:p>
            <w:pPr>
              <w:jc w:val="right"/>
            </w:pPr>
            <w:r/>
            <w:r>
              <w:rPr>
                <w:color w:val="1A1D21"/>
                <w:sz w:val="17"/>
              </w:rPr>
              <w:t>143,410</w:t>
            </w:r>
          </w:p>
        </w:tc>
        <w:tc>
          <w:tcPr>
            <w:tcW w:type="dxa" w:w="1247"/>
          </w:tcPr>
          <w:p>
            <w:pPr>
              <w:jc w:val="right"/>
            </w:pPr>
            <w:r/>
            <w:r>
              <w:rPr>
                <w:color w:val="1A1D21"/>
                <w:sz w:val="17"/>
              </w:rPr>
              <w:t>206,482</w:t>
            </w:r>
          </w:p>
        </w:tc>
        <w:tc>
          <w:tcPr>
            <w:tcW w:type="dxa" w:w="1247"/>
          </w:tcPr>
          <w:p>
            <w:pPr>
              <w:jc w:val="right"/>
            </w:pPr>
            <w:r/>
            <w:r>
              <w:rPr>
                <w:color w:val="1A1D21"/>
                <w:sz w:val="17"/>
              </w:rPr>
              <w:t>297,292</w:t>
            </w:r>
          </w:p>
        </w:tc>
      </w:tr>
      <w:tr>
        <w:trPr>
          <w:cantSplit/>
        </w:trPr>
        <w:tc>
          <w:tcPr>
            <w:tcW w:type="dxa" w:w="3515"/>
          </w:tcPr>
          <w:p>
            <w:r/>
            <w:r>
              <w:rPr>
                <w:color w:val="1A1D21"/>
                <w:sz w:val="17"/>
              </w:rPr>
              <w:t xml:space="preserve">  as a multiple of revenue</w:t>
            </w:r>
          </w:p>
        </w:tc>
        <w:tc>
          <w:tcPr>
            <w:tcW w:type="dxa" w:w="1247"/>
          </w:tcPr>
          <w:p>
            <w:pPr>
              <w:jc w:val="right"/>
            </w:pPr>
            <w:r/>
            <w:r>
              <w:rPr>
                <w:color w:val="1A1D21"/>
                <w:sz w:val="17"/>
              </w:rPr>
              <w:t>1.72</w:t>
            </w:r>
          </w:p>
        </w:tc>
        <w:tc>
          <w:tcPr>
            <w:tcW w:type="dxa" w:w="1247"/>
          </w:tcPr>
          <w:p>
            <w:pPr>
              <w:jc w:val="right"/>
            </w:pPr>
            <w:r/>
            <w:r>
              <w:rPr>
                <w:color w:val="1A1D21"/>
                <w:sz w:val="17"/>
              </w:rPr>
              <w:t>1.72</w:t>
            </w:r>
          </w:p>
        </w:tc>
        <w:tc>
          <w:tcPr>
            <w:tcW w:type="dxa" w:w="1247"/>
          </w:tcPr>
          <w:p>
            <w:pPr>
              <w:jc w:val="right"/>
            </w:pPr>
            <w:r/>
            <w:r>
              <w:rPr>
                <w:color w:val="1A1D21"/>
                <w:sz w:val="17"/>
              </w:rPr>
              <w:t>1.72</w:t>
            </w:r>
          </w:p>
        </w:tc>
        <w:tc>
          <w:tcPr>
            <w:tcW w:type="dxa" w:w="1247"/>
          </w:tcPr>
          <w:p>
            <w:pPr>
              <w:jc w:val="right"/>
            </w:pPr>
            <w:r/>
            <w:r>
              <w:rPr>
                <w:color w:val="1A1D21"/>
                <w:sz w:val="17"/>
              </w:rPr>
              <w:t>1.72</w:t>
            </w:r>
          </w:p>
        </w:tc>
        <w:tc>
          <w:tcPr>
            <w:tcW w:type="dxa" w:w="1247"/>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64,447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-67,279</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168,517</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42,972</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126%</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26.25%</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23,030</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38,969</w:t>
            </w:r>
          </w:p>
        </w:tc>
      </w:tr>
      <w:tr>
        <w:trPr>
          <w:cantSplit/>
        </w:trPr>
        <w:tc>
          <w:tcPr>
            <w:tcW w:type="dxa" w:w="5102"/>
          </w:tcPr>
          <w:p>
            <w:r/>
            <w:r>
              <w:rPr>
                <w:color w:val="1A1D21"/>
                <w:sz w:val="17"/>
              </w:rPr>
              <w:t>Enterprise value</w:t>
            </w:r>
          </w:p>
        </w:tc>
        <w:tc>
          <w:tcPr>
            <w:tcW w:type="dxa" w:w="2835"/>
          </w:tcPr>
          <w:p>
            <w:pPr>
              <w:jc w:val="right"/>
            </w:pPr>
            <w:r/>
            <w:r>
              <w:rPr>
                <w:color w:val="1A1D21"/>
                <w:sz w:val="17"/>
              </w:rPr>
              <w:t>61,999</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43,614</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(2,043)</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41,571</w:t>
            </w:r>
          </w:p>
        </w:tc>
      </w:tr>
      <w:tr>
        <w:trPr>
          <w:cantSplit/>
        </w:trPr>
        <w:tc>
          <w:tcPr>
            <w:tcW w:type="dxa" w:w="5102"/>
          </w:tcPr>
          <w:p>
            <w:r/>
            <w:r>
              <w:rPr>
                <w:color w:val="1A1D21"/>
                <w:sz w:val="17"/>
              </w:rPr>
              <w:t>Per share (EGP)</w:t>
            </w:r>
          </w:p>
        </w:tc>
        <w:tc>
          <w:tcPr>
            <w:tcW w:type="dxa" w:w="2835"/>
          </w:tcPr>
          <w:p>
            <w:pPr>
              <w:jc w:val="right"/>
            </w:pPr>
            <w:r/>
            <w:r>
              <w:rPr>
                <w:color w:val="1A1D21"/>
                <w:sz w:val="17"/>
              </w:rPr>
              <w:t>14.54</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4.46 to EGP 33.86.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26.25% and every other input at the audited 2025 base, the closing price of EGP 15.20 implies cash conversion of 9.0%. The company achieved 4.3% in 2023, 17.9% in 2024 and 3.9% in 2025. Named sensitivity: at a 25.24% cost of capital the implied rate would be lower still. Falsifier: if 2026 conversion prints above 9.0%, the price was too low.</w:t>
      </w:r>
    </w:p>
    <w:p>
      <w:pPr>
        <w:pStyle w:val="Heading2"/>
      </w:pPr>
      <w:r>
        <w:t>C.4  Cross-examination</w:t>
      </w:r>
    </w:p>
    <w:p>
      <w:pPr>
        <w:pStyle w:val="ListBullet"/>
        <w:spacing w:after="60"/>
      </w:pPr>
      <w:r>
        <w:rPr>
          <w:color w:val="1A1D21"/>
          <w:sz w:val="20"/>
        </w:rPr>
        <w:t>Expert 2 to Expert 1: your terminal value is 63%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26.25% cost of capital and the order book. Expert 1 needs a conversion rate to produce an answer; Expert 2 refuses to forecast one and prices the assets instead; Expert 3 asks what rate is already in the price. The room's joint position is that Palm Hills is worth between EGP 4.46 and EGP 33.86, that the price of EGP 15.20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9.0%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26.25%</w:t>
            </w:r>
          </w:p>
        </w:tc>
        <w:tc>
          <w:tcPr>
            <w:tcW w:type="dxa" w:w="1701"/>
          </w:tcPr>
          <w:p>
            <w:r/>
            <w:r>
              <w:rPr>
                <w:color w:val="1A1D21"/>
                <w:sz w:val="17"/>
              </w:rPr>
              <w:t>not used</w:t>
            </w:r>
          </w:p>
        </w:tc>
        <w:tc>
          <w:tcPr>
            <w:tcW w:type="dxa" w:w="1814"/>
          </w:tcPr>
          <w:p>
            <w:pPr>
              <w:jc w:val="right"/>
            </w:pPr>
            <w:r/>
            <w:r>
              <w:rPr>
                <w:color w:val="1A1D21"/>
                <w:sz w:val="17"/>
              </w:rPr>
              <w:t>26.25%</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63%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2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