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1.50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2.8%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2.115 against 1.958 on the primary lens; weighted centrals of 1.84 against 1.73 in the recovery case and 1.81 against 1.70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5.8%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1.50,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1.84 per share under the 9% tax framing (1.73 at 15%) — a case that requires a de-escalation which had NOT occurred at the anchor date — and a continuation case, describing the world as it stood on the published facts, at 1.81 (1.70). The scenario field runs 1.454 to 2.153 bear to bull, against a market price of 1.50. One disclosed transaction brackets the question from above: DEWA took its stake from 56% to 80% in February 2026 by buying Dubai Holding's 24% at AED 2.16 per share — a related-party CONTROL price, +44%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1.50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7.61%, two-stage terminal (ten years at 2.5% volume-only growth, then 1.5%). Terminal value = 78.1% of enterprise value (78.0% under the 15% framing) — disclosed here, in the bridge and in section 1.9</w:t>
            </w:r>
          </w:p>
        </w:tc>
        <w:tc>
          <w:tcPr>
            <w:tcW w:type="dxa" w:w="1368"/>
          </w:tcPr>
          <w:p>
            <w:pPr>
              <w:spacing w:after="20"/>
              <w:jc w:val="right"/>
            </w:pPr>
            <w:r>
              <w:rPr>
                <w:color w:val="1C3A36"/>
                <w:sz w:val="16"/>
              </w:rPr>
              <w:t>2.115</w:t>
            </w:r>
          </w:p>
        </w:tc>
        <w:tc>
          <w:tcPr>
            <w:tcW w:type="dxa" w:w="1368"/>
          </w:tcPr>
          <w:p>
            <w:pPr>
              <w:spacing w:after="20"/>
              <w:jc w:val="right"/>
            </w:pPr>
            <w:r>
              <w:rPr>
                <w:color w:val="1C3A36"/>
                <w:sz w:val="16"/>
              </w:rPr>
              <w:t>1.958</w:t>
            </w:r>
          </w:p>
        </w:tc>
        <w:tc>
          <w:tcPr>
            <w:tcW w:type="dxa" w:w="864"/>
          </w:tcPr>
          <w:p>
            <w:pPr>
              <w:spacing w:after="20"/>
              <w:jc w:val="right"/>
            </w:pPr>
            <w:r>
              <w:rPr>
                <w:color w:val="1C3A36"/>
                <w:sz w:val="16"/>
              </w:rPr>
              <w:t>+41%</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-4%</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+12%</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+9%</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1.84</w:t>
            </w:r>
          </w:p>
        </w:tc>
        <w:tc>
          <w:tcPr>
            <w:tcW w:type="dxa" w:w="1368"/>
            <w:shd w:val="clear" w:color="auto" w:fill="F6F1E6"/>
          </w:tcPr>
          <w:p>
            <w:pPr>
              <w:spacing w:after="20"/>
              <w:jc w:val="right"/>
            </w:pPr>
            <w:r>
              <w:rPr>
                <w:b/>
                <w:color w:val="1C3A36"/>
                <w:sz w:val="16"/>
              </w:rPr>
              <w:t>1.73</w:t>
            </w:r>
          </w:p>
        </w:tc>
        <w:tc>
          <w:tcPr>
            <w:tcW w:type="dxa" w:w="864"/>
            <w:shd w:val="clear" w:color="auto" w:fill="F6F1E6"/>
          </w:tcPr>
          <w:p>
            <w:pPr>
              <w:spacing w:after="20"/>
              <w:jc w:val="right"/>
            </w:pPr>
            <w:r>
              <w:rPr>
                <w:b/>
                <w:color w:val="1C3A36"/>
                <w:sz w:val="16"/>
              </w:rPr>
              <w:t>+23%</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1.81</w:t>
            </w:r>
          </w:p>
        </w:tc>
        <w:tc>
          <w:tcPr>
            <w:tcW w:type="dxa" w:w="1368"/>
            <w:shd w:val="clear" w:color="auto" w:fill="F6F1E6"/>
          </w:tcPr>
          <w:p>
            <w:pPr>
              <w:spacing w:after="20"/>
              <w:jc w:val="right"/>
            </w:pPr>
            <w:r>
              <w:rPr>
                <w:b/>
                <w:color w:val="1C3A36"/>
                <w:sz w:val="16"/>
              </w:rPr>
              <w:t>1.70</w:t>
            </w:r>
          </w:p>
        </w:tc>
        <w:tc>
          <w:tcPr>
            <w:tcW w:type="dxa" w:w="864"/>
            <w:shd w:val="clear" w:color="auto" w:fill="F6F1E6"/>
          </w:tcPr>
          <w:p>
            <w:pPr>
              <w:spacing w:after="20"/>
              <w:jc w:val="right"/>
            </w:pPr>
            <w:r>
              <w:rPr>
                <w:b/>
                <w:color w:val="1C3A36"/>
                <w:sz w:val="16"/>
              </w:rPr>
              <w:t>+21%</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1.454 (war re-escalation, usage never recovers, 15% tax, +100bp on the cost of equity) to bull 2.153 (full recovery, 110k RT/yr)</w:t>
            </w:r>
          </w:p>
        </w:tc>
        <w:tc>
          <w:tcPr>
            <w:tcW w:type="dxa" w:w="1368"/>
          </w:tcPr>
          <w:p>
            <w:pPr>
              <w:spacing w:after="20"/>
              <w:jc w:val="right"/>
            </w:pPr>
            <w:r>
              <w:rPr>
                <w:color w:val="1C3A36"/>
                <w:sz w:val="16"/>
              </w:rPr>
              <w:t>1.454 – 2.153</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+4%</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+44%</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2.05 to 2.49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(78.1%)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15,000mn at the anchor price of 1.50</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5.8%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0.9640</w:t>
            </w:r>
          </w:p>
        </w:tc>
        <w:tc>
          <w:tcPr>
            <w:tcW w:type="dxa" w:w="1354"/>
          </w:tcPr>
          <w:p>
            <w:pPr>
              <w:spacing w:after="20"/>
              <w:jc w:val="right"/>
            </w:pPr>
            <w:r>
              <w:rPr>
                <w:color w:val="1C3A36"/>
                <w:sz w:val="17"/>
              </w:rPr>
              <w:t>0.8958</w:t>
            </w:r>
          </w:p>
        </w:tc>
        <w:tc>
          <w:tcPr>
            <w:tcW w:type="dxa" w:w="1354"/>
          </w:tcPr>
          <w:p>
            <w:pPr>
              <w:spacing w:after="20"/>
              <w:jc w:val="right"/>
            </w:pPr>
            <w:r>
              <w:rPr>
                <w:color w:val="1C3A36"/>
                <w:sz w:val="17"/>
              </w:rPr>
              <w:t>0.8324</w:t>
            </w:r>
          </w:p>
        </w:tc>
        <w:tc>
          <w:tcPr>
            <w:tcW w:type="dxa" w:w="1354"/>
          </w:tcPr>
          <w:p>
            <w:pPr>
              <w:spacing w:after="20"/>
              <w:jc w:val="right"/>
            </w:pPr>
            <w:r>
              <w:rPr>
                <w:color w:val="1C3A36"/>
                <w:sz w:val="17"/>
              </w:rPr>
              <w:t>0.7735</w:t>
            </w:r>
          </w:p>
        </w:tc>
        <w:tc>
          <w:tcPr>
            <w:tcW w:type="dxa" w:w="1354"/>
          </w:tcPr>
          <w:p>
            <w:pPr>
              <w:spacing w:after="20"/>
              <w:jc w:val="right"/>
            </w:pPr>
            <w:r>
              <w:rPr>
                <w:color w:val="1C3A36"/>
                <w:sz w:val="17"/>
              </w:rPr>
              <w:t>0.7188</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1,139</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1,132</w:t>
            </w:r>
          </w:p>
        </w:tc>
        <w:tc>
          <w:tcPr>
            <w:tcW w:type="dxa" w:w="1354"/>
            <w:shd w:val="clear" w:color="auto" w:fill="F6F1E6"/>
          </w:tcPr>
          <w:p>
            <w:pPr>
              <w:spacing w:after="20"/>
              <w:jc w:val="right"/>
            </w:pPr>
            <w:r>
              <w:rPr>
                <w:b/>
                <w:color w:val="1C3A36"/>
                <w:sz w:val="17"/>
              </w:rPr>
              <w:t>1,130</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1,044</w:t>
            </w:r>
          </w:p>
        </w:tc>
        <w:tc>
          <w:tcPr>
            <w:tcW w:type="dxa" w:w="1138"/>
          </w:tcPr>
          <w:p>
            <w:pPr>
              <w:spacing w:after="20"/>
              <w:jc w:val="right"/>
            </w:pPr>
            <w:r>
              <w:rPr>
                <w:color w:val="1C3A36"/>
                <w:sz w:val="17"/>
              </w:rPr>
              <w:t>1,059</w:t>
            </w:r>
          </w:p>
        </w:tc>
        <w:tc>
          <w:tcPr>
            <w:tcW w:type="dxa" w:w="1138"/>
          </w:tcPr>
          <w:p>
            <w:pPr>
              <w:spacing w:after="20"/>
              <w:jc w:val="right"/>
            </w:pPr>
            <w:r>
              <w:rPr>
                <w:color w:val="1C3A36"/>
                <w:sz w:val="17"/>
              </w:rPr>
              <w:t>1,060</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4,993</w:t>
            </w:r>
          </w:p>
        </w:tc>
        <w:tc>
          <w:tcPr>
            <w:tcW w:type="dxa" w:w="1368"/>
          </w:tcPr>
          <w:p>
            <w:pPr>
              <w:spacing w:after="20"/>
              <w:jc w:val="right"/>
            </w:pPr>
            <w:r>
              <w:rPr>
                <w:color w:val="1C3A36"/>
                <w:sz w:val="16"/>
              </w:rPr>
              <w:t>4,667</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24,747</w:t>
            </w:r>
          </w:p>
        </w:tc>
        <w:tc>
          <w:tcPr>
            <w:tcW w:type="dxa" w:w="1368"/>
          </w:tcPr>
          <w:p>
            <w:pPr>
              <w:spacing w:after="20"/>
              <w:jc w:val="right"/>
            </w:pPr>
            <w:r>
              <w:rPr>
                <w:color w:val="1C3A36"/>
                <w:sz w:val="16"/>
              </w:rPr>
              <w:t>22,989</w:t>
            </w:r>
          </w:p>
        </w:tc>
        <w:tc>
          <w:tcPr>
            <w:tcW w:type="dxa" w:w="4176"/>
          </w:tcPr>
          <w:p>
            <w:pPr>
              <w:spacing w:after="20"/>
              <w:jc w:val="right"/>
            </w:pPr>
            <w:r>
              <w:rPr>
                <w:color w:val="1C3A36"/>
                <w:sz w:val="16"/>
              </w:rPr>
              <w:t>stage one: ten further years of NOPAT growth at 2.5% — volume-only under the regulator's no-indexation rule; stage two: a perpetuity at 1.5%. Reinvestment is forced to growth ÷ terminal return on capital (26.9%) in EACH stage,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17,788</w:t>
            </w:r>
          </w:p>
        </w:tc>
        <w:tc>
          <w:tcPr>
            <w:tcW w:type="dxa" w:w="1368"/>
          </w:tcPr>
          <w:p>
            <w:pPr>
              <w:spacing w:after="20"/>
              <w:jc w:val="right"/>
            </w:pPr>
            <w:r>
              <w:rPr>
                <w:color w:val="1C3A36"/>
                <w:sz w:val="16"/>
              </w:rPr>
              <w:t>16,524</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22,781</w:t>
            </w:r>
          </w:p>
        </w:tc>
        <w:tc>
          <w:tcPr>
            <w:tcW w:type="dxa" w:w="1368"/>
            <w:shd w:val="clear" w:color="auto" w:fill="F6F1E6"/>
          </w:tcPr>
          <w:p>
            <w:pPr>
              <w:spacing w:after="20"/>
              <w:jc w:val="right"/>
            </w:pPr>
            <w:r>
              <w:rPr>
                <w:b/>
                <w:color w:val="1C3A36"/>
                <w:sz w:val="16"/>
              </w:rPr>
              <w:t>21,191</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78.1%</w:t>
            </w:r>
          </w:p>
        </w:tc>
        <w:tc>
          <w:tcPr>
            <w:tcW w:type="dxa" w:w="1368"/>
          </w:tcPr>
          <w:p>
            <w:pPr>
              <w:spacing w:after="20"/>
              <w:jc w:val="right"/>
            </w:pPr>
            <w:r>
              <w:rPr>
                <w:color w:val="1C3A36"/>
                <w:sz w:val="16"/>
              </w:rPr>
              <w:t>78.0%</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(226)</w:t>
            </w:r>
          </w:p>
        </w:tc>
        <w:tc>
          <w:tcPr>
            <w:tcW w:type="dxa" w:w="1368"/>
          </w:tcPr>
          <w:p>
            <w:pPr>
              <w:spacing w:after="20"/>
              <w:jc w:val="right"/>
            </w:pPr>
            <w:r>
              <w:rPr>
                <w:color w:val="1C3A36"/>
                <w:sz w:val="16"/>
              </w:rPr>
              <w:t>(210)</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21,154</w:t>
            </w:r>
          </w:p>
        </w:tc>
        <w:tc>
          <w:tcPr>
            <w:tcW w:type="dxa" w:w="1368"/>
          </w:tcPr>
          <w:p>
            <w:pPr>
              <w:spacing w:after="20"/>
              <w:jc w:val="right"/>
            </w:pPr>
            <w:r>
              <w:rPr>
                <w:color w:val="1C3A36"/>
                <w:sz w:val="16"/>
              </w:rPr>
              <w:t>19,581</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2.115</w:t>
            </w:r>
          </w:p>
        </w:tc>
        <w:tc>
          <w:tcPr>
            <w:tcW w:type="dxa" w:w="1368"/>
            <w:shd w:val="clear" w:color="auto" w:fill="F6F1E6"/>
          </w:tcPr>
          <w:p>
            <w:pPr>
              <w:spacing w:after="20"/>
              <w:jc w:val="right"/>
            </w:pPr>
            <w:r>
              <w:rPr>
                <w:b/>
                <w:color w:val="1C3A36"/>
                <w:sz w:val="16"/>
              </w:rPr>
              <w:t>1.958</w:t>
            </w:r>
          </w:p>
        </w:tc>
        <w:tc>
          <w:tcPr>
            <w:tcW w:type="dxa" w:w="4176"/>
            <w:shd w:val="clear" w:color="auto" w:fill="F6F1E6"/>
          </w:tcPr>
          <w:p>
            <w:pPr>
              <w:spacing w:after="20"/>
              <w:jc w:val="right"/>
            </w:pPr>
            <w:r>
              <w:rPr>
                <w:b/>
                <w:color w:val="1C3A36"/>
                <w:sz w:val="16"/>
              </w:rPr>
              <w:t>against a spot of 1.50: +41% and +31%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0.157 per share, 7.4%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4.5×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-4%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11.4× against Tabreed's 10.1× — a premium — while on trailing price/earnings Empower stands at 15.1× against Tabreed's 15.0× — broadly in line.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2.115)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2.115</w:t>
            </w:r>
          </w:p>
        </w:tc>
        <w:tc>
          <w:tcPr>
            <w:tcW w:type="dxa" w:w="1195"/>
          </w:tcPr>
          <w:p>
            <w:pPr>
              <w:spacing w:after="20"/>
              <w:jc w:val="right"/>
            </w:pPr>
            <w:r>
              <w:rPr>
                <w:color w:val="1C3A36"/>
                <w:sz w:val="17"/>
              </w:rPr>
              <w:t>1.958</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2.057</w:t>
            </w:r>
          </w:p>
        </w:tc>
        <w:tc>
          <w:tcPr>
            <w:tcW w:type="dxa" w:w="1195"/>
          </w:tcPr>
          <w:p>
            <w:pPr>
              <w:spacing w:after="20"/>
              <w:jc w:val="right"/>
            </w:pPr>
            <w:r>
              <w:rPr>
                <w:color w:val="1C3A36"/>
                <w:sz w:val="17"/>
              </w:rPr>
              <w:t>1.903</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1.84</w:t>
            </w:r>
          </w:p>
        </w:tc>
        <w:tc>
          <w:tcPr>
            <w:tcW w:type="dxa" w:w="1195"/>
            <w:shd w:val="clear" w:color="auto" w:fill="F6F1E6"/>
          </w:tcPr>
          <w:p>
            <w:pPr>
              <w:spacing w:after="20"/>
              <w:jc w:val="right"/>
            </w:pPr>
            <w:r>
              <w:rPr>
                <w:b/>
                <w:color w:val="1C3A36"/>
                <w:sz w:val="17"/>
              </w:rPr>
              <w:t>1.73</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1.81</w:t>
            </w:r>
          </w:p>
        </w:tc>
        <w:tc>
          <w:tcPr>
            <w:tcW w:type="dxa" w:w="1195"/>
            <w:shd w:val="clear" w:color="auto" w:fill="F6F1E6"/>
          </w:tcPr>
          <w:p>
            <w:pPr>
              <w:spacing w:after="20"/>
              <w:jc w:val="right"/>
            </w:pPr>
            <w:r>
              <w:rPr>
                <w:b/>
                <w:color w:val="1C3A36"/>
                <w:sz w:val="17"/>
              </w:rPr>
              <w:t>1.70</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1.454 to 2.153 bear to bull. Both tax columns are carried through every row, the recovery and continuation cases are carried through every horizontal cut, and nothing is averaged across either pair. Note how little the case choice moves the central — AED 0.029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2.017</w:t>
            </w:r>
          </w:p>
        </w:tc>
        <w:tc>
          <w:tcPr>
            <w:tcW w:type="dxa" w:w="1296"/>
          </w:tcPr>
          <w:p>
            <w:pPr>
              <w:spacing w:after="20"/>
              <w:jc w:val="right"/>
            </w:pPr>
            <w:r>
              <w:rPr>
                <w:color w:val="1C3A36"/>
                <w:sz w:val="17"/>
              </w:rPr>
              <w:t>-4.6%</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2.057</w:t>
            </w:r>
          </w:p>
        </w:tc>
        <w:tc>
          <w:tcPr>
            <w:tcW w:type="dxa" w:w="1296"/>
          </w:tcPr>
          <w:p>
            <w:pPr>
              <w:spacing w:after="20"/>
              <w:jc w:val="right"/>
            </w:pPr>
            <w:r>
              <w:rPr>
                <w:color w:val="1C3A36"/>
                <w:sz w:val="17"/>
              </w:rPr>
              <w:t>-2.8%</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2.086</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2.115</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2.145</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2.115 to 2.057, just 2.8% (1.903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83.4% / 16.6%</w:t>
            </w:r>
          </w:p>
        </w:tc>
        <w:tc>
          <w:tcPr>
            <w:tcW w:type="dxa" w:w="1512"/>
          </w:tcPr>
          <w:p>
            <w:pPr>
              <w:spacing w:after="20"/>
              <w:jc w:val="right"/>
            </w:pPr>
            <w:r>
              <w:rPr>
                <w:color w:val="1C3A36"/>
                <w:sz w:val="16"/>
              </w:rPr>
              <w:t>83.4% / 16.6%</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7.61%</w:t>
            </w:r>
          </w:p>
        </w:tc>
        <w:tc>
          <w:tcPr>
            <w:tcW w:type="dxa" w:w="1512"/>
            <w:shd w:val="clear" w:color="auto" w:fill="F6F1E6"/>
          </w:tcPr>
          <w:p>
            <w:pPr>
              <w:spacing w:after="20"/>
              <w:jc w:val="right"/>
            </w:pPr>
            <w:r>
              <w:rPr>
                <w:b/>
                <w:color w:val="1C3A36"/>
                <w:sz w:val="16"/>
              </w:rPr>
              <w:t>7.65%</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7.61%</w:t>
            </w:r>
          </w:p>
        </w:tc>
        <w:tc>
          <w:tcPr>
            <w:tcW w:type="dxa" w:w="1512"/>
          </w:tcPr>
          <w:p>
            <w:pPr>
              <w:spacing w:after="20"/>
              <w:jc w:val="right"/>
            </w:pPr>
            <w:r>
              <w:rPr>
                <w:color w:val="1C3A36"/>
                <w:sz w:val="16"/>
              </w:rPr>
              <w:t>7.65%</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7.61%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7.61%</w:t>
            </w:r>
          </w:p>
        </w:tc>
        <w:tc>
          <w:tcPr>
            <w:tcW w:type="dxa" w:w="1440"/>
            <w:shd w:val="clear" w:color="auto" w:fill="F6F1E6"/>
          </w:tcPr>
          <w:p>
            <w:pPr>
              <w:spacing w:after="20"/>
              <w:jc w:val="right"/>
            </w:pPr>
            <w:r>
              <w:rPr>
                <w:b/>
                <w:color w:val="1C3A36"/>
                <w:sz w:val="16"/>
              </w:rPr>
              <w:t>2.115</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7.23%</w:t>
            </w:r>
          </w:p>
        </w:tc>
        <w:tc>
          <w:tcPr>
            <w:tcW w:type="dxa" w:w="1440"/>
          </w:tcPr>
          <w:p>
            <w:pPr>
              <w:spacing w:after="20"/>
              <w:jc w:val="right"/>
            </w:pPr>
            <w:r>
              <w:rPr>
                <w:color w:val="1C3A36"/>
                <w:sz w:val="16"/>
              </w:rPr>
              <w:t>2.272</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7.79%</w:t>
            </w:r>
          </w:p>
        </w:tc>
        <w:tc>
          <w:tcPr>
            <w:tcW w:type="dxa" w:w="1440"/>
          </w:tcPr>
          <w:p>
            <w:pPr>
              <w:spacing w:after="20"/>
              <w:jc w:val="right"/>
            </w:pPr>
            <w:r>
              <w:rPr>
                <w:color w:val="1C3A36"/>
                <w:sz w:val="16"/>
              </w:rPr>
              <w:t>2.048</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6.77%</w:t>
            </w:r>
          </w:p>
        </w:tc>
        <w:tc>
          <w:tcPr>
            <w:tcW w:type="dxa" w:w="1440"/>
          </w:tcPr>
          <w:p>
            <w:pPr>
              <w:spacing w:after="20"/>
              <w:jc w:val="right"/>
            </w:pPr>
            <w:r>
              <w:rPr>
                <w:color w:val="1C3A36"/>
                <w:sz w:val="16"/>
              </w:rPr>
              <w:t>2.492</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(1.454–2.153) is bounded by SCENARIOS; these CONSTRUCTIONS alone span 2.048 to 2.492 on the identical cash flows — construction risk is additional to scenario risk, and of comparable size. The beta's own 90% sampling interval (0.56–1.17) maps to roughly 1.72–2.69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0.193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6.61%</w:t>
            </w:r>
          </w:p>
        </w:tc>
        <w:tc>
          <w:tcPr>
            <w:tcW w:type="dxa" w:w="1469"/>
          </w:tcPr>
          <w:p>
            <w:pPr>
              <w:spacing w:after="20"/>
              <w:jc w:val="right"/>
            </w:pPr>
            <w:r>
              <w:rPr>
                <w:color w:val="1C3A36"/>
                <w:sz w:val="16"/>
              </w:rPr>
              <w:t>2.036</w:t>
            </w:r>
          </w:p>
        </w:tc>
        <w:tc>
          <w:tcPr>
            <w:tcW w:type="dxa" w:w="1469"/>
          </w:tcPr>
          <w:p>
            <w:pPr>
              <w:spacing w:after="20"/>
              <w:jc w:val="right"/>
            </w:pPr>
            <w:r>
              <w:rPr>
                <w:color w:val="1C3A36"/>
                <w:sz w:val="16"/>
              </w:rPr>
              <w:t>2.279</w:t>
            </w:r>
          </w:p>
        </w:tc>
        <w:tc>
          <w:tcPr>
            <w:tcW w:type="dxa" w:w="1469"/>
          </w:tcPr>
          <w:p>
            <w:pPr>
              <w:spacing w:after="20"/>
              <w:jc w:val="right"/>
            </w:pPr>
            <w:r>
              <w:rPr>
                <w:color w:val="1C3A36"/>
                <w:sz w:val="16"/>
              </w:rPr>
              <w:t>2.503</w:t>
            </w:r>
          </w:p>
        </w:tc>
        <w:tc>
          <w:tcPr>
            <w:tcW w:type="dxa" w:w="1469"/>
          </w:tcPr>
          <w:p>
            <w:pPr>
              <w:spacing w:after="20"/>
              <w:jc w:val="right"/>
            </w:pPr>
            <w:r>
              <w:rPr>
                <w:color w:val="1C3A36"/>
                <w:sz w:val="16"/>
              </w:rPr>
              <w:t>2.574</w:t>
            </w:r>
          </w:p>
        </w:tc>
        <w:tc>
          <w:tcPr>
            <w:tcW w:type="dxa" w:w="1469"/>
          </w:tcPr>
          <w:p>
            <w:pPr>
              <w:spacing w:after="20"/>
              <w:jc w:val="right"/>
            </w:pPr>
            <w:r>
              <w:rPr>
                <w:color w:val="1C3A36"/>
                <w:sz w:val="16"/>
              </w:rPr>
              <w:t>2.647</w:t>
            </w:r>
          </w:p>
        </w:tc>
      </w:tr>
      <w:tr>
        <w:tc>
          <w:tcPr>
            <w:tcW w:type="dxa" w:w="2736"/>
          </w:tcPr>
          <w:p>
            <w:pPr>
              <w:spacing w:after="20"/>
            </w:pPr>
            <w:r>
              <w:rPr>
                <w:color w:val="1C3A36"/>
                <w:sz w:val="16"/>
              </w:rPr>
              <w:t>Cost of capital 7.11%</w:t>
            </w:r>
          </w:p>
        </w:tc>
        <w:tc>
          <w:tcPr>
            <w:tcW w:type="dxa" w:w="1469"/>
          </w:tcPr>
          <w:p>
            <w:pPr>
              <w:spacing w:after="20"/>
              <w:jc w:val="right"/>
            </w:pPr>
            <w:r>
              <w:rPr>
                <w:color w:val="1C3A36"/>
                <w:sz w:val="16"/>
              </w:rPr>
              <w:t>1.880</w:t>
            </w:r>
          </w:p>
        </w:tc>
        <w:tc>
          <w:tcPr>
            <w:tcW w:type="dxa" w:w="1469"/>
          </w:tcPr>
          <w:p>
            <w:pPr>
              <w:spacing w:after="20"/>
              <w:jc w:val="right"/>
            </w:pPr>
            <w:r>
              <w:rPr>
                <w:color w:val="1C3A36"/>
                <w:sz w:val="16"/>
              </w:rPr>
              <w:t>2.080</w:t>
            </w:r>
          </w:p>
        </w:tc>
        <w:tc>
          <w:tcPr>
            <w:tcW w:type="dxa" w:w="1469"/>
          </w:tcPr>
          <w:p>
            <w:pPr>
              <w:spacing w:after="20"/>
              <w:jc w:val="right"/>
            </w:pPr>
            <w:r>
              <w:rPr>
                <w:color w:val="1C3A36"/>
                <w:sz w:val="16"/>
              </w:rPr>
              <w:t>2.264</w:t>
            </w:r>
          </w:p>
        </w:tc>
        <w:tc>
          <w:tcPr>
            <w:tcW w:type="dxa" w:w="1469"/>
          </w:tcPr>
          <w:p>
            <w:pPr>
              <w:spacing w:after="20"/>
              <w:jc w:val="right"/>
            </w:pPr>
            <w:r>
              <w:rPr>
                <w:color w:val="1C3A36"/>
                <w:sz w:val="16"/>
              </w:rPr>
              <w:t>2.324</w:t>
            </w:r>
          </w:p>
        </w:tc>
        <w:tc>
          <w:tcPr>
            <w:tcW w:type="dxa" w:w="1469"/>
          </w:tcPr>
          <w:p>
            <w:pPr>
              <w:spacing w:after="20"/>
              <w:jc w:val="right"/>
            </w:pPr>
            <w:r>
              <w:rPr>
                <w:color w:val="1C3A36"/>
                <w:sz w:val="16"/>
              </w:rPr>
              <w:t>2.387</w:t>
            </w:r>
          </w:p>
        </w:tc>
      </w:tr>
      <w:tr>
        <w:tc>
          <w:tcPr>
            <w:tcW w:type="dxa" w:w="2736"/>
            <w:shd w:val="clear" w:color="auto" w:fill="F6F1E6"/>
          </w:tcPr>
          <w:p>
            <w:pPr>
              <w:spacing w:after="20"/>
            </w:pPr>
            <w:r>
              <w:rPr>
                <w:b/>
                <w:color w:val="1C3A36"/>
                <w:sz w:val="16"/>
              </w:rPr>
              <w:t>Cost of capital 7.61%  (base)</w:t>
            </w:r>
          </w:p>
        </w:tc>
        <w:tc>
          <w:tcPr>
            <w:tcW w:type="dxa" w:w="1469"/>
            <w:shd w:val="clear" w:color="auto" w:fill="F6F1E6"/>
          </w:tcPr>
          <w:p>
            <w:pPr>
              <w:spacing w:after="20"/>
              <w:jc w:val="right"/>
            </w:pPr>
            <w:r>
              <w:rPr>
                <w:b/>
                <w:color w:val="1C3A36"/>
                <w:sz w:val="16"/>
              </w:rPr>
              <w:t>1.744</w:t>
            </w:r>
          </w:p>
        </w:tc>
        <w:tc>
          <w:tcPr>
            <w:tcW w:type="dxa" w:w="1469"/>
            <w:shd w:val="clear" w:color="auto" w:fill="F6F1E6"/>
          </w:tcPr>
          <w:p>
            <w:pPr>
              <w:spacing w:after="20"/>
              <w:jc w:val="right"/>
            </w:pPr>
            <w:r>
              <w:rPr>
                <w:b/>
                <w:color w:val="1C3A36"/>
                <w:sz w:val="16"/>
              </w:rPr>
              <w:t>1.910</w:t>
            </w:r>
          </w:p>
        </w:tc>
        <w:tc>
          <w:tcPr>
            <w:tcW w:type="dxa" w:w="1469"/>
            <w:shd w:val="clear" w:color="auto" w:fill="F6F1E6"/>
          </w:tcPr>
          <w:p>
            <w:pPr>
              <w:spacing w:after="20"/>
              <w:jc w:val="right"/>
            </w:pPr>
            <w:r>
              <w:rPr>
                <w:b/>
                <w:color w:val="1C3A36"/>
                <w:sz w:val="16"/>
              </w:rPr>
              <w:t>2.063</w:t>
            </w:r>
          </w:p>
        </w:tc>
        <w:tc>
          <w:tcPr>
            <w:tcW w:type="dxa" w:w="1469"/>
            <w:shd w:val="clear" w:color="auto" w:fill="F6F1E6"/>
          </w:tcPr>
          <w:p>
            <w:pPr>
              <w:spacing w:after="20"/>
              <w:jc w:val="right"/>
            </w:pPr>
            <w:r>
              <w:rPr>
                <w:b/>
                <w:color w:val="1C3A36"/>
                <w:sz w:val="16"/>
              </w:rPr>
              <w:t>2.115</w:t>
            </w:r>
          </w:p>
        </w:tc>
        <w:tc>
          <w:tcPr>
            <w:tcW w:type="dxa" w:w="1469"/>
            <w:shd w:val="clear" w:color="auto" w:fill="F6F1E6"/>
          </w:tcPr>
          <w:p>
            <w:pPr>
              <w:spacing w:after="20"/>
              <w:jc w:val="right"/>
            </w:pPr>
            <w:r>
              <w:rPr>
                <w:b/>
                <w:color w:val="1C3A36"/>
                <w:sz w:val="16"/>
              </w:rPr>
              <w:t>2.169</w:t>
            </w:r>
          </w:p>
        </w:tc>
      </w:tr>
      <w:tr>
        <w:tc>
          <w:tcPr>
            <w:tcW w:type="dxa" w:w="2736"/>
          </w:tcPr>
          <w:p>
            <w:pPr>
              <w:spacing w:after="20"/>
            </w:pPr>
            <w:r>
              <w:rPr>
                <w:color w:val="1C3A36"/>
                <w:sz w:val="16"/>
              </w:rPr>
              <w:t>Cost of capital 8.11%</w:t>
            </w:r>
          </w:p>
        </w:tc>
        <w:tc>
          <w:tcPr>
            <w:tcW w:type="dxa" w:w="1469"/>
          </w:tcPr>
          <w:p>
            <w:pPr>
              <w:spacing w:after="20"/>
              <w:jc w:val="right"/>
            </w:pPr>
            <w:r>
              <w:rPr>
                <w:color w:val="1C3A36"/>
                <w:sz w:val="16"/>
              </w:rPr>
              <w:t>1.626</w:t>
            </w:r>
          </w:p>
        </w:tc>
        <w:tc>
          <w:tcPr>
            <w:tcW w:type="dxa" w:w="1469"/>
          </w:tcPr>
          <w:p>
            <w:pPr>
              <w:spacing w:after="20"/>
              <w:jc w:val="right"/>
            </w:pPr>
            <w:r>
              <w:rPr>
                <w:color w:val="1C3A36"/>
                <w:sz w:val="16"/>
              </w:rPr>
              <w:t>1.765</w:t>
            </w:r>
          </w:p>
        </w:tc>
        <w:tc>
          <w:tcPr>
            <w:tcW w:type="dxa" w:w="1469"/>
          </w:tcPr>
          <w:p>
            <w:pPr>
              <w:spacing w:after="20"/>
              <w:jc w:val="right"/>
            </w:pPr>
            <w:r>
              <w:rPr>
                <w:color w:val="1C3A36"/>
                <w:sz w:val="16"/>
              </w:rPr>
              <w:t>1.894</w:t>
            </w:r>
          </w:p>
        </w:tc>
        <w:tc>
          <w:tcPr>
            <w:tcW w:type="dxa" w:w="1469"/>
          </w:tcPr>
          <w:p>
            <w:pPr>
              <w:spacing w:after="20"/>
              <w:jc w:val="right"/>
            </w:pPr>
            <w:r>
              <w:rPr>
                <w:color w:val="1C3A36"/>
                <w:sz w:val="16"/>
              </w:rPr>
              <w:t>1.939</w:t>
            </w:r>
          </w:p>
        </w:tc>
        <w:tc>
          <w:tcPr>
            <w:tcW w:type="dxa" w:w="1469"/>
          </w:tcPr>
          <w:p>
            <w:pPr>
              <w:spacing w:after="20"/>
              <w:jc w:val="right"/>
            </w:pPr>
            <w:r>
              <w:rPr>
                <w:color w:val="1C3A36"/>
                <w:sz w:val="16"/>
              </w:rPr>
              <w:t>1.985</w:t>
            </w:r>
          </w:p>
        </w:tc>
      </w:tr>
      <w:tr>
        <w:tc>
          <w:tcPr>
            <w:tcW w:type="dxa" w:w="2736"/>
          </w:tcPr>
          <w:p>
            <w:pPr>
              <w:spacing w:after="20"/>
            </w:pPr>
            <w:r>
              <w:rPr>
                <w:color w:val="1C3A36"/>
                <w:sz w:val="16"/>
              </w:rPr>
              <w:t>Cost of capital 8.61%</w:t>
            </w:r>
          </w:p>
        </w:tc>
        <w:tc>
          <w:tcPr>
            <w:tcW w:type="dxa" w:w="1469"/>
          </w:tcPr>
          <w:p>
            <w:pPr>
              <w:spacing w:after="20"/>
              <w:jc w:val="right"/>
            </w:pPr>
            <w:r>
              <w:rPr>
                <w:color w:val="1C3A36"/>
                <w:sz w:val="16"/>
              </w:rPr>
              <w:t>1.521</w:t>
            </w:r>
          </w:p>
        </w:tc>
        <w:tc>
          <w:tcPr>
            <w:tcW w:type="dxa" w:w="1469"/>
          </w:tcPr>
          <w:p>
            <w:pPr>
              <w:spacing w:after="20"/>
              <w:jc w:val="right"/>
            </w:pPr>
            <w:r>
              <w:rPr>
                <w:color w:val="1C3A36"/>
                <w:sz w:val="16"/>
              </w:rPr>
              <w:t>1.639</w:t>
            </w:r>
          </w:p>
        </w:tc>
        <w:tc>
          <w:tcPr>
            <w:tcW w:type="dxa" w:w="1469"/>
          </w:tcPr>
          <w:p>
            <w:pPr>
              <w:spacing w:after="20"/>
              <w:jc w:val="right"/>
            </w:pPr>
            <w:r>
              <w:rPr>
                <w:color w:val="1C3A36"/>
                <w:sz w:val="16"/>
              </w:rPr>
              <w:t>1.748</w:t>
            </w:r>
          </w:p>
        </w:tc>
        <w:tc>
          <w:tcPr>
            <w:tcW w:type="dxa" w:w="1469"/>
          </w:tcPr>
          <w:p>
            <w:pPr>
              <w:spacing w:after="20"/>
              <w:jc w:val="right"/>
            </w:pPr>
            <w:r>
              <w:rPr>
                <w:color w:val="1C3A36"/>
                <w:sz w:val="16"/>
              </w:rPr>
              <w:t>1.787</w:t>
            </w:r>
          </w:p>
        </w:tc>
        <w:tc>
          <w:tcPr>
            <w:tcW w:type="dxa" w:w="1469"/>
          </w:tcPr>
          <w:p>
            <w:pPr>
              <w:spacing w:after="20"/>
              <w:jc w:val="right"/>
            </w:pPr>
            <w:r>
              <w:rPr>
                <w:color w:val="1C3A36"/>
                <w:sz w:val="16"/>
              </w:rPr>
              <w:t>1.828</w:t>
            </w:r>
          </w:p>
        </w:tc>
      </w:tr>
    </w:tbl>
    <w:p>
      <w:pPr>
        <w:spacing w:after="40"/>
      </w:pPr>
    </w:p>
    <w:p>
      <w:pPr>
        <w:spacing w:after="200" w:before="0"/>
      </w:pPr>
      <w:r>
        <w:rPr>
          <w:b w:val="0"/>
          <w:i/>
          <w:color w:val="6E7B77"/>
          <w:sz w:val="17"/>
        </w:rPr>
        <w:t>The base cell (2.115) sits at 7.61% and 2.5%. A half-point of discount rate is worth roughly AED 0.193 per share — more than the entire consumption crux — which is the honest hierarchy of what matters in this valuation: rate, tax, tariff, then usage. The growth axis now extends to ZERO so the reader can see the flat-everything endpoint: no volume growth at all, forever, is worth 1.744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1.454</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1.81 / 1.70</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1.84 / 1.73</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2.153</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-6.0%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-7.6%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-7.1%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1.50, with the trailing tape behind it. 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2.115 / 1.958 by tax framing, +41% / +31%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2.057 / 1.903)</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1.84 / 1.73, +23% / +15%</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1.81 / 1.70, +21% / +13%</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-4%</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1.50</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+44%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(0.157 per share, published as its own column), and whether the next approved tariff schedule stays flat (not priced — flagged as the model's single most valuable assumption). Between the 1.70 continuation central under the harsher tax framing and the 1.50 market price lies the war discount itself; a reader who expects the conflict regime to persist should weight the relative lens harder, and the field published here lets them. 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0.157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-22% move and a +28%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1.70 – 1.84</w:t>
            </w:r>
          </w:p>
        </w:tc>
        <w:tc>
          <w:tcPr>
            <w:tcW w:type="dxa" w:w="5040"/>
          </w:tcPr>
          <w:p>
            <w:pPr>
              <w:spacing w:after="20"/>
              <w:jc w:val="right"/>
            </w:pPr>
            <w:r>
              <w:rPr>
                <w:color w:val="1C3A36"/>
                <w:sz w:val="16"/>
              </w:rPr>
              <w:t>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2.8%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1.454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78.1%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Right-of-use, deferred tax, other financial assets and due from related parties</w:t>
            </w:r>
          </w:p>
        </w:tc>
        <w:tc>
          <w:tcPr>
            <w:tcW w:type="dxa" w:w="1296"/>
            <w:shd w:val="clear" w:color="auto" w:fill="F6F1E6"/>
          </w:tcPr>
          <w:p>
            <w:pPr>
              <w:spacing w:after="20"/>
              <w:jc w:val="right"/>
            </w:pPr>
            <w:r>
              <w:rPr>
                <w:b/>
                <w:color w:val="1C3A36"/>
                <w:sz w:val="16"/>
              </w:rPr>
              <w:t>95</w:t>
            </w:r>
          </w:p>
        </w:tc>
        <w:tc>
          <w:tcPr>
            <w:tcW w:type="dxa" w:w="1296"/>
            <w:shd w:val="clear" w:color="auto" w:fill="F6F1E6"/>
          </w:tcPr>
          <w:p>
            <w:pPr>
              <w:spacing w:after="20"/>
              <w:jc w:val="right"/>
            </w:pPr>
            <w:r>
              <w:rPr>
                <w:b/>
                <w:color w:val="1C3A36"/>
                <w:sz w:val="16"/>
              </w:rPr>
              <w:t>121</w:t>
            </w:r>
          </w:p>
        </w:tc>
        <w:tc>
          <w:tcPr>
            <w:tcW w:type="dxa" w:w="1296"/>
            <w:shd w:val="clear" w:color="auto" w:fill="F6F1E6"/>
          </w:tcPr>
          <w:p>
            <w:pPr>
              <w:spacing w:after="20"/>
              <w:jc w:val="right"/>
            </w:pPr>
            <w:r>
              <w:rPr>
                <w:b/>
                <w:color w:val="1C3A36"/>
                <w:sz w:val="16"/>
              </w:rPr>
              <w:t>158</w:t>
            </w:r>
          </w:p>
        </w:tc>
        <w:tc>
          <w:tcPr>
            <w:tcW w:type="dxa" w:w="1728"/>
            <w:shd w:val="clear" w:color="auto" w:fill="F6F1E6"/>
          </w:tcPr>
          <w:p>
            <w:pPr>
              <w:spacing w:after="20"/>
              <w:jc w:val="right"/>
            </w:pPr>
            <w:r>
              <w:rPr>
                <w:b/>
                <w:color w:val="1C3A36"/>
                <w:sz w:val="16"/>
              </w:rPr>
              <w:t>216</w:t>
            </w:r>
          </w:p>
        </w:tc>
      </w:tr>
      <w:tr>
        <w:tc>
          <w:tcPr>
            <w:tcW w:type="dxa" w:w="4464"/>
          </w:tcPr>
          <w:p>
            <w:pPr>
              <w:spacing w:after="20"/>
            </w:pPr>
            <w:r>
              <w:rPr>
                <w:color w:val="1C3A36"/>
                <w:sz w:val="16"/>
              </w:rPr>
              <w:t>Total assets</w:t>
            </w:r>
          </w:p>
        </w:tc>
        <w:tc>
          <w:tcPr>
            <w:tcW w:type="dxa" w:w="1296"/>
          </w:tcPr>
          <w:p>
            <w:pPr>
              <w:spacing w:after="20"/>
              <w:jc w:val="right"/>
            </w:pPr>
            <w:r>
              <w:rPr>
                <w:color w:val="1C3A36"/>
                <w:sz w:val="16"/>
              </w:rPr>
              <w:t>9,728</w:t>
            </w:r>
          </w:p>
        </w:tc>
        <w:tc>
          <w:tcPr>
            <w:tcW w:type="dxa" w:w="1296"/>
          </w:tcPr>
          <w:p>
            <w:pPr>
              <w:spacing w:after="20"/>
              <w:jc w:val="right"/>
            </w:pPr>
            <w:r>
              <w:rPr>
                <w:color w:val="1C3A36"/>
                <w:sz w:val="16"/>
              </w:rPr>
              <w:t>11,183</w:t>
            </w:r>
          </w:p>
        </w:tc>
        <w:tc>
          <w:tcPr>
            <w:tcW w:type="dxa" w:w="1296"/>
          </w:tcPr>
          <w:p>
            <w:pPr>
              <w:spacing w:after="20"/>
              <w:jc w:val="right"/>
            </w:pPr>
            <w:r>
              <w:rPr>
                <w:color w:val="1C3A36"/>
                <w:sz w:val="16"/>
              </w:rPr>
              <w:t>11,817</w:t>
            </w:r>
          </w:p>
        </w:tc>
        <w:tc>
          <w:tcPr>
            <w:tcW w:type="dxa" w:w="1728"/>
          </w:tcPr>
          <w:p>
            <w:pPr>
              <w:spacing w:after="20"/>
              <w:jc w:val="right"/>
            </w:pPr>
            <w:r>
              <w:rPr>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Retentions, deferred government grant, end-of-service benefits and due to related parties</w:t>
            </w:r>
          </w:p>
        </w:tc>
        <w:tc>
          <w:tcPr>
            <w:tcW w:type="dxa" w:w="1296"/>
          </w:tcPr>
          <w:p>
            <w:pPr>
              <w:spacing w:after="20"/>
              <w:jc w:val="right"/>
            </w:pPr>
            <w:r>
              <w:rPr>
                <w:color w:val="1C3A36"/>
                <w:sz w:val="16"/>
              </w:rPr>
              <w:t>517</w:t>
            </w:r>
          </w:p>
        </w:tc>
        <w:tc>
          <w:tcPr>
            <w:tcW w:type="dxa" w:w="1296"/>
          </w:tcPr>
          <w:p>
            <w:pPr>
              <w:spacing w:after="20"/>
              <w:jc w:val="right"/>
            </w:pPr>
            <w:r>
              <w:rPr>
                <w:color w:val="1C3A36"/>
                <w:sz w:val="16"/>
              </w:rPr>
              <w:t>628</w:t>
            </w:r>
          </w:p>
        </w:tc>
        <w:tc>
          <w:tcPr>
            <w:tcW w:type="dxa" w:w="1296"/>
          </w:tcPr>
          <w:p>
            <w:pPr>
              <w:spacing w:after="20"/>
              <w:jc w:val="right"/>
            </w:pPr>
            <w:r>
              <w:rPr>
                <w:color w:val="1C3A36"/>
                <w:sz w:val="16"/>
              </w:rPr>
              <w:t>649</w:t>
            </w:r>
          </w:p>
        </w:tc>
        <w:tc>
          <w:tcPr>
            <w:tcW w:type="dxa" w:w="1728"/>
          </w:tcPr>
          <w:p>
            <w:pPr>
              <w:spacing w:after="20"/>
              <w:jc w:val="right"/>
            </w:pPr>
            <w:r>
              <w:rPr>
                <w:color w:val="1C3A36"/>
                <w:sz w:val="16"/>
              </w:rPr>
              <w:t>777</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shd w:val="clear" w:color="auto" w:fill="F6F1E6"/>
          </w:tcPr>
          <w:p>
            <w:pPr>
              <w:spacing w:after="20"/>
            </w:pPr>
            <w:r>
              <w:rPr>
                <w:b/>
                <w:color w:val="1C3A36"/>
                <w:sz w:val="16"/>
              </w:rPr>
              <w:t>Equity attributable to shareholders</w:t>
            </w:r>
          </w:p>
        </w:tc>
        <w:tc>
          <w:tcPr>
            <w:tcW w:type="dxa" w:w="1296"/>
            <w:shd w:val="clear" w:color="auto" w:fill="F6F1E6"/>
          </w:tcPr>
          <w:p>
            <w:pPr>
              <w:spacing w:after="20"/>
              <w:jc w:val="right"/>
            </w:pPr>
            <w:r>
              <w:rPr>
                <w:b/>
                <w:color w:val="1C3A36"/>
                <w:sz w:val="16"/>
              </w:rPr>
              <w:t>3,144</w:t>
            </w:r>
          </w:p>
        </w:tc>
        <w:tc>
          <w:tcPr>
            <w:tcW w:type="dxa" w:w="1296"/>
            <w:shd w:val="clear" w:color="auto" w:fill="F6F1E6"/>
          </w:tcPr>
          <w:p>
            <w:pPr>
              <w:spacing w:after="20"/>
              <w:jc w:val="right"/>
            </w:pPr>
            <w:r>
              <w:rPr>
                <w:b/>
                <w:color w:val="1C3A36"/>
                <w:sz w:val="16"/>
              </w:rPr>
              <w:t>3,198</w:t>
            </w:r>
          </w:p>
        </w:tc>
        <w:tc>
          <w:tcPr>
            <w:tcW w:type="dxa" w:w="1296"/>
            <w:shd w:val="clear" w:color="auto" w:fill="F6F1E6"/>
          </w:tcPr>
          <w:p>
            <w:pPr>
              <w:spacing w:after="20"/>
              <w:jc w:val="right"/>
            </w:pPr>
            <w:r>
              <w:rPr>
                <w:b/>
                <w:color w:val="1C3A36"/>
                <w:sz w:val="16"/>
              </w:rPr>
              <w:t>3,311</w:t>
            </w:r>
          </w:p>
        </w:tc>
        <w:tc>
          <w:tcPr>
            <w:tcW w:type="dxa" w:w="1728"/>
            <w:shd w:val="clear" w:color="auto" w:fill="F6F1E6"/>
          </w:tcPr>
          <w:p>
            <w:pPr>
              <w:spacing w:after="20"/>
              <w:jc w:val="right"/>
            </w:pPr>
            <w:r>
              <w:rPr>
                <w:b/>
                <w:color w:val="1C3A36"/>
                <w:sz w:val="16"/>
              </w:rPr>
              <w:t>3,338</w:t>
            </w:r>
          </w:p>
        </w:tc>
      </w:tr>
      <w:tr>
        <w:tc>
          <w:tcPr>
            <w:tcW w:type="dxa" w:w="4464"/>
            <w:shd w:val="clear" w:color="auto" w:fill="F6F1E6"/>
          </w:tcPr>
          <w:p>
            <w:pPr>
              <w:spacing w:after="20"/>
            </w:pPr>
            <w:r>
              <w:rPr>
                <w:b/>
                <w:color w:val="1C3A36"/>
                <w:sz w:val="16"/>
              </w:rPr>
              <w:t>Non-controlling interests</w:t>
            </w:r>
          </w:p>
        </w:tc>
        <w:tc>
          <w:tcPr>
            <w:tcW w:type="dxa" w:w="1296"/>
            <w:shd w:val="clear" w:color="auto" w:fill="F6F1E6"/>
          </w:tcPr>
          <w:p>
            <w:pPr>
              <w:spacing w:after="20"/>
              <w:jc w:val="right"/>
            </w:pPr>
            <w:r>
              <w:rPr>
                <w:b/>
                <w:color w:val="1C3A36"/>
                <w:sz w:val="16"/>
              </w:rPr>
              <w:t>167</w:t>
            </w:r>
          </w:p>
        </w:tc>
        <w:tc>
          <w:tcPr>
            <w:tcW w:type="dxa" w:w="1296"/>
            <w:shd w:val="clear" w:color="auto" w:fill="F6F1E6"/>
          </w:tcPr>
          <w:p>
            <w:pPr>
              <w:spacing w:after="20"/>
              <w:jc w:val="right"/>
            </w:pPr>
            <w:r>
              <w:rPr>
                <w:b/>
                <w:color w:val="1C3A36"/>
                <w:sz w:val="16"/>
              </w:rPr>
              <w:t>176</w:t>
            </w:r>
          </w:p>
        </w:tc>
        <w:tc>
          <w:tcPr>
            <w:tcW w:type="dxa" w:w="1296"/>
            <w:shd w:val="clear" w:color="auto" w:fill="F6F1E6"/>
          </w:tcPr>
          <w:p>
            <w:pPr>
              <w:spacing w:after="20"/>
              <w:jc w:val="right"/>
            </w:pPr>
            <w:r>
              <w:rPr>
                <w:b/>
                <w:color w:val="1C3A36"/>
                <w:sz w:val="16"/>
              </w:rPr>
              <w:t>186</w:t>
            </w:r>
          </w:p>
        </w:tc>
        <w:tc>
          <w:tcPr>
            <w:tcW w:type="dxa" w:w="1728"/>
            <w:shd w:val="clear" w:color="auto" w:fill="F6F1E6"/>
          </w:tcPr>
          <w:p>
            <w:pPr>
              <w:spacing w:after="20"/>
              <w:jc w:val="right"/>
            </w:pPr>
            <w:r>
              <w:rPr>
                <w:b/>
                <w:color w:val="1C3A36"/>
                <w:sz w:val="16"/>
              </w:rPr>
              <w:t>191</w:t>
            </w:r>
          </w:p>
        </w:tc>
      </w:tr>
      <w:tr>
        <w:tc>
          <w:tcPr>
            <w:tcW w:type="dxa" w:w="4464"/>
          </w:tcPr>
          <w:p>
            <w:pPr>
              <w:spacing w:after="20"/>
            </w:pPr>
            <w:r>
              <w:rPr>
                <w:color w:val="1C3A36"/>
                <w:sz w:val="16"/>
              </w:rPr>
              <w:t>Total equity</w:t>
            </w:r>
          </w:p>
        </w:tc>
        <w:tc>
          <w:tcPr>
            <w:tcW w:type="dxa" w:w="1296"/>
          </w:tcPr>
          <w:p>
            <w:pPr>
              <w:spacing w:after="20"/>
              <w:jc w:val="right"/>
            </w:pPr>
            <w:r>
              <w:rPr>
                <w:color w:val="1C3A36"/>
                <w:sz w:val="16"/>
              </w:rPr>
              <w:t>3,311</w:t>
            </w:r>
          </w:p>
        </w:tc>
        <w:tc>
          <w:tcPr>
            <w:tcW w:type="dxa" w:w="1296"/>
          </w:tcPr>
          <w:p>
            <w:pPr>
              <w:spacing w:after="20"/>
              <w:jc w:val="right"/>
            </w:pPr>
            <w:r>
              <w:rPr>
                <w:color w:val="1C3A36"/>
                <w:sz w:val="16"/>
              </w:rPr>
              <w:t>3,373</w:t>
            </w:r>
          </w:p>
        </w:tc>
        <w:tc>
          <w:tcPr>
            <w:tcW w:type="dxa" w:w="1296"/>
          </w:tcPr>
          <w:p>
            <w:pPr>
              <w:spacing w:after="20"/>
              <w:jc w:val="right"/>
            </w:pPr>
            <w:r>
              <w:rPr>
                <w:color w:val="1C3A36"/>
                <w:sz w:val="16"/>
              </w:rPr>
              <w:t>3,497</w:t>
            </w:r>
          </w:p>
        </w:tc>
        <w:tc>
          <w:tcPr>
            <w:tcW w:type="dxa" w:w="1728"/>
          </w:tcPr>
          <w:p>
            <w:pPr>
              <w:spacing w:after="20"/>
              <w:jc w:val="right"/>
            </w:pPr>
            <w:r>
              <w:rPr>
                <w:color w:val="1C3A36"/>
                <w:sz w:val="16"/>
              </w:rPr>
              <w:t>3,528</w:t>
            </w:r>
          </w:p>
        </w:tc>
      </w:tr>
      <w:tr>
        <w:tc>
          <w:tcPr>
            <w:tcW w:type="dxa" w:w="4464"/>
          </w:tcPr>
          <w:p>
            <w:pPr>
              <w:spacing w:after="20"/>
            </w:pPr>
            <w:r>
              <w:rPr>
                <w:color w:val="1C3A36"/>
                <w:sz w:val="16"/>
              </w:rPr>
              <w:t>Net debt (borrowings + leases − cash − deposits)</w:t>
            </w:r>
          </w:p>
        </w:tc>
        <w:tc>
          <w:tcPr>
            <w:tcW w:type="dxa" w:w="1296"/>
          </w:tcPr>
          <w:p>
            <w:pPr>
              <w:spacing w:after="20"/>
              <w:jc w:val="right"/>
            </w:pPr>
            <w:r>
              <w:rPr>
                <w:color w:val="1C3A36"/>
                <w:sz w:val="16"/>
              </w:rPr>
              <w:t>3,930</w:t>
            </w:r>
          </w:p>
        </w:tc>
        <w:tc>
          <w:tcPr>
            <w:tcW w:type="dxa" w:w="1296"/>
          </w:tcPr>
          <w:p>
            <w:pPr>
              <w:spacing w:after="20"/>
              <w:jc w:val="right"/>
            </w:pPr>
            <w:r>
              <w:rPr>
                <w:color w:val="1C3A36"/>
                <w:sz w:val="16"/>
              </w:rPr>
              <w:t>3,537</w:t>
            </w:r>
          </w:p>
        </w:tc>
        <w:tc>
          <w:tcPr>
            <w:tcW w:type="dxa" w:w="1296"/>
          </w:tcPr>
          <w:p>
            <w:pPr>
              <w:spacing w:after="20"/>
              <w:jc w:val="right"/>
            </w:pPr>
            <w:r>
              <w:rPr>
                <w:color w:val="1C3A36"/>
                <w:sz w:val="16"/>
              </w:rPr>
              <w:t>3,192</w:t>
            </w:r>
          </w:p>
        </w:tc>
        <w:tc>
          <w:tcPr>
            <w:tcW w:type="dxa" w:w="1728"/>
          </w:tcPr>
          <w:p>
            <w:pPr>
              <w:spacing w:after="20"/>
              <w:jc w:val="right"/>
            </w:pPr>
            <w:r>
              <w:rPr>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11.4×</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15.1×</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5.8%</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(1.81 / 1.70); the bear scenario, AED 1.454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0.157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2.8%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1,139</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1,132</w:t>
            </w:r>
          </w:p>
        </w:tc>
        <w:tc>
          <w:tcPr>
            <w:tcW w:type="dxa" w:w="1152"/>
            <w:shd w:val="clear" w:color="auto" w:fill="F6F1E6"/>
          </w:tcPr>
          <w:p>
            <w:pPr>
              <w:spacing w:after="20"/>
              <w:jc w:val="right"/>
            </w:pPr>
            <w:r>
              <w:rPr>
                <w:b/>
                <w:color w:val="1C3A36"/>
                <w:sz w:val="16"/>
              </w:rPr>
              <w:t>1,130</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4,993</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24,747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17,788</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22,781</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(226)</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21,154</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2.115</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1.93 – 2.25</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0.127 per share, while a half-point of discount rate is worth about AED 0.193.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1.958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1.50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1.50 and the control print of 2.16.</w:t>
      </w:r>
    </w:p>
    <w:p>
      <w:pPr>
        <w:spacing w:after="120" w:before="0"/>
      </w:pPr>
      <w:r>
        <w:rPr>
          <w:b w:val="0"/>
          <w:i w:val="0"/>
          <w:color w:val="1C3A36"/>
          <w:sz w:val="21"/>
        </w:rPr>
        <w:t>The panel spans AED 1.43 to 2.25 — and the disagreement is orderly, not noisy. Expert 1 discounts the contract stack and lands highest (1.93–2.25); Expert 2 capitalises the committed dividend and lands in the middle (1.43–1.72); Expert 3 anchors on what the war-discounted market actually pays and lands lowest (1.50–2.16,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1.84 / 1.73, continuation 1.81 / 1.70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0.157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0.578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0.193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(2.05–2.49 on the primary lens, with the beta interval mapping to roughly 1.72–2.69)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