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(weighted central) </w:t>
      </w:r>
      <w:r>
        <w:rPr>
          <w:b/>
          <w:i w:val="0"/>
          <w:color w:val="896F36"/>
          <w:sz w:val="26"/>
        </w:rPr>
        <w:t>SAR 119 per share</w:t>
      </w:r>
      <w:r>
        <w:rPr>
          <w:b w:val="0"/>
          <w:i w:val="0"/>
          <w:color w:val="1C3A36"/>
          <w:sz w:val="22"/>
        </w:rPr>
        <w:t xml:space="preserve">   ·   full span SAR 70–237   ·   spot SAR 104.80 (13%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83 and SAR 146 per share; weighting them gives a central of SAR 119, about 13%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capital above 30%, and pays out a little over half its earnings.</w:t>
      </w:r>
    </w:p>
    <w:p>
      <w:pPr>
        <w:spacing w:after="120" w:before="0"/>
      </w:pPr>
      <w:r>
        <w:rPr>
          <w:b w:val="0"/>
          <w:i w:val="0"/>
          <w:color w:val="1C3A36"/>
          <w:sz w:val="21"/>
        </w:rPr>
        <w:t>Our central fair-value estimate is SAR 119 per share, about 13% above the SAR 104.80 price. The intrinsic discounted-cash-flow lens is the most positive at SAR 146; a cautious exit-multiple reading is the least, at SAR 83; the earnings-power and book-value lenses sit in between at SAR 102 and SAR 107. The single most important assumption is the sustained gross margin: at the recent half-year’s 15.3% the cash-flow lens is worth SAR 146; if the 2025 full-year 16.0% holds it is worth SAR 159; if it compresses to 14.5% it is worth SAR 132.</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Weight</w:t>
            </w:r>
          </w:p>
        </w:tc>
        <w:tc>
          <w:tcPr>
            <w:tcW w:type="dxa" w:w="1368"/>
            <w:shd w:val="clear" w:color="auto" w:fill="EAF0EE"/>
          </w:tcPr>
          <w:p>
            <w:pPr>
              <w:spacing w:after="20"/>
            </w:pPr>
            <w:r>
              <w:rPr>
                <w:b/>
                <w:color w:val="1C3A36"/>
                <w:sz w:val="18"/>
              </w:rPr>
              <w:t>vs spot</w:t>
            </w:r>
          </w:p>
        </w:tc>
      </w:tr>
      <w:tr>
        <w:tc>
          <w:tcPr>
            <w:tcW w:type="dxa" w:w="2736"/>
          </w:tcPr>
          <w:p>
            <w:pPr>
              <w:spacing w:after="20"/>
            </w:pPr>
            <w:r>
              <w:rPr>
                <w:color w:val="1C3A36"/>
                <w:sz w:val="18"/>
              </w:rPr>
              <w:t>Discounted cash flow (primary)</w:t>
            </w:r>
          </w:p>
        </w:tc>
        <w:tc>
          <w:tcPr>
            <w:tcW w:type="dxa" w:w="1224"/>
          </w:tcPr>
          <w:p>
            <w:pPr>
              <w:spacing w:after="20"/>
              <w:jc w:val="right"/>
            </w:pPr>
            <w:r>
              <w:rPr>
                <w:color w:val="1C3A36"/>
                <w:sz w:val="18"/>
              </w:rPr>
              <w:t>89</w:t>
            </w:r>
          </w:p>
        </w:tc>
        <w:tc>
          <w:tcPr>
            <w:tcW w:type="dxa" w:w="1224"/>
          </w:tcPr>
          <w:p>
            <w:pPr>
              <w:spacing w:after="20"/>
              <w:jc w:val="right"/>
            </w:pPr>
            <w:r>
              <w:rPr>
                <w:color w:val="1C3A36"/>
                <w:sz w:val="18"/>
              </w:rPr>
              <w:t>146</w:t>
            </w:r>
          </w:p>
        </w:tc>
        <w:tc>
          <w:tcPr>
            <w:tcW w:type="dxa" w:w="1224"/>
          </w:tcPr>
          <w:p>
            <w:pPr>
              <w:spacing w:after="20"/>
              <w:jc w:val="right"/>
            </w:pPr>
            <w:r>
              <w:rPr>
                <w:color w:val="1C3A36"/>
                <w:sz w:val="18"/>
              </w:rPr>
              <w:t>237</w:t>
            </w:r>
          </w:p>
        </w:tc>
        <w:tc>
          <w:tcPr>
            <w:tcW w:type="dxa" w:w="1152"/>
          </w:tcPr>
          <w:p>
            <w:pPr>
              <w:spacing w:after="20"/>
              <w:jc w:val="right"/>
            </w:pPr>
            <w:r>
              <w:rPr>
                <w:color w:val="1C3A36"/>
                <w:sz w:val="18"/>
              </w:rPr>
              <w:t>45%</w:t>
            </w:r>
          </w:p>
        </w:tc>
        <w:tc>
          <w:tcPr>
            <w:tcW w:type="dxa" w:w="1368"/>
          </w:tcPr>
          <w:p>
            <w:pPr>
              <w:spacing w:after="20"/>
              <w:jc w:val="right"/>
            </w:pPr>
            <w:r>
              <w:rPr>
                <w:color w:val="1C3A36"/>
                <w:sz w:val="18"/>
              </w:rPr>
              <w:t>39%</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70</w:t>
            </w:r>
          </w:p>
        </w:tc>
        <w:tc>
          <w:tcPr>
            <w:tcW w:type="dxa" w:w="1224"/>
          </w:tcPr>
          <w:p>
            <w:pPr>
              <w:spacing w:after="20"/>
              <w:jc w:val="right"/>
            </w:pPr>
            <w:r>
              <w:rPr>
                <w:color w:val="1C3A36"/>
                <w:sz w:val="18"/>
              </w:rPr>
              <w:t>83</w:t>
            </w:r>
          </w:p>
        </w:tc>
        <w:tc>
          <w:tcPr>
            <w:tcW w:type="dxa" w:w="1224"/>
          </w:tcPr>
          <w:p>
            <w:pPr>
              <w:spacing w:after="20"/>
              <w:jc w:val="right"/>
            </w:pPr>
            <w:r>
              <w:rPr>
                <w:color w:val="1C3A36"/>
                <w:sz w:val="18"/>
              </w:rPr>
              <w:t>101</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-20%</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20%</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71</w:t>
            </w:r>
          </w:p>
        </w:tc>
        <w:tc>
          <w:tcPr>
            <w:tcW w:type="dxa" w:w="1224"/>
          </w:tcPr>
          <w:p>
            <w:pPr>
              <w:spacing w:after="20"/>
              <w:jc w:val="right"/>
            </w:pPr>
            <w:r>
              <w:rPr>
                <w:color w:val="1C3A36"/>
                <w:sz w:val="18"/>
              </w:rPr>
              <w:t>107</w:t>
            </w:r>
          </w:p>
        </w:tc>
        <w:tc>
          <w:tcPr>
            <w:tcW w:type="dxa" w:w="1224"/>
          </w:tcPr>
          <w:p>
            <w:pPr>
              <w:spacing w:after="20"/>
              <w:jc w:val="right"/>
            </w:pPr>
            <w:r>
              <w:rPr>
                <w:color w:val="1C3A36"/>
                <w:sz w:val="18"/>
              </w:rPr>
              <w:t>120</w:t>
            </w:r>
          </w:p>
        </w:tc>
        <w:tc>
          <w:tcPr>
            <w:tcW w:type="dxa" w:w="1152"/>
          </w:tcPr>
          <w:p>
            <w:pPr>
              <w:spacing w:after="20"/>
              <w:jc w:val="right"/>
            </w:pPr>
            <w:r>
              <w:rPr>
                <w:color w:val="1C3A36"/>
                <w:sz w:val="18"/>
              </w:rPr>
              <w:t>15%</w:t>
            </w:r>
          </w:p>
        </w:tc>
        <w:tc>
          <w:tcPr>
            <w:tcW w:type="dxa" w:w="1368"/>
          </w:tcPr>
          <w:p>
            <w:pPr>
              <w:spacing w:after="20"/>
              <w:jc w:val="right"/>
            </w:pPr>
            <w:r>
              <w:rPr>
                <w:color w:val="1C3A36"/>
                <w:sz w:val="18"/>
              </w:rPr>
              <w:t>2%</w:t>
            </w:r>
          </w:p>
        </w:tc>
      </w:tr>
      <w:tr>
        <w:tc>
          <w:tcPr>
            <w:tcW w:type="dxa" w:w="2736"/>
            <w:shd w:val="clear" w:color="auto" w:fill="F6F1E6"/>
          </w:tcPr>
          <w:p>
            <w:pPr>
              <w:spacing w:after="20"/>
            </w:pPr>
            <w:r>
              <w:rPr>
                <w:b/>
                <w:color w:val="1C3A36"/>
                <w:sz w:val="18"/>
              </w:rPr>
              <w:t>Weighted central</w:t>
            </w:r>
          </w:p>
        </w:tc>
        <w:tc>
          <w:tcPr>
            <w:tcW w:type="dxa" w:w="1224"/>
            <w:shd w:val="clear" w:color="auto" w:fill="F6F1E6"/>
          </w:tcPr>
          <w:p>
            <w:pPr>
              <w:spacing w:after="20"/>
              <w:jc w:val="right"/>
            </w:pPr>
            <w:r>
              <w:rPr>
                <w:b/>
                <w:color w:val="1C3A36"/>
                <w:sz w:val="18"/>
              </w:rPr>
              <w:t>70</w:t>
            </w:r>
          </w:p>
        </w:tc>
        <w:tc>
          <w:tcPr>
            <w:tcW w:type="dxa" w:w="1224"/>
            <w:shd w:val="clear" w:color="auto" w:fill="F6F1E6"/>
          </w:tcPr>
          <w:p>
            <w:pPr>
              <w:spacing w:after="20"/>
              <w:jc w:val="right"/>
            </w:pPr>
            <w:r>
              <w:rPr>
                <w:b/>
                <w:color w:val="1C3A36"/>
                <w:sz w:val="18"/>
              </w:rPr>
              <w:t>119</w:t>
            </w:r>
          </w:p>
        </w:tc>
        <w:tc>
          <w:tcPr>
            <w:tcW w:type="dxa" w:w="1224"/>
            <w:shd w:val="clear" w:color="auto" w:fill="F6F1E6"/>
          </w:tcPr>
          <w:p>
            <w:pPr>
              <w:spacing w:after="20"/>
              <w:jc w:val="right"/>
            </w:pPr>
            <w:r>
              <w:rPr>
                <w:b/>
                <w:color w:val="1C3A36"/>
                <w:sz w:val="18"/>
              </w:rPr>
              <w:t>237</w:t>
            </w:r>
          </w:p>
        </w:tc>
        <w:tc>
          <w:tcPr>
            <w:tcW w:type="dxa" w:w="1152"/>
            <w:shd w:val="clear" w:color="auto" w:fill="F6F1E6"/>
          </w:tcPr>
          <w:p>
            <w:pPr>
              <w:spacing w:after="20"/>
              <w:jc w:val="right"/>
            </w:pPr>
            <w:r>
              <w:rPr>
                <w:b/>
                <w:color w:val="1C3A36"/>
                <w:sz w:val="18"/>
              </w:rPr>
              <w:t>100%</w:t>
            </w:r>
          </w:p>
        </w:tc>
        <w:tc>
          <w:tcPr>
            <w:tcW w:type="dxa" w:w="1368"/>
            <w:shd w:val="clear" w:color="auto" w:fill="F6F1E6"/>
          </w:tcPr>
          <w:p>
            <w:pPr>
              <w:spacing w:after="20"/>
              <w:jc w:val="right"/>
            </w:pPr>
            <w:r>
              <w:rPr>
                <w:b/>
                <w:color w:val="1C3A36"/>
                <w:sz w:val="18"/>
              </w:rPr>
              <w:t>13%</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144</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37%</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83%</w:t>
      </w:r>
      <w:r>
        <w:rPr>
          <w:b w:val="0"/>
          <w:i w:val="0"/>
          <w:color w:val="1C3A36"/>
          <w:sz w:val="19"/>
        </w:rPr>
        <w:t xml:space="preserve">.  Trailing enterprise value / EBITDA </w:t>
      </w:r>
      <w:r>
        <w:rPr>
          <w:b/>
          <w:i w:val="0"/>
          <w:color w:val="1C3A36"/>
          <w:sz w:val="19"/>
        </w:rPr>
        <w:t>11.9x</w:t>
      </w:r>
      <w:r>
        <w:rPr>
          <w:b w:val="0"/>
          <w:i w:val="0"/>
          <w:color w:val="1C3A36"/>
          <w:sz w:val="19"/>
        </w:rPr>
        <w:t>; trailing price / earnings 14.5x. Cost of capital 9.9% today, easing to 8.9%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146/share. On the 2025 full-year 16.0%: SAR 159. On a further compression to 14.5%: SAR 132.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the group’s effective zakat-and-tax rate of 9.5%, depreciation is added back, and capital expenditure and the investment in working capital are subtracted, to give free cash flow to the firm. Each year is discounted at its own cost of capital, gliding from 9.9% to 8.9%.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11,513</w:t>
            </w:r>
          </w:p>
        </w:tc>
        <w:tc>
          <w:tcPr>
            <w:tcW w:type="dxa" w:w="1411"/>
          </w:tcPr>
          <w:p>
            <w:pPr>
              <w:spacing w:after="20"/>
              <w:jc w:val="right"/>
            </w:pPr>
            <w:r>
              <w:rPr>
                <w:color w:val="1C3A36"/>
                <w:sz w:val="17"/>
              </w:rPr>
              <w:t>12,410</w:t>
            </w:r>
          </w:p>
        </w:tc>
        <w:tc>
          <w:tcPr>
            <w:tcW w:type="dxa" w:w="1411"/>
          </w:tcPr>
          <w:p>
            <w:pPr>
              <w:spacing w:after="20"/>
              <w:jc w:val="right"/>
            </w:pPr>
            <w:r>
              <w:rPr>
                <w:color w:val="1C3A36"/>
                <w:sz w:val="17"/>
              </w:rPr>
              <w:t>13,364</w:t>
            </w:r>
          </w:p>
        </w:tc>
        <w:tc>
          <w:tcPr>
            <w:tcW w:type="dxa" w:w="1411"/>
          </w:tcPr>
          <w:p>
            <w:pPr>
              <w:spacing w:after="20"/>
              <w:jc w:val="right"/>
            </w:pPr>
            <w:r>
              <w:rPr>
                <w:color w:val="1C3A36"/>
                <w:sz w:val="17"/>
              </w:rPr>
              <w:t>14,264</w:t>
            </w:r>
          </w:p>
        </w:tc>
        <w:tc>
          <w:tcPr>
            <w:tcW w:type="dxa" w:w="1411"/>
          </w:tcPr>
          <w:p>
            <w:pPr>
              <w:spacing w:after="20"/>
              <w:jc w:val="right"/>
            </w:pPr>
            <w:r>
              <w:rPr>
                <w:color w:val="1C3A36"/>
                <w:sz w:val="17"/>
              </w:rPr>
              <w:t>15,143</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1,360</w:t>
            </w:r>
          </w:p>
        </w:tc>
        <w:tc>
          <w:tcPr>
            <w:tcW w:type="dxa" w:w="1411"/>
          </w:tcPr>
          <w:p>
            <w:pPr>
              <w:spacing w:after="20"/>
              <w:jc w:val="right"/>
            </w:pPr>
            <w:r>
              <w:rPr>
                <w:color w:val="1C3A36"/>
                <w:sz w:val="17"/>
              </w:rPr>
              <w:t>1,478</w:t>
            </w:r>
          </w:p>
        </w:tc>
        <w:tc>
          <w:tcPr>
            <w:tcW w:type="dxa" w:w="1411"/>
          </w:tcPr>
          <w:p>
            <w:pPr>
              <w:spacing w:after="20"/>
              <w:jc w:val="right"/>
            </w:pPr>
            <w:r>
              <w:rPr>
                <w:color w:val="1C3A36"/>
                <w:sz w:val="17"/>
              </w:rPr>
              <w:t>1,598</w:t>
            </w:r>
          </w:p>
        </w:tc>
        <w:tc>
          <w:tcPr>
            <w:tcW w:type="dxa" w:w="1411"/>
          </w:tcPr>
          <w:p>
            <w:pPr>
              <w:spacing w:after="20"/>
              <w:jc w:val="right"/>
            </w:pPr>
            <w:r>
              <w:rPr>
                <w:color w:val="1C3A36"/>
                <w:sz w:val="17"/>
              </w:rPr>
              <w:t>1,720</w:t>
            </w:r>
          </w:p>
        </w:tc>
        <w:tc>
          <w:tcPr>
            <w:tcW w:type="dxa" w:w="1411"/>
          </w:tcPr>
          <w:p>
            <w:pPr>
              <w:spacing w:after="20"/>
              <w:jc w:val="right"/>
            </w:pPr>
            <w:r>
              <w:rPr>
                <w:color w:val="1C3A36"/>
                <w:sz w:val="17"/>
              </w:rPr>
              <w:t>1,826</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12.1%</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114</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129</w:t>
            </w:r>
          </w:p>
        </w:tc>
      </w:tr>
      <w:tr>
        <w:tc>
          <w:tcPr>
            <w:tcW w:type="dxa" w:w="3096"/>
          </w:tcPr>
          <w:p>
            <w:pPr>
              <w:spacing w:after="20"/>
            </w:pPr>
            <w:r>
              <w:rPr>
                <w:color w:val="1C3A36"/>
                <w:sz w:val="17"/>
              </w:rPr>
              <w:t>EBIT</w:t>
            </w:r>
          </w:p>
        </w:tc>
        <w:tc>
          <w:tcPr>
            <w:tcW w:type="dxa" w:w="1411"/>
          </w:tcPr>
          <w:p>
            <w:pPr>
              <w:spacing w:after="20"/>
              <w:jc w:val="right"/>
            </w:pPr>
            <w:r>
              <w:rPr>
                <w:color w:val="1C3A36"/>
                <w:sz w:val="17"/>
              </w:rPr>
              <w:t>1,262</w:t>
            </w:r>
          </w:p>
        </w:tc>
        <w:tc>
          <w:tcPr>
            <w:tcW w:type="dxa" w:w="1411"/>
          </w:tcPr>
          <w:p>
            <w:pPr>
              <w:spacing w:after="20"/>
              <w:jc w:val="right"/>
            </w:pPr>
            <w:r>
              <w:rPr>
                <w:color w:val="1C3A36"/>
                <w:sz w:val="17"/>
              </w:rPr>
              <w:t>1,373</w:t>
            </w:r>
          </w:p>
        </w:tc>
        <w:tc>
          <w:tcPr>
            <w:tcW w:type="dxa" w:w="1411"/>
          </w:tcPr>
          <w:p>
            <w:pPr>
              <w:spacing w:after="20"/>
              <w:jc w:val="right"/>
            </w:pPr>
            <w:r>
              <w:rPr>
                <w:color w:val="1C3A36"/>
                <w:sz w:val="17"/>
              </w:rPr>
              <w:t>1,485</w:t>
            </w:r>
          </w:p>
        </w:tc>
        <w:tc>
          <w:tcPr>
            <w:tcW w:type="dxa" w:w="1411"/>
          </w:tcPr>
          <w:p>
            <w:pPr>
              <w:spacing w:after="20"/>
              <w:jc w:val="right"/>
            </w:pPr>
            <w:r>
              <w:rPr>
                <w:color w:val="1C3A36"/>
                <w:sz w:val="17"/>
              </w:rPr>
              <w:t>1,599</w:t>
            </w:r>
          </w:p>
        </w:tc>
        <w:tc>
          <w:tcPr>
            <w:tcW w:type="dxa" w:w="1411"/>
          </w:tcPr>
          <w:p>
            <w:pPr>
              <w:spacing w:after="20"/>
              <w:jc w:val="right"/>
            </w:pPr>
            <w:r>
              <w:rPr>
                <w:color w:val="1C3A36"/>
                <w:sz w:val="17"/>
              </w:rPr>
              <w:t>1,698</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1,142</w:t>
            </w:r>
          </w:p>
        </w:tc>
        <w:tc>
          <w:tcPr>
            <w:tcW w:type="dxa" w:w="1411"/>
          </w:tcPr>
          <w:p>
            <w:pPr>
              <w:spacing w:after="20"/>
              <w:jc w:val="right"/>
            </w:pPr>
            <w:r>
              <w:rPr>
                <w:color w:val="1C3A36"/>
                <w:sz w:val="17"/>
              </w:rPr>
              <w:t>1,242</w:t>
            </w:r>
          </w:p>
        </w:tc>
        <w:tc>
          <w:tcPr>
            <w:tcW w:type="dxa" w:w="1411"/>
          </w:tcPr>
          <w:p>
            <w:pPr>
              <w:spacing w:after="20"/>
              <w:jc w:val="right"/>
            </w:pPr>
            <w:r>
              <w:rPr>
                <w:color w:val="1C3A36"/>
                <w:sz w:val="17"/>
              </w:rPr>
              <w:t>1,344</w:t>
            </w:r>
          </w:p>
        </w:tc>
        <w:tc>
          <w:tcPr>
            <w:tcW w:type="dxa" w:w="1411"/>
          </w:tcPr>
          <w:p>
            <w:pPr>
              <w:spacing w:after="20"/>
              <w:jc w:val="right"/>
            </w:pPr>
            <w:r>
              <w:rPr>
                <w:color w:val="1C3A36"/>
                <w:sz w:val="17"/>
              </w:rPr>
              <w:t>1,447</w:t>
            </w:r>
          </w:p>
        </w:tc>
        <w:tc>
          <w:tcPr>
            <w:tcW w:type="dxa" w:w="1411"/>
          </w:tcPr>
          <w:p>
            <w:pPr>
              <w:spacing w:after="20"/>
              <w:jc w:val="right"/>
            </w:pPr>
            <w:r>
              <w:rPr>
                <w:color w:val="1C3A36"/>
                <w:sz w:val="17"/>
              </w:rPr>
              <w:t>1,536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114</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129</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219</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290</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267</w:t>
            </w:r>
          </w:p>
        </w:tc>
        <w:tc>
          <w:tcPr>
            <w:tcW w:type="dxa" w:w="1411"/>
          </w:tcPr>
          <w:p>
            <w:pPr>
              <w:spacing w:after="20"/>
              <w:jc w:val="right"/>
            </w:pPr>
            <w:r>
              <w:rPr>
                <w:color w:val="1C3A36"/>
                <w:sz w:val="17"/>
              </w:rPr>
              <w:t>252</w:t>
            </w:r>
          </w:p>
        </w:tc>
        <w:tc>
          <w:tcPr>
            <w:tcW w:type="dxa" w:w="1411"/>
          </w:tcPr>
          <w:p>
            <w:pPr>
              <w:spacing w:after="20"/>
              <w:jc w:val="right"/>
            </w:pPr>
            <w:r>
              <w:rPr>
                <w:color w:val="1C3A36"/>
                <w:sz w:val="17"/>
              </w:rPr>
              <w:t>246</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731</w:t>
            </w:r>
          </w:p>
        </w:tc>
        <w:tc>
          <w:tcPr>
            <w:tcW w:type="dxa" w:w="1411"/>
          </w:tcPr>
          <w:p>
            <w:pPr>
              <w:spacing w:after="20"/>
              <w:jc w:val="right"/>
            </w:pPr>
            <w:r>
              <w:rPr>
                <w:color w:val="1C3A36"/>
                <w:sz w:val="17"/>
              </w:rPr>
              <w:t>873</w:t>
            </w:r>
          </w:p>
        </w:tc>
        <w:tc>
          <w:tcPr>
            <w:tcW w:type="dxa" w:w="1411"/>
          </w:tcPr>
          <w:p>
            <w:pPr>
              <w:spacing w:after="20"/>
              <w:jc w:val="right"/>
            </w:pPr>
            <w:r>
              <w:rPr>
                <w:color w:val="1C3A36"/>
                <w:sz w:val="17"/>
              </w:rPr>
              <w:t>963</w:t>
            </w:r>
          </w:p>
        </w:tc>
        <w:tc>
          <w:tcPr>
            <w:tcW w:type="dxa" w:w="1411"/>
          </w:tcPr>
          <w:p>
            <w:pPr>
              <w:spacing w:after="20"/>
              <w:jc w:val="right"/>
            </w:pPr>
            <w:r>
              <w:rPr>
                <w:color w:val="1C3A36"/>
                <w:sz w:val="17"/>
              </w:rPr>
              <w:t>1,088</w:t>
            </w:r>
          </w:p>
        </w:tc>
        <w:tc>
          <w:tcPr>
            <w:tcW w:type="dxa" w:w="1411"/>
          </w:tcPr>
          <w:p>
            <w:pPr>
              <w:spacing w:after="20"/>
              <w:jc w:val="right"/>
            </w:pPr>
            <w:r>
              <w:rPr>
                <w:color w:val="1C3A36"/>
                <w:sz w:val="17"/>
              </w:rPr>
              <w:t>1,176</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0.9100</w:t>
            </w:r>
          </w:p>
        </w:tc>
        <w:tc>
          <w:tcPr>
            <w:tcW w:type="dxa" w:w="1411"/>
          </w:tcPr>
          <w:p>
            <w:pPr>
              <w:spacing w:after="20"/>
              <w:jc w:val="right"/>
            </w:pPr>
            <w:r>
              <w:rPr>
                <w:color w:val="1C3A36"/>
                <w:sz w:val="17"/>
              </w:rPr>
              <w:t>0.8301</w:t>
            </w:r>
          </w:p>
        </w:tc>
        <w:tc>
          <w:tcPr>
            <w:tcW w:type="dxa" w:w="1411"/>
          </w:tcPr>
          <w:p>
            <w:pPr>
              <w:spacing w:after="20"/>
              <w:jc w:val="right"/>
            </w:pPr>
            <w:r>
              <w:rPr>
                <w:color w:val="1C3A36"/>
                <w:sz w:val="17"/>
              </w:rPr>
              <w:t>0.7589</w:t>
            </w:r>
          </w:p>
        </w:tc>
        <w:tc>
          <w:tcPr>
            <w:tcW w:type="dxa" w:w="1411"/>
          </w:tcPr>
          <w:p>
            <w:pPr>
              <w:spacing w:after="20"/>
              <w:jc w:val="right"/>
            </w:pPr>
            <w:r>
              <w:rPr>
                <w:color w:val="1C3A36"/>
                <w:sz w:val="17"/>
              </w:rPr>
              <w:t>0.6953</w:t>
            </w:r>
          </w:p>
        </w:tc>
        <w:tc>
          <w:tcPr>
            <w:tcW w:type="dxa" w:w="1411"/>
          </w:tcPr>
          <w:p>
            <w:pPr>
              <w:spacing w:after="20"/>
              <w:jc w:val="right"/>
            </w:pPr>
            <w:r>
              <w:rPr>
                <w:color w:val="1C3A36"/>
                <w:sz w:val="17"/>
              </w:rPr>
              <w:t>0.6386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665</w:t>
            </w:r>
          </w:p>
        </w:tc>
        <w:tc>
          <w:tcPr>
            <w:tcW w:type="dxa" w:w="1411"/>
          </w:tcPr>
          <w:p>
            <w:pPr>
              <w:spacing w:after="20"/>
              <w:jc w:val="right"/>
            </w:pPr>
            <w:r>
              <w:rPr>
                <w:color w:val="1C3A36"/>
                <w:sz w:val="17"/>
              </w:rPr>
              <w:t>725</w:t>
            </w:r>
          </w:p>
        </w:tc>
        <w:tc>
          <w:tcPr>
            <w:tcW w:type="dxa" w:w="1411"/>
          </w:tcPr>
          <w:p>
            <w:pPr>
              <w:spacing w:after="20"/>
              <w:jc w:val="right"/>
            </w:pPr>
            <w:r>
              <w:rPr>
                <w:color w:val="1C3A36"/>
                <w:sz w:val="17"/>
              </w:rPr>
              <w:t>731</w:t>
            </w:r>
          </w:p>
        </w:tc>
        <w:tc>
          <w:tcPr>
            <w:tcW w:type="dxa" w:w="1411"/>
          </w:tcPr>
          <w:p>
            <w:pPr>
              <w:spacing w:after="20"/>
              <w:jc w:val="right"/>
            </w:pPr>
            <w:r>
              <w:rPr>
                <w:color w:val="1C3A36"/>
                <w:sz w:val="17"/>
              </w:rPr>
              <w:t>757</w:t>
            </w:r>
          </w:p>
        </w:tc>
        <w:tc>
          <w:tcPr>
            <w:tcW w:type="dxa" w:w="1411"/>
          </w:tcPr>
          <w:p>
            <w:pPr>
              <w:spacing w:after="20"/>
              <w:jc w:val="right"/>
            </w:pPr>
            <w:r>
              <w:rPr>
                <w:color w:val="1C3A36"/>
                <w:sz w:val="17"/>
              </w:rPr>
              <w:t>751</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3,628mn</w:t>
      </w:r>
      <w:r>
        <w:rPr>
          <w:b w:val="0"/>
          <w:i w:val="0"/>
          <w:color w:val="1C3A36"/>
          <w:sz w:val="19"/>
        </w:rPr>
        <w:t xml:space="preserve">; the present value of the terminal value is SAR </w:t>
      </w:r>
      <w:r>
        <w:rPr>
          <w:b/>
          <w:i w:val="0"/>
          <w:color w:val="1C3A36"/>
          <w:sz w:val="19"/>
        </w:rPr>
        <w:t>17,592mn</w:t>
      </w:r>
      <w:r>
        <w:rPr>
          <w:b w:val="0"/>
          <w:i w:val="0"/>
          <w:color w:val="1C3A36"/>
          <w:sz w:val="19"/>
        </w:rPr>
        <w:t xml:space="preserve"> (83% of enterprise value); together the enterprise value is SAR </w:t>
      </w:r>
      <w:r>
        <w:rPr>
          <w:b/>
          <w:i w:val="0"/>
          <w:color w:val="896F36"/>
          <w:sz w:val="19"/>
        </w:rPr>
        <w:t>21,221mn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21,221</w:t>
            </w:r>
          </w:p>
        </w:tc>
      </w:tr>
      <w:tr>
        <w:tc>
          <w:tcPr>
            <w:tcW w:type="dxa" w:w="6624"/>
          </w:tcPr>
          <w:p>
            <w:pPr>
              <w:spacing w:after="20"/>
            </w:pPr>
            <w:r>
              <w:rPr>
                <w:color w:val="1C3A36"/>
                <w:sz w:val="18"/>
              </w:rPr>
              <w:t xml:space="preserve">   of which terminal value (83% of EV)</w:t>
            </w:r>
          </w:p>
        </w:tc>
        <w:tc>
          <w:tcPr>
            <w:tcW w:type="dxa" w:w="2016"/>
          </w:tcPr>
          <w:p>
            <w:pPr>
              <w:spacing w:after="20"/>
              <w:jc w:val="right"/>
            </w:pPr>
            <w:r>
              <w:rPr>
                <w:color w:val="1C3A36"/>
                <w:sz w:val="18"/>
              </w:rPr>
              <w:t>17,592</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20,825</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139.10</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145.80</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9.1% and 4% growth, that supports a justified price-to-book of 4.7x and a value of SAR 107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trailing enterprise value to EBITDA and 14.5x earnings. Global cable majors (Prysmian, Nexans) trade around 7–9x forward EBITDA; fast-growing emerging-market peers (Polycab, KEI in India) carry a large growth premium at 20–30x. Applying a mid-range 9.0x to 2027 EBITDA of SAR 1,478mn, discounting it, and adding the interim cash flows, gives SAR 83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12.0% on current-scale revenue of SAR 11,513mn, after depreciation, financing and tax, yields normalised earnings of about SAR 7.54 per share. At a through-cycle 13x — appropriate for a high-return, low-leverage regional leader with a roughly 10%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83 to SAR 146. We weight the discounted cash flow most (45%) because the company’s cash flows are directly modelled from a disclosed cost structure; the relative and earnings-power lenses each 20%; and book value least (15%), because book understates a business earning a 30%-plus return on it. The weighted central is SAR 119.</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 cable maker sells metal plus a conversion spread. We model a cable-tonnage index, priced as metal content — on its own copper-and-aluminium path — plus a conversion spread whose cost escalates on domestic inflation. Volume grows 10.0% in 2026, tapering to 5.0%, anchored on the reviewed half-year statement that 2026 revenue rose 9.5% "due to the increase in the volume of quantities sold." Metal prices are held broadly flat. Gross margin is then an OUTPUT of the stack — 15.3% in 2026 rising gently to 15.4%, and never back to the 2024–25 peak.</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0.51% and its equity risk premium 5.01% (a 4.23% mature-market base plus a 0.78% country premium). We take the ten-year Saudi sukuk yield at 4.85%, subtract the sovereign’s own default spread to avoid charging country risk twice, and add beta times the premium. Beta is 1.129, from Riyadh Cables’ own weekly returns against the Tadawul All Share Index over its listed history. That gives a cost of equity of 10.0%. Debt is marginal and cheap — Islamic Murabaha at about 5.9%, above the sovereign as a corporate must be — and the balance sheet is almost all equity, so the weighted cost is 9.9%, easing to 8.9%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4.34%</w:t>
            </w:r>
          </w:p>
        </w:tc>
        <w:tc>
          <w:tcPr>
            <w:tcW w:type="dxa" w:w="1944"/>
          </w:tcPr>
          <w:p>
            <w:pPr>
              <w:spacing w:after="20"/>
              <w:jc w:val="right"/>
            </w:pPr>
            <w:r>
              <w:rPr>
                <w:color w:val="1C3A36"/>
                <w:sz w:val="18"/>
              </w:rPr>
              <w:t>4.34%</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5.01%</w:t>
            </w:r>
          </w:p>
        </w:tc>
        <w:tc>
          <w:tcPr>
            <w:tcW w:type="dxa" w:w="1944"/>
          </w:tcPr>
          <w:p>
            <w:pPr>
              <w:spacing w:after="20"/>
              <w:jc w:val="right"/>
            </w:pPr>
            <w:r>
              <w:rPr>
                <w:color w:val="1C3A36"/>
                <w:sz w:val="18"/>
              </w:rPr>
              <w:t>4.75%</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10.00%</w:t>
            </w:r>
          </w:p>
        </w:tc>
        <w:tc>
          <w:tcPr>
            <w:tcW w:type="dxa" w:w="1944"/>
            <w:shd w:val="clear" w:color="auto" w:fill="F6F1E6"/>
          </w:tcPr>
          <w:p>
            <w:pPr>
              <w:spacing w:after="20"/>
              <w:jc w:val="right"/>
            </w:pPr>
            <w:r>
              <w:rPr>
                <w:b/>
                <w:color w:val="1C3A36"/>
                <w:sz w:val="18"/>
              </w:rPr>
              <w:t>9.09%</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9.88%</w:t>
            </w:r>
          </w:p>
        </w:tc>
        <w:tc>
          <w:tcPr>
            <w:tcW w:type="dxa" w:w="1944"/>
            <w:shd w:val="clear" w:color="auto" w:fill="F6F1E6"/>
          </w:tcPr>
          <w:p>
            <w:pPr>
              <w:spacing w:after="20"/>
              <w:jc w:val="right"/>
            </w:pPr>
            <w:r>
              <w:rPr>
                <w:b/>
                <w:color w:val="1C3A36"/>
                <w:sz w:val="18"/>
              </w:rPr>
              <w:t>8.88%</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Over the last year the price has ranged widely, and it currently sits near its longer moving averages after a strong multi-year run from the December 2022 listing (the stock has roughly tripled from its early lows).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Tested across the stock’s full trading history, its 50%, 80% and 90% bands contained 70%, 80% and 90% of actual outcomes — essentially on target — and the model’s implied ranks were close to uniform (a mean of 0.49 against an ideal of 0.50). On scored accuracy the cone was statistically indistinguishable from a simple random-walk benchmark over the roughly three and a half years the shares have been listed; it neither reliably beat it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146) is the highest: it rewards a high return on capital, durable mid-single-digit growth and a low Saudi cost of capital, and it is terminal-heavy (83% of value beyond year five). The relative lens (SAR 83) is the most cautious: it holds the company to a mid-range exit multiple below where it trades today. Earnings power (SAR 102) and book value (SAR 107) sit between. Read together, they say the market is fairly-to-attractively priced depending on how much credit one gives the intrinsic economics versus the exit multiple. The weighted central of SAR 119 splits that difference.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and any change in the payout, capital returns,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119)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132.</w:t>
      </w:r>
    </w:p>
    <w:p>
      <w:pPr>
        <w:pStyle w:val="ListBullet"/>
        <w:spacing w:after="60"/>
      </w:pPr>
      <w:r>
        <w:rPr>
          <w:b/>
          <w:color w:val="1C3A36"/>
          <w:sz w:val="21"/>
        </w:rPr>
        <w:t>Terminal reliance —</w:t>
      </w:r>
      <w:r>
        <w:rPr>
          <w:color w:val="1C3A36"/>
          <w:sz w:val="21"/>
        </w:rPr>
        <w:t xml:space="preserve"> the value is terminal-heavy (83%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11,513</w:t>
            </w:r>
          </w:p>
        </w:tc>
        <w:tc>
          <w:tcPr>
            <w:tcW w:type="dxa" w:w="1152"/>
          </w:tcPr>
          <w:p>
            <w:pPr>
              <w:spacing w:after="20"/>
              <w:jc w:val="right"/>
            </w:pPr>
            <w:r>
              <w:rPr>
                <w:color w:val="1C3A36"/>
                <w:sz w:val="16"/>
              </w:rPr>
              <w:t>12,410</w:t>
            </w:r>
          </w:p>
        </w:tc>
        <w:tc>
          <w:tcPr>
            <w:tcW w:type="dxa" w:w="1152"/>
          </w:tcPr>
          <w:p>
            <w:pPr>
              <w:spacing w:after="20"/>
              <w:jc w:val="right"/>
            </w:pPr>
            <w:r>
              <w:rPr>
                <w:color w:val="1C3A36"/>
                <w:sz w:val="16"/>
              </w:rPr>
              <w:t>13,364</w:t>
            </w:r>
          </w:p>
        </w:tc>
        <w:tc>
          <w:tcPr>
            <w:tcW w:type="dxa" w:w="1152"/>
          </w:tcPr>
          <w:p>
            <w:pPr>
              <w:spacing w:after="20"/>
              <w:jc w:val="right"/>
            </w:pPr>
            <w:r>
              <w:rPr>
                <w:color w:val="1C3A36"/>
                <w:sz w:val="16"/>
              </w:rPr>
              <w:t>14,264</w:t>
            </w:r>
          </w:p>
        </w:tc>
        <w:tc>
          <w:tcPr>
            <w:tcW w:type="dxa" w:w="1152"/>
          </w:tcPr>
          <w:p>
            <w:pPr>
              <w:spacing w:after="20"/>
              <w:jc w:val="right"/>
            </w:pPr>
            <w:r>
              <w:rPr>
                <w:color w:val="1C3A36"/>
                <w:sz w:val="16"/>
              </w:rPr>
              <w:t>15,143</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1,757</w:t>
            </w:r>
          </w:p>
        </w:tc>
        <w:tc>
          <w:tcPr>
            <w:tcW w:type="dxa" w:w="1152"/>
          </w:tcPr>
          <w:p>
            <w:pPr>
              <w:spacing w:after="20"/>
              <w:jc w:val="right"/>
            </w:pPr>
            <w:r>
              <w:rPr>
                <w:color w:val="1C3A36"/>
                <w:sz w:val="16"/>
              </w:rPr>
              <w:t>1,906</w:t>
            </w:r>
          </w:p>
        </w:tc>
        <w:tc>
          <w:tcPr>
            <w:tcW w:type="dxa" w:w="1152"/>
          </w:tcPr>
          <w:p>
            <w:pPr>
              <w:spacing w:after="20"/>
              <w:jc w:val="right"/>
            </w:pPr>
            <w:r>
              <w:rPr>
                <w:color w:val="1C3A36"/>
                <w:sz w:val="16"/>
              </w:rPr>
              <w:t>2,053</w:t>
            </w:r>
          </w:p>
        </w:tc>
        <w:tc>
          <w:tcPr>
            <w:tcW w:type="dxa" w:w="1152"/>
          </w:tcPr>
          <w:p>
            <w:pPr>
              <w:spacing w:after="20"/>
              <w:jc w:val="right"/>
            </w:pPr>
            <w:r>
              <w:rPr>
                <w:color w:val="1C3A36"/>
                <w:sz w:val="16"/>
              </w:rPr>
              <w:t>2,198</w:t>
            </w:r>
          </w:p>
        </w:tc>
        <w:tc>
          <w:tcPr>
            <w:tcW w:type="dxa" w:w="1152"/>
          </w:tcPr>
          <w:p>
            <w:pPr>
              <w:spacing w:after="20"/>
              <w:jc w:val="right"/>
            </w:pPr>
            <w:r>
              <w:rPr>
                <w:color w:val="1C3A36"/>
                <w:sz w:val="16"/>
              </w:rPr>
              <w:t>2,334</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716</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1,360</w:t>
            </w:r>
          </w:p>
        </w:tc>
        <w:tc>
          <w:tcPr>
            <w:tcW w:type="dxa" w:w="1152"/>
          </w:tcPr>
          <w:p>
            <w:pPr>
              <w:spacing w:after="20"/>
              <w:jc w:val="right"/>
            </w:pPr>
            <w:r>
              <w:rPr>
                <w:color w:val="1C3A36"/>
                <w:sz w:val="16"/>
              </w:rPr>
              <w:t>1,478</w:t>
            </w:r>
          </w:p>
        </w:tc>
        <w:tc>
          <w:tcPr>
            <w:tcW w:type="dxa" w:w="1152"/>
          </w:tcPr>
          <w:p>
            <w:pPr>
              <w:spacing w:after="20"/>
              <w:jc w:val="right"/>
            </w:pPr>
            <w:r>
              <w:rPr>
                <w:color w:val="1C3A36"/>
                <w:sz w:val="16"/>
              </w:rPr>
              <w:t>1,598</w:t>
            </w:r>
          </w:p>
        </w:tc>
        <w:tc>
          <w:tcPr>
            <w:tcW w:type="dxa" w:w="1152"/>
          </w:tcPr>
          <w:p>
            <w:pPr>
              <w:spacing w:after="20"/>
              <w:jc w:val="right"/>
            </w:pPr>
            <w:r>
              <w:rPr>
                <w:color w:val="1C3A36"/>
                <w:sz w:val="16"/>
              </w:rPr>
              <w:t>1,720</w:t>
            </w:r>
          </w:p>
        </w:tc>
        <w:tc>
          <w:tcPr>
            <w:tcW w:type="dxa" w:w="1152"/>
          </w:tcPr>
          <w:p>
            <w:pPr>
              <w:spacing w:after="20"/>
              <w:jc w:val="right"/>
            </w:pPr>
            <w:r>
              <w:rPr>
                <w:color w:val="1C3A36"/>
                <w:sz w:val="16"/>
              </w:rPr>
              <w:t>1,826</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1,262</w:t>
            </w:r>
          </w:p>
        </w:tc>
        <w:tc>
          <w:tcPr>
            <w:tcW w:type="dxa" w:w="1152"/>
          </w:tcPr>
          <w:p>
            <w:pPr>
              <w:spacing w:after="20"/>
              <w:jc w:val="right"/>
            </w:pPr>
            <w:r>
              <w:rPr>
                <w:color w:val="1C3A36"/>
                <w:sz w:val="16"/>
              </w:rPr>
              <w:t>1,373</w:t>
            </w:r>
          </w:p>
        </w:tc>
        <w:tc>
          <w:tcPr>
            <w:tcW w:type="dxa" w:w="1152"/>
          </w:tcPr>
          <w:p>
            <w:pPr>
              <w:spacing w:after="20"/>
              <w:jc w:val="right"/>
            </w:pPr>
            <w:r>
              <w:rPr>
                <w:color w:val="1C3A36"/>
                <w:sz w:val="16"/>
              </w:rPr>
              <w:t>1,485</w:t>
            </w:r>
          </w:p>
        </w:tc>
        <w:tc>
          <w:tcPr>
            <w:tcW w:type="dxa" w:w="1152"/>
          </w:tcPr>
          <w:p>
            <w:pPr>
              <w:spacing w:after="20"/>
              <w:jc w:val="right"/>
            </w:pPr>
            <w:r>
              <w:rPr>
                <w:color w:val="1C3A36"/>
                <w:sz w:val="16"/>
              </w:rPr>
              <w:t>1,599</w:t>
            </w:r>
          </w:p>
        </w:tc>
        <w:tc>
          <w:tcPr>
            <w:tcW w:type="dxa" w:w="1152"/>
          </w:tcPr>
          <w:p>
            <w:pPr>
              <w:spacing w:after="20"/>
              <w:jc w:val="right"/>
            </w:pPr>
            <w:r>
              <w:rPr>
                <w:color w:val="1C3A36"/>
                <w:sz w:val="16"/>
              </w:rPr>
              <w:t>1,698</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1,235</w:t>
            </w:r>
          </w:p>
        </w:tc>
        <w:tc>
          <w:tcPr>
            <w:tcW w:type="dxa" w:w="1152"/>
          </w:tcPr>
          <w:p>
            <w:pPr>
              <w:spacing w:after="20"/>
              <w:jc w:val="right"/>
            </w:pPr>
            <w:r>
              <w:rPr>
                <w:color w:val="1C3A36"/>
                <w:sz w:val="16"/>
              </w:rPr>
              <w:t>1,350</w:t>
            </w:r>
          </w:p>
        </w:tc>
        <w:tc>
          <w:tcPr>
            <w:tcW w:type="dxa" w:w="1152"/>
          </w:tcPr>
          <w:p>
            <w:pPr>
              <w:spacing w:after="20"/>
              <w:jc w:val="right"/>
            </w:pPr>
            <w:r>
              <w:rPr>
                <w:color w:val="1C3A36"/>
                <w:sz w:val="16"/>
              </w:rPr>
              <w:t>1,470</w:t>
            </w:r>
          </w:p>
        </w:tc>
        <w:tc>
          <w:tcPr>
            <w:tcW w:type="dxa" w:w="1152"/>
          </w:tcPr>
          <w:p>
            <w:pPr>
              <w:spacing w:after="20"/>
              <w:jc w:val="right"/>
            </w:pPr>
            <w:r>
              <w:rPr>
                <w:color w:val="1C3A36"/>
                <w:sz w:val="16"/>
              </w:rPr>
              <w:t>1,594</w:t>
            </w:r>
          </w:p>
        </w:tc>
        <w:tc>
          <w:tcPr>
            <w:tcW w:type="dxa" w:w="1152"/>
          </w:tcPr>
          <w:p>
            <w:pPr>
              <w:spacing w:after="20"/>
              <w:jc w:val="right"/>
            </w:pPr>
            <w:r>
              <w:rPr>
                <w:color w:val="1C3A36"/>
                <w:sz w:val="16"/>
              </w:rPr>
              <w:t>1,705</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1,117</w:t>
            </w:r>
          </w:p>
        </w:tc>
        <w:tc>
          <w:tcPr>
            <w:tcW w:type="dxa" w:w="1152"/>
          </w:tcPr>
          <w:p>
            <w:pPr>
              <w:spacing w:after="20"/>
              <w:jc w:val="right"/>
            </w:pPr>
            <w:r>
              <w:rPr>
                <w:color w:val="1C3A36"/>
                <w:sz w:val="16"/>
              </w:rPr>
              <w:t>1,222</w:t>
            </w:r>
          </w:p>
        </w:tc>
        <w:tc>
          <w:tcPr>
            <w:tcW w:type="dxa" w:w="1152"/>
          </w:tcPr>
          <w:p>
            <w:pPr>
              <w:spacing w:after="20"/>
              <w:jc w:val="right"/>
            </w:pPr>
            <w:r>
              <w:rPr>
                <w:color w:val="1C3A36"/>
                <w:sz w:val="16"/>
              </w:rPr>
              <w:t>1,330</w:t>
            </w:r>
          </w:p>
        </w:tc>
        <w:tc>
          <w:tcPr>
            <w:tcW w:type="dxa" w:w="1152"/>
          </w:tcPr>
          <w:p>
            <w:pPr>
              <w:spacing w:after="20"/>
              <w:jc w:val="right"/>
            </w:pPr>
            <w:r>
              <w:rPr>
                <w:color w:val="1C3A36"/>
                <w:sz w:val="16"/>
              </w:rPr>
              <w:t>1,442</w:t>
            </w:r>
          </w:p>
        </w:tc>
        <w:tc>
          <w:tcPr>
            <w:tcW w:type="dxa" w:w="1152"/>
          </w:tcPr>
          <w:p>
            <w:pPr>
              <w:spacing w:after="20"/>
              <w:jc w:val="right"/>
            </w:pPr>
            <w:r>
              <w:rPr>
                <w:color w:val="1C3A36"/>
                <w:sz w:val="16"/>
              </w:rPr>
              <w:t>1,543</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2,246</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3,224</w:t>
            </w:r>
          </w:p>
        </w:tc>
        <w:tc>
          <w:tcPr>
            <w:tcW w:type="dxa" w:w="1411"/>
          </w:tcPr>
          <w:p>
            <w:pPr>
              <w:spacing w:after="20"/>
              <w:jc w:val="right"/>
            </w:pPr>
            <w:r>
              <w:rPr>
                <w:color w:val="1C3A36"/>
                <w:sz w:val="16"/>
              </w:rPr>
              <w:t>3,475</w:t>
            </w:r>
          </w:p>
        </w:tc>
        <w:tc>
          <w:tcPr>
            <w:tcW w:type="dxa" w:w="1411"/>
          </w:tcPr>
          <w:p>
            <w:pPr>
              <w:spacing w:after="20"/>
              <w:jc w:val="right"/>
            </w:pPr>
            <w:r>
              <w:rPr>
                <w:color w:val="1C3A36"/>
                <w:sz w:val="16"/>
              </w:rPr>
              <w:t>3,742</w:t>
            </w:r>
          </w:p>
        </w:tc>
        <w:tc>
          <w:tcPr>
            <w:tcW w:type="dxa" w:w="1411"/>
          </w:tcPr>
          <w:p>
            <w:pPr>
              <w:spacing w:after="20"/>
              <w:jc w:val="right"/>
            </w:pPr>
            <w:r>
              <w:rPr>
                <w:color w:val="1C3A36"/>
                <w:sz w:val="16"/>
              </w:rPr>
              <w:t>3,994</w:t>
            </w:r>
          </w:p>
        </w:tc>
        <w:tc>
          <w:tcPr>
            <w:tcW w:type="dxa" w:w="1411"/>
          </w:tcPr>
          <w:p>
            <w:pPr>
              <w:spacing w:after="20"/>
              <w:jc w:val="right"/>
            </w:pPr>
            <w:r>
              <w:rPr>
                <w:color w:val="1C3A36"/>
                <w:sz w:val="16"/>
              </w:rPr>
              <w:t>4,240</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291</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-113</w:t>
            </w:r>
          </w:p>
        </w:tc>
        <w:tc>
          <w:tcPr>
            <w:tcW w:type="dxa" w:w="1411"/>
          </w:tcPr>
          <w:p>
            <w:pPr>
              <w:spacing w:after="20"/>
              <w:jc w:val="right"/>
            </w:pPr>
            <w:r>
              <w:rPr>
                <w:color w:val="1C3A36"/>
                <w:sz w:val="16"/>
              </w:rPr>
              <w:t>-406</w:t>
            </w:r>
          </w:p>
        </w:tc>
        <w:tc>
          <w:tcPr>
            <w:tcW w:type="dxa" w:w="1411"/>
          </w:tcPr>
          <w:p>
            <w:pPr>
              <w:spacing w:after="20"/>
              <w:jc w:val="right"/>
            </w:pPr>
            <w:r>
              <w:rPr>
                <w:color w:val="1C3A36"/>
                <w:sz w:val="16"/>
              </w:rPr>
              <w:t>-744</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219</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731</w:t>
            </w:r>
          </w:p>
        </w:tc>
        <w:tc>
          <w:tcPr>
            <w:tcW w:type="dxa" w:w="1411"/>
          </w:tcPr>
          <w:p>
            <w:pPr>
              <w:spacing w:after="20"/>
              <w:jc w:val="right"/>
            </w:pPr>
            <w:r>
              <w:rPr>
                <w:color w:val="1C3A36"/>
                <w:sz w:val="16"/>
              </w:rPr>
              <w:t>873</w:t>
            </w:r>
          </w:p>
        </w:tc>
        <w:tc>
          <w:tcPr>
            <w:tcW w:type="dxa" w:w="1411"/>
          </w:tcPr>
          <w:p>
            <w:pPr>
              <w:spacing w:after="20"/>
              <w:jc w:val="right"/>
            </w:pPr>
            <w:r>
              <w:rPr>
                <w:color w:val="1C3A36"/>
                <w:sz w:val="16"/>
              </w:rPr>
              <w:t>963</w:t>
            </w:r>
          </w:p>
        </w:tc>
        <w:tc>
          <w:tcPr>
            <w:tcW w:type="dxa" w:w="1411"/>
          </w:tcPr>
          <w:p>
            <w:pPr>
              <w:spacing w:after="20"/>
              <w:jc w:val="right"/>
            </w:pPr>
            <w:r>
              <w:rPr>
                <w:color w:val="1C3A36"/>
                <w:sz w:val="16"/>
              </w:rPr>
              <w:t>1,088</w:t>
            </w:r>
          </w:p>
        </w:tc>
        <w:tc>
          <w:tcPr>
            <w:tcW w:type="dxa" w:w="1411"/>
          </w:tcPr>
          <w:p>
            <w:pPr>
              <w:spacing w:after="20"/>
              <w:jc w:val="right"/>
            </w:pPr>
            <w:r>
              <w:rPr>
                <w:color w:val="1C3A36"/>
                <w:sz w:val="16"/>
              </w:rPr>
              <w:t>1,176</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612</w:t>
            </w:r>
          </w:p>
        </w:tc>
        <w:tc>
          <w:tcPr>
            <w:tcW w:type="dxa" w:w="1411"/>
          </w:tcPr>
          <w:p>
            <w:pPr>
              <w:spacing w:after="20"/>
              <w:jc w:val="right"/>
            </w:pPr>
            <w:r>
              <w:rPr>
                <w:color w:val="1C3A36"/>
                <w:sz w:val="16"/>
              </w:rPr>
              <w:t>669</w:t>
            </w:r>
          </w:p>
        </w:tc>
        <w:tc>
          <w:tcPr>
            <w:tcW w:type="dxa" w:w="1411"/>
          </w:tcPr>
          <w:p>
            <w:pPr>
              <w:spacing w:after="20"/>
              <w:jc w:val="right"/>
            </w:pPr>
            <w:r>
              <w:rPr>
                <w:color w:val="1C3A36"/>
                <w:sz w:val="16"/>
              </w:rPr>
              <w:t>729</w:t>
            </w:r>
          </w:p>
        </w:tc>
        <w:tc>
          <w:tcPr>
            <w:tcW w:type="dxa" w:w="1411"/>
          </w:tcPr>
          <w:p>
            <w:pPr>
              <w:spacing w:after="20"/>
              <w:jc w:val="right"/>
            </w:pPr>
            <w:r>
              <w:rPr>
                <w:color w:val="1C3A36"/>
                <w:sz w:val="16"/>
              </w:rPr>
              <w:t>790</w:t>
            </w:r>
          </w:p>
        </w:tc>
        <w:tc>
          <w:tcPr>
            <w:tcW w:type="dxa" w:w="1411"/>
          </w:tcPr>
          <w:p>
            <w:pPr>
              <w:spacing w:after="20"/>
              <w:jc w:val="right"/>
            </w:pPr>
            <w:r>
              <w:rPr>
                <w:color w:val="1C3A36"/>
                <w:sz w:val="16"/>
              </w:rPr>
              <w:t>845</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1,113</w:t>
            </w:r>
          </w:p>
        </w:tc>
        <w:tc>
          <w:tcPr>
            <w:tcW w:type="dxa" w:w="1411"/>
          </w:tcPr>
          <w:p>
            <w:pPr>
              <w:spacing w:after="20"/>
              <w:jc w:val="right"/>
            </w:pPr>
            <w:r>
              <w:rPr>
                <w:color w:val="1C3A36"/>
                <w:sz w:val="16"/>
              </w:rPr>
              <w:t>1,217</w:t>
            </w:r>
          </w:p>
        </w:tc>
        <w:tc>
          <w:tcPr>
            <w:tcW w:type="dxa" w:w="1411"/>
          </w:tcPr>
          <w:p>
            <w:pPr>
              <w:spacing w:after="20"/>
              <w:jc w:val="right"/>
            </w:pPr>
            <w:r>
              <w:rPr>
                <w:color w:val="1C3A36"/>
                <w:sz w:val="16"/>
              </w:rPr>
              <w:t>1,325</w:t>
            </w:r>
          </w:p>
        </w:tc>
        <w:tc>
          <w:tcPr>
            <w:tcW w:type="dxa" w:w="1411"/>
          </w:tcPr>
          <w:p>
            <w:pPr>
              <w:spacing w:after="20"/>
              <w:jc w:val="right"/>
            </w:pPr>
            <w:r>
              <w:rPr>
                <w:color w:val="1C3A36"/>
                <w:sz w:val="16"/>
              </w:rPr>
              <w:t>1,436</w:t>
            </w:r>
          </w:p>
        </w:tc>
        <w:tc>
          <w:tcPr>
            <w:tcW w:type="dxa" w:w="1411"/>
          </w:tcPr>
          <w:p>
            <w:pPr>
              <w:spacing w:after="20"/>
              <w:jc w:val="right"/>
            </w:pPr>
            <w:r>
              <w:rPr>
                <w:color w:val="1C3A36"/>
                <w:sz w:val="16"/>
              </w:rPr>
              <w:t>1,536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12.0% on revenue of SAR 13,364mn gives EBIT of SAR 1,485mn; after net interest of SAR 26mn, tax and minorities, earnings are SAR 8.78 per share; at 13.0x that is SAR 119 (range SAR 91–147).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1,076mn, less after-tax interest, is owner cash of about SAR 1,049mn; grown at 4% and capitalised at 9.1% gives SAR 150 (range SAR 99–189).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16,503mn) gives SAR 144 per share (range SAR 104–166).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30%-plus return will fade, which is why the terminal return is struck at 25% and terminal growth at 4%.</w:t>
      </w:r>
    </w:p>
    <w:p>
      <w:pPr>
        <w:spacing w:after="80" w:before="200"/>
      </w:pPr>
      <w:r>
        <w:rPr>
          <w:b/>
          <w:i w:val="0"/>
          <w:color w:val="1C3A36"/>
          <w:sz w:val="24"/>
        </w:rPr>
        <w:t>C.5  The three in one room</w:t>
      </w:r>
    </w:p>
    <w:p>
      <w:pPr>
        <w:spacing w:after="120" w:before="0"/>
      </w:pPr>
      <w:r>
        <w:rPr>
          <w:b w:val="0"/>
          <w:i w:val="0"/>
          <w:color w:val="1C3A36"/>
          <w:sz w:val="21"/>
        </w:rPr>
        <w:t>The three methods land at SAR 119, SAR 150 and SAR 144, a median of SAR 144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