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assets fy2024</w:t>
            </w:r>
          </w:p>
        </w:tc>
        <w:tc>
          <w:tcPr>
            <w:tcW w:type="dxa" w:w="1440"/>
          </w:tcPr>
          <w:p>
            <w:pPr>
              <w:spacing w:after="20"/>
              <w:jc w:val="right"/>
            </w:pPr>
            <w:r>
              <w:rPr>
                <w:color w:val="1C3A36"/>
                <w:sz w:val="13"/>
              </w:rPr>
              <w:t>260467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assets fy2025</w:t>
            </w:r>
          </w:p>
        </w:tc>
        <w:tc>
          <w:tcPr>
            <w:tcW w:type="dxa" w:w="1440"/>
          </w:tcPr>
          <w:p>
            <w:pPr>
              <w:spacing w:after="20"/>
              <w:jc w:val="right"/>
            </w:pPr>
            <w:r>
              <w:rPr>
                <w:color w:val="1C3A36"/>
                <w:sz w:val="13"/>
              </w:rPr>
              <w:t>346711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assets h1 2026</w:t>
            </w:r>
          </w:p>
        </w:tc>
        <w:tc>
          <w:tcPr>
            <w:tcW w:type="dxa" w:w="1440"/>
          </w:tcPr>
          <w:p>
            <w:pPr>
              <w:spacing w:after="20"/>
              <w:jc w:val="right"/>
            </w:pPr>
            <w:r>
              <w:rPr>
                <w:color w:val="1C3A36"/>
                <w:sz w:val="13"/>
              </w:rPr>
              <w:t>414302</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funds fy2025</w:t>
            </w:r>
          </w:p>
        </w:tc>
        <w:tc>
          <w:tcPr>
            <w:tcW w:type="dxa" w:w="1440"/>
          </w:tcPr>
          <w:p>
            <w:pPr>
              <w:spacing w:after="20"/>
              <w:jc w:val="right"/>
            </w:pPr>
            <w:r>
              <w:rPr>
                <w:color w:val="1C3A36"/>
                <w:sz w:val="13"/>
              </w:rPr>
              <w:t>-29110.1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crp cds dataset</w:t>
            </w:r>
          </w:p>
        </w:tc>
        <w:tc>
          <w:tcPr>
            <w:tcW w:type="dxa" w:w="1440"/>
          </w:tcPr>
          <w:p>
            <w:pPr>
              <w:spacing w:after="20"/>
              <w:jc w:val="right"/>
            </w:pPr>
            <w:r>
              <w:rPr>
                <w:color w:val="1C3A36"/>
                <w:sz w:val="13"/>
              </w:rPr>
              <w:t>0.053164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COUNTRY risk premium on the sovereign-credit-default-swap basis, 5.3164%, from the mid-year (July 2026) vintage of the country default-spread and risk-premium dataset, Egypt row, own column. IT IS NOT ADDED TO THE COST OF EQUITY: the TOTAL premium this study uses already contains it, and the figure is carried so a reader checking the dataset's own country column finds the number this study would call by that name.</w:t>
            </w:r>
          </w:p>
        </w:tc>
      </w:tr>
      <w:tr>
        <w:tc>
          <w:tcPr>
            <w:tcW w:type="dxa" w:w="1800"/>
          </w:tcPr>
          <w:p>
            <w:pPr>
              <w:spacing w:after="20"/>
            </w:pPr>
            <w:r>
              <w:rPr>
                <w:color w:val="1C3A36"/>
                <w:sz w:val="13"/>
              </w:rPr>
              <w:t>ecl fy2025</w:t>
            </w:r>
          </w:p>
        </w:tc>
        <w:tc>
          <w:tcPr>
            <w:tcW w:type="dxa" w:w="1440"/>
          </w:tcPr>
          <w:p>
            <w:pPr>
              <w:spacing w:after="20"/>
              <w:jc w:val="right"/>
            </w:pPr>
            <w:r>
              <w:rPr>
                <w:color w:val="1C3A36"/>
                <w:sz w:val="13"/>
              </w:rPr>
              <w:t>-1514.06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fy2024</w:t>
            </w:r>
          </w:p>
        </w:tc>
        <w:tc>
          <w:tcPr>
            <w:tcW w:type="dxa" w:w="1440"/>
          </w:tcPr>
          <w:p>
            <w:pPr>
              <w:spacing w:after="20"/>
              <w:jc w:val="right"/>
            </w:pPr>
            <w:r>
              <w:rPr>
                <w:color w:val="1C3A36"/>
                <w:sz w:val="13"/>
              </w:rPr>
              <w:t>22958.7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equity fy2025</w:t>
            </w:r>
          </w:p>
        </w:tc>
        <w:tc>
          <w:tcPr>
            <w:tcW w:type="dxa" w:w="1440"/>
          </w:tcPr>
          <w:p>
            <w:pPr>
              <w:spacing w:after="20"/>
              <w:jc w:val="right"/>
            </w:pPr>
            <w:r>
              <w:rPr>
                <w:color w:val="1C3A36"/>
                <w:sz w:val="13"/>
              </w:rPr>
              <w:t>34596.3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h1 2026</w:t>
            </w:r>
          </w:p>
        </w:tc>
        <w:tc>
          <w:tcPr>
            <w:tcW w:type="dxa" w:w="1440"/>
          </w:tcPr>
          <w:p>
            <w:pPr>
              <w:spacing w:after="20"/>
              <w:jc w:val="right"/>
            </w:pPr>
            <w:r>
              <w:rPr>
                <w:color w:val="1C3A36"/>
                <w:sz w:val="13"/>
              </w:rPr>
              <w:t>43557.9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 income fy2025</w:t>
            </w:r>
          </w:p>
        </w:tc>
        <w:tc>
          <w:tcPr>
            <w:tcW w:type="dxa" w:w="1440"/>
          </w:tcPr>
          <w:p>
            <w:pPr>
              <w:spacing w:after="20"/>
              <w:jc w:val="right"/>
            </w:pPr>
            <w:r>
              <w:rPr>
                <w:color w:val="1C3A36"/>
                <w:sz w:val="13"/>
              </w:rPr>
              <w:t>49262.5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fin income h1 2026</w:t>
            </w:r>
          </w:p>
        </w:tc>
        <w:tc>
          <w:tcPr>
            <w:tcW w:type="dxa" w:w="1440"/>
          </w:tcPr>
          <w:p>
            <w:pPr>
              <w:spacing w:after="20"/>
              <w:jc w:val="right"/>
            </w:pPr>
            <w:r>
              <w:rPr>
                <w:color w:val="1C3A36"/>
                <w:sz w:val="13"/>
              </w:rPr>
              <w:t>29117.9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ga fy2025</w:t>
            </w:r>
          </w:p>
        </w:tc>
        <w:tc>
          <w:tcPr>
            <w:tcW w:type="dxa" w:w="1440"/>
          </w:tcPr>
          <w:p>
            <w:pPr>
              <w:spacing w:after="20"/>
              <w:jc w:val="right"/>
            </w:pPr>
            <w:r>
              <w:rPr>
                <w:color w:val="1C3A36"/>
                <w:sz w:val="13"/>
              </w:rPr>
              <w:t>-3431.22</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A</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net fees fy2025</w:t>
            </w:r>
          </w:p>
        </w:tc>
        <w:tc>
          <w:tcPr>
            <w:tcW w:type="dxa" w:w="1440"/>
          </w:tcPr>
          <w:p>
            <w:pPr>
              <w:spacing w:after="20"/>
              <w:jc w:val="right"/>
            </w:pPr>
            <w:r>
              <w:rPr>
                <w:color w:val="1C3A36"/>
                <w:sz w:val="13"/>
              </w:rPr>
              <w:t>2729.85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fees h1 2026</w:t>
            </w:r>
          </w:p>
        </w:tc>
        <w:tc>
          <w:tcPr>
            <w:tcW w:type="dxa" w:w="1440"/>
          </w:tcPr>
          <w:p>
            <w:pPr>
              <w:spacing w:after="20"/>
              <w:jc w:val="right"/>
            </w:pPr>
            <w:r>
              <w:rPr>
                <w:color w:val="1C3A36"/>
                <w:sz w:val="13"/>
              </w:rPr>
              <w:t>1516.56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net funds fy2025</w:t>
            </w:r>
          </w:p>
        </w:tc>
        <w:tc>
          <w:tcPr>
            <w:tcW w:type="dxa" w:w="1440"/>
          </w:tcPr>
          <w:p>
            <w:pPr>
              <w:spacing w:after="20"/>
              <w:jc w:val="right"/>
            </w:pPr>
            <w:r>
              <w:rPr>
                <w:color w:val="1C3A36"/>
                <w:sz w:val="13"/>
              </w:rPr>
              <w:t>20152.3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funds h1 2026</w:t>
            </w:r>
          </w:p>
        </w:tc>
        <w:tc>
          <w:tcPr>
            <w:tcW w:type="dxa" w:w="1440"/>
          </w:tcPr>
          <w:p>
            <w:pPr>
              <w:spacing w:after="20"/>
              <w:jc w:val="right"/>
            </w:pPr>
            <w:r>
              <w:rPr>
                <w:color w:val="1C3A36"/>
                <w:sz w:val="13"/>
              </w:rPr>
              <w:t>12253.9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np fy2025</w:t>
            </w:r>
          </w:p>
        </w:tc>
        <w:tc>
          <w:tcPr>
            <w:tcW w:type="dxa" w:w="1440"/>
          </w:tcPr>
          <w:p>
            <w:pPr>
              <w:spacing w:after="20"/>
              <w:jc w:val="right"/>
            </w:pPr>
            <w:r>
              <w:rPr>
                <w:color w:val="1C3A36"/>
                <w:sz w:val="13"/>
              </w:rPr>
              <w:t>12601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fy2024</w:t>
            </w:r>
          </w:p>
        </w:tc>
        <w:tc>
          <w:tcPr>
            <w:tcW w:type="dxa" w:w="1440"/>
          </w:tcPr>
          <w:p>
            <w:pPr>
              <w:spacing w:after="20"/>
              <w:jc w:val="right"/>
            </w:pPr>
            <w:r>
              <w:rPr>
                <w:color w:val="1C3A36"/>
                <w:sz w:val="13"/>
              </w:rPr>
              <w:t>9008.93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npa fy2025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h1 2026</w:t>
            </w:r>
          </w:p>
        </w:tc>
        <w:tc>
          <w:tcPr>
            <w:tcW w:type="dxa" w:w="1440"/>
          </w:tcPr>
          <w:p>
            <w:pPr>
              <w:spacing w:after="20"/>
              <w:jc w:val="right"/>
            </w:pPr>
            <w:r>
              <w:rPr>
                <w:color w:val="1C3A36"/>
                <w:sz w:val="13"/>
              </w:rPr>
              <w:t>7536.8</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pbt fy2025</w:t>
            </w:r>
          </w:p>
        </w:tc>
        <w:tc>
          <w:tcPr>
            <w:tcW w:type="dxa" w:w="1440"/>
          </w:tcPr>
          <w:p>
            <w:pPr>
              <w:spacing w:after="20"/>
              <w:jc w:val="right"/>
            </w:pPr>
            <w:r>
              <w:rPr>
                <w:color w:val="1C3A36"/>
                <w:sz w:val="13"/>
              </w:rPr>
              <w:t>17482.1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fy2025</w:t>
            </w:r>
          </w:p>
        </w:tc>
        <w:tc>
          <w:tcPr>
            <w:tcW w:type="dxa" w:w="1440"/>
          </w:tcPr>
          <w:p>
            <w:pPr>
              <w:spacing w:after="20"/>
              <w:jc w:val="right"/>
            </w:pPr>
            <w:r>
              <w:rPr>
                <w:color w:val="1C3A36"/>
                <w:sz w:val="13"/>
              </w:rPr>
              <w:t>-4881.19</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29.57%.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tax rate h1 2026</w:t>
            </w:r>
          </w:p>
        </w:tc>
        <w:tc>
          <w:tcPr>
            <w:tcW w:type="dxa" w:w="1440"/>
          </w:tcPr>
          <w:p>
            <w:pPr>
              <w:spacing w:after="20"/>
              <w:jc w:val="right"/>
            </w:pPr>
            <w:r>
              <w:rPr>
                <w:color w:val="1C3A36"/>
                <w:sz w:val="13"/>
              </w:rPr>
              <w:t>0.295749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Effective tax rate for the six months ended 30 June 2026, DERIVED from the reviewed statement's own tax charge over its own profit before tax. It is the highest of the three readings this study holds and is why the forecast carries 28.5% rather than the 27.92% of the last full year.</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29.81%</w:t>
            </w:r>
          </w:p>
        </w:tc>
        <w:tc>
          <w:tcPr>
            <w:tcW w:type="dxa" w:w="3600"/>
          </w:tcPr>
          <w:p>
            <w:pPr>
              <w:spacing w:after="20"/>
              <w:jc w:val="right"/>
            </w:pPr>
            <w:r>
              <w:rPr>
                <w:color w:val="1C3A36"/>
                <w:sz w:val="15"/>
              </w:rPr>
              <w:t>a 23.00% ten-year yield less a 3.42% sovereign spread, plus a 1.0747 beta times a 9.5164% total equity premium</w:t>
            </w:r>
          </w:p>
        </w:tc>
        <w:tc>
          <w:tcPr>
            <w:tcW w:type="dxa" w:w="4320"/>
          </w:tcPr>
          <w:p>
            <w:pPr>
              <w:spacing w:after="20"/>
              <w:jc w:val="right"/>
            </w:pPr>
            <w:r>
              <w:rPr>
                <w:color w:val="1C3A36"/>
                <w:sz w:val="15"/>
              </w:rPr>
              <w:t>A CURRENT ten-year yield. The one carried is 34 days old and the only recent market evidence found is 171 basis points lower. At 21.29% the central is EGP 43.74 rather than EGP 37.18.</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0.105</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