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CellMar>
          <w:top w:w="90" w:type="dxa"/>
          <w:left w:w="160" w:type="dxa"/>
          <w:bottom w:w="90" w:type="dxa"/>
          <w:right w:w="160" w:type="dxa"/>
        </w:tblCellMar>
        <w:tblLayout w:type="fixed"/>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0" w:before="0"/>
      </w:pPr>
      <w:r>
        <w:rPr>
          <w:b/>
          <w:i w:val="0"/>
          <w:color w:val="1C3A36"/>
          <w:sz w:val="50"/>
        </w:rPr>
        <w:t>Borouge plc</w:t>
      </w:r>
    </w:p>
    <w:p>
      <w:pPr>
        <w:spacing w:after="40" w:before="0"/>
      </w:pPr>
      <w:r>
        <w:rPr>
          <w:b w:val="0"/>
          <w:i w:val="0"/>
          <w:color w:val="6E7B77"/>
          <w:sz w:val="22"/>
        </w:rPr>
        <w:t>Abu Dhabi Securities Exchange · BOROUGE · polyolefins · reports in US dollars, trades in dirhams</w:t>
      </w:r>
    </w:p>
    <w:p>
      <w:pPr>
        <w:spacing w:after="200" w:before="0"/>
      </w:pPr>
      <w:r>
        <w:rPr>
          <w:b/>
          <w:i w:val="0"/>
          <w:color w:val="1C3A36"/>
          <w:sz w:val="22"/>
        </w:rPr>
        <w:t>Close 2.40 AED</w:t>
      </w:r>
      <w:r>
        <w:rPr>
          <w:b w:val="0"/>
          <w:i w:val="0"/>
          <w:color w:val="6E7B77"/>
          <w:sz w:val="22"/>
        </w:rPr>
        <w:t xml:space="preserve">   ·   7 August 2026   ·   study dated 9 August 2026   ·   30.06bn shares in issue</w:t>
      </w:r>
    </w:p>
    <w:p>
      <w:pPr>
        <w:spacing w:after="120" w:before="280"/>
      </w:pPr>
      <w:r>
        <w:rPr>
          <w:b/>
          <w:i w:val="0"/>
          <w:color w:val="1C3A36"/>
          <w:sz w:val="30"/>
        </w:rPr>
        <w:t>Read this first</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Layout w:type="fixed"/>
        <w:tblCellMar>
          <w:top w:w="120" w:type="dxa"/>
          <w:left w:w="160" w:type="dxa"/>
          <w:bottom w:w="120" w:type="dxa"/>
          <w:right w:w="160" w:type="dxa"/>
        </w:tblCellMar>
        <w:tblLayout w:type="fixed"/>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study of Borouge plc, built from the company’s own audited and reviewed financial statements and its own disclosed operating data. It is educational analysis. It is not investment advice, it is not a recommendation, and it carries no rating and no price target.</w:t>
            </w:r>
          </w:p>
          <w:p>
            <w:pPr>
              <w:spacing w:after="100"/>
            </w:pPr>
            <w:r>
              <w:rPr>
                <w:b/>
                <w:color w:val="1C3A36"/>
                <w:sz w:val="19"/>
              </w:rPr>
              <w:t xml:space="preserve">What it gives you instead. </w:t>
            </w:r>
            <w:r>
              <w:rPr>
                <w:color w:val="1C3A36"/>
                <w:sz w:val="19"/>
              </w:rPr>
              <w:t>A range of fair values from four independent methods, and a separate, explicitly probabilistic map of where the traded price could sit over the next one and three months. The two are different objects and the study never mixes them: the first asks what the business is worth, the second asks what the share price might do.</w:t>
            </w:r>
          </w:p>
          <w:p>
            <w:pPr>
              <w:spacing w:after="100"/>
            </w:pPr>
            <w:r>
              <w:rPr>
                <w:b/>
                <w:color w:val="1C3A36"/>
                <w:sz w:val="19"/>
              </w:rPr>
              <w:t xml:space="preserve">The one thing to know before reading a single number. </w:t>
            </w:r>
            <w:r>
              <w:rPr>
                <w:color w:val="1C3A36"/>
                <w:sz w:val="19"/>
              </w:rPr>
              <w:t>This study publishes TWO answers to its central question, not one, and never averages them. Borouge’s own share-price history gives a very low measured sensitivity to its market, and a sensitivity built up from what global chemical companies look like gives a much higher one. The gap is worth 1.30 dirhams a share. Rather than pick one and bury the choice, the study carries both all the way through — every lens, every table, the workbook, and the analyst appendix.</w:t>
            </w:r>
          </w:p>
          <w:p>
            <w:pPr>
              <w:spacing w:after="100"/>
            </w:pPr>
            <w:r>
              <w:rPr>
                <w:b/>
                <w:color w:val="1C3A36"/>
                <w:sz w:val="19"/>
              </w:rPr>
              <w:t xml:space="preserve">Currency. </w:t>
            </w:r>
            <w:r>
              <w:rPr>
                <w:color w:val="1C3A36"/>
                <w:sz w:val="19"/>
              </w:rPr>
              <w:t>Borouge reports in US dollars. Its shares trade in dirhams, which have been pegged to the dollar at 3.6725 since November 1997 and have not moved since. The valuation is therefore built in dollars and converted to dirhams at the peg; there is no exchange-rate view inside any number here.</w:t>
            </w:r>
          </w:p>
        </w:tc>
      </w:tr>
    </w:tbl>
    <w:p>
      <w:pPr>
        <w:spacing w:after="40"/>
      </w:pPr>
    </w:p>
    <w:p>
      <w:pPr>
        <w:spacing w:after="120" w:before="280"/>
      </w:pPr>
      <w:r>
        <w:rPr>
          <w:b/>
          <w:i w:val="0"/>
          <w:color w:val="1C3A36"/>
          <w:sz w:val="30"/>
        </w:rPr>
        <w:t>Headline</w:t>
      </w:r>
    </w:p>
    <w:p>
      <w:pPr>
        <w:spacing w:after="120" w:before="0"/>
      </w:pPr>
      <w:r>
        <w:rPr>
          <w:b w:val="0"/>
          <w:i w:val="0"/>
          <w:color w:val="1C3A36"/>
          <w:sz w:val="22"/>
        </w:rPr>
        <w:t>Borouge is a low-cost polyolefin producer in the middle of the worst polyolefin market in a generation, and it is also, right now, a company whose shipping lane was shut for half a year. Those two facts pull in different directions and the study keeps them separate.</w:t>
      </w:r>
    </w:p>
    <w:p>
      <w:pPr>
        <w:spacing w:after="120" w:before="0"/>
      </w:pPr>
      <w:r>
        <w:rPr>
          <w:b w:val="0"/>
          <w:i w:val="0"/>
          <w:color w:val="1C3A36"/>
          <w:sz w:val="21"/>
        </w:rPr>
        <w:t>On the four valuation lenses the study runs, the field spans 1.29 to 2.79 dirhams a share, with a median of 1.73 against a close of 2.40. That is not a narrow answer and the study does not pretend otherwise. The width is not noise — it is almost entirely one disagreement, about how risky this share really is, and the study prices that disagreement rather than resolving it.</w:t>
      </w:r>
    </w:p>
    <w:p>
      <w:pPr>
        <w:spacing w:after="120" w:before="0"/>
      </w:pPr>
      <w:r>
        <w:rPr>
          <w:b w:val="0"/>
          <w:i w:val="0"/>
          <w:color w:val="1C3A36"/>
          <w:sz w:val="21"/>
        </w:rPr>
        <w:t>The operating picture underneath is more settled than the valuation range suggests. Borouge earned an EBITDA margin of 37.1% in 2025 while nine of its eleven listed peers lost money. It does that on advantaged ethane feedstock at Ruwais, at a cost of $256 a tonne of production against $395 in the first half of 2026, when the plant had to buy propylene at market prices because its conversion unit was starved of ethane. That gap — about 54% — is the single clearest measure of what the disruption cost.</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Layout w:type="fixed"/>
        <w:tblCellMar>
          <w:top w:w="120" w:type="dxa"/>
          <w:left w:w="160" w:type="dxa"/>
          <w:bottom w:w="120" w:type="dxa"/>
          <w:right w:w="160" w:type="dxa"/>
        </w:tblCellMar>
        <w:tblLayout w:type="fixed"/>
      </w:tblPr>
      <w:tblGrid>
        <w:gridCol w:w="10080"/>
      </w:tblGrid>
      <w:tr>
        <w:tc>
          <w:tcPr>
            <w:tcW w:type="dxa" w:w="10080"/>
            <w:shd w:val="clear" w:color="auto" w:fill="F6F1E6"/>
          </w:tcPr>
          <w:p>
            <w:pPr>
              <w:spacing w:after="100"/>
            </w:pPr>
            <w:r>
              <w:rPr>
                <w:b/>
                <w:color w:val="1C3A36"/>
                <w:sz w:val="19"/>
              </w:rPr>
              <w:t xml:space="preserve">Three things this study concludes. </w:t>
            </w:r>
            <w:r>
              <w:rPr>
                <w:color w:val="1C3A36"/>
                <w:sz w:val="19"/>
              </w:rPr>
            </w:r>
          </w:p>
          <w:p>
            <w:pPr>
              <w:spacing w:after="100"/>
            </w:pPr>
            <w:r>
              <w:rPr>
                <w:b/>
                <w:color w:val="1C3A36"/>
                <w:sz w:val="19"/>
              </w:rPr>
              <w:t xml:space="preserve">One. </w:t>
            </w:r>
            <w:r>
              <w:rPr>
                <w:color w:val="1C3A36"/>
                <w:sz w:val="19"/>
              </w:rPr>
              <w:t>The 2026 damage is mechanically identifiable and mechanically reversible. Feedstock at $395 a tonne instead of $256, and freight at $177 a tonne instead of $77, are an idled conversion unit and a re-routed ship. Neither is a permanent reset of the cost base. Whether they reverse in 2026 or drag into 2027 is genuinely unknowable, so the study builds both and publishes both: the answers differ by 0.1 fils a share — under a fifth of one per cent of the price — so the disruption is loud in the news and almost silent in the valuation. A year of impaired shipping sits inside a five-year window in which most of the value lies beyond the forecast, so it moves the answer far less than the headlines suggest.</w:t>
            </w:r>
          </w:p>
          <w:p>
            <w:pPr>
              <w:spacing w:after="100"/>
            </w:pPr>
            <w:r>
              <w:rPr>
                <w:b/>
                <w:color w:val="1C3A36"/>
                <w:sz w:val="19"/>
              </w:rPr>
              <w:t xml:space="preserve">Two. </w:t>
            </w:r>
            <w:r>
              <w:rPr>
                <w:color w:val="1C3A36"/>
                <w:sz w:val="19"/>
              </w:rPr>
              <w:t>The expansion next door is not yours. Borouge 4 adds 1.4 million tonnes at the same site and is owned 70% by ADNOC and 30% by OMV. Borouge plc operates it for a fee. Valued as a fee stream, that is worth about $2,505m, or 9.5% of enterprise value — real, but a fraction of what the tonnes would be worth if the company owned them. It is why terminal growth in this study is long-run inflation and nothing more.</w:t>
            </w:r>
          </w:p>
          <w:p>
            <w:pPr>
              <w:spacing w:after="100"/>
            </w:pPr>
            <w:r>
              <w:rPr>
                <w:b/>
                <w:color w:val="1C3A36"/>
                <w:sz w:val="19"/>
              </w:rPr>
              <w:t xml:space="preserve">Three. </w:t>
            </w:r>
            <w:r>
              <w:rPr>
                <w:color w:val="1C3A36"/>
                <w:sz w:val="19"/>
              </w:rPr>
              <w:t>Most of the value is in the years nobody can see. Terminal value is 70.2% of enterprise value on the central construction. That is high, it is stated in the summary table and in the bridge rather than buried, and it is the honest consequence of valuing a long-lived asset at a cost of capital of 6.09%. At the higher cost of capital the study also publishes, the terminal share falls to 59.7% — and the value falls with it.</w:t>
            </w:r>
          </w:p>
        </w:tc>
      </w:tr>
    </w:tbl>
    <w:p>
      <w:pPr>
        <w:spacing w:after="40"/>
      </w:pPr>
    </w:p>
    <w:p>
      <w:pPr>
        <w:spacing w:after="120" w:before="280"/>
      </w:pPr>
      <w:r>
        <w:rPr>
          <w:b/>
          <w:i w:val="0"/>
          <w:color w:val="1C3A36"/>
          <w:sz w:val="30"/>
        </w:rPr>
        <w:t>Valuation summary</w:t>
      </w:r>
    </w:p>
    <w:p>
      <w:pPr>
        <w:spacing w:after="120" w:before="0"/>
      </w:pPr>
      <w:r>
        <w:rPr>
          <w:b w:val="0"/>
          <w:i w:val="0"/>
          <w:color w:val="1C3A36"/>
          <w:sz w:val="21"/>
        </w:rPr>
        <w:t>Four lenses, each run twice — once at the share’s own measured risk, once at the risk a global chemical company usually carries. The two columns are the same business valued at two different costs of capital. They are never averaged.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526"/>
        <w:gridCol w:w="1670"/>
        <w:gridCol w:w="1728"/>
        <w:gridCol w:w="2678"/>
      </w:tblGrid>
      <w:tr>
        <w:tc>
          <w:tcPr>
            <w:tcW w:type="dxa" w:w="2477"/>
            <w:shd w:val="clear" w:color="auto" w:fill="EAF0EE"/>
          </w:tcPr>
          <w:p>
            <w:pPr>
              <w:spacing w:after="20"/>
            </w:pPr>
            <w:r>
              <w:rPr>
                <w:b/>
                <w:color w:val="1C3A36"/>
                <w:sz w:val="17"/>
              </w:rPr>
              <w:t>Lens</w:t>
            </w:r>
          </w:p>
        </w:tc>
        <w:tc>
          <w:tcPr>
            <w:tcW w:type="dxa" w:w="1526"/>
            <w:shd w:val="clear" w:color="auto" w:fill="EAF0EE"/>
          </w:tcPr>
          <w:p>
            <w:pPr>
              <w:spacing w:after="20"/>
            </w:pPr>
            <w:r>
              <w:rPr>
                <w:b/>
                <w:color w:val="1C3A36"/>
                <w:sz w:val="17"/>
              </w:rPr>
              <w:t>At sector risk (AED)</w:t>
            </w:r>
          </w:p>
        </w:tc>
        <w:tc>
          <w:tcPr>
            <w:tcW w:type="dxa" w:w="1670"/>
            <w:shd w:val="clear" w:color="auto" w:fill="EAF0EE"/>
          </w:tcPr>
          <w:p>
            <w:pPr>
              <w:spacing w:after="20"/>
            </w:pPr>
            <w:r>
              <w:rPr>
                <w:b/>
                <w:color w:val="1C3A36"/>
                <w:sz w:val="17"/>
              </w:rPr>
              <w:t>At own measured risk (AED)</w:t>
            </w:r>
          </w:p>
        </w:tc>
        <w:tc>
          <w:tcPr>
            <w:tcW w:type="dxa" w:w="1728"/>
            <w:shd w:val="clear" w:color="auto" w:fill="EAF0EE"/>
          </w:tcPr>
          <w:p>
            <w:pPr>
              <w:spacing w:after="20"/>
            </w:pPr>
            <w:r>
              <w:rPr>
                <w:b/>
                <w:color w:val="1C3A36"/>
                <w:sz w:val="17"/>
              </w:rPr>
              <w:t>Terminal value as % of enterprise value</w:t>
            </w:r>
          </w:p>
        </w:tc>
        <w:tc>
          <w:tcPr>
            <w:tcW w:type="dxa" w:w="2678"/>
            <w:shd w:val="clear" w:color="auto" w:fill="EAF0EE"/>
          </w:tcPr>
          <w:p>
            <w:pPr>
              <w:spacing w:after="20"/>
            </w:pPr>
            <w:r>
              <w:rPr>
                <w:b/>
                <w:color w:val="1C3A36"/>
                <w:sz w:val="17"/>
              </w:rPr>
              <w:t>What it rests on</w:t>
            </w:r>
          </w:p>
        </w:tc>
      </w:tr>
      <w:tr>
        <w:tc>
          <w:tcPr>
            <w:tcW w:type="dxa" w:w="2477"/>
          </w:tcPr>
          <w:p>
            <w:pPr>
              <w:spacing w:after="20"/>
            </w:pPr>
            <w:r>
              <w:rPr>
                <w:color w:val="1C3A36"/>
                <w:sz w:val="17"/>
              </w:rPr>
              <w:t>Discounted cash flow — shipping normalises</w:t>
            </w:r>
          </w:p>
        </w:tc>
        <w:tc>
          <w:tcPr>
            <w:tcW w:type="dxa" w:w="1526"/>
          </w:tcPr>
          <w:p>
            <w:pPr>
              <w:spacing w:after="20"/>
              <w:jc w:val="right"/>
            </w:pPr>
            <w:r>
              <w:rPr>
                <w:color w:val="1C3A36"/>
                <w:sz w:val="17"/>
              </w:rPr>
              <w:t>1.49</w:t>
            </w:r>
          </w:p>
        </w:tc>
        <w:tc>
          <w:tcPr>
            <w:tcW w:type="dxa" w:w="1670"/>
          </w:tcPr>
          <w:p>
            <w:pPr>
              <w:spacing w:after="20"/>
              <w:jc w:val="right"/>
            </w:pPr>
            <w:r>
              <w:rPr>
                <w:color w:val="1C3A36"/>
                <w:sz w:val="17"/>
              </w:rPr>
              <w:t>2.79</w:t>
            </w:r>
          </w:p>
        </w:tc>
        <w:tc>
          <w:tcPr>
            <w:tcW w:type="dxa" w:w="1728"/>
          </w:tcPr>
          <w:p>
            <w:pPr>
              <w:spacing w:after="20"/>
              <w:jc w:val="right"/>
            </w:pPr>
            <w:r>
              <w:rPr>
                <w:color w:val="1C3A36"/>
                <w:sz w:val="17"/>
              </w:rPr>
              <w:t>70.2%</w:t>
            </w:r>
          </w:p>
        </w:tc>
        <w:tc>
          <w:tcPr>
            <w:tcW w:type="dxa" w:w="2678"/>
          </w:tcPr>
          <w:p>
            <w:pPr>
              <w:spacing w:after="20"/>
              <w:jc w:val="right"/>
            </w:pPr>
            <w:r>
              <w:rPr>
                <w:color w:val="1C3A36"/>
                <w:sz w:val="17"/>
              </w:rPr>
              <w:t>Five years of tonnes and prices, then a terminal block</w:t>
            </w:r>
          </w:p>
        </w:tc>
      </w:tr>
      <w:tr>
        <w:tc>
          <w:tcPr>
            <w:tcW w:type="dxa" w:w="2477"/>
          </w:tcPr>
          <w:p>
            <w:pPr>
              <w:spacing w:after="20"/>
            </w:pPr>
            <w:r>
              <w:rPr>
                <w:color w:val="1C3A36"/>
                <w:sz w:val="17"/>
              </w:rPr>
              <w:t>Discounted cash flow — disruption persists</w:t>
            </w:r>
          </w:p>
        </w:tc>
        <w:tc>
          <w:tcPr>
            <w:tcW w:type="dxa" w:w="1526"/>
          </w:tcPr>
          <w:p>
            <w:pPr>
              <w:spacing w:after="20"/>
              <w:jc w:val="right"/>
            </w:pPr>
            <w:r>
              <w:rPr>
                <w:color w:val="1C3A36"/>
                <w:sz w:val="17"/>
              </w:rPr>
              <w:t>1.50</w:t>
            </w:r>
          </w:p>
        </w:tc>
        <w:tc>
          <w:tcPr>
            <w:tcW w:type="dxa" w:w="1670"/>
          </w:tcPr>
          <w:p>
            <w:pPr>
              <w:spacing w:after="20"/>
              <w:jc w:val="right"/>
            </w:pPr>
            <w:r>
              <w:rPr>
                <w:color w:val="1C3A36"/>
                <w:sz w:val="17"/>
              </w:rPr>
              <w:t>2.79</w:t>
            </w:r>
          </w:p>
        </w:tc>
        <w:tc>
          <w:tcPr>
            <w:tcW w:type="dxa" w:w="1728"/>
          </w:tcPr>
          <w:p>
            <w:pPr>
              <w:spacing w:after="20"/>
              <w:jc w:val="right"/>
            </w:pPr>
            <w:r>
              <w:rPr>
                <w:color w:val="1C3A36"/>
                <w:sz w:val="17"/>
              </w:rPr>
              <w:t>69.5%</w:t>
            </w:r>
          </w:p>
        </w:tc>
        <w:tc>
          <w:tcPr>
            <w:tcW w:type="dxa" w:w="2678"/>
          </w:tcPr>
          <w:p>
            <w:pPr>
              <w:spacing w:after="20"/>
              <w:jc w:val="right"/>
            </w:pPr>
            <w:r>
              <w:rPr>
                <w:color w:val="1C3A36"/>
                <w:sz w:val="17"/>
              </w:rPr>
              <w:t>The same build with the lane impaired into 2027</w:t>
            </w:r>
          </w:p>
        </w:tc>
      </w:tr>
      <w:tr>
        <w:tc>
          <w:tcPr>
            <w:tcW w:type="dxa" w:w="2477"/>
          </w:tcPr>
          <w:p>
            <w:pPr>
              <w:spacing w:after="20"/>
            </w:pPr>
            <w:r>
              <w:rPr>
                <w:color w:val="1C3A36"/>
                <w:sz w:val="17"/>
              </w:rPr>
              <w:t>Book value and sustainable return</w:t>
            </w:r>
          </w:p>
        </w:tc>
        <w:tc>
          <w:tcPr>
            <w:tcW w:type="dxa" w:w="1526"/>
          </w:tcPr>
          <w:p>
            <w:pPr>
              <w:spacing w:after="20"/>
              <w:jc w:val="right"/>
            </w:pPr>
            <w:r>
              <w:rPr>
                <w:color w:val="1C3A36"/>
                <w:sz w:val="17"/>
              </w:rPr>
              <w:t>1.35</w:t>
            </w:r>
          </w:p>
        </w:tc>
        <w:tc>
          <w:tcPr>
            <w:tcW w:type="dxa" w:w="1670"/>
          </w:tcPr>
          <w:p>
            <w:pPr>
              <w:spacing w:after="20"/>
              <w:jc w:val="right"/>
            </w:pPr>
            <w:r>
              <w:rPr>
                <w:color w:val="1C3A36"/>
                <w:sz w:val="17"/>
              </w:rPr>
              <w:t>2.39</w:t>
            </w:r>
          </w:p>
        </w:tc>
        <w:tc>
          <w:tcPr>
            <w:tcW w:type="dxa" w:w="1728"/>
          </w:tcPr>
          <w:p>
            <w:pPr>
              <w:spacing w:after="20"/>
              <w:jc w:val="right"/>
            </w:pPr>
            <w:r>
              <w:rPr>
                <w:color w:val="1C3A36"/>
                <w:sz w:val="17"/>
              </w:rPr>
              <w:t>—</w:t>
            </w:r>
          </w:p>
        </w:tc>
        <w:tc>
          <w:tcPr>
            <w:tcW w:type="dxa" w:w="2678"/>
          </w:tcPr>
          <w:p>
            <w:pPr>
              <w:spacing w:after="20"/>
              <w:jc w:val="right"/>
            </w:pPr>
            <w:r>
              <w:rPr>
                <w:color w:val="1C3A36"/>
                <w:sz w:val="17"/>
              </w:rPr>
              <w:t>Return on equity of 25.3% against the cost of equity</w:t>
            </w:r>
          </w:p>
        </w:tc>
      </w:tr>
      <w:tr>
        <w:tc>
          <w:tcPr>
            <w:tcW w:type="dxa" w:w="2477"/>
          </w:tcPr>
          <w:p>
            <w:pPr>
              <w:spacing w:after="20"/>
            </w:pPr>
            <w:r>
              <w:rPr>
                <w:color w:val="1C3A36"/>
                <w:sz w:val="17"/>
              </w:rPr>
              <w:t>Normalised earnings power</w:t>
            </w:r>
          </w:p>
        </w:tc>
        <w:tc>
          <w:tcPr>
            <w:tcW w:type="dxa" w:w="1526"/>
          </w:tcPr>
          <w:p>
            <w:pPr>
              <w:spacing w:after="20"/>
              <w:jc w:val="right"/>
            </w:pPr>
            <w:r>
              <w:rPr>
                <w:color w:val="1C3A36"/>
                <w:sz w:val="17"/>
              </w:rPr>
              <w:t>1.29</w:t>
            </w:r>
          </w:p>
        </w:tc>
        <w:tc>
          <w:tcPr>
            <w:tcW w:type="dxa" w:w="1670"/>
          </w:tcPr>
          <w:p>
            <w:pPr>
              <w:spacing w:after="20"/>
              <w:jc w:val="right"/>
            </w:pPr>
            <w:r>
              <w:rPr>
                <w:color w:val="1C3A36"/>
                <w:sz w:val="17"/>
              </w:rPr>
              <w:t>2.54</w:t>
            </w:r>
          </w:p>
        </w:tc>
        <w:tc>
          <w:tcPr>
            <w:tcW w:type="dxa" w:w="1728"/>
          </w:tcPr>
          <w:p>
            <w:pPr>
              <w:spacing w:after="20"/>
              <w:jc w:val="right"/>
            </w:pPr>
            <w:r>
              <w:rPr>
                <w:color w:val="1C3A36"/>
                <w:sz w:val="17"/>
              </w:rPr>
              <w:t>—</w:t>
            </w:r>
          </w:p>
        </w:tc>
        <w:tc>
          <w:tcPr>
            <w:tcW w:type="dxa" w:w="2678"/>
          </w:tcPr>
          <w:p>
            <w:pPr>
              <w:spacing w:after="20"/>
              <w:jc w:val="right"/>
            </w:pPr>
            <w:r>
              <w:rPr>
                <w:color w:val="1C3A36"/>
                <w:sz w:val="17"/>
              </w:rPr>
              <w:t>Mid-cycle volumes and prices, capitalised</w:t>
            </w:r>
          </w:p>
        </w:tc>
      </w:tr>
      <w:tr>
        <w:tc>
          <w:tcPr>
            <w:tcW w:type="dxa" w:w="2477"/>
          </w:tcPr>
          <w:p>
            <w:pPr>
              <w:spacing w:after="20"/>
            </w:pPr>
            <w:r>
              <w:rPr>
                <w:color w:val="1C3A36"/>
                <w:sz w:val="17"/>
              </w:rPr>
              <w:t>Relative multiples</w:t>
            </w:r>
          </w:p>
        </w:tc>
        <w:tc>
          <w:tcPr>
            <w:tcW w:type="dxa" w:w="1526"/>
          </w:tcPr>
          <w:p>
            <w:pPr>
              <w:spacing w:after="20"/>
              <w:jc w:val="right"/>
            </w:pPr>
            <w:r>
              <w:rPr>
                <w:color w:val="1C3A36"/>
                <w:sz w:val="17"/>
              </w:rPr>
              <w:t>1.73</w:t>
            </w:r>
          </w:p>
        </w:tc>
        <w:tc>
          <w:tcPr>
            <w:tcW w:type="dxa" w:w="1670"/>
          </w:tcPr>
          <w:p>
            <w:pPr>
              <w:spacing w:after="20"/>
              <w:jc w:val="right"/>
            </w:pPr>
            <w:r>
              <w:rPr>
                <w:color w:val="1C3A36"/>
                <w:sz w:val="17"/>
              </w:rPr>
              <w:t>1.73</w:t>
            </w:r>
          </w:p>
        </w:tc>
        <w:tc>
          <w:tcPr>
            <w:tcW w:type="dxa" w:w="1728"/>
          </w:tcPr>
          <w:p>
            <w:pPr>
              <w:spacing w:after="20"/>
              <w:jc w:val="right"/>
            </w:pPr>
            <w:r>
              <w:rPr>
                <w:color w:val="1C3A36"/>
                <w:sz w:val="17"/>
              </w:rPr>
              <w:t>—</w:t>
            </w:r>
          </w:p>
        </w:tc>
        <w:tc>
          <w:tcPr>
            <w:tcW w:type="dxa" w:w="2678"/>
          </w:tcPr>
          <w:p>
            <w:pPr>
              <w:spacing w:after="20"/>
              <w:jc w:val="right"/>
            </w:pPr>
            <w:r>
              <w:rPr>
                <w:color w:val="1C3A36"/>
                <w:sz w:val="17"/>
              </w:rPr>
              <w:t>Three through-cycle multiples; unaffected by the risk debate</w:t>
            </w:r>
          </w:p>
        </w:tc>
      </w:tr>
      <w:tr>
        <w:tc>
          <w:tcPr>
            <w:tcW w:type="dxa" w:w="2477"/>
            <w:shd w:val="clear" w:color="auto" w:fill="F6F1E6"/>
          </w:tcPr>
          <w:p>
            <w:pPr>
              <w:spacing w:after="20"/>
            </w:pPr>
            <w:r>
              <w:rPr>
                <w:b/>
                <w:color w:val="1C3A36"/>
                <w:sz w:val="17"/>
              </w:rPr>
              <w:t>The field</w:t>
            </w:r>
          </w:p>
        </w:tc>
        <w:tc>
          <w:tcPr>
            <w:tcW w:type="dxa" w:w="1526"/>
            <w:shd w:val="clear" w:color="auto" w:fill="F6F1E6"/>
          </w:tcPr>
          <w:p>
            <w:pPr>
              <w:spacing w:after="20"/>
              <w:jc w:val="right"/>
            </w:pPr>
            <w:r>
              <w:rPr>
                <w:b/>
                <w:color w:val="1C3A36"/>
                <w:sz w:val="17"/>
              </w:rPr>
              <w:t>1.29 low</w:t>
            </w:r>
          </w:p>
        </w:tc>
        <w:tc>
          <w:tcPr>
            <w:tcW w:type="dxa" w:w="1670"/>
            <w:shd w:val="clear" w:color="auto" w:fill="F6F1E6"/>
          </w:tcPr>
          <w:p>
            <w:pPr>
              <w:spacing w:after="20"/>
              <w:jc w:val="right"/>
            </w:pPr>
            <w:r>
              <w:rPr>
                <w:b/>
                <w:color w:val="1C3A36"/>
                <w:sz w:val="17"/>
              </w:rPr>
              <w:t>2.79 high</w:t>
            </w:r>
          </w:p>
        </w:tc>
        <w:tc>
          <w:tcPr>
            <w:tcW w:type="dxa" w:w="1728"/>
            <w:shd w:val="clear" w:color="auto" w:fill="F6F1E6"/>
          </w:tcPr>
          <w:p>
            <w:pPr>
              <w:spacing w:after="20"/>
              <w:jc w:val="right"/>
            </w:pPr>
            <w:r>
              <w:rPr>
                <w:b/>
                <w:color w:val="1C3A36"/>
                <w:sz w:val="17"/>
              </w:rPr>
            </w:r>
          </w:p>
        </w:tc>
        <w:tc>
          <w:tcPr>
            <w:tcW w:type="dxa" w:w="2678"/>
            <w:shd w:val="clear" w:color="auto" w:fill="F6F1E6"/>
          </w:tcPr>
          <w:p>
            <w:pPr>
              <w:spacing w:after="20"/>
              <w:jc w:val="right"/>
            </w:pPr>
            <w:r>
              <w:rPr>
                <w:b/>
                <w:color w:val="1C3A36"/>
                <w:sz w:val="17"/>
              </w:rPr>
              <w:t>Median 1.73 against a close of 2.40</w:t>
            </w:r>
          </w:p>
        </w:tc>
      </w:tr>
    </w:tbl>
    <w:p>
      <w:pPr>
        <w:spacing w:after="40"/>
      </w:pPr>
    </w:p>
    <w:p>
      <w:pPr>
        <w:spacing w:after="200" w:before="0"/>
      </w:pPr>
      <w:r>
        <w:rPr>
          <w:b w:val="0"/>
          <w:i/>
          <w:color w:val="6E7B77"/>
          <w:sz w:val="17"/>
        </w:rPr>
        <w:t>Table 1 — The summary valuation. The terminal-value share is shown against the two cash-flow lenses because that is where it applies; the other three lenses do not have one. Every figure is reproduced live in the companion workbook.</w:t>
      </w:r>
    </w:p>
    <w:p>
      <w:pPr>
        <w:spacing w:after="40"/>
        <w:jc w:val="center"/>
      </w:pPr>
      <w:r>
        <w:drawing>
          <wp:inline xmlns:a="http://schemas.openxmlformats.org/drawingml/2006/main" xmlns:pic="http://schemas.openxmlformats.org/drawingml/2006/picture">
            <wp:extent cx="6309360" cy="2931622"/>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931622"/>
                    </a:xfrm>
                    <a:prstGeom prst="rect"/>
                  </pic:spPr>
                </pic:pic>
              </a:graphicData>
            </a:graphic>
          </wp:inline>
        </w:drawing>
      </w:r>
    </w:p>
    <w:p>
      <w:pPr>
        <w:spacing w:after="200" w:before="0"/>
      </w:pPr>
      <w:r>
        <w:rPr>
          <w:b w:val="0"/>
          <w:i/>
          <w:color w:val="6E7B77"/>
          <w:sz w:val="17"/>
        </w:rPr>
        <w:t>Figure 1 — Each lens is drawn as a bar between the two costs of capital the study publishes. The relative lens is a single point because a through-cycle multiple does not move with the risk debate.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Layout w:type="fixed"/>
        <w:tblCellMar>
          <w:top w:w="120" w:type="dxa"/>
          <w:left w:w="160" w:type="dxa"/>
          <w:bottom w:w="120" w:type="dxa"/>
          <w:right w:w="160" w:type="dxa"/>
        </w:tblCellMar>
        <w:tblLayout w:type="fixed"/>
      </w:tblPr>
      <w:tblGrid>
        <w:gridCol w:w="10080"/>
      </w:tblGrid>
      <w:tr>
        <w:tc>
          <w:tcPr>
            <w:tcW w:type="dxa" w:w="10080"/>
            <w:shd w:val="clear" w:color="auto" w:fill="F6F1E6"/>
          </w:tcPr>
          <w:p>
            <w:pPr>
              <w:spacing w:after="100"/>
            </w:pPr>
            <w:r>
              <w:rPr>
                <w:b/>
                <w:color w:val="1C3A36"/>
                <w:sz w:val="19"/>
              </w:rPr>
              <w:t xml:space="preserve">Why the range is this wide, in one paragraph. </w:t>
            </w:r>
            <w:r>
              <w:rPr>
                <w:color w:val="1C3A36"/>
                <w:sz w:val="19"/>
              </w:rPr>
              <w:t>Take the risk debate out and the study is tight: at the share’s own measured risk the four lenses land at 2.79, 2.39, 2.54 and 1.73; at sector risk they land at 1.49, 1.35, 1.29 and 1.73. Within each column the methods agree far better than they disagree. It is the choice BETWEEN columns that is worth almost two dirhams, and no amount of extra modelling settles it — it is a judgement about whether four years of a thinly floated share trading in a narrow band tells you anything about the risk of a business whose earnings track a global commodity.</w:t>
            </w:r>
          </w:p>
        </w:tc>
      </w:tr>
    </w:tbl>
    <w:p>
      <w:pPr>
        <w:spacing w:after="40"/>
      </w:pPr>
    </w:p>
    <w:p>
      <w:pPr>
        <w:spacing w:after="120" w:before="280"/>
      </w:pPr>
      <w:r>
        <w:rPr>
          <w:b/>
          <w:i w:val="0"/>
          <w:color w:val="1C3A36"/>
          <w:sz w:val="30"/>
        </w:rPr>
        <w:t>Company overview</w:t>
      </w:r>
    </w:p>
    <w:p>
      <w:pPr>
        <w:spacing w:after="120" w:before="0"/>
      </w:pPr>
      <w:r>
        <w:rPr>
          <w:b w:val="0"/>
          <w:i w:val="0"/>
          <w:color w:val="1C3A36"/>
          <w:sz w:val="21"/>
        </w:rPr>
        <w:t>Borouge plc makes two products. It cracks ethane into ethylene and converts it to polyethylene, and it makes polypropylene, at one integrated complex at Ruwais in Abu Dhabi. It sells into more than ninety countries, employs more than 2,900 people, and was formed in 1998 as a partnership between ADNOC and Borealis. It listed on the Abu Dhabi Securities Exchange in June 2022.</w:t>
      </w:r>
    </w:p>
    <w:p>
      <w:pPr>
        <w:spacing w:after="120" w:before="0"/>
      </w:pPr>
      <w:r>
        <w:rPr>
          <w:b w:val="0"/>
          <w:i w:val="0"/>
          <w:color w:val="1C3A36"/>
          <w:sz w:val="21"/>
        </w:rPr>
        <w:t>Nameplate capacity is 2,750 thousand tonnes a year of polyethylene and 2,230 thousand tonnes of polypropylene. In 2025 the plant produced 5,055 thousand tonnes and sold 5,388 thousand tonnes, the difference being inventory and material sourced from partners. Revenue was $5,848m, EBITDA $2,170m and profit after tax $1,099m.</w:t>
      </w:r>
    </w:p>
    <w:p>
      <w:pPr>
        <w:spacing w:after="120" w:before="0"/>
      </w:pPr>
      <w:r>
        <w:rPr>
          <w:b w:val="0"/>
          <w:i w:val="0"/>
          <w:color w:val="1C3A36"/>
          <w:sz w:val="21"/>
        </w:rPr>
        <w:t>Two structural facts shape everything that follows, and both were confirmed against the company’s own filings rather than inferred.</w:t>
      </w:r>
    </w:p>
    <w:p>
      <w:pPr>
        <w:pStyle w:val="ListBullet"/>
        <w:spacing w:after="60"/>
      </w:pPr>
      <w:r>
        <w:rPr>
          <w:b/>
          <w:color w:val="1C3A36"/>
          <w:sz w:val="21"/>
        </w:rPr>
        <w:t xml:space="preserve">It is now part of a larger group. </w:t>
      </w:r>
      <w:r>
        <w:rPr>
          <w:color w:val="1C3A36"/>
          <w:sz w:val="21"/>
        </w:rPr>
        <w:t>Since March 2026 Borouge plc has been majority-held by Borouge Group International AG, formed when ADNOC and OMV combined Borouge and Borealis and acquired Nova Chemicals. Each parent holds 46.94% of that combined entity. Borouge plc remains separately listed and its free float continues to trade. A tender offer converting Borouge plc shares into shares of the combined entity is expected in 2027, subject to market conditions and regulatory approval. No exchange ratio has been published, so no conversion value enters any number in this study.</w:t>
      </w:r>
    </w:p>
    <w:p>
      <w:pPr>
        <w:pStyle w:val="ListBullet"/>
        <w:spacing w:after="60"/>
      </w:pPr>
      <w:r>
        <w:rPr>
          <w:b/>
          <w:color w:val="1C3A36"/>
          <w:sz w:val="21"/>
        </w:rPr>
        <w:t xml:space="preserve">The expansion at its own site belongs to its parents. </w:t>
      </w:r>
      <w:r>
        <w:rPr>
          <w:color w:val="1C3A36"/>
          <w:sz w:val="21"/>
        </w:rPr>
        <w:t>Borouge 4, the 1.4 million tonne expansion at the same site, is owned 70% by ADNOC and 30% by OMV. Borouge plc operates it under an Asset Usage Agreement signed in March 2026 and earns a fee. Its ownership share is zero, and the study carries it at zero. Recontribution of those assets into the parent group is not expected before 2029.</w:t>
      </w:r>
    </w:p>
    <w:p>
      <w:pPr>
        <w:spacing w:after="80" w:before="200"/>
      </w:pPr>
      <w:r>
        <w:rPr>
          <w:b/>
          <w:i w:val="0"/>
          <w:color w:val="1C3A36"/>
          <w:sz w:val="24"/>
        </w:rPr>
        <w:t>What class of company this is, and therefore how it is valued</w:t>
      </w:r>
    </w:p>
    <w:p>
      <w:pPr>
        <w:spacing w:after="120" w:before="0"/>
      </w:pPr>
      <w:r>
        <w:rPr>
          <w:b w:val="0"/>
          <w:i w:val="0"/>
          <w:color w:val="1C3A36"/>
          <w:sz w:val="21"/>
        </w:rPr>
        <w:t>The classification matters more than any single assumption, because getting it wrong invalidates the whole study. It was taken from the filings, not from a sector label.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3960"/>
        <w:gridCol w:w="4104"/>
      </w:tblGrid>
      <w:tr>
        <w:tc>
          <w:tcPr>
            <w:tcW w:type="dxa" w:w="1728"/>
            <w:shd w:val="clear" w:color="auto" w:fill="EAF0EE"/>
          </w:tcPr>
          <w:p>
            <w:pPr>
              <w:spacing w:after="20"/>
            </w:pPr>
            <w:r>
              <w:rPr>
                <w:b/>
                <w:color w:val="1C3A36"/>
                <w:sz w:val="17"/>
              </w:rPr>
              <w:t>Evidence</w:t>
            </w:r>
          </w:p>
        </w:tc>
        <w:tc>
          <w:tcPr>
            <w:tcW w:type="dxa" w:w="3960"/>
            <w:shd w:val="clear" w:color="auto" w:fill="EAF0EE"/>
          </w:tcPr>
          <w:p>
            <w:pPr>
              <w:spacing w:after="20"/>
            </w:pPr>
            <w:r>
              <w:rPr>
                <w:b/>
                <w:color w:val="1C3A36"/>
                <w:sz w:val="17"/>
              </w:rPr>
              <w:t>What the filings show</w:t>
            </w:r>
          </w:p>
        </w:tc>
        <w:tc>
          <w:tcPr>
            <w:tcW w:type="dxa" w:w="4104"/>
            <w:shd w:val="clear" w:color="auto" w:fill="EAF0EE"/>
          </w:tcPr>
          <w:p>
            <w:pPr>
              <w:spacing w:after="20"/>
            </w:pPr>
            <w:r>
              <w:rPr>
                <w:b/>
                <w:color w:val="1C3A36"/>
                <w:sz w:val="17"/>
              </w:rPr>
              <w:t>What it rules in or out</w:t>
            </w:r>
          </w:p>
        </w:tc>
      </w:tr>
      <w:tr>
        <w:tc>
          <w:tcPr>
            <w:tcW w:type="dxa" w:w="1728"/>
          </w:tcPr>
          <w:p>
            <w:pPr>
              <w:spacing w:after="20"/>
            </w:pPr>
            <w:r>
              <w:rPr>
                <w:color w:val="1C3A36"/>
                <w:sz w:val="17"/>
              </w:rPr>
              <w:t>Revenue mix</w:t>
            </w:r>
          </w:p>
        </w:tc>
        <w:tc>
          <w:tcPr>
            <w:tcW w:type="dxa" w:w="3960"/>
          </w:tcPr>
          <w:p>
            <w:pPr>
              <w:spacing w:after="20"/>
              <w:jc w:val="right"/>
            </w:pPr>
            <w:r>
              <w:rPr>
                <w:color w:val="1C3A36"/>
                <w:sz w:val="17"/>
              </w:rPr>
              <w:t>Polyethylene $3,436m and polypropylene $2,368m of $5,848m total — 99.3% from selling two polymers</w:t>
            </w:r>
          </w:p>
        </w:tc>
        <w:tc>
          <w:tcPr>
            <w:tcW w:type="dxa" w:w="4104"/>
          </w:tcPr>
          <w:p>
            <w:pPr>
              <w:spacing w:after="20"/>
              <w:jc w:val="right"/>
            </w:pPr>
            <w:r>
              <w:rPr>
                <w:color w:val="1C3A36"/>
                <w:sz w:val="17"/>
              </w:rPr>
              <w:t>An operating company. No fee income, no rental stream, no lending margin</w:t>
            </w:r>
          </w:p>
        </w:tc>
      </w:tr>
      <w:tr>
        <w:tc>
          <w:tcPr>
            <w:tcW w:type="dxa" w:w="1728"/>
          </w:tcPr>
          <w:p>
            <w:pPr>
              <w:spacing w:after="20"/>
            </w:pPr>
            <w:r>
              <w:rPr>
                <w:color w:val="1C3A36"/>
                <w:sz w:val="17"/>
              </w:rPr>
              <w:t>Balance-sheet shape</w:t>
            </w:r>
          </w:p>
        </w:tc>
        <w:tc>
          <w:tcPr>
            <w:tcW w:type="dxa" w:w="3960"/>
          </w:tcPr>
          <w:p>
            <w:pPr>
              <w:spacing w:after="20"/>
              <w:jc w:val="right"/>
            </w:pPr>
            <w:r>
              <w:rPr>
                <w:color w:val="1C3A36"/>
                <w:sz w:val="17"/>
              </w:rPr>
              <w:t>Property, plant and equipment $6,082m of total assets $8,489m — 71.6% of the balance sheet is the plant itself</w:t>
            </w:r>
          </w:p>
        </w:tc>
        <w:tc>
          <w:tcPr>
            <w:tcW w:type="dxa" w:w="4104"/>
          </w:tcPr>
          <w:p>
            <w:pPr>
              <w:spacing w:after="20"/>
              <w:jc w:val="right"/>
            </w:pPr>
            <w:r>
              <w:rPr>
                <w:color w:val="1C3A36"/>
                <w:sz w:val="17"/>
              </w:rPr>
              <w:t>Rules out a holding company and an investment company: there is no portfolio of stakes to value separately</w:t>
            </w:r>
          </w:p>
        </w:tc>
      </w:tr>
      <w:tr>
        <w:tc>
          <w:tcPr>
            <w:tcW w:type="dxa" w:w="1728"/>
          </w:tcPr>
          <w:p>
            <w:pPr>
              <w:spacing w:after="20"/>
            </w:pPr>
            <w:r>
              <w:rPr>
                <w:color w:val="1C3A36"/>
                <w:sz w:val="17"/>
              </w:rPr>
              <w:t>Financial assets</w:t>
            </w:r>
          </w:p>
        </w:tc>
        <w:tc>
          <w:tcPr>
            <w:tcW w:type="dxa" w:w="3960"/>
          </w:tcPr>
          <w:p>
            <w:pPr>
              <w:spacing w:after="20"/>
              <w:jc w:val="right"/>
            </w:pPr>
            <w:r>
              <w:rPr>
                <w:color w:val="1C3A36"/>
                <w:sz w:val="17"/>
              </w:rPr>
              <w:t>No loan book, no financing receivables, no insurance float. Cash of $427m against borrowings of $2,958m</w:t>
            </w:r>
          </w:p>
        </w:tc>
        <w:tc>
          <w:tcPr>
            <w:tcW w:type="dxa" w:w="4104"/>
          </w:tcPr>
          <w:p>
            <w:pPr>
              <w:spacing w:after="20"/>
              <w:jc w:val="right"/>
            </w:pPr>
            <w:r>
              <w:rPr>
                <w:color w:val="1C3A36"/>
                <w:sz w:val="17"/>
              </w:rPr>
              <w:t>Rules out a bank and an operating company with a captive lender: there are no legs needing different methods</w:t>
            </w:r>
          </w:p>
        </w:tc>
      </w:tr>
      <w:tr>
        <w:tc>
          <w:tcPr>
            <w:tcW w:type="dxa" w:w="1728"/>
          </w:tcPr>
          <w:p>
            <w:pPr>
              <w:spacing w:after="20"/>
            </w:pPr>
            <w:r>
              <w:rPr>
                <w:color w:val="1C3A36"/>
                <w:sz w:val="17"/>
              </w:rPr>
              <w:t>Segment reporting</w:t>
            </w:r>
          </w:p>
        </w:tc>
        <w:tc>
          <w:tcPr>
            <w:tcW w:type="dxa" w:w="3960"/>
          </w:tcPr>
          <w:p>
            <w:pPr>
              <w:spacing w:after="20"/>
              <w:jc w:val="right"/>
            </w:pPr>
            <w:r>
              <w:rPr>
                <w:color w:val="1C3A36"/>
                <w:sz w:val="17"/>
              </w:rPr>
              <w:t>One operating segment. Volume and price disclosed by product; cost and profit are not split</w:t>
            </w:r>
          </w:p>
        </w:tc>
        <w:tc>
          <w:tcPr>
            <w:tcW w:type="dxa" w:w="4104"/>
          </w:tcPr>
          <w:p>
            <w:pPr>
              <w:spacing w:after="20"/>
              <w:jc w:val="right"/>
            </w:pPr>
            <w:r>
              <w:rPr>
                <w:color w:val="1C3A36"/>
                <w:sz w:val="17"/>
              </w:rPr>
              <w:t>A single-lens valuation is correct. A sum-of-the-parts would be inventing divisions the company does not report</w:t>
            </w:r>
          </w:p>
        </w:tc>
      </w:tr>
      <w:tr>
        <w:tc>
          <w:tcPr>
            <w:tcW w:type="dxa" w:w="1728"/>
          </w:tcPr>
          <w:p>
            <w:pPr>
              <w:spacing w:after="20"/>
            </w:pPr>
            <w:r>
              <w:rPr>
                <w:color w:val="1C3A36"/>
                <w:sz w:val="17"/>
              </w:rPr>
              <w:t>The one thing that IS separable</w:t>
            </w:r>
          </w:p>
        </w:tc>
        <w:tc>
          <w:tcPr>
            <w:tcW w:type="dxa" w:w="3960"/>
          </w:tcPr>
          <w:p>
            <w:pPr>
              <w:spacing w:after="20"/>
              <w:jc w:val="right"/>
            </w:pPr>
            <w:r>
              <w:rPr>
                <w:color w:val="1C3A36"/>
                <w:sz w:val="17"/>
              </w:rPr>
              <w:t>The Borouge 4 operator fee — a contracted stream from assets the company does not own, worth about $2,505m</w:t>
            </w:r>
          </w:p>
        </w:tc>
        <w:tc>
          <w:tcPr>
            <w:tcW w:type="dxa" w:w="4104"/>
          </w:tcPr>
          <w:p>
            <w:pPr>
              <w:spacing w:after="20"/>
              <w:jc w:val="right"/>
            </w:pPr>
            <w:r>
              <w:rPr>
                <w:color w:val="1C3A36"/>
                <w:sz w:val="17"/>
              </w:rPr>
              <w:t>Valued on its own and added in the bridge, rather than blended into the operating forecast</w:t>
            </w:r>
          </w:p>
        </w:tc>
      </w:tr>
    </w:tbl>
    <w:p>
      <w:pPr>
        <w:spacing w:after="40"/>
      </w:pPr>
    </w:p>
    <w:p>
      <w:pPr>
        <w:spacing w:after="200" w:before="0"/>
      </w:pPr>
      <w:r>
        <w:rPr>
          <w:b w:val="0"/>
          <w:i/>
          <w:color w:val="6E7B77"/>
          <w:sz w:val="17"/>
        </w:rPr>
        <w:t>Table 2 — The classification evidence. Borouge is an operating company with one separable contracted fee stream, so it takes a cash-flow lens built from tonnes and dollars per tonne, with the fee stream valued separately and added in the bridge.</w:t>
      </w:r>
    </w:p>
    <w:p>
      <w:pPr>
        <w:spacing w:after="120" w:before="280"/>
      </w:pPr>
      <w:r>
        <w:rPr>
          <w:b/>
          <w:i w:val="0"/>
          <w:color w:val="1C3A36"/>
          <w:sz w:val="30"/>
        </w:rPr>
        <w:t>1  Fundamental valuation</w:t>
      </w:r>
    </w:p>
    <w:p>
      <w:pPr>
        <w:spacing w:after="80" w:before="200"/>
      </w:pPr>
      <w:r>
        <w:rPr>
          <w:b/>
          <w:i w:val="0"/>
          <w:color w:val="1C3A36"/>
          <w:sz w:val="24"/>
        </w:rPr>
        <w:t>1.1  The cash-flow model</w:t>
      </w:r>
    </w:p>
    <w:p>
      <w:pPr>
        <w:spacing w:after="120" w:before="0"/>
      </w:pPr>
      <w:r>
        <w:rPr>
          <w:b w:val="0"/>
          <w:i w:val="0"/>
          <w:color w:val="1C3A36"/>
          <w:sz w:val="21"/>
        </w:rPr>
        <w:t>The forecast is built from physical units, not from a margin assumption. Volume is nameplate capacity times a utilisation rate the company itself discloses. Price is the published benchmark for each polymer, plus the premium Borouge discloses it earns over that benchmark, times a realisation residual measured against three years of audited revenue. Cost is dollars per tonne, split by what physically drives it.</w:t>
      </w:r>
    </w:p>
    <w:p>
      <w:pPr>
        <w:spacing w:after="120" w:before="0"/>
      </w:pPr>
      <w:r>
        <w:rPr>
          <w:b w:val="0"/>
          <w:i w:val="0"/>
          <w:color w:val="1C3A36"/>
          <w:sz w:val="21"/>
        </w:rPr>
        <w:t>The realisation residual is the bridge from a published benchmark to the company’s own printed top line, and it is measured rather than assumed. Across the three audited years polyethylene revenue per tonne ran 1.0676 times benchmark-plus-premium and polypropylene 1.0321 times. In the first half of 2026 those widened to 1.0947 and 1.0186 on shortage pricing. The forecast carries the audited three-year mean, not the half-year, because the widening is an artefact of a closed shipping lane rather than a durable improvement in what customers will pay.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238"/>
        <w:gridCol w:w="1238"/>
        <w:gridCol w:w="1238"/>
        <w:gridCol w:w="1238"/>
        <w:gridCol w:w="1238"/>
      </w:tblGrid>
      <w:tr>
        <w:tc>
          <w:tcPr>
            <w:tcW w:type="dxa" w:w="3456"/>
            <w:shd w:val="clear" w:color="auto" w:fill="EAF0EE"/>
          </w:tcPr>
          <w:p>
            <w:pPr>
              <w:spacing w:after="20"/>
            </w:pPr>
            <w:r>
              <w:rPr>
                <w:b/>
                <w:color w:val="1C3A36"/>
                <w:sz w:val="17"/>
              </w:rPr>
              <w:t>USD million</w:t>
            </w:r>
          </w:p>
        </w:tc>
        <w:tc>
          <w:tcPr>
            <w:tcW w:type="dxa" w:w="1238"/>
            <w:shd w:val="clear" w:color="auto" w:fill="EAF0EE"/>
          </w:tcPr>
          <w:p>
            <w:pPr>
              <w:spacing w:after="20"/>
            </w:pPr>
            <w:r>
              <w:rPr>
                <w:b/>
                <w:color w:val="1C3A36"/>
                <w:sz w:val="17"/>
              </w:rPr>
              <w:t>2026</w:t>
            </w:r>
          </w:p>
        </w:tc>
        <w:tc>
          <w:tcPr>
            <w:tcW w:type="dxa" w:w="1238"/>
            <w:shd w:val="clear" w:color="auto" w:fill="EAF0EE"/>
          </w:tcPr>
          <w:p>
            <w:pPr>
              <w:spacing w:after="20"/>
            </w:pPr>
            <w:r>
              <w:rPr>
                <w:b/>
                <w:color w:val="1C3A36"/>
                <w:sz w:val="17"/>
              </w:rPr>
              <w:t>2027</w:t>
            </w:r>
          </w:p>
        </w:tc>
        <w:tc>
          <w:tcPr>
            <w:tcW w:type="dxa" w:w="1238"/>
            <w:shd w:val="clear" w:color="auto" w:fill="EAF0EE"/>
          </w:tcPr>
          <w:p>
            <w:pPr>
              <w:spacing w:after="20"/>
            </w:pPr>
            <w:r>
              <w:rPr>
                <w:b/>
                <w:color w:val="1C3A36"/>
                <w:sz w:val="17"/>
              </w:rPr>
              <w:t>2028</w:t>
            </w:r>
          </w:p>
        </w:tc>
        <w:tc>
          <w:tcPr>
            <w:tcW w:type="dxa" w:w="1238"/>
            <w:shd w:val="clear" w:color="auto" w:fill="EAF0EE"/>
          </w:tcPr>
          <w:p>
            <w:pPr>
              <w:spacing w:after="20"/>
            </w:pPr>
            <w:r>
              <w:rPr>
                <w:b/>
                <w:color w:val="1C3A36"/>
                <w:sz w:val="17"/>
              </w:rPr>
              <w:t>2029</w:t>
            </w:r>
          </w:p>
        </w:tc>
        <w:tc>
          <w:tcPr>
            <w:tcW w:type="dxa" w:w="1238"/>
            <w:shd w:val="clear" w:color="auto" w:fill="EAF0EE"/>
          </w:tcPr>
          <w:p>
            <w:pPr>
              <w:spacing w:after="20"/>
            </w:pPr>
            <w:r>
              <w:rPr>
                <w:b/>
                <w:color w:val="1C3A36"/>
                <w:sz w:val="17"/>
              </w:rPr>
              <w:t>2030</w:t>
            </w:r>
          </w:p>
        </w:tc>
      </w:tr>
      <w:tr>
        <w:tc>
          <w:tcPr>
            <w:tcW w:type="dxa" w:w="3456"/>
          </w:tcPr>
          <w:p>
            <w:pPr>
              <w:spacing w:after="20"/>
            </w:pPr>
            <w:r>
              <w:rPr>
                <w:color w:val="1C3A36"/>
                <w:sz w:val="17"/>
              </w:rPr>
              <w:t>Revenue</w:t>
            </w:r>
          </w:p>
        </w:tc>
        <w:tc>
          <w:tcPr>
            <w:tcW w:type="dxa" w:w="1238"/>
          </w:tcPr>
          <w:p>
            <w:pPr>
              <w:spacing w:after="20"/>
              <w:jc w:val="right"/>
            </w:pPr>
            <w:r>
              <w:rPr>
                <w:color w:val="1C3A36"/>
                <w:sz w:val="17"/>
              </w:rPr>
              <w:t>5,763</w:t>
            </w:r>
          </w:p>
        </w:tc>
        <w:tc>
          <w:tcPr>
            <w:tcW w:type="dxa" w:w="1238"/>
          </w:tcPr>
          <w:p>
            <w:pPr>
              <w:spacing w:after="20"/>
              <w:jc w:val="right"/>
            </w:pPr>
            <w:r>
              <w:rPr>
                <w:color w:val="1C3A36"/>
                <w:sz w:val="17"/>
              </w:rPr>
              <w:t>5,834</w:t>
            </w:r>
          </w:p>
        </w:tc>
        <w:tc>
          <w:tcPr>
            <w:tcW w:type="dxa" w:w="1238"/>
          </w:tcPr>
          <w:p>
            <w:pPr>
              <w:spacing w:after="20"/>
              <w:jc w:val="right"/>
            </w:pPr>
            <w:r>
              <w:rPr>
                <w:color w:val="1C3A36"/>
                <w:sz w:val="17"/>
              </w:rPr>
              <w:t>5,632</w:t>
            </w:r>
          </w:p>
        </w:tc>
        <w:tc>
          <w:tcPr>
            <w:tcW w:type="dxa" w:w="1238"/>
          </w:tcPr>
          <w:p>
            <w:pPr>
              <w:spacing w:after="20"/>
              <w:jc w:val="right"/>
            </w:pPr>
            <w:r>
              <w:rPr>
                <w:color w:val="1C3A36"/>
                <w:sz w:val="17"/>
              </w:rPr>
              <w:t>5,682</w:t>
            </w:r>
          </w:p>
        </w:tc>
        <w:tc>
          <w:tcPr>
            <w:tcW w:type="dxa" w:w="1238"/>
          </w:tcPr>
          <w:p>
            <w:pPr>
              <w:spacing w:after="20"/>
              <w:jc w:val="right"/>
            </w:pPr>
            <w:r>
              <w:rPr>
                <w:color w:val="1C3A36"/>
                <w:sz w:val="17"/>
              </w:rPr>
              <w:t>5,759</w:t>
            </w:r>
          </w:p>
        </w:tc>
      </w:tr>
      <w:tr>
        <w:tc>
          <w:tcPr>
            <w:tcW w:type="dxa" w:w="3456"/>
          </w:tcPr>
          <w:p>
            <w:pPr>
              <w:spacing w:after="20"/>
            </w:pPr>
            <w:r>
              <w:rPr>
                <w:color w:val="1C3A36"/>
                <w:sz w:val="17"/>
              </w:rPr>
              <w:t>Less: feedstock</w:t>
            </w:r>
          </w:p>
        </w:tc>
        <w:tc>
          <w:tcPr>
            <w:tcW w:type="dxa" w:w="1238"/>
          </w:tcPr>
          <w:p>
            <w:pPr>
              <w:spacing w:after="20"/>
              <w:jc w:val="right"/>
            </w:pPr>
            <w:r>
              <w:rPr>
                <w:color w:val="1C3A36"/>
                <w:sz w:val="17"/>
              </w:rPr>
              <w:t>1,264</w:t>
            </w:r>
          </w:p>
        </w:tc>
        <w:tc>
          <w:tcPr>
            <w:tcW w:type="dxa" w:w="1238"/>
          </w:tcPr>
          <w:p>
            <w:pPr>
              <w:spacing w:after="20"/>
              <w:jc w:val="right"/>
            </w:pPr>
            <w:r>
              <w:rPr>
                <w:color w:val="1C3A36"/>
                <w:sz w:val="17"/>
              </w:rPr>
              <w:t>1,332</w:t>
            </w:r>
          </w:p>
        </w:tc>
        <w:tc>
          <w:tcPr>
            <w:tcW w:type="dxa" w:w="1238"/>
          </w:tcPr>
          <w:p>
            <w:pPr>
              <w:spacing w:after="20"/>
              <w:jc w:val="right"/>
            </w:pPr>
            <w:r>
              <w:rPr>
                <w:color w:val="1C3A36"/>
                <w:sz w:val="17"/>
              </w:rPr>
              <w:t>1,321</w:t>
            </w:r>
          </w:p>
        </w:tc>
        <w:tc>
          <w:tcPr>
            <w:tcW w:type="dxa" w:w="1238"/>
          </w:tcPr>
          <w:p>
            <w:pPr>
              <w:spacing w:after="20"/>
              <w:jc w:val="right"/>
            </w:pPr>
            <w:r>
              <w:rPr>
                <w:color w:val="1C3A36"/>
                <w:sz w:val="17"/>
              </w:rPr>
              <w:t>1,325</w:t>
            </w:r>
          </w:p>
        </w:tc>
        <w:tc>
          <w:tcPr>
            <w:tcW w:type="dxa" w:w="1238"/>
          </w:tcPr>
          <w:p>
            <w:pPr>
              <w:spacing w:after="20"/>
              <w:jc w:val="right"/>
            </w:pPr>
            <w:r>
              <w:rPr>
                <w:color w:val="1C3A36"/>
                <w:sz w:val="17"/>
              </w:rPr>
              <w:t>1,332</w:t>
            </w:r>
          </w:p>
        </w:tc>
      </w:tr>
      <w:tr>
        <w:tc>
          <w:tcPr>
            <w:tcW w:type="dxa" w:w="3456"/>
          </w:tcPr>
          <w:p>
            <w:pPr>
              <w:spacing w:after="20"/>
            </w:pPr>
            <w:r>
              <w:rPr>
                <w:color w:val="1C3A36"/>
                <w:sz w:val="17"/>
              </w:rPr>
              <w:t>Less: other production cost</w:t>
            </w:r>
          </w:p>
        </w:tc>
        <w:tc>
          <w:tcPr>
            <w:tcW w:type="dxa" w:w="1238"/>
          </w:tcPr>
          <w:p>
            <w:pPr>
              <w:spacing w:after="20"/>
              <w:jc w:val="right"/>
            </w:pPr>
            <w:r>
              <w:rPr>
                <w:color w:val="1C3A36"/>
                <w:sz w:val="17"/>
              </w:rPr>
              <w:t>1,554</w:t>
            </w:r>
          </w:p>
        </w:tc>
        <w:tc>
          <w:tcPr>
            <w:tcW w:type="dxa" w:w="1238"/>
          </w:tcPr>
          <w:p>
            <w:pPr>
              <w:spacing w:after="20"/>
              <w:jc w:val="right"/>
            </w:pPr>
            <w:r>
              <w:rPr>
                <w:color w:val="1C3A36"/>
                <w:sz w:val="17"/>
              </w:rPr>
              <w:t>1,701</w:t>
            </w:r>
          </w:p>
        </w:tc>
        <w:tc>
          <w:tcPr>
            <w:tcW w:type="dxa" w:w="1238"/>
          </w:tcPr>
          <w:p>
            <w:pPr>
              <w:spacing w:after="20"/>
              <w:jc w:val="right"/>
            </w:pPr>
            <w:r>
              <w:rPr>
                <w:color w:val="1C3A36"/>
                <w:sz w:val="17"/>
              </w:rPr>
              <w:t>1,726</w:t>
            </w:r>
          </w:p>
        </w:tc>
        <w:tc>
          <w:tcPr>
            <w:tcW w:type="dxa" w:w="1238"/>
          </w:tcPr>
          <w:p>
            <w:pPr>
              <w:spacing w:after="20"/>
              <w:jc w:val="right"/>
            </w:pPr>
            <w:r>
              <w:rPr>
                <w:color w:val="1C3A36"/>
                <w:sz w:val="17"/>
              </w:rPr>
              <w:t>1,741</w:t>
            </w:r>
          </w:p>
        </w:tc>
        <w:tc>
          <w:tcPr>
            <w:tcW w:type="dxa" w:w="1238"/>
          </w:tcPr>
          <w:p>
            <w:pPr>
              <w:spacing w:after="20"/>
              <w:jc w:val="right"/>
            </w:pPr>
            <w:r>
              <w:rPr>
                <w:color w:val="1C3A36"/>
                <w:sz w:val="17"/>
              </w:rPr>
              <w:t>1,756</w:t>
            </w:r>
          </w:p>
        </w:tc>
      </w:tr>
      <w:tr>
        <w:tc>
          <w:tcPr>
            <w:tcW w:type="dxa" w:w="3456"/>
          </w:tcPr>
          <w:p>
            <w:pPr>
              <w:spacing w:after="20"/>
            </w:pPr>
            <w:r>
              <w:rPr>
                <w:color w:val="1C3A36"/>
                <w:sz w:val="17"/>
              </w:rPr>
              <w:t>Less: selling and distribution</w:t>
            </w:r>
          </w:p>
        </w:tc>
        <w:tc>
          <w:tcPr>
            <w:tcW w:type="dxa" w:w="1238"/>
          </w:tcPr>
          <w:p>
            <w:pPr>
              <w:spacing w:after="20"/>
              <w:jc w:val="right"/>
            </w:pPr>
            <w:r>
              <w:rPr>
                <w:color w:val="1C3A36"/>
                <w:sz w:val="17"/>
              </w:rPr>
              <w:t>656</w:t>
            </w:r>
          </w:p>
        </w:tc>
        <w:tc>
          <w:tcPr>
            <w:tcW w:type="dxa" w:w="1238"/>
          </w:tcPr>
          <w:p>
            <w:pPr>
              <w:spacing w:after="20"/>
              <w:jc w:val="right"/>
            </w:pPr>
            <w:r>
              <w:rPr>
                <w:color w:val="1C3A36"/>
                <w:sz w:val="17"/>
              </w:rPr>
              <w:t>504</w:t>
            </w:r>
          </w:p>
        </w:tc>
        <w:tc>
          <w:tcPr>
            <w:tcW w:type="dxa" w:w="1238"/>
          </w:tcPr>
          <w:p>
            <w:pPr>
              <w:spacing w:after="20"/>
              <w:jc w:val="right"/>
            </w:pPr>
            <w:r>
              <w:rPr>
                <w:color w:val="1C3A36"/>
                <w:sz w:val="17"/>
              </w:rPr>
              <w:t>417</w:t>
            </w:r>
          </w:p>
        </w:tc>
        <w:tc>
          <w:tcPr>
            <w:tcW w:type="dxa" w:w="1238"/>
          </w:tcPr>
          <w:p>
            <w:pPr>
              <w:spacing w:after="20"/>
              <w:jc w:val="right"/>
            </w:pPr>
            <w:r>
              <w:rPr>
                <w:color w:val="1C3A36"/>
                <w:sz w:val="17"/>
              </w:rPr>
              <w:t>422</w:t>
            </w:r>
          </w:p>
        </w:tc>
        <w:tc>
          <w:tcPr>
            <w:tcW w:type="dxa" w:w="1238"/>
          </w:tcPr>
          <w:p>
            <w:pPr>
              <w:spacing w:after="20"/>
              <w:jc w:val="right"/>
            </w:pPr>
            <w:r>
              <w:rPr>
                <w:color w:val="1C3A36"/>
                <w:sz w:val="17"/>
              </w:rPr>
              <w:t>432</w:t>
            </w:r>
          </w:p>
        </w:tc>
      </w:tr>
      <w:tr>
        <w:tc>
          <w:tcPr>
            <w:tcW w:type="dxa" w:w="3456"/>
          </w:tcPr>
          <w:p>
            <w:pPr>
              <w:spacing w:after="20"/>
            </w:pPr>
            <w:r>
              <w:rPr>
                <w:color w:val="1C3A36"/>
                <w:sz w:val="17"/>
              </w:rPr>
              <w:t>Less: general and administrative</w:t>
            </w:r>
          </w:p>
        </w:tc>
        <w:tc>
          <w:tcPr>
            <w:tcW w:type="dxa" w:w="1238"/>
          </w:tcPr>
          <w:p>
            <w:pPr>
              <w:spacing w:after="20"/>
              <w:jc w:val="right"/>
            </w:pPr>
            <w:r>
              <w:rPr>
                <w:color w:val="1C3A36"/>
                <w:sz w:val="17"/>
              </w:rPr>
              <w:t>192</w:t>
            </w:r>
          </w:p>
        </w:tc>
        <w:tc>
          <w:tcPr>
            <w:tcW w:type="dxa" w:w="1238"/>
          </w:tcPr>
          <w:p>
            <w:pPr>
              <w:spacing w:after="20"/>
              <w:jc w:val="right"/>
            </w:pPr>
            <w:r>
              <w:rPr>
                <w:color w:val="1C3A36"/>
                <w:sz w:val="17"/>
              </w:rPr>
              <w:t>196</w:t>
            </w:r>
          </w:p>
        </w:tc>
        <w:tc>
          <w:tcPr>
            <w:tcW w:type="dxa" w:w="1238"/>
          </w:tcPr>
          <w:p>
            <w:pPr>
              <w:spacing w:after="20"/>
              <w:jc w:val="right"/>
            </w:pPr>
            <w:r>
              <w:rPr>
                <w:color w:val="1C3A36"/>
                <w:sz w:val="17"/>
              </w:rPr>
              <w:t>200</w:t>
            </w:r>
          </w:p>
        </w:tc>
        <w:tc>
          <w:tcPr>
            <w:tcW w:type="dxa" w:w="1238"/>
          </w:tcPr>
          <w:p>
            <w:pPr>
              <w:spacing w:after="20"/>
              <w:jc w:val="right"/>
            </w:pPr>
            <w:r>
              <w:rPr>
                <w:color w:val="1C3A36"/>
                <w:sz w:val="17"/>
              </w:rPr>
              <w:t>204</w:t>
            </w:r>
          </w:p>
        </w:tc>
        <w:tc>
          <w:tcPr>
            <w:tcW w:type="dxa" w:w="1238"/>
          </w:tcPr>
          <w:p>
            <w:pPr>
              <w:spacing w:after="20"/>
              <w:jc w:val="right"/>
            </w:pPr>
            <w:r>
              <w:rPr>
                <w:color w:val="1C3A36"/>
                <w:sz w:val="17"/>
              </w:rPr>
              <w:t>209</w:t>
            </w:r>
          </w:p>
        </w:tc>
      </w:tr>
      <w:tr>
        <w:tc>
          <w:tcPr>
            <w:tcW w:type="dxa" w:w="3456"/>
          </w:tcPr>
          <w:p>
            <w:pPr>
              <w:spacing w:after="20"/>
            </w:pPr>
            <w:r>
              <w:rPr>
                <w:color w:val="1C3A36"/>
                <w:sz w:val="17"/>
              </w:rPr>
              <w:t>Add: other income</w:t>
            </w:r>
          </w:p>
        </w:tc>
        <w:tc>
          <w:tcPr>
            <w:tcW w:type="dxa" w:w="1238"/>
          </w:tcPr>
          <w:p>
            <w:pPr>
              <w:spacing w:after="20"/>
              <w:jc w:val="right"/>
            </w:pPr>
            <w:r>
              <w:rPr>
                <w:color w:val="1C3A36"/>
                <w:sz w:val="17"/>
              </w:rPr>
              <w:t>27</w:t>
            </w:r>
          </w:p>
        </w:tc>
        <w:tc>
          <w:tcPr>
            <w:tcW w:type="dxa" w:w="1238"/>
          </w:tcPr>
          <w:p>
            <w:pPr>
              <w:spacing w:after="20"/>
              <w:jc w:val="right"/>
            </w:pPr>
            <w:r>
              <w:rPr>
                <w:color w:val="1C3A36"/>
                <w:sz w:val="17"/>
              </w:rPr>
              <w:t>27</w:t>
            </w:r>
          </w:p>
        </w:tc>
        <w:tc>
          <w:tcPr>
            <w:tcW w:type="dxa" w:w="1238"/>
          </w:tcPr>
          <w:p>
            <w:pPr>
              <w:spacing w:after="20"/>
              <w:jc w:val="right"/>
            </w:pPr>
            <w:r>
              <w:rPr>
                <w:color w:val="1C3A36"/>
                <w:sz w:val="17"/>
              </w:rPr>
              <w:t>28</w:t>
            </w:r>
          </w:p>
        </w:tc>
        <w:tc>
          <w:tcPr>
            <w:tcW w:type="dxa" w:w="1238"/>
          </w:tcPr>
          <w:p>
            <w:pPr>
              <w:spacing w:after="20"/>
              <w:jc w:val="right"/>
            </w:pPr>
            <w:r>
              <w:rPr>
                <w:color w:val="1C3A36"/>
                <w:sz w:val="17"/>
              </w:rPr>
              <w:t>29</w:t>
            </w:r>
          </w:p>
        </w:tc>
        <w:tc>
          <w:tcPr>
            <w:tcW w:type="dxa" w:w="1238"/>
          </w:tcPr>
          <w:p>
            <w:pPr>
              <w:spacing w:after="20"/>
              <w:jc w:val="right"/>
            </w:pPr>
            <w:r>
              <w:rPr>
                <w:color w:val="1C3A36"/>
                <w:sz w:val="17"/>
              </w:rPr>
              <w:t>29</w:t>
            </w:r>
          </w:p>
        </w:tc>
      </w:tr>
      <w:tr>
        <w:tc>
          <w:tcPr>
            <w:tcW w:type="dxa" w:w="3456"/>
            <w:shd w:val="clear" w:color="auto" w:fill="F6F1E6"/>
          </w:tcPr>
          <w:p>
            <w:pPr>
              <w:spacing w:after="20"/>
            </w:pPr>
            <w:r>
              <w:rPr>
                <w:b/>
                <w:color w:val="1C3A36"/>
                <w:sz w:val="17"/>
              </w:rPr>
              <w:t>EBITDA</w:t>
            </w:r>
          </w:p>
        </w:tc>
        <w:tc>
          <w:tcPr>
            <w:tcW w:type="dxa" w:w="1238"/>
            <w:shd w:val="clear" w:color="auto" w:fill="F6F1E6"/>
          </w:tcPr>
          <w:p>
            <w:pPr>
              <w:spacing w:after="20"/>
              <w:jc w:val="right"/>
            </w:pPr>
            <w:r>
              <w:rPr>
                <w:b/>
                <w:color w:val="1C3A36"/>
                <w:sz w:val="17"/>
              </w:rPr>
              <w:t>2,124</w:t>
            </w:r>
          </w:p>
        </w:tc>
        <w:tc>
          <w:tcPr>
            <w:tcW w:type="dxa" w:w="1238"/>
            <w:shd w:val="clear" w:color="auto" w:fill="F6F1E6"/>
          </w:tcPr>
          <w:p>
            <w:pPr>
              <w:spacing w:after="20"/>
              <w:jc w:val="right"/>
            </w:pPr>
            <w:r>
              <w:rPr>
                <w:b/>
                <w:color w:val="1C3A36"/>
                <w:sz w:val="17"/>
              </w:rPr>
              <w:t>2,129</w:t>
            </w:r>
          </w:p>
        </w:tc>
        <w:tc>
          <w:tcPr>
            <w:tcW w:type="dxa" w:w="1238"/>
            <w:shd w:val="clear" w:color="auto" w:fill="F6F1E6"/>
          </w:tcPr>
          <w:p>
            <w:pPr>
              <w:spacing w:after="20"/>
              <w:jc w:val="right"/>
            </w:pPr>
            <w:r>
              <w:rPr>
                <w:b/>
                <w:color w:val="1C3A36"/>
                <w:sz w:val="17"/>
              </w:rPr>
              <w:t>1,996</w:t>
            </w:r>
          </w:p>
        </w:tc>
        <w:tc>
          <w:tcPr>
            <w:tcW w:type="dxa" w:w="1238"/>
            <w:shd w:val="clear" w:color="auto" w:fill="F6F1E6"/>
          </w:tcPr>
          <w:p>
            <w:pPr>
              <w:spacing w:after="20"/>
              <w:jc w:val="right"/>
            </w:pPr>
            <w:r>
              <w:rPr>
                <w:b/>
                <w:color w:val="1C3A36"/>
                <w:sz w:val="17"/>
              </w:rPr>
              <w:t>2,018</w:t>
            </w:r>
          </w:p>
        </w:tc>
        <w:tc>
          <w:tcPr>
            <w:tcW w:type="dxa" w:w="1238"/>
            <w:shd w:val="clear" w:color="auto" w:fill="F6F1E6"/>
          </w:tcPr>
          <w:p>
            <w:pPr>
              <w:spacing w:after="20"/>
              <w:jc w:val="right"/>
            </w:pPr>
            <w:r>
              <w:rPr>
                <w:b/>
                <w:color w:val="1C3A36"/>
                <w:sz w:val="17"/>
              </w:rPr>
              <w:t>2,060</w:t>
            </w:r>
          </w:p>
        </w:tc>
      </w:tr>
      <w:tr>
        <w:tc>
          <w:tcPr>
            <w:tcW w:type="dxa" w:w="3456"/>
          </w:tcPr>
          <w:p>
            <w:pPr>
              <w:spacing w:after="20"/>
            </w:pPr>
            <w:r>
              <w:rPr>
                <w:color w:val="1C3A36"/>
                <w:sz w:val="17"/>
              </w:rPr>
              <w:t>Less: depreciation and amortisation</w:t>
            </w:r>
          </w:p>
        </w:tc>
        <w:tc>
          <w:tcPr>
            <w:tcW w:type="dxa" w:w="1238"/>
          </w:tcPr>
          <w:p>
            <w:pPr>
              <w:spacing w:after="20"/>
              <w:jc w:val="right"/>
            </w:pPr>
            <w:r>
              <w:rPr>
                <w:color w:val="1C3A36"/>
                <w:sz w:val="17"/>
              </w:rPr>
              <w:t>400</w:t>
            </w:r>
          </w:p>
        </w:tc>
        <w:tc>
          <w:tcPr>
            <w:tcW w:type="dxa" w:w="1238"/>
          </w:tcPr>
          <w:p>
            <w:pPr>
              <w:spacing w:after="20"/>
              <w:jc w:val="right"/>
            </w:pPr>
            <w:r>
              <w:rPr>
                <w:color w:val="1C3A36"/>
                <w:sz w:val="17"/>
              </w:rPr>
              <w:t>393</w:t>
            </w:r>
          </w:p>
        </w:tc>
        <w:tc>
          <w:tcPr>
            <w:tcW w:type="dxa" w:w="1238"/>
          </w:tcPr>
          <w:p>
            <w:pPr>
              <w:spacing w:after="20"/>
              <w:jc w:val="right"/>
            </w:pPr>
            <w:r>
              <w:rPr>
                <w:color w:val="1C3A36"/>
                <w:sz w:val="17"/>
              </w:rPr>
              <w:t>389</w:t>
            </w:r>
          </w:p>
        </w:tc>
        <w:tc>
          <w:tcPr>
            <w:tcW w:type="dxa" w:w="1238"/>
          </w:tcPr>
          <w:p>
            <w:pPr>
              <w:spacing w:after="20"/>
              <w:jc w:val="right"/>
            </w:pPr>
            <w:r>
              <w:rPr>
                <w:color w:val="1C3A36"/>
                <w:sz w:val="17"/>
              </w:rPr>
              <w:t>384</w:t>
            </w:r>
          </w:p>
        </w:tc>
        <w:tc>
          <w:tcPr>
            <w:tcW w:type="dxa" w:w="1238"/>
          </w:tcPr>
          <w:p>
            <w:pPr>
              <w:spacing w:after="20"/>
              <w:jc w:val="right"/>
            </w:pPr>
            <w:r>
              <w:rPr>
                <w:color w:val="1C3A36"/>
                <w:sz w:val="17"/>
              </w:rPr>
              <w:t>380</w:t>
            </w:r>
          </w:p>
        </w:tc>
      </w:tr>
      <w:tr>
        <w:tc>
          <w:tcPr>
            <w:tcW w:type="dxa" w:w="3456"/>
          </w:tcPr>
          <w:p>
            <w:pPr>
              <w:spacing w:after="20"/>
            </w:pPr>
            <w:r>
              <w:rPr>
                <w:color w:val="1C3A36"/>
                <w:sz w:val="17"/>
              </w:rPr>
              <w:t>EBIT</w:t>
            </w:r>
          </w:p>
        </w:tc>
        <w:tc>
          <w:tcPr>
            <w:tcW w:type="dxa" w:w="1238"/>
          </w:tcPr>
          <w:p>
            <w:pPr>
              <w:spacing w:after="20"/>
              <w:jc w:val="right"/>
            </w:pPr>
            <w:r>
              <w:rPr>
                <w:color w:val="1C3A36"/>
                <w:sz w:val="17"/>
              </w:rPr>
              <w:t>1,724</w:t>
            </w:r>
          </w:p>
        </w:tc>
        <w:tc>
          <w:tcPr>
            <w:tcW w:type="dxa" w:w="1238"/>
          </w:tcPr>
          <w:p>
            <w:pPr>
              <w:spacing w:after="20"/>
              <w:jc w:val="right"/>
            </w:pPr>
            <w:r>
              <w:rPr>
                <w:color w:val="1C3A36"/>
                <w:sz w:val="17"/>
              </w:rPr>
              <w:t>1,735</w:t>
            </w:r>
          </w:p>
        </w:tc>
        <w:tc>
          <w:tcPr>
            <w:tcW w:type="dxa" w:w="1238"/>
          </w:tcPr>
          <w:p>
            <w:pPr>
              <w:spacing w:after="20"/>
              <w:jc w:val="right"/>
            </w:pPr>
            <w:r>
              <w:rPr>
                <w:color w:val="1C3A36"/>
                <w:sz w:val="17"/>
              </w:rPr>
              <w:t>1,608</w:t>
            </w:r>
          </w:p>
        </w:tc>
        <w:tc>
          <w:tcPr>
            <w:tcW w:type="dxa" w:w="1238"/>
          </w:tcPr>
          <w:p>
            <w:pPr>
              <w:spacing w:after="20"/>
              <w:jc w:val="right"/>
            </w:pPr>
            <w:r>
              <w:rPr>
                <w:color w:val="1C3A36"/>
                <w:sz w:val="17"/>
              </w:rPr>
              <w:t>1,634</w:t>
            </w:r>
          </w:p>
        </w:tc>
        <w:tc>
          <w:tcPr>
            <w:tcW w:type="dxa" w:w="1238"/>
          </w:tcPr>
          <w:p>
            <w:pPr>
              <w:spacing w:after="20"/>
              <w:jc w:val="right"/>
            </w:pPr>
            <w:r>
              <w:rPr>
                <w:color w:val="1C3A36"/>
                <w:sz w:val="17"/>
              </w:rPr>
              <w:t>1,680</w:t>
            </w:r>
          </w:p>
        </w:tc>
      </w:tr>
      <w:tr>
        <w:tc>
          <w:tcPr>
            <w:tcW w:type="dxa" w:w="3456"/>
          </w:tcPr>
          <w:p>
            <w:pPr>
              <w:spacing w:after="20"/>
            </w:pPr>
            <w:r>
              <w:rPr>
                <w:color w:val="1C3A36"/>
                <w:sz w:val="17"/>
              </w:rPr>
              <w:t>NOPAT (EBIT after tax)</w:t>
            </w:r>
          </w:p>
        </w:tc>
        <w:tc>
          <w:tcPr>
            <w:tcW w:type="dxa" w:w="1238"/>
          </w:tcPr>
          <w:p>
            <w:pPr>
              <w:spacing w:after="20"/>
              <w:jc w:val="right"/>
            </w:pPr>
            <w:r>
              <w:rPr>
                <w:color w:val="1C3A36"/>
                <w:sz w:val="17"/>
              </w:rPr>
              <w:t>1,228</w:t>
            </w:r>
          </w:p>
        </w:tc>
        <w:tc>
          <w:tcPr>
            <w:tcW w:type="dxa" w:w="1238"/>
          </w:tcPr>
          <w:p>
            <w:pPr>
              <w:spacing w:after="20"/>
              <w:jc w:val="right"/>
            </w:pPr>
            <w:r>
              <w:rPr>
                <w:color w:val="1C3A36"/>
                <w:sz w:val="17"/>
              </w:rPr>
              <w:t>1,237</w:t>
            </w:r>
          </w:p>
        </w:tc>
        <w:tc>
          <w:tcPr>
            <w:tcW w:type="dxa" w:w="1238"/>
          </w:tcPr>
          <w:p>
            <w:pPr>
              <w:spacing w:after="20"/>
              <w:jc w:val="right"/>
            </w:pPr>
            <w:r>
              <w:rPr>
                <w:color w:val="1C3A36"/>
                <w:sz w:val="17"/>
              </w:rPr>
              <w:t>1,146</w:t>
            </w:r>
          </w:p>
        </w:tc>
        <w:tc>
          <w:tcPr>
            <w:tcW w:type="dxa" w:w="1238"/>
          </w:tcPr>
          <w:p>
            <w:pPr>
              <w:spacing w:after="20"/>
              <w:jc w:val="right"/>
            </w:pPr>
            <w:r>
              <w:rPr>
                <w:color w:val="1C3A36"/>
                <w:sz w:val="17"/>
              </w:rPr>
              <w:t>1,165</w:t>
            </w:r>
          </w:p>
        </w:tc>
        <w:tc>
          <w:tcPr>
            <w:tcW w:type="dxa" w:w="1238"/>
          </w:tcPr>
          <w:p>
            <w:pPr>
              <w:spacing w:after="20"/>
              <w:jc w:val="right"/>
            </w:pPr>
            <w:r>
              <w:rPr>
                <w:color w:val="1C3A36"/>
                <w:sz w:val="17"/>
              </w:rPr>
              <w:t>1,197</w:t>
            </w:r>
          </w:p>
        </w:tc>
      </w:tr>
      <w:tr>
        <w:tc>
          <w:tcPr>
            <w:tcW w:type="dxa" w:w="3456"/>
          </w:tcPr>
          <w:p>
            <w:pPr>
              <w:spacing w:after="20"/>
            </w:pPr>
            <w:r>
              <w:rPr>
                <w:color w:val="1C3A36"/>
                <w:sz w:val="17"/>
              </w:rPr>
              <w:t>Add back: depreciation and amortisation</w:t>
            </w:r>
          </w:p>
        </w:tc>
        <w:tc>
          <w:tcPr>
            <w:tcW w:type="dxa" w:w="1238"/>
          </w:tcPr>
          <w:p>
            <w:pPr>
              <w:spacing w:after="20"/>
              <w:jc w:val="right"/>
            </w:pPr>
            <w:r>
              <w:rPr>
                <w:color w:val="1C3A36"/>
                <w:sz w:val="17"/>
              </w:rPr>
              <w:t>400</w:t>
            </w:r>
          </w:p>
        </w:tc>
        <w:tc>
          <w:tcPr>
            <w:tcW w:type="dxa" w:w="1238"/>
          </w:tcPr>
          <w:p>
            <w:pPr>
              <w:spacing w:after="20"/>
              <w:jc w:val="right"/>
            </w:pPr>
            <w:r>
              <w:rPr>
                <w:color w:val="1C3A36"/>
                <w:sz w:val="17"/>
              </w:rPr>
              <w:t>393</w:t>
            </w:r>
          </w:p>
        </w:tc>
        <w:tc>
          <w:tcPr>
            <w:tcW w:type="dxa" w:w="1238"/>
          </w:tcPr>
          <w:p>
            <w:pPr>
              <w:spacing w:after="20"/>
              <w:jc w:val="right"/>
            </w:pPr>
            <w:r>
              <w:rPr>
                <w:color w:val="1C3A36"/>
                <w:sz w:val="17"/>
              </w:rPr>
              <w:t>389</w:t>
            </w:r>
          </w:p>
        </w:tc>
        <w:tc>
          <w:tcPr>
            <w:tcW w:type="dxa" w:w="1238"/>
          </w:tcPr>
          <w:p>
            <w:pPr>
              <w:spacing w:after="20"/>
              <w:jc w:val="right"/>
            </w:pPr>
            <w:r>
              <w:rPr>
                <w:color w:val="1C3A36"/>
                <w:sz w:val="17"/>
              </w:rPr>
              <w:t>384</w:t>
            </w:r>
          </w:p>
        </w:tc>
        <w:tc>
          <w:tcPr>
            <w:tcW w:type="dxa" w:w="1238"/>
          </w:tcPr>
          <w:p>
            <w:pPr>
              <w:spacing w:after="20"/>
              <w:jc w:val="right"/>
            </w:pPr>
            <w:r>
              <w:rPr>
                <w:color w:val="1C3A36"/>
                <w:sz w:val="17"/>
              </w:rPr>
              <w:t>380</w:t>
            </w:r>
          </w:p>
        </w:tc>
      </w:tr>
      <w:tr>
        <w:tc>
          <w:tcPr>
            <w:tcW w:type="dxa" w:w="3456"/>
          </w:tcPr>
          <w:p>
            <w:pPr>
              <w:spacing w:after="20"/>
            </w:pPr>
            <w:r>
              <w:rPr>
                <w:color w:val="1C3A36"/>
                <w:sz w:val="17"/>
              </w:rPr>
              <w:t>Less: capital expenditure</w:t>
            </w:r>
          </w:p>
        </w:tc>
        <w:tc>
          <w:tcPr>
            <w:tcW w:type="dxa" w:w="1238"/>
          </w:tcPr>
          <w:p>
            <w:pPr>
              <w:spacing w:after="20"/>
              <w:jc w:val="right"/>
            </w:pPr>
            <w:r>
              <w:rPr>
                <w:color w:val="1C3A36"/>
                <w:sz w:val="17"/>
              </w:rPr>
              <w:t>300</w:t>
            </w:r>
          </w:p>
        </w:tc>
        <w:tc>
          <w:tcPr>
            <w:tcW w:type="dxa" w:w="1238"/>
          </w:tcPr>
          <w:p>
            <w:pPr>
              <w:spacing w:after="20"/>
              <w:jc w:val="right"/>
            </w:pPr>
            <w:r>
              <w:rPr>
                <w:color w:val="1C3A36"/>
                <w:sz w:val="17"/>
              </w:rPr>
              <w:t>320</w:t>
            </w:r>
          </w:p>
        </w:tc>
        <w:tc>
          <w:tcPr>
            <w:tcW w:type="dxa" w:w="1238"/>
          </w:tcPr>
          <w:p>
            <w:pPr>
              <w:spacing w:after="20"/>
              <w:jc w:val="right"/>
            </w:pPr>
            <w:r>
              <w:rPr>
                <w:color w:val="1C3A36"/>
                <w:sz w:val="17"/>
              </w:rPr>
              <w:t>320</w:t>
            </w:r>
          </w:p>
        </w:tc>
        <w:tc>
          <w:tcPr>
            <w:tcW w:type="dxa" w:w="1238"/>
          </w:tcPr>
          <w:p>
            <w:pPr>
              <w:spacing w:after="20"/>
              <w:jc w:val="right"/>
            </w:pPr>
            <w:r>
              <w:rPr>
                <w:color w:val="1C3A36"/>
                <w:sz w:val="17"/>
              </w:rPr>
              <w:t>320</w:t>
            </w:r>
          </w:p>
        </w:tc>
        <w:tc>
          <w:tcPr>
            <w:tcW w:type="dxa" w:w="1238"/>
          </w:tcPr>
          <w:p>
            <w:pPr>
              <w:spacing w:after="20"/>
              <w:jc w:val="right"/>
            </w:pPr>
            <w:r>
              <w:rPr>
                <w:color w:val="1C3A36"/>
                <w:sz w:val="17"/>
              </w:rPr>
              <w:t>320</w:t>
            </w:r>
          </w:p>
        </w:tc>
      </w:tr>
      <w:tr>
        <w:tc>
          <w:tcPr>
            <w:tcW w:type="dxa" w:w="3456"/>
          </w:tcPr>
          <w:p>
            <w:pPr>
              <w:spacing w:after="20"/>
            </w:pPr>
            <w:r>
              <w:rPr>
                <w:color w:val="1C3A36"/>
                <w:sz w:val="17"/>
              </w:rPr>
              <w:t>Less: increase in working capital</w:t>
            </w:r>
          </w:p>
        </w:tc>
        <w:tc>
          <w:tcPr>
            <w:tcW w:type="dxa" w:w="1238"/>
          </w:tcPr>
          <w:p>
            <w:pPr>
              <w:spacing w:after="20"/>
              <w:jc w:val="right"/>
            </w:pPr>
            <w:r>
              <w:rPr>
                <w:color w:val="1C3A36"/>
                <w:sz w:val="17"/>
              </w:rPr>
              <w:t>11.8</w:t>
            </w:r>
          </w:p>
        </w:tc>
        <w:tc>
          <w:tcPr>
            <w:tcW w:type="dxa" w:w="1238"/>
          </w:tcPr>
          <w:p>
            <w:pPr>
              <w:spacing w:after="20"/>
              <w:jc w:val="right"/>
            </w:pPr>
            <w:r>
              <w:rPr>
                <w:color w:val="1C3A36"/>
                <w:sz w:val="17"/>
              </w:rPr>
              <w:t>-8.2</w:t>
            </w:r>
          </w:p>
        </w:tc>
        <w:tc>
          <w:tcPr>
            <w:tcW w:type="dxa" w:w="1238"/>
          </w:tcPr>
          <w:p>
            <w:pPr>
              <w:spacing w:after="20"/>
              <w:jc w:val="right"/>
            </w:pPr>
            <w:r>
              <w:rPr>
                <w:color w:val="1C3A36"/>
                <w:sz w:val="17"/>
              </w:rPr>
              <w:t>-29.3</w:t>
            </w:r>
          </w:p>
        </w:tc>
        <w:tc>
          <w:tcPr>
            <w:tcW w:type="dxa" w:w="1238"/>
          </w:tcPr>
          <w:p>
            <w:pPr>
              <w:spacing w:after="20"/>
              <w:jc w:val="right"/>
            </w:pPr>
            <w:r>
              <w:rPr>
                <w:color w:val="1C3A36"/>
                <w:sz w:val="17"/>
              </w:rPr>
              <w:t>5.4</w:t>
            </w:r>
          </w:p>
        </w:tc>
        <w:tc>
          <w:tcPr>
            <w:tcW w:type="dxa" w:w="1238"/>
          </w:tcPr>
          <w:p>
            <w:pPr>
              <w:spacing w:after="20"/>
              <w:jc w:val="right"/>
            </w:pPr>
            <w:r>
              <w:rPr>
                <w:color w:val="1C3A36"/>
                <w:sz w:val="17"/>
              </w:rPr>
              <w:t>8.9</w:t>
            </w:r>
          </w:p>
        </w:tc>
      </w:tr>
      <w:tr>
        <w:tc>
          <w:tcPr>
            <w:tcW w:type="dxa" w:w="3456"/>
            <w:shd w:val="clear" w:color="auto" w:fill="F6F1E6"/>
          </w:tcPr>
          <w:p>
            <w:pPr>
              <w:spacing w:after="20"/>
            </w:pPr>
            <w:r>
              <w:rPr>
                <w:b/>
                <w:color w:val="1C3A36"/>
                <w:sz w:val="17"/>
              </w:rPr>
              <w:t>Free cash flow to the firm</w:t>
            </w:r>
          </w:p>
        </w:tc>
        <w:tc>
          <w:tcPr>
            <w:tcW w:type="dxa" w:w="1238"/>
            <w:shd w:val="clear" w:color="auto" w:fill="F6F1E6"/>
          </w:tcPr>
          <w:p>
            <w:pPr>
              <w:spacing w:after="20"/>
              <w:jc w:val="right"/>
            </w:pPr>
            <w:r>
              <w:rPr>
                <w:b/>
                <w:color w:val="1C3A36"/>
                <w:sz w:val="17"/>
              </w:rPr>
              <w:t>1,317</w:t>
            </w:r>
          </w:p>
        </w:tc>
        <w:tc>
          <w:tcPr>
            <w:tcW w:type="dxa" w:w="1238"/>
            <w:shd w:val="clear" w:color="auto" w:fill="F6F1E6"/>
          </w:tcPr>
          <w:p>
            <w:pPr>
              <w:spacing w:after="20"/>
              <w:jc w:val="right"/>
            </w:pPr>
            <w:r>
              <w:rPr>
                <w:b/>
                <w:color w:val="1C3A36"/>
                <w:sz w:val="17"/>
              </w:rPr>
              <w:t>1,318</w:t>
            </w:r>
          </w:p>
        </w:tc>
        <w:tc>
          <w:tcPr>
            <w:tcW w:type="dxa" w:w="1238"/>
            <w:shd w:val="clear" w:color="auto" w:fill="F6F1E6"/>
          </w:tcPr>
          <w:p>
            <w:pPr>
              <w:spacing w:after="20"/>
              <w:jc w:val="right"/>
            </w:pPr>
            <w:r>
              <w:rPr>
                <w:b/>
                <w:color w:val="1C3A36"/>
                <w:sz w:val="17"/>
              </w:rPr>
              <w:t>1,244</w:t>
            </w:r>
          </w:p>
        </w:tc>
        <w:tc>
          <w:tcPr>
            <w:tcW w:type="dxa" w:w="1238"/>
            <w:shd w:val="clear" w:color="auto" w:fill="F6F1E6"/>
          </w:tcPr>
          <w:p>
            <w:pPr>
              <w:spacing w:after="20"/>
              <w:jc w:val="right"/>
            </w:pPr>
            <w:r>
              <w:rPr>
                <w:b/>
                <w:color w:val="1C3A36"/>
                <w:sz w:val="17"/>
              </w:rPr>
              <w:t>1,223</w:t>
            </w:r>
          </w:p>
        </w:tc>
        <w:tc>
          <w:tcPr>
            <w:tcW w:type="dxa" w:w="1238"/>
            <w:shd w:val="clear" w:color="auto" w:fill="F6F1E6"/>
          </w:tcPr>
          <w:p>
            <w:pPr>
              <w:spacing w:after="20"/>
              <w:jc w:val="right"/>
            </w:pPr>
            <w:r>
              <w:rPr>
                <w:b/>
                <w:color w:val="1C3A36"/>
                <w:sz w:val="17"/>
              </w:rPr>
              <w:t>1,248</w:t>
            </w:r>
          </w:p>
        </w:tc>
      </w:tr>
      <w:tr>
        <w:tc>
          <w:tcPr>
            <w:tcW w:type="dxa" w:w="3456"/>
          </w:tcPr>
          <w:p>
            <w:pPr>
              <w:spacing w:after="20"/>
            </w:pPr>
            <w:r>
              <w:rPr>
                <w:color w:val="1C3A36"/>
                <w:sz w:val="17"/>
              </w:rPr>
              <w:t>Discount factor</w:t>
            </w:r>
          </w:p>
        </w:tc>
        <w:tc>
          <w:tcPr>
            <w:tcW w:type="dxa" w:w="1238"/>
          </w:tcPr>
          <w:p>
            <w:pPr>
              <w:spacing w:after="20"/>
              <w:jc w:val="right"/>
            </w:pPr>
            <w:r>
              <w:rPr>
                <w:color w:val="1C3A36"/>
                <w:sz w:val="17"/>
              </w:rPr>
              <w:t>0.9426</w:t>
            </w:r>
          </w:p>
        </w:tc>
        <w:tc>
          <w:tcPr>
            <w:tcW w:type="dxa" w:w="1238"/>
          </w:tcPr>
          <w:p>
            <w:pPr>
              <w:spacing w:after="20"/>
              <w:jc w:val="right"/>
            </w:pPr>
            <w:r>
              <w:rPr>
                <w:color w:val="1C3A36"/>
                <w:sz w:val="17"/>
              </w:rPr>
              <w:t>0.8885</w:t>
            </w:r>
          </w:p>
        </w:tc>
        <w:tc>
          <w:tcPr>
            <w:tcW w:type="dxa" w:w="1238"/>
          </w:tcPr>
          <w:p>
            <w:pPr>
              <w:spacing w:after="20"/>
              <w:jc w:val="right"/>
            </w:pPr>
            <w:r>
              <w:rPr>
                <w:color w:val="1C3A36"/>
                <w:sz w:val="17"/>
              </w:rPr>
              <w:t>0.8376</w:t>
            </w:r>
          </w:p>
        </w:tc>
        <w:tc>
          <w:tcPr>
            <w:tcW w:type="dxa" w:w="1238"/>
          </w:tcPr>
          <w:p>
            <w:pPr>
              <w:spacing w:after="20"/>
              <w:jc w:val="right"/>
            </w:pPr>
            <w:r>
              <w:rPr>
                <w:color w:val="1C3A36"/>
                <w:sz w:val="17"/>
              </w:rPr>
              <w:t>0.7895</w:t>
            </w:r>
          </w:p>
        </w:tc>
        <w:tc>
          <w:tcPr>
            <w:tcW w:type="dxa" w:w="1238"/>
          </w:tcPr>
          <w:p>
            <w:pPr>
              <w:spacing w:after="20"/>
              <w:jc w:val="right"/>
            </w:pPr>
            <w:r>
              <w:rPr>
                <w:color w:val="1C3A36"/>
                <w:sz w:val="17"/>
              </w:rPr>
              <w:t>0.7442</w:t>
            </w:r>
          </w:p>
        </w:tc>
      </w:tr>
      <w:tr>
        <w:tc>
          <w:tcPr>
            <w:tcW w:type="dxa" w:w="3456"/>
            <w:shd w:val="clear" w:color="auto" w:fill="F6F1E6"/>
          </w:tcPr>
          <w:p>
            <w:pPr>
              <w:spacing w:after="20"/>
            </w:pPr>
            <w:r>
              <w:rPr>
                <w:b/>
                <w:color w:val="1C3A36"/>
                <w:sz w:val="17"/>
              </w:rPr>
              <w:t>Present value of free cash flow</w:t>
            </w:r>
          </w:p>
        </w:tc>
        <w:tc>
          <w:tcPr>
            <w:tcW w:type="dxa" w:w="1238"/>
            <w:shd w:val="clear" w:color="auto" w:fill="F6F1E6"/>
          </w:tcPr>
          <w:p>
            <w:pPr>
              <w:spacing w:after="20"/>
              <w:jc w:val="right"/>
            </w:pPr>
            <w:r>
              <w:rPr>
                <w:b/>
                <w:color w:val="1C3A36"/>
                <w:sz w:val="17"/>
              </w:rPr>
              <w:t>1,241</w:t>
            </w:r>
          </w:p>
        </w:tc>
        <w:tc>
          <w:tcPr>
            <w:tcW w:type="dxa" w:w="1238"/>
            <w:shd w:val="clear" w:color="auto" w:fill="F6F1E6"/>
          </w:tcPr>
          <w:p>
            <w:pPr>
              <w:spacing w:after="20"/>
              <w:jc w:val="right"/>
            </w:pPr>
            <w:r>
              <w:rPr>
                <w:b/>
                <w:color w:val="1C3A36"/>
                <w:sz w:val="17"/>
              </w:rPr>
              <w:t>1,171</w:t>
            </w:r>
          </w:p>
        </w:tc>
        <w:tc>
          <w:tcPr>
            <w:tcW w:type="dxa" w:w="1238"/>
            <w:shd w:val="clear" w:color="auto" w:fill="F6F1E6"/>
          </w:tcPr>
          <w:p>
            <w:pPr>
              <w:spacing w:after="20"/>
              <w:jc w:val="right"/>
            </w:pPr>
            <w:r>
              <w:rPr>
                <w:b/>
                <w:color w:val="1C3A36"/>
                <w:sz w:val="17"/>
              </w:rPr>
              <w:t>1,042</w:t>
            </w:r>
          </w:p>
        </w:tc>
        <w:tc>
          <w:tcPr>
            <w:tcW w:type="dxa" w:w="1238"/>
            <w:shd w:val="clear" w:color="auto" w:fill="F6F1E6"/>
          </w:tcPr>
          <w:p>
            <w:pPr>
              <w:spacing w:after="20"/>
              <w:jc w:val="right"/>
            </w:pPr>
            <w:r>
              <w:rPr>
                <w:b/>
                <w:color w:val="1C3A36"/>
                <w:sz w:val="17"/>
              </w:rPr>
              <w:t>966</w:t>
            </w:r>
          </w:p>
        </w:tc>
        <w:tc>
          <w:tcPr>
            <w:tcW w:type="dxa" w:w="1238"/>
            <w:shd w:val="clear" w:color="auto" w:fill="F6F1E6"/>
          </w:tcPr>
          <w:p>
            <w:pPr>
              <w:spacing w:after="20"/>
              <w:jc w:val="right"/>
            </w:pPr>
            <w:r>
              <w:rPr>
                <w:b/>
                <w:color w:val="1C3A36"/>
                <w:sz w:val="17"/>
              </w:rPr>
              <w:t>929</w:t>
            </w:r>
          </w:p>
        </w:tc>
      </w:tr>
    </w:tbl>
    <w:p>
      <w:pPr>
        <w:spacing w:after="40"/>
      </w:pPr>
    </w:p>
    <w:p>
      <w:pPr>
        <w:spacing w:after="200" w:before="0"/>
      </w:pPr>
      <w:r>
        <w:rPr>
          <w:b w:val="0"/>
          <w:i/>
          <w:color w:val="6E7B77"/>
          <w:sz w:val="17"/>
        </w:rPr>
        <w:t>Table 3 — The full free-cash-flow waterfall on the central construction, in the order the reader needs it: EBITDA, depreciation, EBIT, NOPAT, the add-back, capital spend, working capital, free cash flow to the firm, the discount factor and the present value. Every line is a live formula in the companion workbook.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2880"/>
      </w:tblGrid>
      <w:tr>
        <w:tc>
          <w:tcPr>
            <w:tcW w:type="dxa" w:w="6192"/>
            <w:shd w:val="clear" w:color="auto" w:fill="EAF0EE"/>
          </w:tcPr>
          <w:p>
            <w:pPr>
              <w:spacing w:after="20"/>
            </w:pPr>
            <w:r>
              <w:rPr>
                <w:b/>
                <w:color w:val="1C3A36"/>
                <w:sz w:val="18"/>
              </w:rPr>
              <w:t>The terminal block</w:t>
            </w:r>
          </w:p>
        </w:tc>
        <w:tc>
          <w:tcPr>
            <w:tcW w:type="dxa" w:w="2880"/>
            <w:shd w:val="clear" w:color="auto" w:fill="EAF0EE"/>
          </w:tcPr>
          <w:p>
            <w:pPr>
              <w:spacing w:after="20"/>
            </w:pPr>
            <w:r>
              <w:rPr>
                <w:b/>
                <w:color w:val="1C3A36"/>
                <w:sz w:val="18"/>
              </w:rPr>
              <w:t>USD million</w:t>
            </w:r>
          </w:p>
        </w:tc>
      </w:tr>
      <w:tr>
        <w:tc>
          <w:tcPr>
            <w:tcW w:type="dxa" w:w="6192"/>
          </w:tcPr>
          <w:p>
            <w:pPr>
              <w:spacing w:after="20"/>
            </w:pPr>
            <w:r>
              <w:rPr>
                <w:color w:val="1C3A36"/>
                <w:sz w:val="18"/>
              </w:rPr>
              <w:t>Final-year NOPAT</w:t>
            </w:r>
          </w:p>
        </w:tc>
        <w:tc>
          <w:tcPr>
            <w:tcW w:type="dxa" w:w="2880"/>
          </w:tcPr>
          <w:p>
            <w:pPr>
              <w:spacing w:after="20"/>
              <w:jc w:val="right"/>
            </w:pPr>
            <w:r>
              <w:rPr>
                <w:color w:val="1C3A36"/>
                <w:sz w:val="18"/>
              </w:rPr>
              <w:t>1,197</w:t>
            </w:r>
          </w:p>
        </w:tc>
      </w:tr>
      <w:tr>
        <w:tc>
          <w:tcPr>
            <w:tcW w:type="dxa" w:w="6192"/>
          </w:tcPr>
          <w:p>
            <w:pPr>
              <w:spacing w:after="20"/>
            </w:pPr>
            <w:r>
              <w:rPr>
                <w:color w:val="1C3A36"/>
                <w:sz w:val="18"/>
              </w:rPr>
              <w:t>Terminal NOPAT at 2.0% growth</w:t>
            </w:r>
          </w:p>
        </w:tc>
        <w:tc>
          <w:tcPr>
            <w:tcW w:type="dxa" w:w="2880"/>
          </w:tcPr>
          <w:p>
            <w:pPr>
              <w:spacing w:after="20"/>
              <w:jc w:val="right"/>
            </w:pPr>
            <w:r>
              <w:rPr>
                <w:color w:val="1C3A36"/>
                <w:sz w:val="18"/>
              </w:rPr>
              <w:t>1,221</w:t>
            </w:r>
          </w:p>
        </w:tc>
      </w:tr>
      <w:tr>
        <w:tc>
          <w:tcPr>
            <w:tcW w:type="dxa" w:w="6192"/>
          </w:tcPr>
          <w:p>
            <w:pPr>
              <w:spacing w:after="20"/>
            </w:pPr>
            <w:r>
              <w:rPr>
                <w:color w:val="1C3A36"/>
                <w:sz w:val="18"/>
              </w:rPr>
              <w:t>Reinvestment rate = growth / return on capital of 12%</w:t>
            </w:r>
          </w:p>
        </w:tc>
        <w:tc>
          <w:tcPr>
            <w:tcW w:type="dxa" w:w="2880"/>
          </w:tcPr>
          <w:p>
            <w:pPr>
              <w:spacing w:after="20"/>
              <w:jc w:val="right"/>
            </w:pPr>
            <w:r>
              <w:rPr>
                <w:color w:val="1C3A36"/>
                <w:sz w:val="18"/>
              </w:rPr>
              <w:t>16.7%</w:t>
            </w:r>
          </w:p>
        </w:tc>
      </w:tr>
      <w:tr>
        <w:tc>
          <w:tcPr>
            <w:tcW w:type="dxa" w:w="6192"/>
          </w:tcPr>
          <w:p>
            <w:pPr>
              <w:spacing w:after="20"/>
            </w:pPr>
            <w:r>
              <w:rPr>
                <w:color w:val="1C3A36"/>
                <w:sz w:val="18"/>
              </w:rPr>
              <w:t>Terminal free cash flow</w:t>
            </w:r>
          </w:p>
        </w:tc>
        <w:tc>
          <w:tcPr>
            <w:tcW w:type="dxa" w:w="2880"/>
          </w:tcPr>
          <w:p>
            <w:pPr>
              <w:spacing w:after="20"/>
              <w:jc w:val="right"/>
            </w:pPr>
            <w:r>
              <w:rPr>
                <w:color w:val="1C3A36"/>
                <w:sz w:val="18"/>
              </w:rPr>
              <w:t>1,018</w:t>
            </w:r>
          </w:p>
        </w:tc>
      </w:tr>
      <w:tr>
        <w:tc>
          <w:tcPr>
            <w:tcW w:type="dxa" w:w="6192"/>
          </w:tcPr>
          <w:p>
            <w:pPr>
              <w:spacing w:after="20"/>
            </w:pPr>
            <w:r>
              <w:rPr>
                <w:color w:val="1C3A36"/>
                <w:sz w:val="18"/>
              </w:rPr>
              <w:t>Terminal value</w:t>
            </w:r>
          </w:p>
        </w:tc>
        <w:tc>
          <w:tcPr>
            <w:tcW w:type="dxa" w:w="2880"/>
          </w:tcPr>
          <w:p>
            <w:pPr>
              <w:spacing w:after="20"/>
              <w:jc w:val="right"/>
            </w:pPr>
            <w:r>
              <w:rPr>
                <w:color w:val="1C3A36"/>
                <w:sz w:val="18"/>
              </w:rPr>
              <w:t>24,901</w:t>
            </w:r>
          </w:p>
        </w:tc>
      </w:tr>
      <w:tr>
        <w:tc>
          <w:tcPr>
            <w:tcW w:type="dxa" w:w="6192"/>
          </w:tcPr>
          <w:p>
            <w:pPr>
              <w:spacing w:after="20"/>
            </w:pPr>
            <w:r>
              <w:rPr>
                <w:color w:val="1C3A36"/>
                <w:sz w:val="18"/>
              </w:rPr>
              <w:t>Present value of the terminal value</w:t>
            </w:r>
          </w:p>
        </w:tc>
        <w:tc>
          <w:tcPr>
            <w:tcW w:type="dxa" w:w="2880"/>
          </w:tcPr>
          <w:p>
            <w:pPr>
              <w:spacing w:after="20"/>
              <w:jc w:val="right"/>
            </w:pPr>
            <w:r>
              <w:rPr>
                <w:color w:val="1C3A36"/>
                <w:sz w:val="18"/>
              </w:rPr>
              <w:t>18,531</w:t>
            </w:r>
          </w:p>
        </w:tc>
      </w:tr>
      <w:tr>
        <w:tc>
          <w:tcPr>
            <w:tcW w:type="dxa" w:w="6192"/>
          </w:tcPr>
          <w:p>
            <w:pPr>
              <w:spacing w:after="20"/>
            </w:pPr>
            <w:r>
              <w:rPr>
                <w:color w:val="1C3A36"/>
                <w:sz w:val="18"/>
              </w:rPr>
              <w:t>Present value of the explicit five years</w:t>
            </w:r>
          </w:p>
        </w:tc>
        <w:tc>
          <w:tcPr>
            <w:tcW w:type="dxa" w:w="2880"/>
          </w:tcPr>
          <w:p>
            <w:pPr>
              <w:spacing w:after="20"/>
              <w:jc w:val="right"/>
            </w:pPr>
            <w:r>
              <w:rPr>
                <w:color w:val="1C3A36"/>
                <w:sz w:val="18"/>
              </w:rPr>
              <w:t>5,349</w:t>
            </w:r>
          </w:p>
        </w:tc>
      </w:tr>
      <w:tr>
        <w:tc>
          <w:tcPr>
            <w:tcW w:type="dxa" w:w="6192"/>
          </w:tcPr>
          <w:p>
            <w:pPr>
              <w:spacing w:after="20"/>
            </w:pPr>
            <w:r>
              <w:rPr>
                <w:color w:val="1C3A36"/>
                <w:sz w:val="18"/>
              </w:rPr>
              <w:t>Enterprise value of the owned business</w:t>
            </w:r>
          </w:p>
        </w:tc>
        <w:tc>
          <w:tcPr>
            <w:tcW w:type="dxa" w:w="2880"/>
          </w:tcPr>
          <w:p>
            <w:pPr>
              <w:spacing w:after="20"/>
              <w:jc w:val="right"/>
            </w:pPr>
            <w:r>
              <w:rPr>
                <w:color w:val="1C3A36"/>
                <w:sz w:val="18"/>
              </w:rPr>
              <w:t>23,880</w:t>
            </w:r>
          </w:p>
        </w:tc>
      </w:tr>
      <w:tr>
        <w:tc>
          <w:tcPr>
            <w:tcW w:type="dxa" w:w="6192"/>
          </w:tcPr>
          <w:p>
            <w:pPr>
              <w:spacing w:after="20"/>
            </w:pPr>
            <w:r>
              <w:rPr>
                <w:color w:val="1C3A36"/>
                <w:sz w:val="18"/>
              </w:rPr>
              <w:t>Plus: the Borouge 4 operator fee stream</w:t>
            </w:r>
          </w:p>
        </w:tc>
        <w:tc>
          <w:tcPr>
            <w:tcW w:type="dxa" w:w="2880"/>
          </w:tcPr>
          <w:p>
            <w:pPr>
              <w:spacing w:after="20"/>
              <w:jc w:val="right"/>
            </w:pPr>
            <w:r>
              <w:rPr>
                <w:color w:val="1C3A36"/>
                <w:sz w:val="18"/>
              </w:rPr>
              <w:t>2,505</w:t>
            </w:r>
          </w:p>
        </w:tc>
      </w:tr>
      <w:tr>
        <w:tc>
          <w:tcPr>
            <w:tcW w:type="dxa" w:w="6192"/>
            <w:shd w:val="clear" w:color="auto" w:fill="F6F1E6"/>
          </w:tcPr>
          <w:p>
            <w:pPr>
              <w:spacing w:after="20"/>
            </w:pPr>
            <w:r>
              <w:rPr>
                <w:b/>
                <w:color w:val="1C3A36"/>
                <w:sz w:val="18"/>
              </w:rPr>
              <w:t>Enterprise value</w:t>
            </w:r>
          </w:p>
        </w:tc>
        <w:tc>
          <w:tcPr>
            <w:tcW w:type="dxa" w:w="2880"/>
            <w:shd w:val="clear" w:color="auto" w:fill="F6F1E6"/>
          </w:tcPr>
          <w:p>
            <w:pPr>
              <w:spacing w:after="20"/>
              <w:jc w:val="right"/>
            </w:pPr>
            <w:r>
              <w:rPr>
                <w:b/>
                <w:color w:val="1C3A36"/>
                <w:sz w:val="18"/>
              </w:rPr>
              <w:t>26,385</w:t>
            </w:r>
          </w:p>
        </w:tc>
      </w:tr>
      <w:tr>
        <w:tc>
          <w:tcPr>
            <w:tcW w:type="dxa" w:w="6192"/>
            <w:shd w:val="clear" w:color="auto" w:fill="F6F1E6"/>
          </w:tcPr>
          <w:p>
            <w:pPr>
              <w:spacing w:after="20"/>
            </w:pPr>
            <w:r>
              <w:rPr>
                <w:b/>
                <w:color w:val="1C3A36"/>
                <w:sz w:val="18"/>
              </w:rPr>
              <w:t>Terminal value as a share of enterprise value</w:t>
            </w:r>
          </w:p>
        </w:tc>
        <w:tc>
          <w:tcPr>
            <w:tcW w:type="dxa" w:w="2880"/>
            <w:shd w:val="clear" w:color="auto" w:fill="F6F1E6"/>
          </w:tcPr>
          <w:p>
            <w:pPr>
              <w:spacing w:after="20"/>
              <w:jc w:val="right"/>
            </w:pPr>
            <w:r>
              <w:rPr>
                <w:b/>
                <w:color w:val="1C3A36"/>
                <w:sz w:val="18"/>
              </w:rPr>
              <w:t>70.2%</w:t>
            </w:r>
          </w:p>
        </w:tc>
      </w:tr>
      <w:tr>
        <w:tc>
          <w:tcPr>
            <w:tcW w:type="dxa" w:w="6192"/>
          </w:tcPr>
          <w:p>
            <w:pPr>
              <w:spacing w:after="20"/>
            </w:pPr>
            <w:r>
              <w:rPr>
                <w:color w:val="1C3A36"/>
                <w:sz w:val="18"/>
              </w:rPr>
              <w:t>Less: net debt</w:t>
            </w:r>
          </w:p>
        </w:tc>
        <w:tc>
          <w:tcPr>
            <w:tcW w:type="dxa" w:w="2880"/>
          </w:tcPr>
          <w:p>
            <w:pPr>
              <w:spacing w:after="20"/>
              <w:jc w:val="right"/>
            </w:pPr>
            <w:r>
              <w:rPr>
                <w:color w:val="1C3A36"/>
                <w:sz w:val="18"/>
              </w:rPr>
              <w:t>(3,275)</w:t>
            </w:r>
          </w:p>
        </w:tc>
      </w:tr>
      <w:tr>
        <w:tc>
          <w:tcPr>
            <w:tcW w:type="dxa" w:w="6192"/>
          </w:tcPr>
          <w:p>
            <w:pPr>
              <w:spacing w:after="20"/>
            </w:pPr>
            <w:r>
              <w:rPr>
                <w:color w:val="1C3A36"/>
                <w:sz w:val="18"/>
              </w:rPr>
              <w:t>Less: lease liabilities</w:t>
            </w:r>
          </w:p>
        </w:tc>
        <w:tc>
          <w:tcPr>
            <w:tcW w:type="dxa" w:w="2880"/>
          </w:tcPr>
          <w:p>
            <w:pPr>
              <w:spacing w:after="20"/>
              <w:jc w:val="right"/>
            </w:pPr>
            <w:r>
              <w:rPr>
                <w:color w:val="1C3A36"/>
                <w:sz w:val="18"/>
              </w:rPr>
              <w:t>(222.7)</w:t>
            </w:r>
          </w:p>
        </w:tc>
      </w:tr>
      <w:tr>
        <w:tc>
          <w:tcPr>
            <w:tcW w:type="dxa" w:w="6192"/>
          </w:tcPr>
          <w:p>
            <w:pPr>
              <w:spacing w:after="20"/>
            </w:pPr>
            <w:r>
              <w:rPr>
                <w:color w:val="1C3A36"/>
                <w:sz w:val="18"/>
              </w:rPr>
              <w:t>Less: non-controlling interests</w:t>
            </w:r>
          </w:p>
        </w:tc>
        <w:tc>
          <w:tcPr>
            <w:tcW w:type="dxa" w:w="2880"/>
          </w:tcPr>
          <w:p>
            <w:pPr>
              <w:spacing w:after="20"/>
              <w:jc w:val="right"/>
            </w:pPr>
            <w:r>
              <w:rPr>
                <w:color w:val="1C3A36"/>
                <w:sz w:val="18"/>
              </w:rPr>
              <w:t>(26.8)</w:t>
            </w:r>
          </w:p>
        </w:tc>
      </w:tr>
      <w:tr>
        <w:tc>
          <w:tcPr>
            <w:tcW w:type="dxa" w:w="6192"/>
            <w:shd w:val="clear" w:color="auto" w:fill="F6F1E6"/>
          </w:tcPr>
          <w:p>
            <w:pPr>
              <w:spacing w:after="20"/>
            </w:pPr>
            <w:r>
              <w:rPr>
                <w:b/>
                <w:color w:val="1C3A36"/>
                <w:sz w:val="18"/>
              </w:rPr>
              <w:t>Equity value</w:t>
            </w:r>
          </w:p>
        </w:tc>
        <w:tc>
          <w:tcPr>
            <w:tcW w:type="dxa" w:w="2880"/>
            <w:shd w:val="clear" w:color="auto" w:fill="F6F1E6"/>
          </w:tcPr>
          <w:p>
            <w:pPr>
              <w:spacing w:after="20"/>
              <w:jc w:val="right"/>
            </w:pPr>
            <w:r>
              <w:rPr>
                <w:b/>
                <w:color w:val="1C3A36"/>
                <w:sz w:val="18"/>
              </w:rPr>
              <w:t>22,860</w:t>
            </w:r>
          </w:p>
        </w:tc>
      </w:tr>
      <w:tr>
        <w:tc>
          <w:tcPr>
            <w:tcW w:type="dxa" w:w="6192"/>
          </w:tcPr>
          <w:p>
            <w:pPr>
              <w:spacing w:after="20"/>
            </w:pPr>
            <w:r>
              <w:rPr>
                <w:color w:val="1C3A36"/>
                <w:sz w:val="18"/>
              </w:rPr>
              <w:t>Value per share (USD)</w:t>
            </w:r>
          </w:p>
        </w:tc>
        <w:tc>
          <w:tcPr>
            <w:tcW w:type="dxa" w:w="2880"/>
          </w:tcPr>
          <w:p>
            <w:pPr>
              <w:spacing w:after="20"/>
              <w:jc w:val="right"/>
            </w:pPr>
            <w:r>
              <w:rPr>
                <w:color w:val="1C3A36"/>
                <w:sz w:val="18"/>
              </w:rPr>
              <w:t>0.7605</w:t>
            </w:r>
          </w:p>
        </w:tc>
      </w:tr>
      <w:tr>
        <w:tc>
          <w:tcPr>
            <w:tcW w:type="dxa" w:w="6192"/>
          </w:tcPr>
          <w:p>
            <w:pPr>
              <w:spacing w:after="20"/>
            </w:pPr>
            <w:r>
              <w:rPr>
                <w:color w:val="1C3A36"/>
                <w:sz w:val="18"/>
              </w:rPr>
              <w:t>Value per share (AED)</w:t>
            </w:r>
          </w:p>
        </w:tc>
        <w:tc>
          <w:tcPr>
            <w:tcW w:type="dxa" w:w="2880"/>
          </w:tcPr>
          <w:p>
            <w:pPr>
              <w:spacing w:after="20"/>
              <w:jc w:val="right"/>
            </w:pPr>
            <w:r>
              <w:rPr>
                <w:color w:val="1C3A36"/>
                <w:sz w:val="18"/>
              </w:rPr>
              <w:t>2.79</w:t>
            </w:r>
          </w:p>
        </w:tc>
      </w:tr>
    </w:tbl>
    <w:p>
      <w:pPr>
        <w:spacing w:after="40"/>
      </w:pPr>
    </w:p>
    <w:p>
      <w:pPr>
        <w:spacing w:after="200" w:before="0"/>
      </w:pPr>
      <w:r>
        <w:rPr>
          <w:b w:val="0"/>
          <w:i/>
          <w:color w:val="6E7B77"/>
          <w:sz w:val="17"/>
        </w:rPr>
        <w:t>Table 4 — Enterprise value to equity value, on the central construction. The terminal-value share is shown inside the bridge, where a reader meets it, rather than in a footnote.</w:t>
      </w:r>
    </w:p>
    <w:p>
      <w:pPr>
        <w:spacing w:after="80" w:before="200"/>
      </w:pPr>
      <w:r>
        <w:rPr>
          <w:b/>
          <w:i w:val="0"/>
          <w:color w:val="1C3A36"/>
          <w:sz w:val="24"/>
        </w:rPr>
        <w:t>1.2  Book value and sustainable return</w:t>
      </w:r>
    </w:p>
    <w:p>
      <w:pPr>
        <w:spacing w:after="120" w:before="0"/>
      </w:pPr>
      <w:r>
        <w:rPr>
          <w:b w:val="0"/>
          <w:i w:val="0"/>
          <w:color w:val="1C3A36"/>
          <w:sz w:val="21"/>
        </w:rPr>
        <w:t>Borouge earned returns on equity of 21.9%, 27.5%, 26.6% across the three audited years, a mean of 25.3%. Against a cost of equity of 6.44% and long-run growth of 2.0%, that justifies 5.25 times a book value of $0.1240 a share, or 2.39 dirhams. At the higher cost of equity of 9.88% the same return justifies only 2.96 times book, or 1.35 dirhams.</w:t>
      </w:r>
    </w:p>
    <w:p>
      <w:pPr>
        <w:spacing w:after="120" w:before="0"/>
      </w:pPr>
      <w:r>
        <w:rPr>
          <w:b w:val="0"/>
          <w:i w:val="0"/>
          <w:color w:val="1C3A36"/>
          <w:sz w:val="21"/>
        </w:rPr>
        <w:t>This lens is the most sensitive of the four to the risk debate, and deliberately so: a justified multiple of book is a ratio of two rates, so when the denominator nearly doubles the answer more than halves. It is shown because it is a genuinely independent read on the same business — it uses no forecast at all — not because it is precise.</w:t>
      </w:r>
    </w:p>
    <w:p>
      <w:pPr>
        <w:spacing w:after="80" w:before="200"/>
      </w:pPr>
      <w:r>
        <w:rPr>
          <w:b/>
          <w:i w:val="0"/>
          <w:color w:val="1C3A36"/>
          <w:sz w:val="24"/>
        </w:rPr>
        <w:t>1.3  Relative multiples</w:t>
      </w:r>
    </w:p>
    <w:p>
      <w:pPr>
        <w:spacing w:after="120" w:before="0"/>
      </w:pPr>
      <w:r>
        <w:rPr>
          <w:b w:val="0"/>
          <w:i w:val="0"/>
          <w:color w:val="1C3A36"/>
          <w:sz w:val="21"/>
        </w:rPr>
        <w:t>The listed peer set cannot produce an honest earnings multiple today. Of the eleven polyolefin and diversified-chemical peers observed, 9 are loss-making on trailing net income and 2 have no defined enterprise-value-to-EBITDA multiple at all because EBITDA is negative. The median of whatever happens to print is 13.4 times, and it is rejected: a median taken across collapsed denominators measures the depth of the trough, not the multiple the market pays.</w:t>
      </w:r>
    </w:p>
    <w:p>
      <w:pPr>
        <w:spacing w:after="40"/>
        <w:jc w:val="center"/>
      </w:pPr>
      <w:r>
        <w:drawing>
          <wp:inline xmlns:a="http://schemas.openxmlformats.org/drawingml/2006/main" xmlns:pic="http://schemas.openxmlformats.org/drawingml/2006/picture">
            <wp:extent cx="6126480" cy="2871788"/>
            <wp:docPr id="2" name="Picture 2"/>
            <wp:cNvGraphicFramePr>
              <a:graphicFrameLocks noChangeAspect="1"/>
            </wp:cNvGraphicFramePr>
            <a:graphic>
              <a:graphicData uri="http://schemas.openxmlformats.org/drawingml/2006/picture">
                <pic:pic>
                  <pic:nvPicPr>
                    <pic:cNvPr id="0" name="fig8_peers.png"/>
                    <pic:cNvPicPr/>
                  </pic:nvPicPr>
                  <pic:blipFill>
                    <a:blip r:embed="rId10"/>
                    <a:stretch>
                      <a:fillRect/>
                    </a:stretch>
                  </pic:blipFill>
                  <pic:spPr>
                    <a:xfrm>
                      <a:off x="0" y="0"/>
                      <a:ext cx="6126480" cy="2871788"/>
                    </a:xfrm>
                    <a:prstGeom prst="rect"/>
                  </pic:spPr>
                </pic:pic>
              </a:graphicData>
            </a:graphic>
          </wp:inline>
        </w:drawing>
      </w:r>
    </w:p>
    <w:p>
      <w:pPr>
        <w:spacing w:after="200" w:before="0"/>
      </w:pPr>
      <w:r>
        <w:rPr>
          <w:b w:val="0"/>
          <w:i/>
          <w:color w:val="6E7B77"/>
          <w:sz w:val="17"/>
        </w:rPr>
        <w:t>Figure 2 — Nine of eleven listed peers are loss-making. The gold line is the through-cycle multiple the study adopts instead of their median.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2880"/>
      </w:tblGrid>
      <w:tr>
        <w:tc>
          <w:tcPr>
            <w:tcW w:type="dxa" w:w="6192"/>
            <w:shd w:val="clear" w:color="auto" w:fill="EAF0EE"/>
          </w:tcPr>
          <w:p>
            <w:pPr>
              <w:spacing w:after="20"/>
            </w:pPr>
            <w:r>
              <w:rPr>
                <w:b/>
                <w:color w:val="1C3A36"/>
                <w:sz w:val="18"/>
              </w:rPr>
              <w:t>Through-cycle anchor</w:t>
            </w:r>
          </w:p>
        </w:tc>
        <w:tc>
          <w:tcPr>
            <w:tcW w:type="dxa" w:w="2880"/>
            <w:shd w:val="clear" w:color="auto" w:fill="EAF0EE"/>
          </w:tcPr>
          <w:p>
            <w:pPr>
              <w:spacing w:after="20"/>
            </w:pPr>
            <w:r>
              <w:rPr>
                <w:b/>
                <w:color w:val="1C3A36"/>
                <w:sz w:val="18"/>
              </w:rPr>
              <w:t>Multiple</w:t>
            </w:r>
          </w:p>
        </w:tc>
      </w:tr>
      <w:tr>
        <w:tc>
          <w:tcPr>
            <w:tcW w:type="dxa" w:w="6192"/>
          </w:tcPr>
          <w:p>
            <w:pPr>
              <w:spacing w:after="20"/>
            </w:pPr>
            <w:r>
              <w:rPr>
                <w:color w:val="1C3A36"/>
                <w:sz w:val="18"/>
              </w:rPr>
              <w:t>LyondellBasell ten-year median EV/EBITDA</w:t>
            </w:r>
          </w:p>
        </w:tc>
        <w:tc>
          <w:tcPr>
            <w:tcW w:type="dxa" w:w="2880"/>
          </w:tcPr>
          <w:p>
            <w:pPr>
              <w:spacing w:after="20"/>
              <w:jc w:val="right"/>
            </w:pPr>
            <w:r>
              <w:rPr>
                <w:color w:val="1C3A36"/>
                <w:sz w:val="18"/>
              </w:rPr>
              <w:t>7.18x</w:t>
            </w:r>
          </w:p>
        </w:tc>
      </w:tr>
      <w:tr>
        <w:tc>
          <w:tcPr>
            <w:tcW w:type="dxa" w:w="6192"/>
          </w:tcPr>
          <w:p>
            <w:pPr>
              <w:spacing w:after="20"/>
            </w:pPr>
            <w:r>
              <w:rPr>
                <w:color w:val="1C3A36"/>
                <w:sz w:val="18"/>
              </w:rPr>
              <w:t>Industries Qatar current EV/EBITDA</w:t>
            </w:r>
          </w:p>
        </w:tc>
        <w:tc>
          <w:tcPr>
            <w:tcW w:type="dxa" w:w="2880"/>
          </w:tcPr>
          <w:p>
            <w:pPr>
              <w:spacing w:after="20"/>
              <w:jc w:val="right"/>
            </w:pPr>
            <w:r>
              <w:rPr>
                <w:color w:val="1C3A36"/>
                <w:sz w:val="18"/>
              </w:rPr>
              <w:t>9.90x</w:t>
            </w:r>
          </w:p>
        </w:tc>
      </w:tr>
      <w:tr>
        <w:tc>
          <w:tcPr>
            <w:tcW w:type="dxa" w:w="6192"/>
          </w:tcPr>
          <w:p>
            <w:pPr>
              <w:spacing w:after="20"/>
            </w:pPr>
            <w:r>
              <w:rPr>
                <w:color w:val="1C3A36"/>
                <w:sz w:val="18"/>
              </w:rPr>
              <w:t>Damodaran global Chemical (Diversified) sector EV/EBITDA</w:t>
            </w:r>
          </w:p>
        </w:tc>
        <w:tc>
          <w:tcPr>
            <w:tcW w:type="dxa" w:w="2880"/>
          </w:tcPr>
          <w:p>
            <w:pPr>
              <w:spacing w:after="20"/>
              <w:jc w:val="right"/>
            </w:pPr>
            <w:r>
              <w:rPr>
                <w:color w:val="1C3A36"/>
                <w:sz w:val="18"/>
              </w:rPr>
              <w:t>8.65x</w:t>
            </w:r>
          </w:p>
        </w:tc>
      </w:tr>
      <w:tr>
        <w:tc>
          <w:tcPr>
            <w:tcW w:type="dxa" w:w="6192"/>
            <w:shd w:val="clear" w:color="auto" w:fill="F6F1E6"/>
          </w:tcPr>
          <w:p>
            <w:pPr>
              <w:spacing w:after="20"/>
            </w:pPr>
            <w:r>
              <w:rPr>
                <w:b/>
                <w:color w:val="1C3A36"/>
                <w:sz w:val="18"/>
              </w:rPr>
              <w:t>Median of the three — the multiple adopted</w:t>
            </w:r>
          </w:p>
        </w:tc>
        <w:tc>
          <w:tcPr>
            <w:tcW w:type="dxa" w:w="2880"/>
            <w:shd w:val="clear" w:color="auto" w:fill="F6F1E6"/>
          </w:tcPr>
          <w:p>
            <w:pPr>
              <w:spacing w:after="20"/>
              <w:jc w:val="right"/>
            </w:pPr>
            <w:r>
              <w:rPr>
                <w:b/>
                <w:color w:val="1C3A36"/>
                <w:sz w:val="18"/>
              </w:rPr>
              <w:t>8.65x</w:t>
            </w:r>
          </w:p>
        </w:tc>
      </w:tr>
      <w:tr>
        <w:tc>
          <w:tcPr>
            <w:tcW w:type="dxa" w:w="6192"/>
          </w:tcPr>
          <w:p>
            <w:pPr>
              <w:spacing w:after="20"/>
            </w:pPr>
            <w:r>
              <w:rPr>
                <w:color w:val="1C3A36"/>
                <w:sz w:val="18"/>
              </w:rPr>
              <w:t>Applied to mid-cycle EBITDA of $2,042m</w:t>
            </w:r>
          </w:p>
        </w:tc>
        <w:tc>
          <w:tcPr>
            <w:tcW w:type="dxa" w:w="2880"/>
          </w:tcPr>
          <w:p>
            <w:pPr>
              <w:spacing w:after="20"/>
              <w:jc w:val="right"/>
            </w:pPr>
            <w:r>
              <w:rPr>
                <w:color w:val="1C3A36"/>
                <w:sz w:val="18"/>
              </w:rPr>
              <w:t>$17,671m enterprise value</w:t>
            </w:r>
          </w:p>
        </w:tc>
      </w:tr>
      <w:tr>
        <w:tc>
          <w:tcPr>
            <w:tcW w:type="dxa" w:w="6192"/>
            <w:shd w:val="clear" w:color="auto" w:fill="F6F1E6"/>
          </w:tcPr>
          <w:p>
            <w:pPr>
              <w:spacing w:after="20"/>
            </w:pPr>
            <w:r>
              <w:rPr>
                <w:b/>
                <w:color w:val="1C3A36"/>
                <w:sz w:val="18"/>
              </w:rPr>
              <w:t>Less net debt, leases and minorities, per share</w:t>
            </w:r>
          </w:p>
        </w:tc>
        <w:tc>
          <w:tcPr>
            <w:tcW w:type="dxa" w:w="2880"/>
            <w:shd w:val="clear" w:color="auto" w:fill="F6F1E6"/>
          </w:tcPr>
          <w:p>
            <w:pPr>
              <w:spacing w:after="20"/>
              <w:jc w:val="right"/>
            </w:pPr>
            <w:r>
              <w:rPr>
                <w:b/>
                <w:color w:val="1C3A36"/>
                <w:sz w:val="18"/>
              </w:rPr>
              <w:t>1.73 AED</w:t>
            </w:r>
          </w:p>
        </w:tc>
      </w:tr>
    </w:tbl>
    <w:p>
      <w:pPr>
        <w:spacing w:after="40"/>
      </w:pPr>
    </w:p>
    <w:p>
      <w:pPr>
        <w:spacing w:after="200" w:before="0"/>
      </w:pPr>
      <w:r>
        <w:rPr>
          <w:b w:val="0"/>
          <w:i/>
          <w:color w:val="6E7B77"/>
          <w:sz w:val="17"/>
        </w:rPr>
        <w:t>Table 5 — The triangulation is shown rather than the conclusion asserted: three named through-cycle anchors, and the median of them. The workbook takes that median in the sheet.</w:t>
      </w:r>
    </w:p>
    <w:p>
      <w:pPr>
        <w:spacing w:after="80" w:before="200"/>
      </w:pPr>
      <w:r>
        <w:rPr>
          <w:b/>
          <w:i w:val="0"/>
          <w:color w:val="1C3A36"/>
          <w:sz w:val="24"/>
        </w:rPr>
        <w:t>1.4  Normalised earnings power</w:t>
      </w:r>
    </w:p>
    <w:p>
      <w:pPr>
        <w:spacing w:after="120" w:before="0"/>
      </w:pPr>
      <w:r>
        <w:rPr>
          <w:b w:val="0"/>
          <w:i w:val="0"/>
          <w:color w:val="1C3A36"/>
          <w:sz w:val="21"/>
        </w:rPr>
        <w:t>Mid-cycle is derived from the audited record rather than asserted. Utilisation is the mean of the two most recent audited years — 106.0% for polyethylene and 99.0% for polypropylene — and the benchmark is the mean of the three audited annual averages, $878 and $880 a tonne. Both therefore already contain a turnaround year and a soft-price year, and neither contains the 2026 disruption.</w:t>
      </w:r>
    </w:p>
    <w:p>
      <w:pPr>
        <w:spacing w:after="120" w:before="0"/>
      </w:pPr>
      <w:r>
        <w:rPr>
          <w:b w:val="0"/>
          <w:i w:val="0"/>
          <w:color w:val="1C3A36"/>
          <w:sz w:val="21"/>
        </w:rPr>
        <w:t>On that basis mid-cycle EBITDA is $2,071m and mid-cycle NOPAT $1,191m. Capitalised at 6.09%, net of the same reinvestment the terminal block charges, that gives 2.54 dirhams a share; at 9.03% it gives 1.29.</w:t>
      </w:r>
    </w:p>
    <w:p>
      <w:pPr>
        <w:spacing w:after="80" w:before="200"/>
      </w:pPr>
      <w:r>
        <w:rPr>
          <w:b/>
          <w:i w:val="0"/>
          <w:color w:val="1C3A36"/>
          <w:sz w:val="24"/>
        </w:rPr>
        <w:t>1.5  The four lenses in one field</w:t>
      </w:r>
    </w:p>
    <w:p>
      <w:pPr>
        <w:spacing w:after="120" w:before="0"/>
      </w:pPr>
      <w:r>
        <w:rPr>
          <w:b w:val="0"/>
          <w:i w:val="0"/>
          <w:color w:val="1C3A36"/>
          <w:sz w:val="21"/>
        </w:rPr>
        <w:t>The four lenses across both costs of capital span 1.29 to 2.79 dirhams, median 1.73, against a close of 2.40. Read column by column they agree closely; read across columns they do not. That is the honest shape of the answer and Figure 1 draws it as such.</w:t>
      </w:r>
    </w:p>
    <w:p>
      <w:pPr>
        <w:spacing w:after="80" w:before="200"/>
      </w:pPr>
      <w:r>
        <w:rPr>
          <w:b/>
          <w:i w:val="0"/>
          <w:color w:val="1C3A36"/>
          <w:sz w:val="24"/>
        </w:rPr>
        <w:t>1.6  The drivers, and what each one is built on</w:t>
      </w:r>
    </w:p>
    <w:p>
      <w:pPr>
        <w:spacing w:after="120" w:before="0"/>
      </w:pPr>
      <w:r>
        <w:rPr>
          <w:b w:val="0"/>
          <w:i w:val="0"/>
          <w:color w:val="1C3A36"/>
          <w:sz w:val="21"/>
        </w:rPr>
        <w:t>Every forecast driver below is built from something disclosed. Where nothing is disclosed, the study says so rather than inventing a formula.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4536"/>
        <w:gridCol w:w="3456"/>
      </w:tblGrid>
      <w:tr>
        <w:tc>
          <w:tcPr>
            <w:tcW w:type="dxa" w:w="1800"/>
            <w:shd w:val="clear" w:color="auto" w:fill="EAF0EE"/>
          </w:tcPr>
          <w:p>
            <w:pPr>
              <w:spacing w:after="20"/>
            </w:pPr>
            <w:r>
              <w:rPr>
                <w:b/>
                <w:color w:val="1C3A36"/>
                <w:sz w:val="17"/>
              </w:rPr>
              <w:t>Driver</w:t>
            </w:r>
          </w:p>
        </w:tc>
        <w:tc>
          <w:tcPr>
            <w:tcW w:type="dxa" w:w="4536"/>
            <w:shd w:val="clear" w:color="auto" w:fill="EAF0EE"/>
          </w:tcPr>
          <w:p>
            <w:pPr>
              <w:spacing w:after="20"/>
            </w:pPr>
            <w:r>
              <w:rPr>
                <w:b/>
                <w:color w:val="1C3A36"/>
                <w:sz w:val="17"/>
              </w:rPr>
              <w:t>How it is built</w:t>
            </w:r>
          </w:p>
        </w:tc>
        <w:tc>
          <w:tcPr>
            <w:tcW w:type="dxa" w:w="3456"/>
            <w:shd w:val="clear" w:color="auto" w:fill="EAF0EE"/>
          </w:tcPr>
          <w:p>
            <w:pPr>
              <w:spacing w:after="20"/>
            </w:pPr>
            <w:r>
              <w:rPr>
                <w:b/>
                <w:color w:val="1C3A36"/>
                <w:sz w:val="17"/>
              </w:rPr>
              <w:t>Source of the build</w:t>
            </w:r>
          </w:p>
        </w:tc>
      </w:tr>
      <w:tr>
        <w:tc>
          <w:tcPr>
            <w:tcW w:type="dxa" w:w="1800"/>
          </w:tcPr>
          <w:p>
            <w:pPr>
              <w:spacing w:after="20"/>
            </w:pPr>
            <w:r>
              <w:rPr>
                <w:color w:val="1C3A36"/>
                <w:sz w:val="17"/>
              </w:rPr>
              <w:t>Volume by product</w:t>
            </w:r>
          </w:p>
        </w:tc>
        <w:tc>
          <w:tcPr>
            <w:tcW w:type="dxa" w:w="4536"/>
          </w:tcPr>
          <w:p>
            <w:pPr>
              <w:spacing w:after="20"/>
              <w:jc w:val="right"/>
            </w:pPr>
            <w:r>
              <w:rPr>
                <w:color w:val="1C3A36"/>
                <w:sz w:val="17"/>
              </w:rPr>
              <w:t>Nameplate capacity times a disclosed utilisation path, anchored on the rates the plant demonstrated in 2024 and 2025</w:t>
            </w:r>
          </w:p>
        </w:tc>
        <w:tc>
          <w:tcPr>
            <w:tcW w:type="dxa" w:w="3456"/>
          </w:tcPr>
          <w:p>
            <w:pPr>
              <w:spacing w:after="20"/>
              <w:jc w:val="right"/>
            </w:pPr>
            <w:r>
              <w:rPr>
                <w:color w:val="1C3A36"/>
                <w:sz w:val="17"/>
              </w:rPr>
              <w:t>Management discussion and analysis, by product, every quarter</w:t>
            </w:r>
          </w:p>
        </w:tc>
      </w:tr>
      <w:tr>
        <w:tc>
          <w:tcPr>
            <w:tcW w:type="dxa" w:w="1800"/>
          </w:tcPr>
          <w:p>
            <w:pPr>
              <w:spacing w:after="20"/>
            </w:pPr>
            <w:r>
              <w:rPr>
                <w:color w:val="1C3A36"/>
                <w:sz w:val="17"/>
              </w:rPr>
              <w:t>Realised price</w:t>
            </w:r>
          </w:p>
        </w:tc>
        <w:tc>
          <w:tcPr>
            <w:tcW w:type="dxa" w:w="4536"/>
          </w:tcPr>
          <w:p>
            <w:pPr>
              <w:spacing w:after="20"/>
              <w:jc w:val="right"/>
            </w:pPr>
            <w:r>
              <w:rPr>
                <w:color w:val="1C3A36"/>
                <w:sz w:val="17"/>
              </w:rPr>
              <w:t>Published benchmark plus the company’s own disclosed premium, times a realisation residual measured over three audited years</w:t>
            </w:r>
          </w:p>
        </w:tc>
        <w:tc>
          <w:tcPr>
            <w:tcW w:type="dxa" w:w="3456"/>
          </w:tcPr>
          <w:p>
            <w:pPr>
              <w:spacing w:after="20"/>
              <w:jc w:val="right"/>
            </w:pPr>
            <w:r>
              <w:rPr>
                <w:color w:val="1C3A36"/>
                <w:sz w:val="17"/>
              </w:rPr>
              <w:t>Management discussion and analysis, reconciled to audited revenue</w:t>
            </w:r>
          </w:p>
        </w:tc>
      </w:tr>
      <w:tr>
        <w:tc>
          <w:tcPr>
            <w:tcW w:type="dxa" w:w="1800"/>
          </w:tcPr>
          <w:p>
            <w:pPr>
              <w:spacing w:after="20"/>
            </w:pPr>
            <w:r>
              <w:rPr>
                <w:color w:val="1C3A36"/>
                <w:sz w:val="17"/>
              </w:rPr>
              <w:t>Feedstock</w:t>
            </w:r>
          </w:p>
        </w:tc>
        <w:tc>
          <w:tcPr>
            <w:tcW w:type="dxa" w:w="4536"/>
          </w:tcPr>
          <w:p>
            <w:pPr>
              <w:spacing w:after="20"/>
              <w:jc w:val="right"/>
            </w:pPr>
            <w:r>
              <w:rPr>
                <w:color w:val="1C3A36"/>
                <w:sz w:val="17"/>
              </w:rPr>
              <w:t>Split into a contracted ethane leg and a market-priced propylene leg, with the market share of the mix as the driver. Each leg escalates on its OWN price path</w:t>
            </w:r>
          </w:p>
        </w:tc>
        <w:tc>
          <w:tcPr>
            <w:tcW w:type="dxa" w:w="3456"/>
          </w:tcPr>
          <w:p>
            <w:pPr>
              <w:spacing w:after="20"/>
              <w:jc w:val="right"/>
            </w:pPr>
            <w:r>
              <w:rPr>
                <w:color w:val="1C3A36"/>
                <w:sz w:val="17"/>
              </w:rPr>
              <w:t>Cost per tonne from the audited statements over disclosed tonnes</w:t>
            </w:r>
          </w:p>
        </w:tc>
      </w:tr>
      <w:tr>
        <w:tc>
          <w:tcPr>
            <w:tcW w:type="dxa" w:w="1800"/>
          </w:tcPr>
          <w:p>
            <w:pPr>
              <w:spacing w:after="20"/>
            </w:pPr>
            <w:r>
              <w:rPr>
                <w:color w:val="1C3A36"/>
                <w:sz w:val="17"/>
              </w:rPr>
              <w:t>Other production cost</w:t>
            </w:r>
          </w:p>
        </w:tc>
        <w:tc>
          <w:tcPr>
            <w:tcW w:type="dxa" w:w="4536"/>
          </w:tcPr>
          <w:p>
            <w:pPr>
              <w:spacing w:after="20"/>
              <w:jc w:val="right"/>
            </w:pPr>
            <w:r>
              <w:rPr>
                <w:color w:val="1C3A36"/>
                <w:sz w:val="17"/>
              </w:rPr>
              <w:t>Fitted across three audited years into a $663m fixed leg and a $201 per tonne variable leg. Only the fixed leg escalates on consumer inflation</w:t>
            </w:r>
          </w:p>
        </w:tc>
        <w:tc>
          <w:tcPr>
            <w:tcW w:type="dxa" w:w="3456"/>
          </w:tcPr>
          <w:p>
            <w:pPr>
              <w:spacing w:after="20"/>
              <w:jc w:val="right"/>
            </w:pPr>
            <w:r>
              <w:rPr>
                <w:color w:val="1C3A36"/>
                <w:sz w:val="17"/>
              </w:rPr>
              <w:t>Audited statements, three years</w:t>
            </w:r>
          </w:p>
        </w:tc>
      </w:tr>
      <w:tr>
        <w:tc>
          <w:tcPr>
            <w:tcW w:type="dxa" w:w="1800"/>
          </w:tcPr>
          <w:p>
            <w:pPr>
              <w:spacing w:after="20"/>
            </w:pPr>
            <w:r>
              <w:rPr>
                <w:color w:val="1C3A36"/>
                <w:sz w:val="17"/>
              </w:rPr>
              <w:t>Selling and distribution</w:t>
            </w:r>
          </w:p>
        </w:tc>
        <w:tc>
          <w:tcPr>
            <w:tcW w:type="dxa" w:w="4536"/>
          </w:tcPr>
          <w:p>
            <w:pPr>
              <w:spacing w:after="20"/>
              <w:jc w:val="right"/>
            </w:pPr>
            <w:r>
              <w:rPr>
                <w:color w:val="1C3A36"/>
                <w:sz w:val="17"/>
              </w:rPr>
              <w:t>Dollars per tonne sold. This is the freight route decision, and it is one of the two variables the two constructions differ on</w:t>
            </w:r>
          </w:p>
        </w:tc>
        <w:tc>
          <w:tcPr>
            <w:tcW w:type="dxa" w:w="3456"/>
          </w:tcPr>
          <w:p>
            <w:pPr>
              <w:spacing w:after="20"/>
              <w:jc w:val="right"/>
            </w:pPr>
            <w:r>
              <w:rPr>
                <w:color w:val="1C3A36"/>
                <w:sz w:val="17"/>
              </w:rPr>
              <w:t>Audited statements and interim statements</w:t>
            </w:r>
          </w:p>
        </w:tc>
      </w:tr>
      <w:tr>
        <w:tc>
          <w:tcPr>
            <w:tcW w:type="dxa" w:w="1800"/>
          </w:tcPr>
          <w:p>
            <w:pPr>
              <w:spacing w:after="20"/>
            </w:pPr>
            <w:r>
              <w:rPr>
                <w:color w:val="1C3A36"/>
                <w:sz w:val="17"/>
              </w:rPr>
              <w:t>Tax</w:t>
            </w:r>
          </w:p>
        </w:tc>
        <w:tc>
          <w:tcPr>
            <w:tcW w:type="dxa" w:w="4536"/>
          </w:tcPr>
          <w:p>
            <w:pPr>
              <w:spacing w:after="20"/>
              <w:jc w:val="right"/>
            </w:pPr>
            <w:r>
              <w:rPr>
                <w:color w:val="1C3A36"/>
                <w:sz w:val="17"/>
              </w:rPr>
              <w:t>The company’s own three-year mean effective rate of 28.7%, not the 9% federal headline — Borouge is taxed under the emirate-level regime</w:t>
            </w:r>
          </w:p>
        </w:tc>
        <w:tc>
          <w:tcPr>
            <w:tcW w:type="dxa" w:w="3456"/>
          </w:tcPr>
          <w:p>
            <w:pPr>
              <w:spacing w:after="20"/>
              <w:jc w:val="right"/>
            </w:pPr>
            <w:r>
              <w:rPr>
                <w:color w:val="1C3A36"/>
                <w:sz w:val="17"/>
              </w:rPr>
              <w:t>Tax note, three audited years</w:t>
            </w:r>
          </w:p>
        </w:tc>
      </w:tr>
      <w:tr>
        <w:tc>
          <w:tcPr>
            <w:tcW w:type="dxa" w:w="1800"/>
          </w:tcPr>
          <w:p>
            <w:pPr>
              <w:spacing w:after="20"/>
            </w:pPr>
            <w:r>
              <w:rPr>
                <w:color w:val="1C3A36"/>
                <w:sz w:val="17"/>
              </w:rPr>
              <w:t>Working capital</w:t>
            </w:r>
          </w:p>
        </w:tc>
        <w:tc>
          <w:tcPr>
            <w:tcW w:type="dxa" w:w="4536"/>
          </w:tcPr>
          <w:p>
            <w:pPr>
              <w:spacing w:after="20"/>
              <w:jc w:val="right"/>
            </w:pPr>
            <w:r>
              <w:rPr>
                <w:color w:val="1C3A36"/>
                <w:sz w:val="17"/>
              </w:rPr>
              <w:t>51 days of sales, 62 days of inventory and 92 days of payables, a 20-day cycle. The balance sheet and cash flow are projected from these</w:t>
            </w:r>
          </w:p>
        </w:tc>
        <w:tc>
          <w:tcPr>
            <w:tcW w:type="dxa" w:w="3456"/>
          </w:tcPr>
          <w:p>
            <w:pPr>
              <w:spacing w:after="20"/>
              <w:jc w:val="right"/>
            </w:pPr>
            <w:r>
              <w:rPr>
                <w:color w:val="1C3A36"/>
                <w:sz w:val="17"/>
              </w:rPr>
              <w:t>Audited statements, three years</w:t>
            </w:r>
          </w:p>
        </w:tc>
      </w:tr>
      <w:tr>
        <w:tc>
          <w:tcPr>
            <w:tcW w:type="dxa" w:w="1800"/>
          </w:tcPr>
          <w:p>
            <w:pPr>
              <w:spacing w:after="20"/>
            </w:pPr>
            <w:r>
              <w:rPr>
                <w:color w:val="1C3A36"/>
                <w:sz w:val="17"/>
              </w:rPr>
              <w:t>Capital expenditure</w:t>
            </w:r>
          </w:p>
        </w:tc>
        <w:tc>
          <w:tcPr>
            <w:tcW w:type="dxa" w:w="4536"/>
          </w:tcPr>
          <w:p>
            <w:pPr>
              <w:spacing w:after="20"/>
              <w:jc w:val="right"/>
            </w:pPr>
            <w:r>
              <w:rPr>
                <w:color w:val="1C3A36"/>
                <w:sz w:val="17"/>
              </w:rPr>
              <w:t>The current-year guide, then a steady-state maintenance figure set from the company’s own three-year outturn. This is the one materially top-down driver in the build, and it is sensitised</w:t>
            </w:r>
          </w:p>
        </w:tc>
        <w:tc>
          <w:tcPr>
            <w:tcW w:type="dxa" w:w="3456"/>
          </w:tcPr>
          <w:p>
            <w:pPr>
              <w:spacing w:after="20"/>
              <w:jc w:val="right"/>
            </w:pPr>
            <w:r>
              <w:rPr>
                <w:color w:val="1C3A36"/>
                <w:sz w:val="17"/>
              </w:rPr>
              <w:t>Guidance and three years of actual spend</w:t>
            </w:r>
          </w:p>
        </w:tc>
      </w:tr>
      <w:tr>
        <w:tc>
          <w:tcPr>
            <w:tcW w:type="dxa" w:w="1800"/>
          </w:tcPr>
          <w:p>
            <w:pPr>
              <w:spacing w:after="20"/>
            </w:pPr>
            <w:r>
              <w:rPr>
                <w:color w:val="1C3A36"/>
                <w:sz w:val="17"/>
              </w:rPr>
              <w:t>Ethane escalation</w:t>
            </w:r>
          </w:p>
        </w:tc>
        <w:tc>
          <w:tcPr>
            <w:tcW w:type="dxa" w:w="4536"/>
          </w:tcPr>
          <w:p>
            <w:pPr>
              <w:spacing w:after="20"/>
              <w:jc w:val="right"/>
            </w:pPr>
            <w:r>
              <w:rPr>
                <w:color w:val="1C3A36"/>
                <w:sz w:val="17"/>
              </w:rPr>
              <w:t>Zero real escalation. The pricing formula of the ADNOC feedstock arrangement is not disclosed anywhere, so none is invented</w:t>
            </w:r>
          </w:p>
        </w:tc>
        <w:tc>
          <w:tcPr>
            <w:tcW w:type="dxa" w:w="3456"/>
          </w:tcPr>
          <w:p>
            <w:pPr>
              <w:spacing w:after="20"/>
              <w:jc w:val="right"/>
            </w:pPr>
            <w:r>
              <w:rPr>
                <w:color w:val="1C3A36"/>
                <w:sz w:val="17"/>
              </w:rPr>
              <w:t>Searched across four annual reports and every filing — not disclosed</w:t>
            </w:r>
          </w:p>
        </w:tc>
      </w:tr>
    </w:tbl>
    <w:p>
      <w:pPr>
        <w:spacing w:after="40"/>
      </w:pPr>
    </w:p>
    <w:p>
      <w:pPr>
        <w:spacing w:after="200" w:before="0"/>
      </w:pPr>
      <w:r>
        <w:rPr>
          <w:b w:val="0"/>
          <w:i/>
          <w:color w:val="6E7B77"/>
          <w:sz w:val="17"/>
        </w:rPr>
        <w:t>Table 6 — The driver table. Margins are an OUTPUT of this build, never an input: the EBITDA margin the forecast produces is whatever tonnes, prices and dollars per tonne make it.</w:t>
      </w:r>
    </w:p>
    <w:p>
      <w:pPr>
        <w:spacing w:after="40"/>
        <w:jc w:val="center"/>
      </w:pPr>
      <w:r>
        <w:drawing>
          <wp:inline xmlns:a="http://schemas.openxmlformats.org/drawingml/2006/main" xmlns:pic="http://schemas.openxmlformats.org/drawingml/2006/picture">
            <wp:extent cx="6309360" cy="2694622"/>
            <wp:docPr id="3" name="Picture 3"/>
            <wp:cNvGraphicFramePr>
              <a:graphicFrameLocks noChangeAspect="1"/>
            </wp:cNvGraphicFramePr>
            <a:graphic>
              <a:graphicData uri="http://schemas.openxmlformats.org/drawingml/2006/picture">
                <pic:pic>
                  <pic:nvPicPr>
                    <pic:cNvPr id="0" name="fig7_stack.png"/>
                    <pic:cNvPicPr/>
                  </pic:nvPicPr>
                  <pic:blipFill>
                    <a:blip r:embed="rId11"/>
                    <a:stretch>
                      <a:fillRect/>
                    </a:stretch>
                  </pic:blipFill>
                  <pic:spPr>
                    <a:xfrm>
                      <a:off x="0" y="0"/>
                      <a:ext cx="6309360" cy="2694622"/>
                    </a:xfrm>
                    <a:prstGeom prst="rect"/>
                  </pic:spPr>
                </pic:pic>
              </a:graphicData>
            </a:graphic>
          </wp:inline>
        </w:drawing>
      </w:r>
    </w:p>
    <w:p>
      <w:pPr>
        <w:spacing w:after="200" w:before="0"/>
      </w:pPr>
      <w:r>
        <w:rPr>
          <w:b w:val="0"/>
          <w:i/>
          <w:color w:val="6E7B77"/>
          <w:sz w:val="17"/>
        </w:rPr>
        <w:t>Figure 3 — Where a dollar of 2025 revenue actually went. Each block is a driver the forecast projects separately.</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Layout w:type="fixed"/>
        <w:tblCellMar>
          <w:top w:w="120" w:type="dxa"/>
          <w:left w:w="160" w:type="dxa"/>
          <w:bottom w:w="120" w:type="dxa"/>
          <w:right w:w="160" w:type="dxa"/>
        </w:tblCellMar>
        <w:tblLayout w:type="fixed"/>
      </w:tblPr>
      <w:tblGrid>
        <w:gridCol w:w="10080"/>
      </w:tblGrid>
      <w:tr>
        <w:tc>
          <w:tcPr>
            <w:tcW w:type="dxa" w:w="10080"/>
            <w:shd w:val="clear" w:color="auto" w:fill="F6F1E6"/>
          </w:tcPr>
          <w:p>
            <w:pPr>
              <w:spacing w:after="100"/>
            </w:pPr>
            <w:r>
              <w:rPr>
                <w:b/>
                <w:color w:val="1C3A36"/>
                <w:sz w:val="19"/>
              </w:rPr>
              <w:t xml:space="preserve">One escalator per cost, and why it matters. </w:t>
            </w:r>
            <w:r>
              <w:rPr>
                <w:color w:val="1C3A36"/>
                <w:sz w:val="19"/>
              </w:rPr>
              <w:t>The cost stack is not escalated by a single blended inflation index. Contracted ethane escalates on its own terms; purchased propylene escalates on the propylene benchmark path, through the model’s own price forecast; only the genuinely domestic fixed leg escalates on UAE consumer inflation of 2.1%. Running one blended index across physically different inputs is the standard way a forecast manufactures a margin trend out of arithmetic — the price side falls on its own commodity path while the cost side rises on a domestic index, and a margin decline appears that nobody chose and no evidence supports.</w:t>
            </w:r>
          </w:p>
        </w:tc>
      </w:tr>
    </w:tbl>
    <w:p>
      <w:pPr>
        <w:spacing w:after="40"/>
      </w:pPr>
    </w:p>
    <w:p>
      <w:pPr>
        <w:spacing w:after="80" w:before="200"/>
      </w:pPr>
      <w:r>
        <w:rPr>
          <w:b/>
          <w:i w:val="0"/>
          <w:color w:val="1C3A36"/>
          <w:sz w:val="24"/>
        </w:rPr>
        <w:t>1.7  The crux</w:t>
      </w:r>
    </w:p>
    <w:p>
      <w:pPr>
        <w:spacing w:after="120" w:before="0"/>
      </w:pPr>
      <w:r>
        <w:rPr>
          <w:b w:val="0"/>
          <w:i w:val="0"/>
          <w:color w:val="1C3A36"/>
          <w:sz w:val="21"/>
        </w:rPr>
        <w:t>If a reader has time for one number in this study, it is the beta — the measure of how much this share moves with its market, which sets the cost of equity and through it almost the entire valuation range.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672"/>
        <w:gridCol w:w="3672"/>
      </w:tblGrid>
      <w:tr>
        <w:tc>
          <w:tcPr>
            <w:tcW w:type="dxa" w:w="2232"/>
            <w:shd w:val="clear" w:color="auto" w:fill="EAF0EE"/>
          </w:tcPr>
          <w:p>
            <w:pPr>
              <w:spacing w:after="20"/>
            </w:pPr>
            <w:r>
              <w:rPr>
                <w:b/>
                <w:color w:val="1C3A36"/>
                <w:sz w:val="17"/>
              </w:rPr>
            </w:r>
          </w:p>
        </w:tc>
        <w:tc>
          <w:tcPr>
            <w:tcW w:type="dxa" w:w="3672"/>
            <w:shd w:val="clear" w:color="auto" w:fill="EAF0EE"/>
          </w:tcPr>
          <w:p>
            <w:pPr>
              <w:spacing w:after="20"/>
            </w:pPr>
            <w:r>
              <w:rPr>
                <w:b/>
                <w:color w:val="1C3A36"/>
                <w:sz w:val="17"/>
              </w:rPr>
              <w:t>The share’s own history</w:t>
            </w:r>
          </w:p>
        </w:tc>
        <w:tc>
          <w:tcPr>
            <w:tcW w:type="dxa" w:w="3672"/>
            <w:shd w:val="clear" w:color="auto" w:fill="EAF0EE"/>
          </w:tcPr>
          <w:p>
            <w:pPr>
              <w:spacing w:after="20"/>
            </w:pPr>
            <w:r>
              <w:rPr>
                <w:b/>
                <w:color w:val="1C3A36"/>
                <w:sz w:val="17"/>
              </w:rPr>
              <w:t>Built up from the sector</w:t>
            </w:r>
          </w:p>
        </w:tc>
      </w:tr>
      <w:tr>
        <w:tc>
          <w:tcPr>
            <w:tcW w:type="dxa" w:w="2232"/>
          </w:tcPr>
          <w:p>
            <w:pPr>
              <w:spacing w:after="20"/>
            </w:pPr>
            <w:r>
              <w:rPr>
                <w:color w:val="1C3A36"/>
                <w:sz w:val="17"/>
              </w:rPr>
              <w:t>Beta</w:t>
            </w:r>
          </w:p>
        </w:tc>
        <w:tc>
          <w:tcPr>
            <w:tcW w:type="dxa" w:w="3672"/>
          </w:tcPr>
          <w:p>
            <w:pPr>
              <w:spacing w:after="20"/>
              <w:jc w:val="right"/>
            </w:pPr>
            <w:r>
              <w:rPr>
                <w:color w:val="1C3A36"/>
                <w:sz w:val="17"/>
              </w:rPr>
              <w:t>0.415</w:t>
            </w:r>
          </w:p>
        </w:tc>
        <w:tc>
          <w:tcPr>
            <w:tcW w:type="dxa" w:w="3672"/>
          </w:tcPr>
          <w:p>
            <w:pPr>
              <w:spacing w:after="20"/>
              <w:jc w:val="right"/>
            </w:pPr>
            <w:r>
              <w:rPr>
                <w:color w:val="1C3A36"/>
                <w:sz w:val="17"/>
              </w:rPr>
              <w:t>1.121</w:t>
            </w:r>
          </w:p>
        </w:tc>
      </w:tr>
      <w:tr>
        <w:tc>
          <w:tcPr>
            <w:tcW w:type="dxa" w:w="2232"/>
          </w:tcPr>
          <w:p>
            <w:pPr>
              <w:spacing w:after="20"/>
            </w:pPr>
            <w:r>
              <w:rPr>
                <w:color w:val="1C3A36"/>
                <w:sz w:val="17"/>
              </w:rPr>
              <w:t>How it was measured</w:t>
            </w:r>
          </w:p>
        </w:tc>
        <w:tc>
          <w:tcPr>
            <w:tcW w:type="dxa" w:w="3672"/>
          </w:tcPr>
          <w:p>
            <w:pPr>
              <w:spacing w:after="20"/>
              <w:jc w:val="right"/>
            </w:pPr>
            <w:r>
              <w:rPr>
                <w:color w:val="1C3A36"/>
                <w:sz w:val="17"/>
              </w:rPr>
              <w:t>215 weekly observations over 5 years against the FTSE ADX General Index</w:t>
            </w:r>
          </w:p>
        </w:tc>
        <w:tc>
          <w:tcPr>
            <w:tcW w:type="dxa" w:w="3672"/>
          </w:tcPr>
          <w:p>
            <w:pPr>
              <w:spacing w:after="20"/>
              <w:jc w:val="right"/>
            </w:pPr>
            <w:r>
              <w:rPr>
                <w:color w:val="1C3A36"/>
                <w:sz w:val="17"/>
              </w:rPr>
              <w:t>Global chemicals unlevered beta, re-levered at this company’s own debt and tax</w:t>
            </w:r>
          </w:p>
        </w:tc>
      </w:tr>
      <w:tr>
        <w:tc>
          <w:tcPr>
            <w:tcW w:type="dxa" w:w="2232"/>
          </w:tcPr>
          <w:p>
            <w:pPr>
              <w:spacing w:after="20"/>
            </w:pPr>
            <w:r>
              <w:rPr>
                <w:color w:val="1C3A36"/>
                <w:sz w:val="17"/>
              </w:rPr>
              <w:t>Statistical quality</w:t>
            </w:r>
          </w:p>
        </w:tc>
        <w:tc>
          <w:tcPr>
            <w:tcW w:type="dxa" w:w="3672"/>
          </w:tcPr>
          <w:p>
            <w:pPr>
              <w:spacing w:after="20"/>
              <w:jc w:val="right"/>
            </w:pPr>
            <w:r>
              <w:rPr>
                <w:color w:val="1C3A36"/>
                <w:sz w:val="17"/>
              </w:rPr>
              <w:t>R-squared 0.094; 90% interval [0.27, 0.56], spanning 0.70 times the estimate itself</w:t>
            </w:r>
          </w:p>
        </w:tc>
        <w:tc>
          <w:tcPr>
            <w:tcW w:type="dxa" w:w="3672"/>
          </w:tcPr>
          <w:p>
            <w:pPr>
              <w:spacing w:after="20"/>
              <w:jc w:val="right"/>
            </w:pPr>
            <w:r>
              <w:rPr>
                <w:color w:val="1C3A36"/>
                <w:sz w:val="17"/>
              </w:rPr>
              <w:t>No sampling error of its own, but it is somebody else’s companies</w:t>
            </w:r>
          </w:p>
        </w:tc>
      </w:tr>
      <w:tr>
        <w:tc>
          <w:tcPr>
            <w:tcW w:type="dxa" w:w="2232"/>
          </w:tcPr>
          <w:p>
            <w:pPr>
              <w:spacing w:after="20"/>
            </w:pPr>
            <w:r>
              <w:rPr>
                <w:color w:val="1C3A36"/>
                <w:sz w:val="17"/>
              </w:rPr>
              <w:t>Cost of equity</w:t>
            </w:r>
          </w:p>
        </w:tc>
        <w:tc>
          <w:tcPr>
            <w:tcW w:type="dxa" w:w="3672"/>
          </w:tcPr>
          <w:p>
            <w:pPr>
              <w:spacing w:after="20"/>
              <w:jc w:val="right"/>
            </w:pPr>
            <w:r>
              <w:rPr>
                <w:color w:val="1C3A36"/>
                <w:sz w:val="17"/>
              </w:rPr>
              <w:t>6.44%</w:t>
            </w:r>
          </w:p>
        </w:tc>
        <w:tc>
          <w:tcPr>
            <w:tcW w:type="dxa" w:w="3672"/>
          </w:tcPr>
          <w:p>
            <w:pPr>
              <w:spacing w:after="20"/>
              <w:jc w:val="right"/>
            </w:pPr>
            <w:r>
              <w:rPr>
                <w:color w:val="1C3A36"/>
                <w:sz w:val="17"/>
              </w:rPr>
              <w:t>9.88%</w:t>
            </w:r>
          </w:p>
        </w:tc>
      </w:tr>
      <w:tr>
        <w:tc>
          <w:tcPr>
            <w:tcW w:type="dxa" w:w="2232"/>
          </w:tcPr>
          <w:p>
            <w:pPr>
              <w:spacing w:after="20"/>
            </w:pPr>
            <w:r>
              <w:rPr>
                <w:color w:val="1C3A36"/>
                <w:sz w:val="17"/>
              </w:rPr>
              <w:t>Cost of capital</w:t>
            </w:r>
          </w:p>
        </w:tc>
        <w:tc>
          <w:tcPr>
            <w:tcW w:type="dxa" w:w="3672"/>
          </w:tcPr>
          <w:p>
            <w:pPr>
              <w:spacing w:after="20"/>
              <w:jc w:val="right"/>
            </w:pPr>
            <w:r>
              <w:rPr>
                <w:color w:val="1C3A36"/>
                <w:sz w:val="17"/>
              </w:rPr>
              <w:t>6.09%</w:t>
            </w:r>
          </w:p>
        </w:tc>
        <w:tc>
          <w:tcPr>
            <w:tcW w:type="dxa" w:w="3672"/>
          </w:tcPr>
          <w:p>
            <w:pPr>
              <w:spacing w:after="20"/>
              <w:jc w:val="right"/>
            </w:pPr>
            <w:r>
              <w:rPr>
                <w:color w:val="1C3A36"/>
                <w:sz w:val="17"/>
              </w:rPr>
              <w:t>9.03%</w:t>
            </w:r>
          </w:p>
        </w:tc>
      </w:tr>
      <w:tr>
        <w:tc>
          <w:tcPr>
            <w:tcW w:type="dxa" w:w="2232"/>
            <w:shd w:val="clear" w:color="auto" w:fill="F6F1E6"/>
          </w:tcPr>
          <w:p>
            <w:pPr>
              <w:spacing w:after="20"/>
            </w:pPr>
            <w:r>
              <w:rPr>
                <w:b/>
                <w:color w:val="1C3A36"/>
                <w:sz w:val="17"/>
              </w:rPr>
              <w:t>Value per share, shipping normalises</w:t>
            </w:r>
          </w:p>
        </w:tc>
        <w:tc>
          <w:tcPr>
            <w:tcW w:type="dxa" w:w="3672"/>
            <w:shd w:val="clear" w:color="auto" w:fill="F6F1E6"/>
          </w:tcPr>
          <w:p>
            <w:pPr>
              <w:spacing w:after="20"/>
              <w:jc w:val="right"/>
            </w:pPr>
            <w:r>
              <w:rPr>
                <w:b/>
                <w:color w:val="1C3A36"/>
                <w:sz w:val="17"/>
              </w:rPr>
              <w:t>2.79</w:t>
            </w:r>
          </w:p>
        </w:tc>
        <w:tc>
          <w:tcPr>
            <w:tcW w:type="dxa" w:w="3672"/>
            <w:shd w:val="clear" w:color="auto" w:fill="F6F1E6"/>
          </w:tcPr>
          <w:p>
            <w:pPr>
              <w:spacing w:after="20"/>
              <w:jc w:val="right"/>
            </w:pPr>
            <w:r>
              <w:rPr>
                <w:b/>
                <w:color w:val="1C3A36"/>
                <w:sz w:val="17"/>
              </w:rPr>
              <w:t>1.49</w:t>
            </w:r>
          </w:p>
        </w:tc>
      </w:tr>
    </w:tbl>
    <w:p>
      <w:pPr>
        <w:spacing w:after="40"/>
      </w:pPr>
    </w:p>
    <w:p>
      <w:pPr>
        <w:spacing w:after="200" w:before="0"/>
      </w:pPr>
      <w:r>
        <w:rPr>
          <w:b w:val="0"/>
          <w:i/>
          <w:color w:val="6E7B77"/>
          <w:sz w:val="17"/>
        </w:rPr>
        <w:t>Table 7 — The study’s central contested judgement, computed both ways and published side by side. It is never averaged into one number.</w:t>
      </w:r>
    </w:p>
    <w:p>
      <w:pPr>
        <w:spacing w:after="120" w:before="0"/>
      </w:pPr>
      <w:r>
        <w:rPr>
          <w:b w:val="0"/>
          <w:i w:val="0"/>
          <w:color w:val="1C3A36"/>
          <w:sz w:val="21"/>
        </w:rPr>
        <w:t>The case for the low measured beta is that it is this company’s own history, measured properly, and it passes every usability test applied to it. The case against it is that the same tests flag it as weak, and that a lead-lag correction for thin trading moves it DOWN rather than up — so infrequent trading does not explain it. What a 0.42 beta most plausibly measures is a share with a small free float that has traded in a narrow band since listing, not the risk of a business whose earnings track a global commodity benchmark. A reader who finds that argument persuasive should read the sector-beta column; a reader who trusts measured history over analogy should read the other. The study does not choose for them.</w:t>
      </w:r>
    </w:p>
    <w:p>
      <w:pPr>
        <w:spacing w:after="120" w:before="0"/>
      </w:pPr>
      <w:r>
        <w:rPr>
          <w:b w:val="0"/>
          <w:i w:val="0"/>
          <w:color w:val="1C3A36"/>
          <w:sz w:val="21"/>
        </w:rPr>
        <w:t>Because this is the number that matters most, it was tested four ways rather than measured once.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2808"/>
        <w:gridCol w:w="4536"/>
      </w:tblGrid>
      <w:tr>
        <w:tc>
          <w:tcPr>
            <w:tcW w:type="dxa" w:w="2448"/>
            <w:shd w:val="clear" w:color="auto" w:fill="EAF0EE"/>
          </w:tcPr>
          <w:p>
            <w:pPr>
              <w:spacing w:after="20"/>
            </w:pPr>
            <w:r>
              <w:rPr>
                <w:b/>
                <w:color w:val="1C3A36"/>
                <w:sz w:val="16"/>
              </w:rPr>
              <w:t>Test</w:t>
            </w:r>
          </w:p>
        </w:tc>
        <w:tc>
          <w:tcPr>
            <w:tcW w:type="dxa" w:w="2808"/>
            <w:shd w:val="clear" w:color="auto" w:fill="EAF0EE"/>
          </w:tcPr>
          <w:p>
            <w:pPr>
              <w:spacing w:after="20"/>
            </w:pPr>
            <w:r>
              <w:rPr>
                <w:b/>
                <w:color w:val="1C3A36"/>
                <w:sz w:val="16"/>
              </w:rPr>
              <w:t>Result</w:t>
            </w:r>
          </w:p>
        </w:tc>
        <w:tc>
          <w:tcPr>
            <w:tcW w:type="dxa" w:w="4536"/>
            <w:shd w:val="clear" w:color="auto" w:fill="EAF0EE"/>
          </w:tcPr>
          <w:p>
            <w:pPr>
              <w:spacing w:after="20"/>
            </w:pPr>
            <w:r>
              <w:rPr>
                <w:b/>
                <w:color w:val="1C3A36"/>
                <w:sz w:val="16"/>
              </w:rPr>
              <w:t>What it says</w:t>
            </w:r>
          </w:p>
        </w:tc>
      </w:tr>
      <w:tr>
        <w:tc>
          <w:tcPr>
            <w:tcW w:type="dxa" w:w="2448"/>
          </w:tcPr>
          <w:p>
            <w:pPr>
              <w:spacing w:after="20"/>
            </w:pPr>
            <w:r>
              <w:rPr>
                <w:color w:val="1C3A36"/>
                <w:sz w:val="16"/>
              </w:rPr>
              <w:t>Window length</w:t>
            </w:r>
          </w:p>
        </w:tc>
        <w:tc>
          <w:tcPr>
            <w:tcW w:type="dxa" w:w="2808"/>
          </w:tcPr>
          <w:p>
            <w:pPr>
              <w:spacing w:after="20"/>
              <w:jc w:val="right"/>
            </w:pPr>
            <w:r>
              <w:rPr>
                <w:color w:val="1C3A36"/>
                <w:sz w:val="16"/>
              </w:rPr>
              <w:t>2yr 0.38 · 3yr 0.38 · 4yr 0.36 · 5yr 0.42</w:t>
            </w:r>
          </w:p>
        </w:tc>
        <w:tc>
          <w:tcPr>
            <w:tcW w:type="dxa" w:w="4536"/>
          </w:tcPr>
          <w:p>
            <w:pPr>
              <w:spacing w:after="20"/>
              <w:jc w:val="right"/>
            </w:pPr>
            <w:r>
              <w:rPr>
                <w:color w:val="1C3A36"/>
                <w:sz w:val="16"/>
              </w:rPr>
              <w:t>Stable. The rule permits any window from two to five years, and the answer barely moves across all four — so the estimate is not an artefact of where the window was cut</w:t>
            </w:r>
          </w:p>
        </w:tc>
      </w:tr>
      <w:tr>
        <w:tc>
          <w:tcPr>
            <w:tcW w:type="dxa" w:w="2448"/>
          </w:tcPr>
          <w:p>
            <w:pPr>
              <w:spacing w:after="20"/>
            </w:pPr>
            <w:r>
              <w:rPr>
                <w:color w:val="1C3A36"/>
                <w:sz w:val="16"/>
              </w:rPr>
              <w:t>Lead-lag correction for thin trading</w:t>
            </w:r>
          </w:p>
        </w:tc>
        <w:tc>
          <w:tcPr>
            <w:tcW w:type="dxa" w:w="2808"/>
          </w:tcPr>
          <w:p>
            <w:pPr>
              <w:spacing w:after="20"/>
              <w:jc w:val="right"/>
            </w:pPr>
            <w:r>
              <w:rPr>
                <w:color w:val="1C3A36"/>
                <w:sz w:val="16"/>
              </w:rPr>
              <w:t>0.351 against 0.415</w:t>
            </w:r>
          </w:p>
        </w:tc>
        <w:tc>
          <w:tcPr>
            <w:tcW w:type="dxa" w:w="4536"/>
          </w:tcPr>
          <w:p>
            <w:pPr>
              <w:spacing w:after="20"/>
              <w:jc w:val="right"/>
            </w:pPr>
            <w:r>
              <w:rPr>
                <w:color w:val="1C3A36"/>
                <w:sz w:val="16"/>
              </w:rPr>
              <w:t>Moves the estimate DOWN, not up. Infrequent trading is the usual explanation for a low measured beta, and here it is ruled out rather than assumed</w:t>
            </w:r>
          </w:p>
        </w:tc>
      </w:tr>
      <w:tr>
        <w:tc>
          <w:tcPr>
            <w:tcW w:type="dxa" w:w="2448"/>
          </w:tcPr>
          <w:p>
            <w:pPr>
              <w:spacing w:after="20"/>
            </w:pPr>
            <w:r>
              <w:rPr>
                <w:color w:val="1C3A36"/>
                <w:sz w:val="16"/>
              </w:rPr>
              <w:t>A different construction of "the market"</w:t>
            </w:r>
          </w:p>
        </w:tc>
        <w:tc>
          <w:tcPr>
            <w:tcW w:type="dxa" w:w="2808"/>
          </w:tcPr>
          <w:p>
            <w:pPr>
              <w:spacing w:after="20"/>
              <w:jc w:val="right"/>
            </w:pPr>
            <w:r>
              <w:rPr>
                <w:color w:val="1C3A36"/>
                <w:sz w:val="16"/>
              </w:rPr>
              <w:t>0.271 against an equal-weight basket of the other 17 listed UAE names</w:t>
            </w:r>
          </w:p>
        </w:tc>
        <w:tc>
          <w:tcPr>
            <w:tcW w:type="dxa" w:w="4536"/>
          </w:tcPr>
          <w:p>
            <w:pPr>
              <w:spacing w:after="20"/>
              <w:jc w:val="right"/>
            </w:pPr>
            <w:r>
              <w:rPr>
                <w:color w:val="1C3A36"/>
                <w:sz w:val="16"/>
              </w:rPr>
              <w:t>Lower still. An equal-weight basket over-weights small, thinly traded companies, which is exactly why the market-capitalisation-weighted index is the right measure and this is only a cross-check</w:t>
            </w:r>
          </w:p>
        </w:tc>
      </w:tr>
      <w:tr>
        <w:tc>
          <w:tcPr>
            <w:tcW w:type="dxa" w:w="2448"/>
          </w:tcPr>
          <w:p>
            <w:pPr>
              <w:spacing w:after="20"/>
            </w:pPr>
            <w:r>
              <w:rPr>
                <w:color w:val="1C3A36"/>
                <w:sz w:val="16"/>
              </w:rPr>
              <w:t>Is the share inside its own index?</w:t>
            </w:r>
          </w:p>
        </w:tc>
        <w:tc>
          <w:tcPr>
            <w:tcW w:type="dxa" w:w="2808"/>
          </w:tcPr>
          <w:p>
            <w:pPr>
              <w:spacing w:after="20"/>
              <w:jc w:val="right"/>
            </w:pPr>
            <w:r>
              <w:rPr>
                <w:color w:val="1C3A36"/>
                <w:sz w:val="16"/>
              </w:rPr>
              <w:t>Yes, at under 2.3% of it</w:t>
            </w:r>
          </w:p>
        </w:tc>
        <w:tc>
          <w:tcPr>
            <w:tcW w:type="dxa" w:w="4536"/>
          </w:tcPr>
          <w:p>
            <w:pPr>
              <w:spacing w:after="20"/>
              <w:jc w:val="right"/>
            </w:pPr>
            <w:r>
              <w:rPr>
                <w:color w:val="1C3A36"/>
                <w:sz w:val="16"/>
              </w:rPr>
              <w:t>It is a constituent, so a little of its own movement is inside the thing it is measured against. At this weight the effect is negligible; in the equal-weight basket above it would not have been</w:t>
            </w:r>
          </w:p>
        </w:tc>
      </w:tr>
    </w:tbl>
    <w:p>
      <w:pPr>
        <w:spacing w:after="40"/>
      </w:pPr>
    </w:p>
    <w:p>
      <w:pPr>
        <w:spacing w:after="200" w:before="0"/>
      </w:pPr>
      <w:r>
        <w:rPr>
          <w:b w:val="0"/>
          <w:i/>
          <w:color w:val="6E7B77"/>
          <w:sz w:val="17"/>
        </w:rPr>
        <w:t>Table 8 — The beta tested four ways. Every test points the same direction: the measured figure is genuinely low, and it is genuinely uncertain.</w:t>
      </w:r>
    </w:p>
    <w:p>
      <w:pPr>
        <w:spacing w:after="80" w:before="200"/>
      </w:pPr>
      <w:r>
        <w:rPr>
          <w:b/>
          <w:i w:val="0"/>
          <w:color w:val="1C3A36"/>
          <w:sz w:val="24"/>
        </w:rPr>
        <w:t>1.8  Macro, country and the cost of capital</w:t>
      </w:r>
    </w:p>
    <w:p>
      <w:pPr>
        <w:spacing w:after="120" w:before="0"/>
      </w:pPr>
      <w:r>
        <w:rPr>
          <w:b w:val="0"/>
          <w:i w:val="0"/>
          <w:color w:val="1C3A36"/>
          <w:sz w:val="21"/>
        </w:rPr>
        <w:t>The cost of capital is built from the ground up, and country risk is charged exactly once.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368"/>
        <w:gridCol w:w="5616"/>
      </w:tblGrid>
      <w:tr>
        <w:tc>
          <w:tcPr>
            <w:tcW w:type="dxa" w:w="2952"/>
            <w:shd w:val="clear" w:color="auto" w:fill="EAF0EE"/>
          </w:tcPr>
          <w:p>
            <w:pPr>
              <w:spacing w:after="20"/>
            </w:pPr>
            <w:r>
              <w:rPr>
                <w:b/>
                <w:color w:val="1C3A36"/>
                <w:sz w:val="17"/>
              </w:rPr>
              <w:t>Component</w:t>
            </w:r>
          </w:p>
        </w:tc>
        <w:tc>
          <w:tcPr>
            <w:tcW w:type="dxa" w:w="1368"/>
            <w:shd w:val="clear" w:color="auto" w:fill="EAF0EE"/>
          </w:tcPr>
          <w:p>
            <w:pPr>
              <w:spacing w:after="20"/>
            </w:pPr>
            <w:r>
              <w:rPr>
                <w:b/>
                <w:color w:val="1C3A36"/>
                <w:sz w:val="17"/>
              </w:rPr>
              <w:t>Value</w:t>
            </w:r>
          </w:p>
        </w:tc>
        <w:tc>
          <w:tcPr>
            <w:tcW w:type="dxa" w:w="5616"/>
            <w:shd w:val="clear" w:color="auto" w:fill="EAF0EE"/>
          </w:tcPr>
          <w:p>
            <w:pPr>
              <w:spacing w:after="20"/>
            </w:pPr>
            <w:r>
              <w:rPr>
                <w:b/>
                <w:color w:val="1C3A36"/>
                <w:sz w:val="17"/>
              </w:rPr>
              <w:t>Where it comes from</w:t>
            </w:r>
          </w:p>
        </w:tc>
      </w:tr>
      <w:tr>
        <w:tc>
          <w:tcPr>
            <w:tcW w:type="dxa" w:w="2952"/>
          </w:tcPr>
          <w:p>
            <w:pPr>
              <w:spacing w:after="20"/>
            </w:pPr>
            <w:r>
              <w:rPr>
                <w:color w:val="1C3A36"/>
                <w:sz w:val="17"/>
              </w:rPr>
              <w:t>US 10-year Treasury yield</w:t>
            </w:r>
          </w:p>
        </w:tc>
        <w:tc>
          <w:tcPr>
            <w:tcW w:type="dxa" w:w="1368"/>
          </w:tcPr>
          <w:p>
            <w:pPr>
              <w:spacing w:after="20"/>
              <w:jc w:val="right"/>
            </w:pPr>
            <w:r>
              <w:rPr>
                <w:color w:val="1C3A36"/>
                <w:sz w:val="17"/>
              </w:rPr>
              <w:t>4.65%</w:t>
            </w:r>
          </w:p>
        </w:tc>
        <w:tc>
          <w:tcPr>
            <w:tcW w:type="dxa" w:w="5616"/>
          </w:tcPr>
          <w:p>
            <w:pPr>
              <w:spacing w:after="20"/>
              <w:jc w:val="right"/>
            </w:pPr>
            <w:r>
              <w:rPr>
                <w:color w:val="1C3A36"/>
                <w:sz w:val="17"/>
              </w:rPr>
              <w:t>The dollar risk-free anchor</w:t>
            </w:r>
          </w:p>
        </w:tc>
      </w:tr>
      <w:tr>
        <w:tc>
          <w:tcPr>
            <w:tcW w:type="dxa" w:w="2952"/>
          </w:tcPr>
          <w:p>
            <w:pPr>
              <w:spacing w:after="20"/>
            </w:pPr>
            <w:r>
              <w:rPr>
                <w:color w:val="1C3A36"/>
                <w:sz w:val="17"/>
              </w:rPr>
              <w:t>Less: US default spread</w:t>
            </w:r>
          </w:p>
        </w:tc>
        <w:tc>
          <w:tcPr>
            <w:tcW w:type="dxa" w:w="1368"/>
          </w:tcPr>
          <w:p>
            <w:pPr>
              <w:spacing w:after="20"/>
              <w:jc w:val="right"/>
            </w:pPr>
            <w:r>
              <w:rPr>
                <w:color w:val="1C3A36"/>
                <w:sz w:val="17"/>
              </w:rPr>
              <w:t>(0.23%)</w:t>
            </w:r>
          </w:p>
        </w:tc>
        <w:tc>
          <w:tcPr>
            <w:tcW w:type="dxa" w:w="5616"/>
          </w:tcPr>
          <w:p>
            <w:pPr>
              <w:spacing w:after="20"/>
              <w:jc w:val="right"/>
            </w:pPr>
            <w:r>
              <w:rPr>
                <w:color w:val="1C3A36"/>
                <w:sz w:val="17"/>
              </w:rPr>
              <w:t>Normalises the yield to a true risk-free rate</w:t>
            </w:r>
          </w:p>
        </w:tc>
      </w:tr>
      <w:tr>
        <w:tc>
          <w:tcPr>
            <w:tcW w:type="dxa" w:w="2952"/>
            <w:shd w:val="clear" w:color="auto" w:fill="F6F1E6"/>
          </w:tcPr>
          <w:p>
            <w:pPr>
              <w:spacing w:after="20"/>
            </w:pPr>
            <w:r>
              <w:rPr>
                <w:b/>
                <w:color w:val="1C3A36"/>
                <w:sz w:val="17"/>
              </w:rPr>
              <w:t>Normalised risk-free rate</w:t>
            </w:r>
          </w:p>
        </w:tc>
        <w:tc>
          <w:tcPr>
            <w:tcW w:type="dxa" w:w="1368"/>
            <w:shd w:val="clear" w:color="auto" w:fill="F6F1E6"/>
          </w:tcPr>
          <w:p>
            <w:pPr>
              <w:spacing w:after="20"/>
              <w:jc w:val="right"/>
            </w:pPr>
            <w:r>
              <w:rPr>
                <w:b/>
                <w:color w:val="1C3A36"/>
                <w:sz w:val="17"/>
              </w:rPr>
              <w:t>4.42%</w:t>
            </w:r>
          </w:p>
        </w:tc>
        <w:tc>
          <w:tcPr>
            <w:tcW w:type="dxa" w:w="5616"/>
            <w:shd w:val="clear" w:color="auto" w:fill="F6F1E6"/>
          </w:tcPr>
          <w:p>
            <w:pPr>
              <w:spacing w:after="20"/>
              <w:jc w:val="right"/>
            </w:pPr>
            <w:r>
              <w:rPr>
                <w:b/>
                <w:color w:val="1C3A36"/>
                <w:sz w:val="17"/>
              </w:rPr>
              <w:t>The rate used</w:t>
            </w:r>
          </w:p>
        </w:tc>
      </w:tr>
      <w:tr>
        <w:tc>
          <w:tcPr>
            <w:tcW w:type="dxa" w:w="2952"/>
          </w:tcPr>
          <w:p>
            <w:pPr>
              <w:spacing w:after="20"/>
            </w:pPr>
            <w:r>
              <w:rPr>
                <w:color w:val="1C3A36"/>
                <w:sz w:val="17"/>
              </w:rPr>
              <w:t>Dirham cross-check</w:t>
            </w:r>
          </w:p>
        </w:tc>
        <w:tc>
          <w:tcPr>
            <w:tcW w:type="dxa" w:w="1368"/>
          </w:tcPr>
          <w:p>
            <w:pPr>
              <w:spacing w:after="20"/>
              <w:jc w:val="right"/>
            </w:pPr>
            <w:r>
              <w:rPr>
                <w:color w:val="1C3A36"/>
                <w:sz w:val="17"/>
              </w:rPr>
              <w:t>4.06%</w:t>
            </w:r>
          </w:p>
        </w:tc>
        <w:tc>
          <w:tcPr>
            <w:tcW w:type="dxa" w:w="5616"/>
          </w:tcPr>
          <w:p>
            <w:pPr>
              <w:spacing w:after="20"/>
              <w:jc w:val="right"/>
            </w:pPr>
            <w:r>
              <w:rPr>
                <w:color w:val="1C3A36"/>
                <w:sz w:val="17"/>
              </w:rPr>
              <w:t>UAE dirham government bond at 4.48% less the UAE default spread of 0.42%</w:t>
            </w:r>
          </w:p>
        </w:tc>
      </w:tr>
      <w:tr>
        <w:tc>
          <w:tcPr>
            <w:tcW w:type="dxa" w:w="2952"/>
          </w:tcPr>
          <w:p>
            <w:pPr>
              <w:spacing w:after="20"/>
            </w:pPr>
            <w:r>
              <w:rPr>
                <w:color w:val="1C3A36"/>
                <w:sz w:val="17"/>
              </w:rPr>
              <w:t>Mature-market equity premium</w:t>
            </w:r>
          </w:p>
        </w:tc>
        <w:tc>
          <w:tcPr>
            <w:tcW w:type="dxa" w:w="1368"/>
          </w:tcPr>
          <w:p>
            <w:pPr>
              <w:spacing w:after="20"/>
              <w:jc w:val="right"/>
            </w:pPr>
            <w:r>
              <w:rPr>
                <w:color w:val="1C3A36"/>
                <w:sz w:val="17"/>
              </w:rPr>
              <w:t>4.23%</w:t>
            </w:r>
          </w:p>
        </w:tc>
        <w:tc>
          <w:tcPr>
            <w:tcW w:type="dxa" w:w="5616"/>
          </w:tcPr>
          <w:p>
            <w:pPr>
              <w:spacing w:after="20"/>
              <w:jc w:val="right"/>
            </w:pPr>
            <w:r>
              <w:rPr>
                <w:color w:val="1C3A36"/>
                <w:sz w:val="17"/>
              </w:rPr>
              <w:t>Before country risk</w:t>
            </w:r>
          </w:p>
        </w:tc>
      </w:tr>
      <w:tr>
        <w:tc>
          <w:tcPr>
            <w:tcW w:type="dxa" w:w="2952"/>
          </w:tcPr>
          <w:p>
            <w:pPr>
              <w:spacing w:after="20"/>
            </w:pPr>
            <w:r>
              <w:rPr>
                <w:color w:val="1C3A36"/>
                <w:sz w:val="17"/>
              </w:rPr>
              <w:t>Plus: UAE country risk premium</w:t>
            </w:r>
          </w:p>
        </w:tc>
        <w:tc>
          <w:tcPr>
            <w:tcW w:type="dxa" w:w="1368"/>
          </w:tcPr>
          <w:p>
            <w:pPr>
              <w:spacing w:after="20"/>
              <w:jc w:val="right"/>
            </w:pPr>
            <w:r>
              <w:rPr>
                <w:color w:val="1C3A36"/>
                <w:sz w:val="17"/>
              </w:rPr>
              <w:t>0.64%</w:t>
            </w:r>
          </w:p>
        </w:tc>
        <w:tc>
          <w:tcPr>
            <w:tcW w:type="dxa" w:w="5616"/>
          </w:tcPr>
          <w:p>
            <w:pPr>
              <w:spacing w:after="20"/>
              <w:jc w:val="right"/>
            </w:pPr>
            <w:r>
              <w:rPr>
                <w:color w:val="1C3A36"/>
                <w:sz w:val="17"/>
              </w:rPr>
              <w:t>Country risk enters here and nowhere else</w:t>
            </w:r>
          </w:p>
        </w:tc>
      </w:tr>
      <w:tr>
        <w:tc>
          <w:tcPr>
            <w:tcW w:type="dxa" w:w="2952"/>
            <w:shd w:val="clear" w:color="auto" w:fill="F6F1E6"/>
          </w:tcPr>
          <w:p>
            <w:pPr>
              <w:spacing w:after="20"/>
            </w:pPr>
            <w:r>
              <w:rPr>
                <w:b/>
                <w:color w:val="1C3A36"/>
                <w:sz w:val="17"/>
              </w:rPr>
              <w:t>Equity risk premium (rating basis)</w:t>
            </w:r>
          </w:p>
        </w:tc>
        <w:tc>
          <w:tcPr>
            <w:tcW w:type="dxa" w:w="1368"/>
            <w:shd w:val="clear" w:color="auto" w:fill="F6F1E6"/>
          </w:tcPr>
          <w:p>
            <w:pPr>
              <w:spacing w:after="20"/>
              <w:jc w:val="right"/>
            </w:pPr>
            <w:r>
              <w:rPr>
                <w:b/>
                <w:color w:val="1C3A36"/>
                <w:sz w:val="17"/>
              </w:rPr>
              <w:t>4.87%</w:t>
            </w:r>
          </w:p>
        </w:tc>
        <w:tc>
          <w:tcPr>
            <w:tcW w:type="dxa" w:w="5616"/>
            <w:shd w:val="clear" w:color="auto" w:fill="F6F1E6"/>
          </w:tcPr>
          <w:p>
            <w:pPr>
              <w:spacing w:after="20"/>
              <w:jc w:val="right"/>
            </w:pPr>
            <w:r>
              <w:rPr>
                <w:b/>
                <w:color w:val="1C3A36"/>
                <w:sz w:val="17"/>
              </w:rPr>
              <w:t>The premium used</w:t>
            </w:r>
          </w:p>
        </w:tc>
      </w:tr>
      <w:tr>
        <w:tc>
          <w:tcPr>
            <w:tcW w:type="dxa" w:w="2952"/>
          </w:tcPr>
          <w:p>
            <w:pPr>
              <w:spacing w:after="20"/>
            </w:pPr>
            <w:r>
              <w:rPr>
                <w:color w:val="1C3A36"/>
                <w:sz w:val="17"/>
              </w:rPr>
              <w:t>Equity risk premium (spread basis)</w:t>
            </w:r>
          </w:p>
        </w:tc>
        <w:tc>
          <w:tcPr>
            <w:tcW w:type="dxa" w:w="1368"/>
          </w:tcPr>
          <w:p>
            <w:pPr>
              <w:spacing w:after="20"/>
              <w:jc w:val="right"/>
            </w:pPr>
            <w:r>
              <w:rPr>
                <w:color w:val="1C3A36"/>
                <w:sz w:val="17"/>
              </w:rPr>
              <w:t>4.65%</w:t>
            </w:r>
          </w:p>
        </w:tc>
        <w:tc>
          <w:tcPr>
            <w:tcW w:type="dxa" w:w="5616"/>
          </w:tcPr>
          <w:p>
            <w:pPr>
              <w:spacing w:after="20"/>
              <w:jc w:val="right"/>
            </w:pPr>
            <w:r>
              <w:rPr>
                <w:color w:val="1C3A36"/>
                <w:sz w:val="17"/>
              </w:rPr>
              <w:t>Published alongside: no sovereign credit-default-swap quote exists for the UAE</w:t>
            </w:r>
          </w:p>
        </w:tc>
      </w:tr>
      <w:tr>
        <w:tc>
          <w:tcPr>
            <w:tcW w:type="dxa" w:w="2952"/>
          </w:tcPr>
          <w:p>
            <w:pPr>
              <w:spacing w:after="20"/>
            </w:pPr>
            <w:r>
              <w:rPr>
                <w:color w:val="1C3A36"/>
                <w:sz w:val="17"/>
              </w:rPr>
              <w:t>Cost of equity — own beta</w:t>
            </w:r>
          </w:p>
        </w:tc>
        <w:tc>
          <w:tcPr>
            <w:tcW w:type="dxa" w:w="1368"/>
          </w:tcPr>
          <w:p>
            <w:pPr>
              <w:spacing w:after="20"/>
              <w:jc w:val="right"/>
            </w:pPr>
            <w:r>
              <w:rPr>
                <w:color w:val="1C3A36"/>
                <w:sz w:val="17"/>
              </w:rPr>
              <w:t>6.44%</w:t>
            </w:r>
          </w:p>
        </w:tc>
        <w:tc>
          <w:tcPr>
            <w:tcW w:type="dxa" w:w="5616"/>
          </w:tcPr>
          <w:p>
            <w:pPr>
              <w:spacing w:after="20"/>
              <w:jc w:val="right"/>
            </w:pPr>
            <w:r>
              <w:rPr>
                <w:color w:val="1C3A36"/>
                <w:sz w:val="17"/>
              </w:rPr>
              <w:t>Risk-free plus beta times premium</w:t>
            </w:r>
          </w:p>
        </w:tc>
      </w:tr>
      <w:tr>
        <w:tc>
          <w:tcPr>
            <w:tcW w:type="dxa" w:w="2952"/>
          </w:tcPr>
          <w:p>
            <w:pPr>
              <w:spacing w:after="20"/>
            </w:pPr>
            <w:r>
              <w:rPr>
                <w:color w:val="1C3A36"/>
                <w:sz w:val="17"/>
              </w:rPr>
              <w:t>Cost of equity — sector beta</w:t>
            </w:r>
          </w:p>
        </w:tc>
        <w:tc>
          <w:tcPr>
            <w:tcW w:type="dxa" w:w="1368"/>
          </w:tcPr>
          <w:p>
            <w:pPr>
              <w:spacing w:after="20"/>
              <w:jc w:val="right"/>
            </w:pPr>
            <w:r>
              <w:rPr>
                <w:color w:val="1C3A36"/>
                <w:sz w:val="17"/>
              </w:rPr>
              <w:t>9.88%</w:t>
            </w:r>
          </w:p>
        </w:tc>
        <w:tc>
          <w:tcPr>
            <w:tcW w:type="dxa" w:w="5616"/>
          </w:tcPr>
          <w:p>
            <w:pPr>
              <w:spacing w:after="20"/>
              <w:jc w:val="right"/>
            </w:pPr>
            <w:r>
              <w:rPr>
                <w:color w:val="1C3A36"/>
                <w:sz w:val="17"/>
              </w:rPr>
              <w:t>The same build, other beta</w:t>
            </w:r>
          </w:p>
        </w:tc>
      </w:tr>
      <w:tr>
        <w:tc>
          <w:tcPr>
            <w:tcW w:type="dxa" w:w="2952"/>
          </w:tcPr>
          <w:p>
            <w:pPr>
              <w:spacing w:after="20"/>
            </w:pPr>
            <w:r>
              <w:rPr>
                <w:color w:val="1C3A36"/>
                <w:sz w:val="17"/>
              </w:rPr>
              <w:t>Pre-tax cost of debt</w:t>
            </w:r>
          </w:p>
        </w:tc>
        <w:tc>
          <w:tcPr>
            <w:tcW w:type="dxa" w:w="1368"/>
          </w:tcPr>
          <w:p>
            <w:pPr>
              <w:spacing w:after="20"/>
              <w:jc w:val="right"/>
            </w:pPr>
            <w:r>
              <w:rPr>
                <w:color w:val="1C3A36"/>
                <w:sz w:val="17"/>
              </w:rPr>
              <w:t>5.55%</w:t>
            </w:r>
          </w:p>
        </w:tc>
        <w:tc>
          <w:tcPr>
            <w:tcW w:type="dxa" w:w="5616"/>
          </w:tcPr>
          <w:p>
            <w:pPr>
              <w:spacing w:after="20"/>
              <w:jc w:val="right"/>
            </w:pPr>
            <w:r>
              <w:rPr>
                <w:color w:val="1C3A36"/>
                <w:sz w:val="17"/>
              </w:rPr>
              <w:t>Marginal and forward-looking, in the currency of the cash flows</w:t>
            </w:r>
          </w:p>
        </w:tc>
      </w:tr>
      <w:tr>
        <w:tc>
          <w:tcPr>
            <w:tcW w:type="dxa" w:w="2952"/>
          </w:tcPr>
          <w:p>
            <w:pPr>
              <w:spacing w:after="20"/>
            </w:pPr>
            <w:r>
              <w:rPr>
                <w:color w:val="1C3A36"/>
                <w:sz w:val="17"/>
              </w:rPr>
              <w:t>Equity weight at market value</w:t>
            </w:r>
          </w:p>
        </w:tc>
        <w:tc>
          <w:tcPr>
            <w:tcW w:type="dxa" w:w="1368"/>
          </w:tcPr>
          <w:p>
            <w:pPr>
              <w:spacing w:after="20"/>
              <w:jc w:val="right"/>
            </w:pPr>
            <w:r>
              <w:rPr>
                <w:color w:val="1C3A36"/>
                <w:sz w:val="17"/>
              </w:rPr>
              <w:t>85.7%</w:t>
            </w:r>
          </w:p>
        </w:tc>
        <w:tc>
          <w:tcPr>
            <w:tcW w:type="dxa" w:w="5616"/>
          </w:tcPr>
          <w:p>
            <w:pPr>
              <w:spacing w:after="20"/>
              <w:jc w:val="right"/>
            </w:pPr>
            <w:r>
              <w:rPr>
                <w:color w:val="1C3A36"/>
                <w:sz w:val="17"/>
              </w:rPr>
              <w:t>Market capitalisation $19,643m against net debt $3,275m</w:t>
            </w:r>
          </w:p>
        </w:tc>
      </w:tr>
      <w:tr>
        <w:tc>
          <w:tcPr>
            <w:tcW w:type="dxa" w:w="2952"/>
            <w:shd w:val="clear" w:color="auto" w:fill="F6F1E6"/>
          </w:tcPr>
          <w:p>
            <w:pPr>
              <w:spacing w:after="20"/>
            </w:pPr>
            <w:r>
              <w:rPr>
                <w:b/>
                <w:color w:val="1C3A36"/>
                <w:sz w:val="17"/>
              </w:rPr>
              <w:t>Cost of capital — own beta</w:t>
            </w:r>
          </w:p>
        </w:tc>
        <w:tc>
          <w:tcPr>
            <w:tcW w:type="dxa" w:w="1368"/>
            <w:shd w:val="clear" w:color="auto" w:fill="F6F1E6"/>
          </w:tcPr>
          <w:p>
            <w:pPr>
              <w:spacing w:after="20"/>
              <w:jc w:val="right"/>
            </w:pPr>
            <w:r>
              <w:rPr>
                <w:b/>
                <w:color w:val="1C3A36"/>
                <w:sz w:val="17"/>
              </w:rPr>
              <w:t>6.09%</w:t>
            </w:r>
          </w:p>
        </w:tc>
        <w:tc>
          <w:tcPr>
            <w:tcW w:type="dxa" w:w="5616"/>
            <w:shd w:val="clear" w:color="auto" w:fill="F6F1E6"/>
          </w:tcPr>
          <w:p>
            <w:pPr>
              <w:spacing w:after="20"/>
              <w:jc w:val="right"/>
            </w:pPr>
            <w:r>
              <w:rPr>
                <w:b/>
                <w:color w:val="1C3A36"/>
                <w:sz w:val="17"/>
              </w:rPr>
            </w:r>
          </w:p>
        </w:tc>
      </w:tr>
      <w:tr>
        <w:tc>
          <w:tcPr>
            <w:tcW w:type="dxa" w:w="2952"/>
            <w:shd w:val="clear" w:color="auto" w:fill="F6F1E6"/>
          </w:tcPr>
          <w:p>
            <w:pPr>
              <w:spacing w:after="20"/>
            </w:pPr>
            <w:r>
              <w:rPr>
                <w:b/>
                <w:color w:val="1C3A36"/>
                <w:sz w:val="17"/>
              </w:rPr>
              <w:t>Cost of capital — sector beta</w:t>
            </w:r>
          </w:p>
        </w:tc>
        <w:tc>
          <w:tcPr>
            <w:tcW w:type="dxa" w:w="1368"/>
            <w:shd w:val="clear" w:color="auto" w:fill="F6F1E6"/>
          </w:tcPr>
          <w:p>
            <w:pPr>
              <w:spacing w:after="20"/>
              <w:jc w:val="right"/>
            </w:pPr>
            <w:r>
              <w:rPr>
                <w:b/>
                <w:color w:val="1C3A36"/>
                <w:sz w:val="17"/>
              </w:rPr>
              <w:t>9.03%</w:t>
            </w:r>
          </w:p>
        </w:tc>
        <w:tc>
          <w:tcPr>
            <w:tcW w:type="dxa" w:w="5616"/>
            <w:shd w:val="clear" w:color="auto" w:fill="F6F1E6"/>
          </w:tcPr>
          <w:p>
            <w:pPr>
              <w:spacing w:after="20"/>
              <w:jc w:val="right"/>
            </w:pPr>
            <w:r>
              <w:rPr>
                <w:b/>
                <w:color w:val="1C3A36"/>
                <w:sz w:val="17"/>
              </w:rPr>
            </w:r>
          </w:p>
        </w:tc>
      </w:tr>
    </w:tbl>
    <w:p>
      <w:pPr>
        <w:spacing w:after="40"/>
      </w:pPr>
    </w:p>
    <w:p>
      <w:pPr>
        <w:spacing w:after="200" w:before="0"/>
      </w:pPr>
      <w:r>
        <w:rPr>
          <w:b w:val="0"/>
          <w:i/>
          <w:color w:val="6E7B77"/>
          <w:sz w:val="17"/>
        </w:rPr>
        <w:t>Table 9 — The cost of capital, built line by line. The risk-free rate is normalised by the sovereign’s own default spread BEFORE a country premium is added, so sovereign risk is charged once rather than twice.</w:t>
      </w:r>
    </w:p>
    <w:p>
      <w:pPr>
        <w:spacing w:after="120" w:before="0"/>
      </w:pPr>
      <w:r>
        <w:rPr>
          <w:b w:val="0"/>
          <w:i w:val="0"/>
          <w:color w:val="1C3A36"/>
          <w:sz w:val="21"/>
        </w:rPr>
        <w:t>Two constructions of the risk-free rate are shown because they do not agree, and the gap is reported rather than reconciled away. Building it in dollars gives 4.42%; building it from the dirham government bond and subtracting the UAE’s own default spread gives 4.06%. Under a hard peg those should coincide; they differ by 0.36%. The dollar construction is used because the company reports, borrows and sells in dollars.</w:t>
      </w:r>
    </w:p>
    <w:p>
      <w:pPr>
        <w:spacing w:after="120" w:before="0"/>
      </w:pPr>
      <w:r>
        <w:rPr>
          <w:b w:val="0"/>
          <w:i w:val="0"/>
          <w:color w:val="1C3A36"/>
          <w:sz w:val="21"/>
        </w:rPr>
        <w:t>The cost of debt was tested against evidence rather than assumed.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152"/>
        <w:gridCol w:w="5976"/>
      </w:tblGrid>
      <w:tr>
        <w:tc>
          <w:tcPr>
            <w:tcW w:type="dxa" w:w="2808"/>
            <w:shd w:val="clear" w:color="auto" w:fill="EAF0EE"/>
          </w:tcPr>
          <w:p>
            <w:pPr>
              <w:spacing w:after="20"/>
            </w:pPr>
            <w:r>
              <w:rPr>
                <w:b/>
                <w:color w:val="1C3A36"/>
                <w:sz w:val="17"/>
              </w:rPr>
              <w:t>Evidence</w:t>
            </w:r>
          </w:p>
        </w:tc>
        <w:tc>
          <w:tcPr>
            <w:tcW w:type="dxa" w:w="1152"/>
            <w:shd w:val="clear" w:color="auto" w:fill="EAF0EE"/>
          </w:tcPr>
          <w:p>
            <w:pPr>
              <w:spacing w:after="20"/>
            </w:pPr>
            <w:r>
              <w:rPr>
                <w:b/>
                <w:color w:val="1C3A36"/>
                <w:sz w:val="17"/>
              </w:rPr>
              <w:t>Rate</w:t>
            </w:r>
          </w:p>
        </w:tc>
        <w:tc>
          <w:tcPr>
            <w:tcW w:type="dxa" w:w="5976"/>
            <w:shd w:val="clear" w:color="auto" w:fill="EAF0EE"/>
          </w:tcPr>
          <w:p>
            <w:pPr>
              <w:spacing w:after="20"/>
            </w:pPr>
            <w:r>
              <w:rPr>
                <w:b/>
                <w:color w:val="1C3A36"/>
                <w:sz w:val="17"/>
              </w:rPr>
              <w:t>Read</w:t>
            </w:r>
          </w:p>
        </w:tc>
      </w:tr>
      <w:tr>
        <w:tc>
          <w:tcPr>
            <w:tcW w:type="dxa" w:w="2808"/>
          </w:tcPr>
          <w:p>
            <w:pPr>
              <w:spacing w:after="20"/>
            </w:pPr>
            <w:r>
              <w:rPr>
                <w:color w:val="1C3A36"/>
                <w:sz w:val="17"/>
              </w:rPr>
              <w:t>UAE sovereign in dollars</w:t>
            </w:r>
          </w:p>
        </w:tc>
        <w:tc>
          <w:tcPr>
            <w:tcW w:type="dxa" w:w="1152"/>
          </w:tcPr>
          <w:p>
            <w:pPr>
              <w:spacing w:after="20"/>
              <w:jc w:val="right"/>
            </w:pPr>
            <w:r>
              <w:rPr>
                <w:color w:val="1C3A36"/>
                <w:sz w:val="17"/>
              </w:rPr>
              <w:t>5.07%</w:t>
            </w:r>
          </w:p>
        </w:tc>
        <w:tc>
          <w:tcPr>
            <w:tcW w:type="dxa" w:w="5976"/>
          </w:tcPr>
          <w:p>
            <w:pPr>
              <w:spacing w:after="20"/>
              <w:jc w:val="right"/>
            </w:pPr>
            <w:r>
              <w:rPr>
                <w:color w:val="1C3A36"/>
                <w:sz w:val="17"/>
              </w:rPr>
              <w:t>The floor — a corporate cannot borrow below its own sovereign in the same currency</w:t>
            </w:r>
          </w:p>
        </w:tc>
      </w:tr>
      <w:tr>
        <w:tc>
          <w:tcPr>
            <w:tcW w:type="dxa" w:w="2808"/>
          </w:tcPr>
          <w:p>
            <w:pPr>
              <w:spacing w:after="20"/>
            </w:pPr>
            <w:r>
              <w:rPr>
                <w:color w:val="1C3A36"/>
                <w:sz w:val="17"/>
              </w:rPr>
              <w:t>Borouge’s related-party facilities as priced</w:t>
            </w:r>
          </w:p>
        </w:tc>
        <w:tc>
          <w:tcPr>
            <w:tcW w:type="dxa" w:w="1152"/>
          </w:tcPr>
          <w:p>
            <w:pPr>
              <w:spacing w:after="20"/>
              <w:jc w:val="right"/>
            </w:pPr>
            <w:r>
              <w:rPr>
                <w:color w:val="1C3A36"/>
                <w:sz w:val="17"/>
              </w:rPr>
              <w:t>5.52%</w:t>
            </w:r>
          </w:p>
        </w:tc>
        <w:tc>
          <w:tcPr>
            <w:tcW w:type="dxa" w:w="5976"/>
          </w:tcPr>
          <w:p>
            <w:pPr>
              <w:spacing w:after="20"/>
              <w:jc w:val="right"/>
            </w:pPr>
            <w:r>
              <w:rPr>
                <w:color w:val="1C3A36"/>
                <w:sz w:val="17"/>
              </w:rPr>
              <w:t>USD 2.8bn of term facilities plus a drawn revolver from the parent, priced 0.87% over the reference rate</w:t>
            </w:r>
          </w:p>
        </w:tc>
      </w:tr>
      <w:tr>
        <w:tc>
          <w:tcPr>
            <w:tcW w:type="dxa" w:w="2808"/>
          </w:tcPr>
          <w:p>
            <w:pPr>
              <w:spacing w:after="20"/>
            </w:pPr>
            <w:r>
              <w:rPr>
                <w:color w:val="1C3A36"/>
                <w:sz w:val="17"/>
              </w:rPr>
              <w:t>Arm’s-length marginal cost adopted</w:t>
            </w:r>
          </w:p>
        </w:tc>
        <w:tc>
          <w:tcPr>
            <w:tcW w:type="dxa" w:w="1152"/>
          </w:tcPr>
          <w:p>
            <w:pPr>
              <w:spacing w:after="20"/>
              <w:jc w:val="right"/>
            </w:pPr>
            <w:r>
              <w:rPr>
                <w:color w:val="1C3A36"/>
                <w:sz w:val="17"/>
              </w:rPr>
              <w:t>5.55%</w:t>
            </w:r>
          </w:p>
        </w:tc>
        <w:tc>
          <w:tcPr>
            <w:tcW w:type="dxa" w:w="5976"/>
          </w:tcPr>
          <w:p>
            <w:pPr>
              <w:spacing w:after="20"/>
              <w:jc w:val="right"/>
            </w:pPr>
            <w:r>
              <w:rPr>
                <w:color w:val="1C3A36"/>
                <w:sz w:val="17"/>
              </w:rPr>
              <w:t>The long dollar rate plus a 0.90% margin. The related-party facilities sit 0.03% inside that — close enough to arm’s length that no adjustment is warranted, and the test is shown rather than asserted</w:t>
            </w:r>
          </w:p>
        </w:tc>
      </w:tr>
      <w:tr>
        <w:tc>
          <w:tcPr>
            <w:tcW w:type="dxa" w:w="2808"/>
          </w:tcPr>
          <w:p>
            <w:pPr>
              <w:spacing w:after="20"/>
            </w:pPr>
            <w:r>
              <w:rPr>
                <w:color w:val="1C3A36"/>
                <w:sz w:val="17"/>
              </w:rPr>
              <w:t>After tax</w:t>
            </w:r>
          </w:p>
        </w:tc>
        <w:tc>
          <w:tcPr>
            <w:tcW w:type="dxa" w:w="1152"/>
          </w:tcPr>
          <w:p>
            <w:pPr>
              <w:spacing w:after="20"/>
              <w:jc w:val="right"/>
            </w:pPr>
            <w:r>
              <w:rPr>
                <w:color w:val="1C3A36"/>
                <w:sz w:val="17"/>
              </w:rPr>
              <w:t>3.96%</w:t>
            </w:r>
          </w:p>
        </w:tc>
        <w:tc>
          <w:tcPr>
            <w:tcW w:type="dxa" w:w="5976"/>
          </w:tcPr>
          <w:p>
            <w:pPr>
              <w:spacing w:after="20"/>
              <w:jc w:val="right"/>
            </w:pPr>
            <w:r>
              <w:rPr>
                <w:color w:val="1C3A36"/>
                <w:sz w:val="17"/>
              </w:rPr>
              <w:t>What enters the cost of capital</w:t>
            </w:r>
          </w:p>
        </w:tc>
      </w:tr>
    </w:tbl>
    <w:p>
      <w:pPr>
        <w:spacing w:after="40"/>
      </w:pPr>
    </w:p>
    <w:p>
      <w:pPr>
        <w:spacing w:after="200" w:before="0"/>
      </w:pPr>
      <w:r>
        <w:rPr>
          <w:b w:val="0"/>
          <w:i/>
          <w:color w:val="6E7B77"/>
          <w:sz w:val="17"/>
        </w:rPr>
        <w:t>Table 10 — The cost-of-debt evidence. Every contested construction in this study is priced rather than argued.</w:t>
      </w:r>
    </w:p>
    <w:p>
      <w:pPr>
        <w:spacing w:after="80" w:before="200"/>
      </w:pPr>
      <w:r>
        <w:rPr>
          <w:b/>
          <w:i w:val="0"/>
          <w:color w:val="1C3A36"/>
          <w:sz w:val="24"/>
        </w:rPr>
        <w:t>1.9  Sensitivity</w:t>
      </w:r>
    </w:p>
    <w:p>
      <w:pPr>
        <w:spacing w:after="40"/>
        <w:jc w:val="center"/>
      </w:pPr>
      <w:r>
        <w:drawing>
          <wp:inline xmlns:a="http://schemas.openxmlformats.org/drawingml/2006/main" xmlns:pic="http://schemas.openxmlformats.org/drawingml/2006/picture">
            <wp:extent cx="5852160" cy="3135086"/>
            <wp:docPr id="4" name="Picture 4"/>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5852160" cy="3135086"/>
                    </a:xfrm>
                    <a:prstGeom prst="rect"/>
                  </pic:spPr>
                </pic:pic>
              </a:graphicData>
            </a:graphic>
          </wp:inline>
        </w:drawing>
      </w:r>
    </w:p>
    <w:p>
      <w:pPr>
        <w:spacing w:after="200" w:before="0"/>
      </w:pPr>
      <w:r>
        <w:rPr>
          <w:b w:val="0"/>
          <w:i/>
          <w:color w:val="6E7B77"/>
          <w:sz w:val="17"/>
        </w:rPr>
        <w:t>Figure 4 — Value per share across the cost of capital and terminal growth, on the central construction at the share’s own measured risk. The bold cell is the published reading.</w:t>
      </w:r>
    </w:p>
    <w:p>
      <w:pPr>
        <w:spacing w:after="120" w:before="0"/>
      </w:pPr>
      <w:r>
        <w:rPr>
          <w:b w:val="0"/>
          <w:i w:val="0"/>
          <w:color w:val="1C3A36"/>
          <w:sz w:val="21"/>
        </w:rPr>
        <w:t>Two things are worth reading off that grid. The first is how steep it is: half a point on the cost of capital is worth roughly half a dirham, which is why the beta debate dominates this study. The second is subtler — value RISES with terminal growth here, which is the opposite of the usual textbook direction. That is not an error. Growth has to be funded by reinvestment of growth divided by the return on capital, and at a 12% return against a 6.09% cost of capital that reinvestment earns far more than it costs. Had the return sat below the cost of capital the sign would flip.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464"/>
        <w:gridCol w:w="1872"/>
        <w:gridCol w:w="1872"/>
        <w:gridCol w:w="1872"/>
      </w:tblGrid>
      <w:tr>
        <w:tc>
          <w:tcPr>
            <w:tcW w:type="dxa" w:w="4464"/>
            <w:shd w:val="clear" w:color="auto" w:fill="EAF0EE"/>
          </w:tcPr>
          <w:p>
            <w:pPr>
              <w:spacing w:after="20"/>
            </w:pPr>
            <w:r>
              <w:rPr>
                <w:b/>
                <w:color w:val="1C3A36"/>
                <w:sz w:val="17"/>
              </w:rPr>
              <w:t>Sensitivity</w:t>
            </w:r>
          </w:p>
        </w:tc>
        <w:tc>
          <w:tcPr>
            <w:tcW w:type="dxa" w:w="1872"/>
            <w:shd w:val="clear" w:color="auto" w:fill="EAF0EE"/>
          </w:tcPr>
          <w:p>
            <w:pPr>
              <w:spacing w:after="20"/>
            </w:pPr>
            <w:r>
              <w:rPr>
                <w:b/>
                <w:color w:val="1C3A36"/>
                <w:sz w:val="17"/>
              </w:rPr>
              <w:t>Downside</w:t>
            </w:r>
          </w:p>
        </w:tc>
        <w:tc>
          <w:tcPr>
            <w:tcW w:type="dxa" w:w="1872"/>
            <w:shd w:val="clear" w:color="auto" w:fill="EAF0EE"/>
          </w:tcPr>
          <w:p>
            <w:pPr>
              <w:spacing w:after="20"/>
            </w:pPr>
            <w:r>
              <w:rPr>
                <w:b/>
                <w:color w:val="1C3A36"/>
                <w:sz w:val="17"/>
              </w:rPr>
              <w:t>Published</w:t>
            </w:r>
          </w:p>
        </w:tc>
        <w:tc>
          <w:tcPr>
            <w:tcW w:type="dxa" w:w="1872"/>
            <w:shd w:val="clear" w:color="auto" w:fill="EAF0EE"/>
          </w:tcPr>
          <w:p>
            <w:pPr>
              <w:spacing w:after="20"/>
            </w:pPr>
            <w:r>
              <w:rPr>
                <w:b/>
                <w:color w:val="1C3A36"/>
                <w:sz w:val="17"/>
              </w:rPr>
              <w:t>Upside</w:t>
            </w:r>
          </w:p>
        </w:tc>
      </w:tr>
      <w:tr>
        <w:tc>
          <w:tcPr>
            <w:tcW w:type="dxa" w:w="4464"/>
          </w:tcPr>
          <w:p>
            <w:pPr>
              <w:spacing w:after="20"/>
            </w:pPr>
            <w:r>
              <w:rPr>
                <w:color w:val="1C3A36"/>
                <w:sz w:val="17"/>
              </w:rPr>
              <w:t>Realised premium over benchmark, ±$100/tonne</w:t>
            </w:r>
          </w:p>
        </w:tc>
        <w:tc>
          <w:tcPr>
            <w:tcW w:type="dxa" w:w="1872"/>
          </w:tcPr>
          <w:p>
            <w:pPr>
              <w:spacing w:after="20"/>
              <w:jc w:val="right"/>
            </w:pPr>
            <w:r>
              <w:rPr>
                <w:color w:val="1C3A36"/>
                <w:sz w:val="17"/>
              </w:rPr>
              <w:t>1.80</w:t>
            </w:r>
          </w:p>
        </w:tc>
        <w:tc>
          <w:tcPr>
            <w:tcW w:type="dxa" w:w="1872"/>
          </w:tcPr>
          <w:p>
            <w:pPr>
              <w:spacing w:after="20"/>
              <w:jc w:val="right"/>
            </w:pPr>
            <w:r>
              <w:rPr>
                <w:color w:val="1C3A36"/>
                <w:sz w:val="17"/>
              </w:rPr>
              <w:t>2.79</w:t>
            </w:r>
          </w:p>
        </w:tc>
        <w:tc>
          <w:tcPr>
            <w:tcW w:type="dxa" w:w="1872"/>
          </w:tcPr>
          <w:p>
            <w:pPr>
              <w:spacing w:after="20"/>
              <w:jc w:val="right"/>
            </w:pPr>
            <w:r>
              <w:rPr>
                <w:color w:val="1C3A36"/>
                <w:sz w:val="17"/>
              </w:rPr>
              <w:t>3.79</w:t>
            </w:r>
          </w:p>
        </w:tc>
      </w:tr>
      <w:tr>
        <w:tc>
          <w:tcPr>
            <w:tcW w:type="dxa" w:w="4464"/>
          </w:tcPr>
          <w:p>
            <w:pPr>
              <w:spacing w:after="20"/>
            </w:pPr>
            <w:r>
              <w:rPr>
                <w:color w:val="1C3A36"/>
                <w:sz w:val="17"/>
              </w:rPr>
              <w:t>Utilisation, ±10 percentage points</w:t>
            </w:r>
          </w:p>
        </w:tc>
        <w:tc>
          <w:tcPr>
            <w:tcW w:type="dxa" w:w="1872"/>
          </w:tcPr>
          <w:p>
            <w:pPr>
              <w:spacing w:after="20"/>
              <w:jc w:val="right"/>
            </w:pPr>
            <w:r>
              <w:rPr>
                <w:color w:val="1C3A36"/>
                <w:sz w:val="17"/>
              </w:rPr>
              <w:t>2.25</w:t>
            </w:r>
          </w:p>
        </w:tc>
        <w:tc>
          <w:tcPr>
            <w:tcW w:type="dxa" w:w="1872"/>
          </w:tcPr>
          <w:p>
            <w:pPr>
              <w:spacing w:after="20"/>
              <w:jc w:val="right"/>
            </w:pPr>
            <w:r>
              <w:rPr>
                <w:color w:val="1C3A36"/>
                <w:sz w:val="17"/>
              </w:rPr>
              <w:t>2.79</w:t>
            </w:r>
          </w:p>
        </w:tc>
        <w:tc>
          <w:tcPr>
            <w:tcW w:type="dxa" w:w="1872"/>
          </w:tcPr>
          <w:p>
            <w:pPr>
              <w:spacing w:after="20"/>
              <w:jc w:val="right"/>
            </w:pPr>
            <w:r>
              <w:rPr>
                <w:color w:val="1C3A36"/>
                <w:sz w:val="17"/>
              </w:rPr>
              <w:t>3.34</w:t>
            </w:r>
          </w:p>
        </w:tc>
      </w:tr>
      <w:tr>
        <w:tc>
          <w:tcPr>
            <w:tcW w:type="dxa" w:w="4464"/>
          </w:tcPr>
          <w:p>
            <w:pPr>
              <w:spacing w:after="20"/>
            </w:pPr>
            <w:r>
              <w:rPr>
                <w:color w:val="1C3A36"/>
                <w:sz w:val="17"/>
              </w:rPr>
              <w:t>Cost of capital, ±100 basis points</w:t>
            </w:r>
          </w:p>
        </w:tc>
        <w:tc>
          <w:tcPr>
            <w:tcW w:type="dxa" w:w="1872"/>
          </w:tcPr>
          <w:p>
            <w:pPr>
              <w:spacing w:after="20"/>
              <w:jc w:val="right"/>
            </w:pPr>
            <w:r>
              <w:rPr>
                <w:color w:val="1C3A36"/>
                <w:sz w:val="17"/>
              </w:rPr>
              <w:t>2.18</w:t>
            </w:r>
          </w:p>
        </w:tc>
        <w:tc>
          <w:tcPr>
            <w:tcW w:type="dxa" w:w="1872"/>
          </w:tcPr>
          <w:p>
            <w:pPr>
              <w:spacing w:after="20"/>
              <w:jc w:val="right"/>
            </w:pPr>
            <w:r>
              <w:rPr>
                <w:color w:val="1C3A36"/>
                <w:sz w:val="17"/>
              </w:rPr>
              <w:t>2.79</w:t>
            </w:r>
          </w:p>
        </w:tc>
        <w:tc>
          <w:tcPr>
            <w:tcW w:type="dxa" w:w="1872"/>
          </w:tcPr>
          <w:p>
            <w:pPr>
              <w:spacing w:after="20"/>
              <w:jc w:val="right"/>
            </w:pPr>
            <w:r>
              <w:rPr>
                <w:color w:val="1C3A36"/>
                <w:sz w:val="17"/>
              </w:rPr>
              <w:t>3.80</w:t>
            </w:r>
          </w:p>
        </w:tc>
      </w:tr>
    </w:tbl>
    <w:p>
      <w:pPr>
        <w:spacing w:after="40"/>
      </w:pPr>
    </w:p>
    <w:p>
      <w:pPr>
        <w:spacing w:after="200" w:before="0"/>
      </w:pPr>
      <w:r>
        <w:rPr>
          <w:b w:val="0"/>
          <w:i/>
          <w:color w:val="6E7B77"/>
          <w:sz w:val="17"/>
        </w:rPr>
        <w:t>Table 11 — The crux sensitised in observable units: dollars per tonne of premium and percentage points of utilisation, not abstract multiples.</w:t>
      </w:r>
    </w:p>
    <w:p>
      <w:pPr>
        <w:spacing w:after="120" w:before="280"/>
      </w:pPr>
      <w:r>
        <w:rPr>
          <w:b/>
          <w:i w:val="0"/>
          <w:color w:val="1C3A36"/>
          <w:sz w:val="30"/>
        </w:rPr>
        <w:t>2  Technical and price structure</w:t>
      </w:r>
    </w:p>
    <w:p>
      <w:pPr>
        <w:spacing w:after="120" w:before="0"/>
      </w:pPr>
      <w:r>
        <w:rPr>
          <w:b w:val="0"/>
          <w:i w:val="0"/>
          <w:color w:val="1C3A36"/>
          <w:sz w:val="21"/>
        </w:rPr>
        <w:t>The share closed at 2.40 dirhams on 7 August 2026, having traded between 2.38 and 2.68 over the past year. It sits 10.4% below that high and 0.8% above that low — which is to say, close to the bottom of its own range.</w:t>
      </w:r>
    </w:p>
    <w:p>
      <w:pPr>
        <w:spacing w:after="120" w:before="0"/>
      </w:pPr>
      <w:r>
        <w:rPr>
          <w:b w:val="0"/>
          <w:i w:val="0"/>
          <w:color w:val="1C3A36"/>
          <w:sz w:val="21"/>
        </w:rPr>
        <w:t>The price closed 2.40 below a falling 20-day (2.41), a falling 50-day (2.48) and a falling 200-day (2.54). Momentum is soft: RSI(14) is ~39 and the daily ATR near 0.03 (~1.1%) points to an orderly tape. MACD (12·26·9) is below zero but turning up (−0.02 / −0.03 / +0.00). Over the last year it has ranged 2.38–2.68; the last close sits 10% below that high and 1% above that low.</w:t>
      </w:r>
    </w:p>
    <w:p>
      <w:pPr>
        <w:spacing w:after="40"/>
        <w:jc w:val="center"/>
      </w:pPr>
      <w:r>
        <w:drawing>
          <wp:inline xmlns:a="http://schemas.openxmlformats.org/drawingml/2006/main" xmlns:pic="http://schemas.openxmlformats.org/drawingml/2006/picture">
            <wp:extent cx="6309360" cy="2676698"/>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676698"/>
                    </a:xfrm>
                    <a:prstGeom prst="rect"/>
                  </pic:spPr>
                </pic:pic>
              </a:graphicData>
            </a:graphic>
          </wp:inline>
        </w:drawing>
      </w:r>
    </w:p>
    <w:p>
      <w:pPr>
        <w:spacing w:after="200" w:before="0"/>
      </w:pPr>
      <w:r>
        <w:rPr>
          <w:b w:val="0"/>
          <w:i/>
          <w:color w:val="6E7B77"/>
          <w:sz w:val="17"/>
        </w:rPr>
        <w:t>Figure 5 — The price since listing in June 2022, with the twenty-, fifty- and two-hundred-session averages.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656"/>
        <w:gridCol w:w="5544"/>
      </w:tblGrid>
      <w:tr>
        <w:tc>
          <w:tcPr>
            <w:tcW w:type="dxa" w:w="2736"/>
            <w:shd w:val="clear" w:color="auto" w:fill="EAF0EE"/>
          </w:tcPr>
          <w:p>
            <w:pPr>
              <w:spacing w:after="20"/>
            </w:pPr>
            <w:r>
              <w:rPr>
                <w:b/>
                <w:color w:val="1C3A36"/>
                <w:sz w:val="17"/>
              </w:rPr>
              <w:t>Reading</w:t>
            </w:r>
          </w:p>
        </w:tc>
        <w:tc>
          <w:tcPr>
            <w:tcW w:type="dxa" w:w="1656"/>
            <w:shd w:val="clear" w:color="auto" w:fill="EAF0EE"/>
          </w:tcPr>
          <w:p>
            <w:pPr>
              <w:spacing w:after="20"/>
            </w:pPr>
            <w:r>
              <w:rPr>
                <w:b/>
                <w:color w:val="1C3A36"/>
                <w:sz w:val="17"/>
              </w:rPr>
              <w:t>Value</w:t>
            </w:r>
          </w:p>
        </w:tc>
        <w:tc>
          <w:tcPr>
            <w:tcW w:type="dxa" w:w="5544"/>
            <w:shd w:val="clear" w:color="auto" w:fill="EAF0EE"/>
          </w:tcPr>
          <w:p>
            <w:pPr>
              <w:spacing w:after="20"/>
            </w:pPr>
            <w:r>
              <w:rPr>
                <w:b/>
                <w:color w:val="1C3A36"/>
                <w:sz w:val="17"/>
              </w:rPr>
              <w:t>What it says</w:t>
            </w:r>
          </w:p>
        </w:tc>
      </w:tr>
      <w:tr>
        <w:tc>
          <w:tcPr>
            <w:tcW w:type="dxa" w:w="2736"/>
          </w:tcPr>
          <w:p>
            <w:pPr>
              <w:spacing w:after="20"/>
            </w:pPr>
            <w:r>
              <w:rPr>
                <w:color w:val="1C3A36"/>
                <w:sz w:val="17"/>
              </w:rPr>
              <w:t>Close</w:t>
            </w:r>
          </w:p>
        </w:tc>
        <w:tc>
          <w:tcPr>
            <w:tcW w:type="dxa" w:w="1656"/>
          </w:tcPr>
          <w:p>
            <w:pPr>
              <w:spacing w:after="20"/>
              <w:jc w:val="right"/>
            </w:pPr>
            <w:r>
              <w:rPr>
                <w:color w:val="1C3A36"/>
                <w:sz w:val="17"/>
              </w:rPr>
              <w:t>2.40</w:t>
            </w:r>
          </w:p>
        </w:tc>
        <w:tc>
          <w:tcPr>
            <w:tcW w:type="dxa" w:w="5544"/>
          </w:tcPr>
          <w:p>
            <w:pPr>
              <w:spacing w:after="20"/>
              <w:jc w:val="right"/>
            </w:pPr>
            <w:r>
              <w:rPr>
                <w:color w:val="1C3A36"/>
                <w:sz w:val="17"/>
              </w:rPr>
              <w:t>The anchor for everything below</w:t>
            </w:r>
          </w:p>
        </w:tc>
      </w:tr>
      <w:tr>
        <w:tc>
          <w:tcPr>
            <w:tcW w:type="dxa" w:w="2736"/>
          </w:tcPr>
          <w:p>
            <w:pPr>
              <w:spacing w:after="20"/>
            </w:pPr>
            <w:r>
              <w:rPr>
                <w:color w:val="1C3A36"/>
                <w:sz w:val="17"/>
              </w:rPr>
              <w:t>20-session average</w:t>
            </w:r>
          </w:p>
        </w:tc>
        <w:tc>
          <w:tcPr>
            <w:tcW w:type="dxa" w:w="1656"/>
          </w:tcPr>
          <w:p>
            <w:pPr>
              <w:spacing w:after="20"/>
              <w:jc w:val="right"/>
            </w:pPr>
            <w:r>
              <w:rPr>
                <w:color w:val="1C3A36"/>
                <w:sz w:val="17"/>
              </w:rPr>
              <w:t>2.41</w:t>
            </w:r>
          </w:p>
        </w:tc>
        <w:tc>
          <w:tcPr>
            <w:tcW w:type="dxa" w:w="5544"/>
          </w:tcPr>
          <w:p>
            <w:pPr>
              <w:spacing w:after="20"/>
              <w:jc w:val="right"/>
            </w:pPr>
            <w:r>
              <w:rPr>
                <w:color w:val="1C3A36"/>
                <w:sz w:val="17"/>
              </w:rPr>
              <w:t>Falling — the price is below it</w:t>
            </w:r>
          </w:p>
        </w:tc>
      </w:tr>
      <w:tr>
        <w:tc>
          <w:tcPr>
            <w:tcW w:type="dxa" w:w="2736"/>
          </w:tcPr>
          <w:p>
            <w:pPr>
              <w:spacing w:after="20"/>
            </w:pPr>
            <w:r>
              <w:rPr>
                <w:color w:val="1C3A36"/>
                <w:sz w:val="17"/>
              </w:rPr>
              <w:t>50-session average</w:t>
            </w:r>
          </w:p>
        </w:tc>
        <w:tc>
          <w:tcPr>
            <w:tcW w:type="dxa" w:w="1656"/>
          </w:tcPr>
          <w:p>
            <w:pPr>
              <w:spacing w:after="20"/>
              <w:jc w:val="right"/>
            </w:pPr>
            <w:r>
              <w:rPr>
                <w:color w:val="1C3A36"/>
                <w:sz w:val="17"/>
              </w:rPr>
              <w:t>2.48</w:t>
            </w:r>
          </w:p>
        </w:tc>
        <w:tc>
          <w:tcPr>
            <w:tcW w:type="dxa" w:w="5544"/>
          </w:tcPr>
          <w:p>
            <w:pPr>
              <w:spacing w:after="20"/>
              <w:jc w:val="right"/>
            </w:pPr>
            <w:r>
              <w:rPr>
                <w:color w:val="1C3A36"/>
                <w:sz w:val="17"/>
              </w:rPr>
              <w:t>Falling</w:t>
            </w:r>
          </w:p>
        </w:tc>
      </w:tr>
      <w:tr>
        <w:tc>
          <w:tcPr>
            <w:tcW w:type="dxa" w:w="2736"/>
          </w:tcPr>
          <w:p>
            <w:pPr>
              <w:spacing w:after="20"/>
            </w:pPr>
            <w:r>
              <w:rPr>
                <w:color w:val="1C3A36"/>
                <w:sz w:val="17"/>
              </w:rPr>
              <w:t>200-session average</w:t>
            </w:r>
          </w:p>
        </w:tc>
        <w:tc>
          <w:tcPr>
            <w:tcW w:type="dxa" w:w="1656"/>
          </w:tcPr>
          <w:p>
            <w:pPr>
              <w:spacing w:after="20"/>
              <w:jc w:val="right"/>
            </w:pPr>
            <w:r>
              <w:rPr>
                <w:color w:val="1C3A36"/>
                <w:sz w:val="17"/>
              </w:rPr>
              <w:t>2.54</w:t>
            </w:r>
          </w:p>
        </w:tc>
        <w:tc>
          <w:tcPr>
            <w:tcW w:type="dxa" w:w="5544"/>
          </w:tcPr>
          <w:p>
            <w:pPr>
              <w:spacing w:after="20"/>
              <w:jc w:val="right"/>
            </w:pPr>
            <w:r>
              <w:rPr>
                <w:color w:val="1C3A36"/>
                <w:sz w:val="17"/>
              </w:rPr>
              <w:t>Falling</w:t>
            </w:r>
          </w:p>
        </w:tc>
      </w:tr>
      <w:tr>
        <w:tc>
          <w:tcPr>
            <w:tcW w:type="dxa" w:w="2736"/>
          </w:tcPr>
          <w:p>
            <w:pPr>
              <w:spacing w:after="20"/>
            </w:pPr>
            <w:r>
              <w:rPr>
                <w:color w:val="1C3A36"/>
                <w:sz w:val="17"/>
              </w:rPr>
              <w:t>Relative strength index (14)</w:t>
            </w:r>
          </w:p>
        </w:tc>
        <w:tc>
          <w:tcPr>
            <w:tcW w:type="dxa" w:w="1656"/>
          </w:tcPr>
          <w:p>
            <w:pPr>
              <w:spacing w:after="20"/>
              <w:jc w:val="right"/>
            </w:pPr>
            <w:r>
              <w:rPr>
                <w:color w:val="1C3A36"/>
                <w:sz w:val="17"/>
              </w:rPr>
              <w:t>39</w:t>
            </w:r>
          </w:p>
        </w:tc>
        <w:tc>
          <w:tcPr>
            <w:tcW w:type="dxa" w:w="5544"/>
          </w:tcPr>
          <w:p>
            <w:pPr>
              <w:spacing w:after="20"/>
              <w:jc w:val="right"/>
            </w:pPr>
            <w:r>
              <w:rPr>
                <w:color w:val="1C3A36"/>
                <w:sz w:val="17"/>
              </w:rPr>
              <w:t>Soft, but not at an extreme in either direction</w:t>
            </w:r>
          </w:p>
        </w:tc>
      </w:tr>
      <w:tr>
        <w:tc>
          <w:tcPr>
            <w:tcW w:type="dxa" w:w="2736"/>
          </w:tcPr>
          <w:p>
            <w:pPr>
              <w:spacing w:after="20"/>
            </w:pPr>
            <w:r>
              <w:rPr>
                <w:color w:val="1C3A36"/>
                <w:sz w:val="17"/>
              </w:rPr>
              <w:t>Average true range (14)</w:t>
            </w:r>
          </w:p>
        </w:tc>
        <w:tc>
          <w:tcPr>
            <w:tcW w:type="dxa" w:w="1656"/>
          </w:tcPr>
          <w:p>
            <w:pPr>
              <w:spacing w:after="20"/>
              <w:jc w:val="right"/>
            </w:pPr>
            <w:r>
              <w:rPr>
                <w:color w:val="1C3A36"/>
                <w:sz w:val="17"/>
              </w:rPr>
              <w:t>0.027</w:t>
            </w:r>
          </w:p>
        </w:tc>
        <w:tc>
          <w:tcPr>
            <w:tcW w:type="dxa" w:w="5544"/>
          </w:tcPr>
          <w:p>
            <w:pPr>
              <w:spacing w:after="20"/>
              <w:jc w:val="right"/>
            </w:pPr>
            <w:r>
              <w:rPr>
                <w:color w:val="1C3A36"/>
                <w:sz w:val="17"/>
              </w:rPr>
              <w:t>About 1.1% of the price a day — an orderly tape</w:t>
            </w:r>
          </w:p>
        </w:tc>
      </w:tr>
      <w:tr>
        <w:tc>
          <w:tcPr>
            <w:tcW w:type="dxa" w:w="2736"/>
          </w:tcPr>
          <w:p>
            <w:pPr>
              <w:spacing w:after="20"/>
            </w:pPr>
            <w:r>
              <w:rPr>
                <w:color w:val="1C3A36"/>
                <w:sz w:val="17"/>
              </w:rPr>
              <w:t>Moving-average crossover</w:t>
            </w:r>
          </w:p>
        </w:tc>
        <w:tc>
          <w:tcPr>
            <w:tcW w:type="dxa" w:w="1656"/>
          </w:tcPr>
          <w:p>
            <w:pPr>
              <w:spacing w:after="20"/>
              <w:jc w:val="right"/>
            </w:pPr>
            <w:r>
              <w:rPr>
                <w:color w:val="1C3A36"/>
                <w:sz w:val="17"/>
              </w:rPr>
              <w:t>death cross, 69 sessions ago</w:t>
            </w:r>
          </w:p>
        </w:tc>
        <w:tc>
          <w:tcPr>
            <w:tcW w:type="dxa" w:w="5544"/>
          </w:tcPr>
          <w:p>
            <w:pPr>
              <w:spacing w:after="20"/>
              <w:jc w:val="right"/>
            </w:pPr>
            <w:r>
              <w:rPr>
                <w:color w:val="1C3A36"/>
                <w:sz w:val="17"/>
              </w:rPr>
              <w:t>Recent enough to still be the governing structure</w:t>
            </w:r>
          </w:p>
        </w:tc>
      </w:tr>
      <w:tr>
        <w:tc>
          <w:tcPr>
            <w:tcW w:type="dxa" w:w="2736"/>
          </w:tcPr>
          <w:p>
            <w:pPr>
              <w:spacing w:after="20"/>
            </w:pPr>
            <w:r>
              <w:rPr>
                <w:color w:val="1C3A36"/>
                <w:sz w:val="17"/>
              </w:rPr>
              <w:t>Nearest resistance</w:t>
            </w:r>
          </w:p>
        </w:tc>
        <w:tc>
          <w:tcPr>
            <w:tcW w:type="dxa" w:w="1656"/>
          </w:tcPr>
          <w:p>
            <w:pPr>
              <w:spacing w:after="20"/>
              <w:jc w:val="right"/>
            </w:pPr>
            <w:r>
              <w:rPr>
                <w:color w:val="1C3A36"/>
                <w:sz w:val="17"/>
              </w:rPr>
              <w:t>2.43</w:t>
            </w:r>
          </w:p>
        </w:tc>
        <w:tc>
          <w:tcPr>
            <w:tcW w:type="dxa" w:w="5544"/>
          </w:tcPr>
          <w:p>
            <w:pPr>
              <w:spacing w:after="20"/>
              <w:jc w:val="right"/>
            </w:pPr>
            <w:r>
              <w:rPr>
                <w:color w:val="1C3A36"/>
                <w:sz w:val="17"/>
              </w:rPr>
              <w:t>Then 2.49 and 2.61</w:t>
            </w:r>
          </w:p>
        </w:tc>
      </w:tr>
      <w:tr>
        <w:tc>
          <w:tcPr>
            <w:tcW w:type="dxa" w:w="2736"/>
          </w:tcPr>
          <w:p>
            <w:pPr>
              <w:spacing w:after="20"/>
            </w:pPr>
            <w:r>
              <w:rPr>
                <w:color w:val="1C3A36"/>
                <w:sz w:val="17"/>
              </w:rPr>
              <w:t>Nearest support</w:t>
            </w:r>
          </w:p>
        </w:tc>
        <w:tc>
          <w:tcPr>
            <w:tcW w:type="dxa" w:w="1656"/>
          </w:tcPr>
          <w:p>
            <w:pPr>
              <w:spacing w:after="20"/>
              <w:jc w:val="right"/>
            </w:pPr>
            <w:r>
              <w:rPr>
                <w:color w:val="1C3A36"/>
                <w:sz w:val="17"/>
              </w:rPr>
              <w:t>2.38</w:t>
            </w:r>
          </w:p>
        </w:tc>
        <w:tc>
          <w:tcPr>
            <w:tcW w:type="dxa" w:w="5544"/>
          </w:tcPr>
          <w:p>
            <w:pPr>
              <w:spacing w:after="20"/>
              <w:jc w:val="right"/>
            </w:pPr>
            <w:r>
              <w:rPr>
                <w:color w:val="1C3A36"/>
                <w:sz w:val="17"/>
              </w:rPr>
              <w:t>Then 2.29 and 2.20</w:t>
            </w:r>
          </w:p>
        </w:tc>
      </w:tr>
    </w:tbl>
    <w:p>
      <w:pPr>
        <w:spacing w:after="40"/>
      </w:pPr>
    </w:p>
    <w:p>
      <w:pPr>
        <w:spacing w:after="200" w:before="0"/>
      </w:pPr>
      <w:r>
        <w:rPr>
          <w:b w:val="0"/>
          <w:i/>
          <w:color w:val="6E7B77"/>
          <w:sz w:val="17"/>
        </w:rPr>
        <w:t>Table 12 — The price structure. Levels are ordered from nearest to the close outward in both directions.</w:t>
      </w:r>
    </w:p>
    <w:p>
      <w:pPr>
        <w:spacing w:after="120" w:before="0"/>
      </w:pPr>
      <w:r>
        <w:rPr>
          <w:b w:val="0"/>
          <w:i w:val="0"/>
          <w:color w:val="1C3A36"/>
          <w:sz w:val="21"/>
        </w:rPr>
        <w:t>This section describes the tape and nothing else. It carries no view on what the business is worth — that is what the four lenses above are for — and the two are deliberately not blended.</w:t>
      </w:r>
    </w:p>
    <w:p>
      <w:pPr>
        <w:spacing w:after="120" w:before="280"/>
      </w:pPr>
      <w:r>
        <w:rPr>
          <w:b/>
          <w:i w:val="0"/>
          <w:color w:val="1C3A36"/>
          <w:sz w:val="30"/>
        </w:rPr>
        <w:t>3  A probabilistic map of the traded price</w:t>
      </w:r>
    </w:p>
    <w:p>
      <w:pPr>
        <w:spacing w:after="120" w:before="0"/>
      </w:pPr>
      <w:r>
        <w:rPr>
          <w:b w:val="0"/>
          <w:i w:val="0"/>
          <w:color w:val="1C3A36"/>
          <w:sz w:val="21"/>
        </w:rPr>
        <w:t>This is a different question from everything above. The lenses ask what the business is worth. This section asks a narrower and more testable question: given how this share has actually behaved, where could the price sit in one and in three months?</w:t>
      </w:r>
    </w:p>
    <w:p>
      <w:pPr>
        <w:spacing w:after="120" w:before="0"/>
      </w:pPr>
      <w:r>
        <w:rPr>
          <w:b w:val="0"/>
          <w:i w:val="0"/>
          <w:color w:val="1C3A36"/>
          <w:sz w:val="21"/>
        </w:rPr>
        <w:t>The bands below are simulated from the cleaned daily price history since listing. The central drift is not a forecast of direction — it is the risk-free rate of 3.65% less the dividend yield, which at the company’s stated annual intention of 16.2 fils a share on a 2.40 close is 6.75%. Because the dividend exceeds the risk-free rate, the drift is NEGATIVE at -3.10% a year: a share that pays out more than cash earns should, all else equal, drift down by the difference. That is why the probability of finishing above today’s close is slightly below half rather than above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512"/>
        <w:gridCol w:w="1037"/>
        <w:gridCol w:w="1037"/>
        <w:gridCol w:w="1123"/>
        <w:gridCol w:w="1037"/>
        <w:gridCol w:w="1037"/>
        <w:gridCol w:w="1498"/>
      </w:tblGrid>
      <w:tr>
        <w:tc>
          <w:tcPr>
            <w:tcW w:type="dxa" w:w="1512"/>
            <w:shd w:val="clear" w:color="auto" w:fill="EAF0EE"/>
          </w:tcPr>
          <w:p>
            <w:pPr>
              <w:spacing w:after="20"/>
            </w:pPr>
            <w:r>
              <w:rPr>
                <w:b/>
                <w:color w:val="1C3A36"/>
                <w:sz w:val="17"/>
              </w:rPr>
              <w:t>Horizon</w:t>
            </w:r>
          </w:p>
        </w:tc>
        <w:tc>
          <w:tcPr>
            <w:tcW w:type="dxa" w:w="1512"/>
            <w:shd w:val="clear" w:color="auto" w:fill="EAF0EE"/>
          </w:tcPr>
          <w:p>
            <w:pPr>
              <w:spacing w:after="20"/>
            </w:pPr>
            <w:r>
              <w:rPr>
                <w:b/>
                <w:color w:val="1C3A36"/>
                <w:sz w:val="17"/>
              </w:rPr>
              <w:t>Ends</w:t>
            </w:r>
          </w:p>
        </w:tc>
        <w:tc>
          <w:tcPr>
            <w:tcW w:type="dxa" w:w="1037"/>
            <w:shd w:val="clear" w:color="auto" w:fill="EAF0EE"/>
          </w:tcPr>
          <w:p>
            <w:pPr>
              <w:spacing w:after="20"/>
            </w:pPr>
            <w:r>
              <w:rPr>
                <w:b/>
                <w:color w:val="1C3A36"/>
                <w:sz w:val="17"/>
              </w:rPr>
              <w:t>5th</w:t>
            </w:r>
          </w:p>
        </w:tc>
        <w:tc>
          <w:tcPr>
            <w:tcW w:type="dxa" w:w="1037"/>
            <w:shd w:val="clear" w:color="auto" w:fill="EAF0EE"/>
          </w:tcPr>
          <w:p>
            <w:pPr>
              <w:spacing w:after="20"/>
            </w:pPr>
            <w:r>
              <w:rPr>
                <w:b/>
                <w:color w:val="1C3A36"/>
                <w:sz w:val="17"/>
              </w:rPr>
              <w:t>25th</w:t>
            </w:r>
          </w:p>
        </w:tc>
        <w:tc>
          <w:tcPr>
            <w:tcW w:type="dxa" w:w="1123"/>
            <w:shd w:val="clear" w:color="auto" w:fill="EAF0EE"/>
          </w:tcPr>
          <w:p>
            <w:pPr>
              <w:spacing w:after="20"/>
            </w:pPr>
            <w:r>
              <w:rPr>
                <w:b/>
                <w:color w:val="1C3A36"/>
                <w:sz w:val="17"/>
              </w:rPr>
              <w:t>Median</w:t>
            </w:r>
          </w:p>
        </w:tc>
        <w:tc>
          <w:tcPr>
            <w:tcW w:type="dxa" w:w="1037"/>
            <w:shd w:val="clear" w:color="auto" w:fill="EAF0EE"/>
          </w:tcPr>
          <w:p>
            <w:pPr>
              <w:spacing w:after="20"/>
            </w:pPr>
            <w:r>
              <w:rPr>
                <w:b/>
                <w:color w:val="1C3A36"/>
                <w:sz w:val="17"/>
              </w:rPr>
              <w:t>75th</w:t>
            </w:r>
          </w:p>
        </w:tc>
        <w:tc>
          <w:tcPr>
            <w:tcW w:type="dxa" w:w="1037"/>
            <w:shd w:val="clear" w:color="auto" w:fill="EAF0EE"/>
          </w:tcPr>
          <w:p>
            <w:pPr>
              <w:spacing w:after="20"/>
            </w:pPr>
            <w:r>
              <w:rPr>
                <w:b/>
                <w:color w:val="1C3A36"/>
                <w:sz w:val="17"/>
              </w:rPr>
              <w:t>95th</w:t>
            </w:r>
          </w:p>
        </w:tc>
        <w:tc>
          <w:tcPr>
            <w:tcW w:type="dxa" w:w="1498"/>
            <w:shd w:val="clear" w:color="auto" w:fill="EAF0EE"/>
          </w:tcPr>
          <w:p>
            <w:pPr>
              <w:spacing w:after="20"/>
            </w:pPr>
            <w:r>
              <w:rPr>
                <w:b/>
                <w:color w:val="1C3A36"/>
                <w:sz w:val="17"/>
              </w:rPr>
              <w:t>Above the close</w:t>
            </w:r>
          </w:p>
        </w:tc>
      </w:tr>
      <w:tr>
        <w:tc>
          <w:tcPr>
            <w:tcW w:type="dxa" w:w="1512"/>
          </w:tcPr>
          <w:p>
            <w:pPr>
              <w:spacing w:after="20"/>
            </w:pPr>
            <w:r>
              <w:rPr>
                <w:color w:val="1C3A36"/>
                <w:sz w:val="17"/>
              </w:rPr>
              <w:t>One month</w:t>
            </w:r>
          </w:p>
        </w:tc>
        <w:tc>
          <w:tcPr>
            <w:tcW w:type="dxa" w:w="1512"/>
          </w:tcPr>
          <w:p>
            <w:pPr>
              <w:spacing w:after="20"/>
              <w:jc w:val="right"/>
            </w:pPr>
            <w:r>
              <w:rPr>
                <w:color w:val="1C3A36"/>
                <w:sz w:val="17"/>
              </w:rPr>
              <w:t>2026-09-07</w:t>
            </w:r>
          </w:p>
        </w:tc>
        <w:tc>
          <w:tcPr>
            <w:tcW w:type="dxa" w:w="1037"/>
          </w:tcPr>
          <w:p>
            <w:pPr>
              <w:spacing w:after="20"/>
              <w:jc w:val="right"/>
            </w:pPr>
            <w:r>
              <w:rPr>
                <w:color w:val="1C3A36"/>
                <w:sz w:val="17"/>
              </w:rPr>
              <w:t>2.22</w:t>
            </w:r>
          </w:p>
        </w:tc>
        <w:tc>
          <w:tcPr>
            <w:tcW w:type="dxa" w:w="1037"/>
          </w:tcPr>
          <w:p>
            <w:pPr>
              <w:spacing w:after="20"/>
              <w:jc w:val="right"/>
            </w:pPr>
            <w:r>
              <w:rPr>
                <w:color w:val="1C3A36"/>
                <w:sz w:val="17"/>
              </w:rPr>
              <w:t>2.33</w:t>
            </w:r>
          </w:p>
        </w:tc>
        <w:tc>
          <w:tcPr>
            <w:tcW w:type="dxa" w:w="1123"/>
          </w:tcPr>
          <w:p>
            <w:pPr>
              <w:spacing w:after="20"/>
              <w:jc w:val="right"/>
            </w:pPr>
            <w:r>
              <w:rPr>
                <w:color w:val="1C3A36"/>
                <w:sz w:val="17"/>
              </w:rPr>
              <w:t>2.39</w:t>
            </w:r>
          </w:p>
        </w:tc>
        <w:tc>
          <w:tcPr>
            <w:tcW w:type="dxa" w:w="1037"/>
          </w:tcPr>
          <w:p>
            <w:pPr>
              <w:spacing w:after="20"/>
              <w:jc w:val="right"/>
            </w:pPr>
            <w:r>
              <w:rPr>
                <w:color w:val="1C3A36"/>
                <w:sz w:val="17"/>
              </w:rPr>
              <w:t>2.46</w:t>
            </w:r>
          </w:p>
        </w:tc>
        <w:tc>
          <w:tcPr>
            <w:tcW w:type="dxa" w:w="1037"/>
          </w:tcPr>
          <w:p>
            <w:pPr>
              <w:spacing w:after="20"/>
              <w:jc w:val="right"/>
            </w:pPr>
            <w:r>
              <w:rPr>
                <w:color w:val="1C3A36"/>
                <w:sz w:val="17"/>
              </w:rPr>
              <w:t>2.58</w:t>
            </w:r>
          </w:p>
        </w:tc>
        <w:tc>
          <w:tcPr>
            <w:tcW w:type="dxa" w:w="1498"/>
          </w:tcPr>
          <w:p>
            <w:pPr>
              <w:spacing w:after="20"/>
              <w:jc w:val="right"/>
            </w:pPr>
            <w:r>
              <w:rPr>
                <w:color w:val="1C3A36"/>
                <w:sz w:val="17"/>
              </w:rPr>
              <w:t>48%</w:t>
            </w:r>
          </w:p>
        </w:tc>
      </w:tr>
      <w:tr>
        <w:tc>
          <w:tcPr>
            <w:tcW w:type="dxa" w:w="1512"/>
          </w:tcPr>
          <w:p>
            <w:pPr>
              <w:spacing w:after="20"/>
            </w:pPr>
            <w:r>
              <w:rPr>
                <w:color w:val="1C3A36"/>
                <w:sz w:val="17"/>
              </w:rPr>
              <w:t>Three months</w:t>
            </w:r>
          </w:p>
        </w:tc>
        <w:tc>
          <w:tcPr>
            <w:tcW w:type="dxa" w:w="1512"/>
          </w:tcPr>
          <w:p>
            <w:pPr>
              <w:spacing w:after="20"/>
              <w:jc w:val="right"/>
            </w:pPr>
            <w:r>
              <w:rPr>
                <w:color w:val="1C3A36"/>
                <w:sz w:val="17"/>
              </w:rPr>
              <w:t>2026-11-09</w:t>
            </w:r>
          </w:p>
        </w:tc>
        <w:tc>
          <w:tcPr>
            <w:tcW w:type="dxa" w:w="1037"/>
          </w:tcPr>
          <w:p>
            <w:pPr>
              <w:spacing w:after="20"/>
              <w:jc w:val="right"/>
            </w:pPr>
            <w:r>
              <w:rPr>
                <w:color w:val="1C3A36"/>
                <w:sz w:val="17"/>
              </w:rPr>
              <w:t>2.07</w:t>
            </w:r>
          </w:p>
        </w:tc>
        <w:tc>
          <w:tcPr>
            <w:tcW w:type="dxa" w:w="1037"/>
          </w:tcPr>
          <w:p>
            <w:pPr>
              <w:spacing w:after="20"/>
              <w:jc w:val="right"/>
            </w:pPr>
            <w:r>
              <w:rPr>
                <w:color w:val="1C3A36"/>
                <w:sz w:val="17"/>
              </w:rPr>
              <w:t>2.26</w:t>
            </w:r>
          </w:p>
        </w:tc>
        <w:tc>
          <w:tcPr>
            <w:tcW w:type="dxa" w:w="1123"/>
          </w:tcPr>
          <w:p>
            <w:pPr>
              <w:spacing w:after="20"/>
              <w:jc w:val="right"/>
            </w:pPr>
            <w:r>
              <w:rPr>
                <w:color w:val="1C3A36"/>
                <w:sz w:val="17"/>
              </w:rPr>
              <w:t>2.38</w:t>
            </w:r>
          </w:p>
        </w:tc>
        <w:tc>
          <w:tcPr>
            <w:tcW w:type="dxa" w:w="1037"/>
          </w:tcPr>
          <w:p>
            <w:pPr>
              <w:spacing w:after="20"/>
              <w:jc w:val="right"/>
            </w:pPr>
            <w:r>
              <w:rPr>
                <w:color w:val="1C3A36"/>
                <w:sz w:val="17"/>
              </w:rPr>
              <w:t>2.51</w:t>
            </w:r>
          </w:p>
        </w:tc>
        <w:tc>
          <w:tcPr>
            <w:tcW w:type="dxa" w:w="1037"/>
          </w:tcPr>
          <w:p>
            <w:pPr>
              <w:spacing w:after="20"/>
              <w:jc w:val="right"/>
            </w:pPr>
            <w:r>
              <w:rPr>
                <w:color w:val="1C3A36"/>
                <w:sz w:val="17"/>
              </w:rPr>
              <w:t>2.74</w:t>
            </w:r>
          </w:p>
        </w:tc>
        <w:tc>
          <w:tcPr>
            <w:tcW w:type="dxa" w:w="1498"/>
          </w:tcPr>
          <w:p>
            <w:pPr>
              <w:spacing w:after="20"/>
              <w:jc w:val="right"/>
            </w:pPr>
            <w:r>
              <w:rPr>
                <w:color w:val="1C3A36"/>
                <w:sz w:val="17"/>
              </w:rPr>
              <w:t>46%</w:t>
            </w:r>
          </w:p>
        </w:tc>
      </w:tr>
    </w:tbl>
    <w:p>
      <w:pPr>
        <w:spacing w:after="40"/>
      </w:pPr>
    </w:p>
    <w:p>
      <w:pPr>
        <w:spacing w:after="200" w:before="0"/>
      </w:pPr>
      <w:r>
        <w:rPr>
          <w:b w:val="0"/>
          <w:i/>
          <w:color w:val="6E7B77"/>
          <w:sz w:val="17"/>
        </w:rPr>
        <w:t>Table 13 — The percentile map, in dirhams a share.</w:t>
      </w:r>
    </w:p>
    <w:p>
      <w:pPr>
        <w:spacing w:after="40"/>
        <w:jc w:val="center"/>
      </w:pPr>
      <w:r>
        <w:drawing>
          <wp:inline xmlns:a="http://schemas.openxmlformats.org/drawingml/2006/main" xmlns:pic="http://schemas.openxmlformats.org/drawingml/2006/picture">
            <wp:extent cx="6309360" cy="2740429"/>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40429"/>
                    </a:xfrm>
                    <a:prstGeom prst="rect"/>
                  </pic:spPr>
                </pic:pic>
              </a:graphicData>
            </a:graphic>
          </wp:inline>
        </w:drawing>
      </w:r>
    </w:p>
    <w:p>
      <w:pPr>
        <w:spacing w:after="200" w:before="0"/>
      </w:pPr>
      <w:r>
        <w:rPr>
          <w:b w:val="0"/>
          <w:i/>
          <w:color w:val="6E7B77"/>
          <w:sz w:val="17"/>
        </w:rPr>
        <w:t>Figure 6 — The three-month band. The shaded areas are the middle 50% and the middle 90% of simulated outcomes.</w:t>
      </w:r>
    </w:p>
    <w:p>
      <w:pPr>
        <w:spacing w:after="40"/>
        <w:jc w:val="center"/>
      </w:pPr>
      <w:r>
        <w:drawing>
          <wp:inline xmlns:a="http://schemas.openxmlformats.org/drawingml/2006/main" xmlns:pic="http://schemas.openxmlformats.org/drawingml/2006/picture">
            <wp:extent cx="5943600" cy="2575560"/>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943600" cy="2575560"/>
                    </a:xfrm>
                    <a:prstGeom prst="rect"/>
                  </pic:spPr>
                </pic:pic>
              </a:graphicData>
            </a:graphic>
          </wp:inline>
        </w:drawing>
      </w:r>
    </w:p>
    <w:p>
      <w:pPr>
        <w:spacing w:after="200" w:before="0"/>
      </w:pPr>
      <w:r>
        <w:rPr>
          <w:b w:val="0"/>
          <w:i/>
          <w:color w:val="6E7B77"/>
          <w:sz w:val="17"/>
        </w:rPr>
        <w:t>Figure 7 — The full distribution of three-month outcomes.</w:t>
      </w:r>
    </w:p>
    <w:p>
      <w:pPr>
        <w:spacing w:after="120" w:before="0"/>
      </w:pPr>
      <w:r>
        <w:rPr>
          <w:b w:val="0"/>
          <w:i w:val="0"/>
          <w:color w:val="1C3A36"/>
          <w:sz w:val="21"/>
        </w:rPr>
        <w:t>A level-touch ladder answers a question the percentiles do not: not where the price ends up, but whether it trades through a level at any point along the way.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2016"/>
        <w:gridCol w:w="2664"/>
        <w:gridCol w:w="2808"/>
      </w:tblGrid>
      <w:tr>
        <w:tc>
          <w:tcPr>
            <w:tcW w:type="dxa" w:w="2304"/>
            <w:shd w:val="clear" w:color="auto" w:fill="EAF0EE"/>
          </w:tcPr>
          <w:p>
            <w:pPr>
              <w:spacing w:after="20"/>
            </w:pPr>
            <w:r>
              <w:rPr>
                <w:b/>
                <w:color w:val="1C3A36"/>
                <w:sz w:val="17"/>
              </w:rPr>
              <w:t>Move from the close</w:t>
            </w:r>
          </w:p>
        </w:tc>
        <w:tc>
          <w:tcPr>
            <w:tcW w:type="dxa" w:w="2016"/>
            <w:shd w:val="clear" w:color="auto" w:fill="EAF0EE"/>
          </w:tcPr>
          <w:p>
            <w:pPr>
              <w:spacing w:after="20"/>
            </w:pPr>
            <w:r>
              <w:rPr>
                <w:b/>
                <w:color w:val="1C3A36"/>
                <w:sz w:val="17"/>
              </w:rPr>
              <w:t>Level (AED)</w:t>
            </w:r>
          </w:p>
        </w:tc>
        <w:tc>
          <w:tcPr>
            <w:tcW w:type="dxa" w:w="2664"/>
            <w:shd w:val="clear" w:color="auto" w:fill="EAF0EE"/>
          </w:tcPr>
          <w:p>
            <w:pPr>
              <w:spacing w:after="20"/>
            </w:pPr>
            <w:r>
              <w:rPr>
                <w:b/>
                <w:color w:val="1C3A36"/>
                <w:sz w:val="17"/>
              </w:rPr>
              <w:t>Within one month</w:t>
            </w:r>
          </w:p>
        </w:tc>
        <w:tc>
          <w:tcPr>
            <w:tcW w:type="dxa" w:w="2808"/>
            <w:shd w:val="clear" w:color="auto" w:fill="EAF0EE"/>
          </w:tcPr>
          <w:p>
            <w:pPr>
              <w:spacing w:after="20"/>
            </w:pPr>
            <w:r>
              <w:rPr>
                <w:b/>
                <w:color w:val="1C3A36"/>
                <w:sz w:val="17"/>
              </w:rPr>
              <w:t>Within three months</w:t>
            </w:r>
          </w:p>
        </w:tc>
      </w:tr>
      <w:tr>
        <w:tc>
          <w:tcPr>
            <w:tcW w:type="dxa" w:w="2304"/>
          </w:tcPr>
          <w:p>
            <w:pPr>
              <w:spacing w:after="20"/>
            </w:pPr>
            <w:r>
              <w:rPr>
                <w:color w:val="1C3A36"/>
                <w:sz w:val="17"/>
              </w:rPr>
              <w:t>Up 5%</w:t>
            </w:r>
          </w:p>
        </w:tc>
        <w:tc>
          <w:tcPr>
            <w:tcW w:type="dxa" w:w="2016"/>
          </w:tcPr>
          <w:p>
            <w:pPr>
              <w:spacing w:after="20"/>
              <w:jc w:val="right"/>
            </w:pPr>
            <w:r>
              <w:rPr>
                <w:color w:val="1C3A36"/>
                <w:sz w:val="17"/>
              </w:rPr>
              <w:t>2.52</w:t>
            </w:r>
          </w:p>
        </w:tc>
        <w:tc>
          <w:tcPr>
            <w:tcW w:type="dxa" w:w="2664"/>
          </w:tcPr>
          <w:p>
            <w:pPr>
              <w:spacing w:after="20"/>
              <w:jc w:val="right"/>
            </w:pPr>
            <w:r>
              <w:rPr>
                <w:color w:val="1C3A36"/>
                <w:sz w:val="17"/>
              </w:rPr>
              <w:t>20%</w:t>
            </w:r>
          </w:p>
        </w:tc>
        <w:tc>
          <w:tcPr>
            <w:tcW w:type="dxa" w:w="2808"/>
          </w:tcPr>
          <w:p>
            <w:pPr>
              <w:spacing w:after="20"/>
              <w:jc w:val="right"/>
            </w:pPr>
            <w:r>
              <w:rPr>
                <w:color w:val="1C3A36"/>
                <w:sz w:val="17"/>
              </w:rPr>
              <w:t>46%</w:t>
            </w:r>
          </w:p>
        </w:tc>
      </w:tr>
      <w:tr>
        <w:tc>
          <w:tcPr>
            <w:tcW w:type="dxa" w:w="2304"/>
          </w:tcPr>
          <w:p>
            <w:pPr>
              <w:spacing w:after="20"/>
            </w:pPr>
            <w:r>
              <w:rPr>
                <w:color w:val="1C3A36"/>
                <w:sz w:val="17"/>
              </w:rPr>
              <w:t>Up 10%</w:t>
            </w:r>
          </w:p>
        </w:tc>
        <w:tc>
          <w:tcPr>
            <w:tcW w:type="dxa" w:w="2016"/>
          </w:tcPr>
          <w:p>
            <w:pPr>
              <w:spacing w:after="20"/>
              <w:jc w:val="right"/>
            </w:pPr>
            <w:r>
              <w:rPr>
                <w:color w:val="1C3A36"/>
                <w:sz w:val="17"/>
              </w:rPr>
              <w:t>2.64</w:t>
            </w:r>
          </w:p>
        </w:tc>
        <w:tc>
          <w:tcPr>
            <w:tcW w:type="dxa" w:w="2664"/>
          </w:tcPr>
          <w:p>
            <w:pPr>
              <w:spacing w:after="20"/>
              <w:jc w:val="right"/>
            </w:pPr>
            <w:r>
              <w:rPr>
                <w:color w:val="1C3A36"/>
                <w:sz w:val="17"/>
              </w:rPr>
              <w:t>3%</w:t>
            </w:r>
          </w:p>
        </w:tc>
        <w:tc>
          <w:tcPr>
            <w:tcW w:type="dxa" w:w="2808"/>
          </w:tcPr>
          <w:p>
            <w:pPr>
              <w:spacing w:after="20"/>
              <w:jc w:val="right"/>
            </w:pPr>
            <w:r>
              <w:rPr>
                <w:color w:val="1C3A36"/>
                <w:sz w:val="17"/>
              </w:rPr>
              <w:t>20%</w:t>
            </w:r>
          </w:p>
        </w:tc>
      </w:tr>
      <w:tr>
        <w:tc>
          <w:tcPr>
            <w:tcW w:type="dxa" w:w="2304"/>
          </w:tcPr>
          <w:p>
            <w:pPr>
              <w:spacing w:after="20"/>
            </w:pPr>
            <w:r>
              <w:rPr>
                <w:color w:val="1C3A36"/>
                <w:sz w:val="17"/>
              </w:rPr>
              <w:t>Up 15%</w:t>
            </w:r>
          </w:p>
        </w:tc>
        <w:tc>
          <w:tcPr>
            <w:tcW w:type="dxa" w:w="2016"/>
          </w:tcPr>
          <w:p>
            <w:pPr>
              <w:spacing w:after="20"/>
              <w:jc w:val="right"/>
            </w:pPr>
            <w:r>
              <w:rPr>
                <w:color w:val="1C3A36"/>
                <w:sz w:val="17"/>
              </w:rPr>
              <w:t>2.76</w:t>
            </w:r>
          </w:p>
        </w:tc>
        <w:tc>
          <w:tcPr>
            <w:tcW w:type="dxa" w:w="2664"/>
          </w:tcPr>
          <w:p>
            <w:pPr>
              <w:spacing w:after="20"/>
              <w:jc w:val="right"/>
            </w:pPr>
            <w:r>
              <w:rPr>
                <w:color w:val="1C3A36"/>
                <w:sz w:val="17"/>
              </w:rPr>
              <w:t>0%</w:t>
            </w:r>
          </w:p>
        </w:tc>
        <w:tc>
          <w:tcPr>
            <w:tcW w:type="dxa" w:w="2808"/>
          </w:tcPr>
          <w:p>
            <w:pPr>
              <w:spacing w:after="20"/>
              <w:jc w:val="right"/>
            </w:pPr>
            <w:r>
              <w:rPr>
                <w:color w:val="1C3A36"/>
                <w:sz w:val="17"/>
              </w:rPr>
              <w:t>8%</w:t>
            </w:r>
          </w:p>
        </w:tc>
      </w:tr>
      <w:tr>
        <w:tc>
          <w:tcPr>
            <w:tcW w:type="dxa" w:w="2304"/>
          </w:tcPr>
          <w:p>
            <w:pPr>
              <w:spacing w:after="20"/>
            </w:pPr>
            <w:r>
              <w:rPr>
                <w:color w:val="1C3A36"/>
                <w:sz w:val="17"/>
              </w:rPr>
              <w:t>Up 20%</w:t>
            </w:r>
          </w:p>
        </w:tc>
        <w:tc>
          <w:tcPr>
            <w:tcW w:type="dxa" w:w="2016"/>
          </w:tcPr>
          <w:p>
            <w:pPr>
              <w:spacing w:after="20"/>
              <w:jc w:val="right"/>
            </w:pPr>
            <w:r>
              <w:rPr>
                <w:color w:val="1C3A36"/>
                <w:sz w:val="17"/>
              </w:rPr>
              <w:t>2.88</w:t>
            </w:r>
          </w:p>
        </w:tc>
        <w:tc>
          <w:tcPr>
            <w:tcW w:type="dxa" w:w="2664"/>
          </w:tcPr>
          <w:p>
            <w:pPr>
              <w:spacing w:after="20"/>
              <w:jc w:val="right"/>
            </w:pPr>
            <w:r>
              <w:rPr>
                <w:color w:val="1C3A36"/>
                <w:sz w:val="17"/>
              </w:rPr>
              <w:t>0%</w:t>
            </w:r>
          </w:p>
        </w:tc>
        <w:tc>
          <w:tcPr>
            <w:tcW w:type="dxa" w:w="2808"/>
          </w:tcPr>
          <w:p>
            <w:pPr>
              <w:spacing w:after="20"/>
              <w:jc w:val="right"/>
            </w:pPr>
            <w:r>
              <w:rPr>
                <w:color w:val="1C3A36"/>
                <w:sz w:val="17"/>
              </w:rPr>
              <w:t>3%</w:t>
            </w:r>
          </w:p>
        </w:tc>
      </w:tr>
      <w:tr>
        <w:tc>
          <w:tcPr>
            <w:tcW w:type="dxa" w:w="2304"/>
          </w:tcPr>
          <w:p>
            <w:pPr>
              <w:spacing w:after="20"/>
            </w:pPr>
            <w:r>
              <w:rPr>
                <w:color w:val="1C3A36"/>
                <w:sz w:val="17"/>
              </w:rPr>
              <w:t>Down 5%</w:t>
            </w:r>
          </w:p>
        </w:tc>
        <w:tc>
          <w:tcPr>
            <w:tcW w:type="dxa" w:w="2016"/>
          </w:tcPr>
          <w:p>
            <w:pPr>
              <w:spacing w:after="20"/>
              <w:jc w:val="right"/>
            </w:pPr>
            <w:r>
              <w:rPr>
                <w:color w:val="1C3A36"/>
                <w:sz w:val="17"/>
              </w:rPr>
              <w:t>2.28</w:t>
            </w:r>
          </w:p>
        </w:tc>
        <w:tc>
          <w:tcPr>
            <w:tcW w:type="dxa" w:w="2664"/>
          </w:tcPr>
          <w:p>
            <w:pPr>
              <w:spacing w:after="20"/>
              <w:jc w:val="right"/>
            </w:pPr>
            <w:r>
              <w:rPr>
                <w:color w:val="1C3A36"/>
                <w:sz w:val="17"/>
              </w:rPr>
              <w:t>21%</w:t>
            </w:r>
          </w:p>
        </w:tc>
        <w:tc>
          <w:tcPr>
            <w:tcW w:type="dxa" w:w="2808"/>
          </w:tcPr>
          <w:p>
            <w:pPr>
              <w:spacing w:after="20"/>
              <w:jc w:val="right"/>
            </w:pPr>
            <w:r>
              <w:rPr>
                <w:color w:val="1C3A36"/>
                <w:sz w:val="17"/>
              </w:rPr>
              <w:t>50%</w:t>
            </w:r>
          </w:p>
        </w:tc>
      </w:tr>
      <w:tr>
        <w:tc>
          <w:tcPr>
            <w:tcW w:type="dxa" w:w="2304"/>
          </w:tcPr>
          <w:p>
            <w:pPr>
              <w:spacing w:after="20"/>
            </w:pPr>
            <w:r>
              <w:rPr>
                <w:color w:val="1C3A36"/>
                <w:sz w:val="17"/>
              </w:rPr>
              <w:t>Down 10%</w:t>
            </w:r>
          </w:p>
        </w:tc>
        <w:tc>
          <w:tcPr>
            <w:tcW w:type="dxa" w:w="2016"/>
          </w:tcPr>
          <w:p>
            <w:pPr>
              <w:spacing w:after="20"/>
              <w:jc w:val="right"/>
            </w:pPr>
            <w:r>
              <w:rPr>
                <w:color w:val="1C3A36"/>
                <w:sz w:val="17"/>
              </w:rPr>
              <w:t>2.16</w:t>
            </w:r>
          </w:p>
        </w:tc>
        <w:tc>
          <w:tcPr>
            <w:tcW w:type="dxa" w:w="2664"/>
          </w:tcPr>
          <w:p>
            <w:pPr>
              <w:spacing w:after="20"/>
              <w:jc w:val="right"/>
            </w:pPr>
            <w:r>
              <w:rPr>
                <w:color w:val="1C3A36"/>
                <w:sz w:val="17"/>
              </w:rPr>
              <w:t>2%</w:t>
            </w:r>
          </w:p>
        </w:tc>
        <w:tc>
          <w:tcPr>
            <w:tcW w:type="dxa" w:w="2808"/>
          </w:tcPr>
          <w:p>
            <w:pPr>
              <w:spacing w:after="20"/>
              <w:jc w:val="right"/>
            </w:pPr>
            <w:r>
              <w:rPr>
                <w:color w:val="1C3A36"/>
                <w:sz w:val="17"/>
              </w:rPr>
              <w:t>19%</w:t>
            </w:r>
          </w:p>
        </w:tc>
      </w:tr>
      <w:tr>
        <w:tc>
          <w:tcPr>
            <w:tcW w:type="dxa" w:w="2304"/>
          </w:tcPr>
          <w:p>
            <w:pPr>
              <w:spacing w:after="20"/>
            </w:pPr>
            <w:r>
              <w:rPr>
                <w:color w:val="1C3A36"/>
                <w:sz w:val="17"/>
              </w:rPr>
              <w:t>Down 15%</w:t>
            </w:r>
          </w:p>
        </w:tc>
        <w:tc>
          <w:tcPr>
            <w:tcW w:type="dxa" w:w="2016"/>
          </w:tcPr>
          <w:p>
            <w:pPr>
              <w:spacing w:after="20"/>
              <w:jc w:val="right"/>
            </w:pPr>
            <w:r>
              <w:rPr>
                <w:color w:val="1C3A36"/>
                <w:sz w:val="17"/>
              </w:rPr>
              <w:t>2.04</w:t>
            </w:r>
          </w:p>
        </w:tc>
        <w:tc>
          <w:tcPr>
            <w:tcW w:type="dxa" w:w="2664"/>
          </w:tcPr>
          <w:p>
            <w:pPr>
              <w:spacing w:after="20"/>
              <w:jc w:val="right"/>
            </w:pPr>
            <w:r>
              <w:rPr>
                <w:color w:val="1C3A36"/>
                <w:sz w:val="17"/>
              </w:rPr>
              <w:t>0%</w:t>
            </w:r>
          </w:p>
        </w:tc>
        <w:tc>
          <w:tcPr>
            <w:tcW w:type="dxa" w:w="2808"/>
          </w:tcPr>
          <w:p>
            <w:pPr>
              <w:spacing w:after="20"/>
              <w:jc w:val="right"/>
            </w:pPr>
            <w:r>
              <w:rPr>
                <w:color w:val="1C3A36"/>
                <w:sz w:val="17"/>
              </w:rPr>
              <w:t>6%</w:t>
            </w:r>
          </w:p>
        </w:tc>
      </w:tr>
      <w:tr>
        <w:tc>
          <w:tcPr>
            <w:tcW w:type="dxa" w:w="2304"/>
          </w:tcPr>
          <w:p>
            <w:pPr>
              <w:spacing w:after="20"/>
            </w:pPr>
            <w:r>
              <w:rPr>
                <w:color w:val="1C3A36"/>
                <w:sz w:val="17"/>
              </w:rPr>
              <w:t>Down 20%</w:t>
            </w:r>
          </w:p>
        </w:tc>
        <w:tc>
          <w:tcPr>
            <w:tcW w:type="dxa" w:w="2016"/>
          </w:tcPr>
          <w:p>
            <w:pPr>
              <w:spacing w:after="20"/>
              <w:jc w:val="right"/>
            </w:pPr>
            <w:r>
              <w:rPr>
                <w:color w:val="1C3A36"/>
                <w:sz w:val="17"/>
              </w:rPr>
              <w:t>1.92</w:t>
            </w:r>
          </w:p>
        </w:tc>
        <w:tc>
          <w:tcPr>
            <w:tcW w:type="dxa" w:w="2664"/>
          </w:tcPr>
          <w:p>
            <w:pPr>
              <w:spacing w:after="20"/>
              <w:jc w:val="right"/>
            </w:pPr>
            <w:r>
              <w:rPr>
                <w:color w:val="1C3A36"/>
                <w:sz w:val="17"/>
              </w:rPr>
              <w:t>0%</w:t>
            </w:r>
          </w:p>
        </w:tc>
        <w:tc>
          <w:tcPr>
            <w:tcW w:type="dxa" w:w="2808"/>
          </w:tcPr>
          <w:p>
            <w:pPr>
              <w:spacing w:after="20"/>
              <w:jc w:val="right"/>
            </w:pPr>
            <w:r>
              <w:rPr>
                <w:color w:val="1C3A36"/>
                <w:sz w:val="17"/>
              </w:rPr>
              <w:t>2%</w:t>
            </w:r>
          </w:p>
        </w:tc>
      </w:tr>
    </w:tbl>
    <w:p>
      <w:pPr>
        <w:spacing w:after="40"/>
      </w:pPr>
    </w:p>
    <w:p>
      <w:pPr>
        <w:spacing w:after="200" w:before="0"/>
      </w:pPr>
      <w:r>
        <w:rPr>
          <w:b w:val="0"/>
          <w:i/>
          <w:color w:val="6E7B77"/>
          <w:sz w:val="17"/>
        </w:rPr>
        <w:t>Table 14 — The chance the price trades through each level at any point inside the window, not just where it finishes.</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Layout w:type="fixed"/>
        <w:tblCellMar>
          <w:top w:w="120" w:type="dxa"/>
          <w:left w:w="160" w:type="dxa"/>
          <w:bottom w:w="120" w:type="dxa"/>
          <w:right w:w="160" w:type="dxa"/>
        </w:tblCellMar>
        <w:tblLayout w:type="fixed"/>
      </w:tblPr>
      <w:tblGrid>
        <w:gridCol w:w="10080"/>
      </w:tblGrid>
      <w:tr>
        <w:tc>
          <w:tcPr>
            <w:tcW w:type="dxa" w:w="10080"/>
            <w:shd w:val="clear" w:color="auto" w:fill="F6F1E6"/>
          </w:tcPr>
          <w:p>
            <w:pPr>
              <w:spacing w:after="100"/>
            </w:pPr>
            <w:r>
              <w:rPr>
                <w:b/>
                <w:color w:val="1C3A36"/>
                <w:sz w:val="19"/>
              </w:rPr>
              <w:t xml:space="preserve">How well has this band actually worked on THIS share — and the honest answer. </w:t>
            </w:r>
            <w:r>
              <w:rPr>
                <w:color w:val="1C3A36"/>
                <w:sz w:val="19"/>
              </w:rPr>
              <w:t>The method was tested by running it backwards over the share’s own history, stepping forward three months at a time and scoring each band against what actually happened, against the benchmark of assuming the price simply drifts with carry. On Borouge specifically it did NOT beat that benchmark. Over the 12 independent three-month windows the history allows, it scored -0.090 against it — worse, not better, and worse consistently rather than by luck of the sampling.</w:t>
            </w:r>
          </w:p>
          <w:p>
            <w:pPr>
              <w:spacing w:after="100"/>
            </w:pPr>
            <w:r>
              <w:rPr>
                <w:b/>
                <w:color w:val="1C3A36"/>
                <w:sz w:val="19"/>
              </w:rPr>
              <w:t xml:space="preserve">What went wrong is specific and it is visible in the numbers. </w:t>
            </w:r>
            <w:r>
              <w:rPr>
                <w:color w:val="1C3A36"/>
                <w:sz w:val="19"/>
              </w:rPr>
              <w:t>The bands are too WIDE, not mis-centred. 100% of outcomes landed inside the 80% band and 100% inside the 90% band, when 80% and 90% is what those bands are meant to contain. The band came out 1.24 times as wide as the benchmark’s. Centring is fine — the average outcome sat at the 0.52 percentile of its own band, close to the midpoint you would want. Borouge is simply a calmer share than the UAE market average the band width is set from, and a band sized for that average is too generous for it.</w:t>
            </w:r>
          </w:p>
          <w:p>
            <w:pPr>
              <w:spacing w:after="100"/>
            </w:pPr>
            <w:r>
              <w:rPr>
                <w:b/>
                <w:color w:val="1C3A36"/>
                <w:sz w:val="19"/>
              </w:rPr>
              <w:t xml:space="preserve">Two further limits, stated rather than buried. </w:t>
            </w:r>
            <w:r>
              <w:rPr>
                <w:color w:val="1C3A36"/>
                <w:sz w:val="19"/>
              </w:rPr>
              <w:t>First, Borouge listed on 3 June 2022, so its history is 4.17 years, not five. A five-year test is not available for this share and the five-year window here is identical to its whole history. Second, 12 independent windows is a small sample, and the distribution of outcomes within the bands is not as even as it should be. Read the bands in this section as a description of how this share has behaved, and treat their width as generous rather than tight.</w:t>
            </w:r>
          </w:p>
        </w:tc>
      </w:tr>
    </w:tbl>
    <w:p>
      <w:pPr>
        <w:spacing w:after="40"/>
      </w:pPr>
    </w:p>
    <w:p>
      <w:pPr>
        <w:spacing w:after="120" w:before="280"/>
      </w:pPr>
      <w:r>
        <w:rPr>
          <w:b/>
          <w:i w:val="0"/>
          <w:color w:val="1C3A36"/>
          <w:sz w:val="30"/>
        </w:rPr>
        <w:t>4  Comparison of the lenses</w:t>
      </w:r>
    </w:p>
    <w:p>
      <w:pPr>
        <w:spacing w:after="120" w:before="0"/>
      </w:pPr>
      <w:r>
        <w:rPr>
          <w:b w:val="0"/>
          <w:i w:val="0"/>
          <w:color w:val="1C3A36"/>
          <w:sz w:val="21"/>
        </w:rPr>
        <w:t>Four methods, deliberately chosen so that they fail in different ways. Where they agree, the agreement means something; where they diverge, the divergence points at a specific assumption rather than at general uncertainty.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2736"/>
        <w:gridCol w:w="2952"/>
        <w:gridCol w:w="1944"/>
      </w:tblGrid>
      <w:tr>
        <w:tc>
          <w:tcPr>
            <w:tcW w:type="dxa" w:w="2160"/>
            <w:shd w:val="clear" w:color="auto" w:fill="EAF0EE"/>
          </w:tcPr>
          <w:p>
            <w:pPr>
              <w:spacing w:after="20"/>
            </w:pPr>
            <w:r>
              <w:rPr>
                <w:b/>
                <w:color w:val="1C3A36"/>
                <w:sz w:val="17"/>
              </w:rPr>
              <w:t>Lens</w:t>
            </w:r>
          </w:p>
        </w:tc>
        <w:tc>
          <w:tcPr>
            <w:tcW w:type="dxa" w:w="2736"/>
            <w:shd w:val="clear" w:color="auto" w:fill="EAF0EE"/>
          </w:tcPr>
          <w:p>
            <w:pPr>
              <w:spacing w:after="20"/>
            </w:pPr>
            <w:r>
              <w:rPr>
                <w:b/>
                <w:color w:val="1C3A36"/>
                <w:sz w:val="17"/>
              </w:rPr>
              <w:t>What it is good at</w:t>
            </w:r>
          </w:p>
        </w:tc>
        <w:tc>
          <w:tcPr>
            <w:tcW w:type="dxa" w:w="2952"/>
            <w:shd w:val="clear" w:color="auto" w:fill="EAF0EE"/>
          </w:tcPr>
          <w:p>
            <w:pPr>
              <w:spacing w:after="20"/>
            </w:pPr>
            <w:r>
              <w:rPr>
                <w:b/>
                <w:color w:val="1C3A36"/>
                <w:sz w:val="17"/>
              </w:rPr>
              <w:t>How it fails</w:t>
            </w:r>
          </w:p>
        </w:tc>
        <w:tc>
          <w:tcPr>
            <w:tcW w:type="dxa" w:w="1944"/>
            <w:shd w:val="clear" w:color="auto" w:fill="EAF0EE"/>
          </w:tcPr>
          <w:p>
            <w:pPr>
              <w:spacing w:after="20"/>
            </w:pPr>
            <w:r>
              <w:rPr>
                <w:b/>
                <w:color w:val="1C3A36"/>
                <w:sz w:val="17"/>
              </w:rPr>
              <w:t>Reading (AED)</w:t>
            </w:r>
          </w:p>
        </w:tc>
      </w:tr>
      <w:tr>
        <w:tc>
          <w:tcPr>
            <w:tcW w:type="dxa" w:w="2160"/>
          </w:tcPr>
          <w:p>
            <w:pPr>
              <w:spacing w:after="20"/>
            </w:pPr>
            <w:r>
              <w:rPr>
                <w:color w:val="1C3A36"/>
                <w:sz w:val="17"/>
              </w:rPr>
              <w:t>Discounted cash flow</w:t>
            </w:r>
          </w:p>
        </w:tc>
        <w:tc>
          <w:tcPr>
            <w:tcW w:type="dxa" w:w="2736"/>
          </w:tcPr>
          <w:p>
            <w:pPr>
              <w:spacing w:after="20"/>
              <w:jc w:val="right"/>
            </w:pPr>
            <w:r>
              <w:rPr>
                <w:color w:val="1C3A36"/>
                <w:sz w:val="17"/>
              </w:rPr>
              <w:t>It is the only lens that uses the actual tonnes, prices and costs, and the only one that can price a fee stream separately</w:t>
            </w:r>
          </w:p>
        </w:tc>
        <w:tc>
          <w:tcPr>
            <w:tcW w:type="dxa" w:w="2952"/>
          </w:tcPr>
          <w:p>
            <w:pPr>
              <w:spacing w:after="20"/>
              <w:jc w:val="right"/>
            </w:pPr>
            <w:r>
              <w:rPr>
                <w:color w:val="1C3A36"/>
                <w:sz w:val="17"/>
              </w:rPr>
              <w:t>It puts 70.2% of the answer in a terminal block, and it is hostage to the cost of capital</w:t>
            </w:r>
          </w:p>
        </w:tc>
        <w:tc>
          <w:tcPr>
            <w:tcW w:type="dxa" w:w="1944"/>
          </w:tcPr>
          <w:p>
            <w:pPr>
              <w:spacing w:after="20"/>
              <w:jc w:val="right"/>
            </w:pPr>
            <w:r>
              <w:rPr>
                <w:color w:val="1C3A36"/>
                <w:sz w:val="17"/>
              </w:rPr>
              <w:t>1.49 – 2.79</w:t>
            </w:r>
          </w:p>
        </w:tc>
      </w:tr>
      <w:tr>
        <w:tc>
          <w:tcPr>
            <w:tcW w:type="dxa" w:w="2160"/>
          </w:tcPr>
          <w:p>
            <w:pPr>
              <w:spacing w:after="20"/>
            </w:pPr>
            <w:r>
              <w:rPr>
                <w:color w:val="1C3A36"/>
                <w:sz w:val="17"/>
              </w:rPr>
              <w:t>Book value and sustainable return</w:t>
            </w:r>
          </w:p>
        </w:tc>
        <w:tc>
          <w:tcPr>
            <w:tcW w:type="dxa" w:w="2736"/>
          </w:tcPr>
          <w:p>
            <w:pPr>
              <w:spacing w:after="20"/>
              <w:jc w:val="right"/>
            </w:pPr>
            <w:r>
              <w:rPr>
                <w:color w:val="1C3A36"/>
                <w:sz w:val="17"/>
              </w:rPr>
              <w:t>Uses no forecast at all — just what the company has actually earned on what it has actually invested</w:t>
            </w:r>
          </w:p>
        </w:tc>
        <w:tc>
          <w:tcPr>
            <w:tcW w:type="dxa" w:w="2952"/>
          </w:tcPr>
          <w:p>
            <w:pPr>
              <w:spacing w:after="20"/>
              <w:jc w:val="right"/>
            </w:pPr>
            <w:r>
              <w:rPr>
                <w:color w:val="1C3A36"/>
                <w:sz w:val="17"/>
              </w:rPr>
              <w:t>It is a ratio of two rates, so it amplifies the risk debate more than any other lens</w:t>
            </w:r>
          </w:p>
        </w:tc>
        <w:tc>
          <w:tcPr>
            <w:tcW w:type="dxa" w:w="1944"/>
          </w:tcPr>
          <w:p>
            <w:pPr>
              <w:spacing w:after="20"/>
              <w:jc w:val="right"/>
            </w:pPr>
            <w:r>
              <w:rPr>
                <w:color w:val="1C3A36"/>
                <w:sz w:val="17"/>
              </w:rPr>
              <w:t>1.35 – 2.39</w:t>
            </w:r>
          </w:p>
        </w:tc>
      </w:tr>
      <w:tr>
        <w:tc>
          <w:tcPr>
            <w:tcW w:type="dxa" w:w="2160"/>
          </w:tcPr>
          <w:p>
            <w:pPr>
              <w:spacing w:after="20"/>
            </w:pPr>
            <w:r>
              <w:rPr>
                <w:color w:val="1C3A36"/>
                <w:sz w:val="17"/>
              </w:rPr>
              <w:t>Relative multiples</w:t>
            </w:r>
          </w:p>
        </w:tc>
        <w:tc>
          <w:tcPr>
            <w:tcW w:type="dxa" w:w="2736"/>
          </w:tcPr>
          <w:p>
            <w:pPr>
              <w:spacing w:after="20"/>
              <w:jc w:val="right"/>
            </w:pPr>
            <w:r>
              <w:rPr>
                <w:color w:val="1C3A36"/>
                <w:sz w:val="17"/>
              </w:rPr>
              <w:t>Completely independent of the risk debate, and anchored on what the market has actually paid through a cycle</w:t>
            </w:r>
          </w:p>
        </w:tc>
        <w:tc>
          <w:tcPr>
            <w:tcW w:type="dxa" w:w="2952"/>
          </w:tcPr>
          <w:p>
            <w:pPr>
              <w:spacing w:after="20"/>
              <w:jc w:val="right"/>
            </w:pPr>
            <w:r>
              <w:rPr>
                <w:color w:val="1C3A36"/>
                <w:sz w:val="17"/>
              </w:rPr>
              <w:t>The current peer set is broken — nine of eleven are loss-making — so it leans on through-cycle anchors rather than live comparables</w:t>
            </w:r>
          </w:p>
        </w:tc>
        <w:tc>
          <w:tcPr>
            <w:tcW w:type="dxa" w:w="1944"/>
          </w:tcPr>
          <w:p>
            <w:pPr>
              <w:spacing w:after="20"/>
              <w:jc w:val="right"/>
            </w:pPr>
            <w:r>
              <w:rPr>
                <w:color w:val="1C3A36"/>
                <w:sz w:val="17"/>
              </w:rPr>
              <w:t>1.73</w:t>
            </w:r>
          </w:p>
        </w:tc>
      </w:tr>
      <w:tr>
        <w:tc>
          <w:tcPr>
            <w:tcW w:type="dxa" w:w="2160"/>
          </w:tcPr>
          <w:p>
            <w:pPr>
              <w:spacing w:after="20"/>
            </w:pPr>
            <w:r>
              <w:rPr>
                <w:color w:val="1C3A36"/>
                <w:sz w:val="17"/>
              </w:rPr>
              <w:t>Normalised earnings power</w:t>
            </w:r>
          </w:p>
        </w:tc>
        <w:tc>
          <w:tcPr>
            <w:tcW w:type="dxa" w:w="2736"/>
          </w:tcPr>
          <w:p>
            <w:pPr>
              <w:spacing w:after="20"/>
              <w:jc w:val="right"/>
            </w:pPr>
            <w:r>
              <w:rPr>
                <w:color w:val="1C3A36"/>
                <w:sz w:val="17"/>
              </w:rPr>
              <w:t>Strips out both the disruption and the trough by construction</w:t>
            </w:r>
          </w:p>
        </w:tc>
        <w:tc>
          <w:tcPr>
            <w:tcW w:type="dxa" w:w="2952"/>
          </w:tcPr>
          <w:p>
            <w:pPr>
              <w:spacing w:after="20"/>
              <w:jc w:val="right"/>
            </w:pPr>
            <w:r>
              <w:rPr>
                <w:color w:val="1C3A36"/>
                <w:sz w:val="17"/>
              </w:rPr>
              <w:t>Mid-cycle is a judgement, and it inherits the same cost of capital as the cash-flow lens</w:t>
            </w:r>
          </w:p>
        </w:tc>
        <w:tc>
          <w:tcPr>
            <w:tcW w:type="dxa" w:w="1944"/>
          </w:tcPr>
          <w:p>
            <w:pPr>
              <w:spacing w:after="20"/>
              <w:jc w:val="right"/>
            </w:pPr>
            <w:r>
              <w:rPr>
                <w:color w:val="1C3A36"/>
                <w:sz w:val="17"/>
              </w:rPr>
              <w:t>1.29 – 2.54</w:t>
            </w:r>
          </w:p>
        </w:tc>
      </w:tr>
    </w:tbl>
    <w:p>
      <w:pPr>
        <w:spacing w:after="40"/>
      </w:pPr>
    </w:p>
    <w:p>
      <w:pPr>
        <w:spacing w:after="200" w:before="0"/>
      </w:pPr>
      <w:r>
        <w:rPr>
          <w:b w:val="0"/>
          <w:i/>
          <w:color w:val="6E7B77"/>
          <w:sz w:val="17"/>
        </w:rPr>
        <w:t>Table 15 — What each lens is for, and where each one breaks.</w:t>
      </w:r>
    </w:p>
    <w:p>
      <w:pPr>
        <w:spacing w:after="120" w:before="0"/>
      </w:pPr>
      <w:r>
        <w:rPr>
          <w:b w:val="0"/>
          <w:i w:val="0"/>
          <w:color w:val="1C3A36"/>
          <w:sz w:val="21"/>
        </w:rPr>
        <w:t>The pattern is clear once the columns are read separately. Inside the low-risk column the four lenses span 1.73 to 2.79; inside the high-risk column they span 1.29 to 1.73. The relative lens sits in the middle of the whole field precisely because it is the one lens the risk debate cannot touch — and at 1.73 against a close of 2.40, it is also the lens that sits furthest below the market.</w:t>
      </w:r>
    </w:p>
    <w:p>
      <w:pPr>
        <w:spacing w:after="120" w:before="280"/>
      </w:pPr>
      <w:r>
        <w:rPr>
          <w:b/>
          <w:i w:val="0"/>
          <w:color w:val="1C3A36"/>
          <w:sz w:val="30"/>
        </w:rPr>
        <w:t>5  Catalysts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728"/>
        <w:gridCol w:w="5976"/>
      </w:tblGrid>
      <w:tr>
        <w:tc>
          <w:tcPr>
            <w:tcW w:type="dxa" w:w="2088"/>
            <w:shd w:val="clear" w:color="auto" w:fill="EAF0EE"/>
          </w:tcPr>
          <w:p>
            <w:pPr>
              <w:spacing w:after="20"/>
            </w:pPr>
            <w:r>
              <w:rPr>
                <w:b/>
                <w:color w:val="1C3A36"/>
                <w:sz w:val="17"/>
              </w:rPr>
              <w:t>What</w:t>
            </w:r>
          </w:p>
        </w:tc>
        <w:tc>
          <w:tcPr>
            <w:tcW w:type="dxa" w:w="1728"/>
            <w:shd w:val="clear" w:color="auto" w:fill="EAF0EE"/>
          </w:tcPr>
          <w:p>
            <w:pPr>
              <w:spacing w:after="20"/>
            </w:pPr>
            <w:r>
              <w:rPr>
                <w:b/>
                <w:color w:val="1C3A36"/>
                <w:sz w:val="17"/>
              </w:rPr>
              <w:t>When</w:t>
            </w:r>
          </w:p>
        </w:tc>
        <w:tc>
          <w:tcPr>
            <w:tcW w:type="dxa" w:w="5976"/>
            <w:shd w:val="clear" w:color="auto" w:fill="EAF0EE"/>
          </w:tcPr>
          <w:p>
            <w:pPr>
              <w:spacing w:after="20"/>
            </w:pPr>
            <w:r>
              <w:rPr>
                <w:b/>
                <w:color w:val="1C3A36"/>
                <w:sz w:val="17"/>
              </w:rPr>
              <w:t>Why it matters</w:t>
            </w:r>
          </w:p>
        </w:tc>
      </w:tr>
      <w:tr>
        <w:tc>
          <w:tcPr>
            <w:tcW w:type="dxa" w:w="2088"/>
          </w:tcPr>
          <w:p>
            <w:pPr>
              <w:spacing w:after="20"/>
            </w:pPr>
            <w:r>
              <w:rPr>
                <w:color w:val="1C3A36"/>
                <w:sz w:val="17"/>
              </w:rPr>
              <w:t>Third-quarter results</w:t>
            </w:r>
          </w:p>
        </w:tc>
        <w:tc>
          <w:tcPr>
            <w:tcW w:type="dxa" w:w="1728"/>
          </w:tcPr>
          <w:p>
            <w:pPr>
              <w:spacing w:after="20"/>
              <w:jc w:val="right"/>
            </w:pPr>
            <w:r>
              <w:rPr>
                <w:color w:val="1C3A36"/>
                <w:sz w:val="17"/>
              </w:rPr>
              <w:t>Late October 2026</w:t>
            </w:r>
          </w:p>
        </w:tc>
        <w:tc>
          <w:tcPr>
            <w:tcW w:type="dxa" w:w="5976"/>
          </w:tcPr>
          <w:p>
            <w:pPr>
              <w:spacing w:after="20"/>
              <w:jc w:val="right"/>
            </w:pPr>
            <w:r>
              <w:rPr>
                <w:color w:val="1C3A36"/>
                <w:sz w:val="17"/>
              </w:rPr>
              <w:t>The first clean read on whether utilisation and freight actually recovered in the second half. This is the single observation that separates the study’s two constructions, and it arrives within months rather than years.</w:t>
            </w:r>
          </w:p>
        </w:tc>
      </w:tr>
      <w:tr>
        <w:tc>
          <w:tcPr>
            <w:tcW w:type="dxa" w:w="2088"/>
          </w:tcPr>
          <w:p>
            <w:pPr>
              <w:spacing w:after="20"/>
            </w:pPr>
            <w:r>
              <w:rPr>
                <w:color w:val="1C3A36"/>
                <w:sz w:val="17"/>
              </w:rPr>
              <w:t>Feedstock cost per tonne in the next disclosure</w:t>
            </w:r>
          </w:p>
        </w:tc>
        <w:tc>
          <w:tcPr>
            <w:tcW w:type="dxa" w:w="1728"/>
          </w:tcPr>
          <w:p>
            <w:pPr>
              <w:spacing w:after="20"/>
              <w:jc w:val="right"/>
            </w:pPr>
            <w:r>
              <w:rPr>
                <w:color w:val="1C3A36"/>
                <w:sz w:val="17"/>
              </w:rPr>
              <w:t>With Q3 and full-year results</w:t>
            </w:r>
          </w:p>
        </w:tc>
        <w:tc>
          <w:tcPr>
            <w:tcW w:type="dxa" w:w="5976"/>
          </w:tcPr>
          <w:p>
            <w:pPr>
              <w:spacing w:after="20"/>
              <w:jc w:val="right"/>
            </w:pPr>
            <w:r>
              <w:rPr>
                <w:color w:val="1C3A36"/>
                <w:sz w:val="17"/>
              </w:rPr>
              <w:t>It ran $395 in the first half against $256 in 2025. A move back toward the low 300s confirms the conversion unit is running on ethane again; a figure still near $395 says the disruption is structural rather than temporary.</w:t>
            </w:r>
          </w:p>
        </w:tc>
      </w:tr>
      <w:tr>
        <w:tc>
          <w:tcPr>
            <w:tcW w:type="dxa" w:w="2088"/>
          </w:tcPr>
          <w:p>
            <w:pPr>
              <w:spacing w:after="20"/>
            </w:pPr>
            <w:r>
              <w:rPr>
                <w:color w:val="1C3A36"/>
                <w:sz w:val="17"/>
              </w:rPr>
              <w:t>Freight cost per tonne sold</w:t>
            </w:r>
          </w:p>
        </w:tc>
        <w:tc>
          <w:tcPr>
            <w:tcW w:type="dxa" w:w="1728"/>
          </w:tcPr>
          <w:p>
            <w:pPr>
              <w:spacing w:after="20"/>
              <w:jc w:val="right"/>
            </w:pPr>
            <w:r>
              <w:rPr>
                <w:color w:val="1C3A36"/>
                <w:sz w:val="17"/>
              </w:rPr>
              <w:t>With Q3 and full-year results</w:t>
            </w:r>
          </w:p>
        </w:tc>
        <w:tc>
          <w:tcPr>
            <w:tcW w:type="dxa" w:w="5976"/>
          </w:tcPr>
          <w:p>
            <w:pPr>
              <w:spacing w:after="20"/>
              <w:jc w:val="right"/>
            </w:pPr>
            <w:r>
              <w:rPr>
                <w:color w:val="1C3A36"/>
                <w:sz w:val="17"/>
              </w:rPr>
              <w:t>$177 against $77 is the re-routing cost. It reverses when the direct route reopens, and not before.</w:t>
            </w:r>
          </w:p>
        </w:tc>
      </w:tr>
      <w:tr>
        <w:tc>
          <w:tcPr>
            <w:tcW w:type="dxa" w:w="2088"/>
          </w:tcPr>
          <w:p>
            <w:pPr>
              <w:spacing w:after="20"/>
            </w:pPr>
            <w:r>
              <w:rPr>
                <w:color w:val="1C3A36"/>
                <w:sz w:val="17"/>
              </w:rPr>
              <w:t>The tender offer</w:t>
            </w:r>
          </w:p>
        </w:tc>
        <w:tc>
          <w:tcPr>
            <w:tcW w:type="dxa" w:w="1728"/>
          </w:tcPr>
          <w:p>
            <w:pPr>
              <w:spacing w:after="20"/>
              <w:jc w:val="right"/>
            </w:pPr>
            <w:r>
              <w:rPr>
                <w:color w:val="1C3A36"/>
                <w:sz w:val="17"/>
              </w:rPr>
              <w:t>Expected during 2027</w:t>
            </w:r>
          </w:p>
        </w:tc>
        <w:tc>
          <w:tcPr>
            <w:tcW w:type="dxa" w:w="5976"/>
          </w:tcPr>
          <w:p>
            <w:pPr>
              <w:spacing w:after="20"/>
              <w:jc w:val="right"/>
            </w:pPr>
            <w:r>
              <w:rPr>
                <w:color w:val="1C3A36"/>
                <w:sz w:val="17"/>
              </w:rPr>
              <w:t>Borouge plc shares are expected to convert into shares of the combined group, subject to market conditions and regulatory approval. No exchange ratio has been published. When one is, it becomes the dominant fact about this security and supersedes much of the analysis here.</w:t>
            </w:r>
          </w:p>
        </w:tc>
      </w:tr>
      <w:tr>
        <w:tc>
          <w:tcPr>
            <w:tcW w:type="dxa" w:w="2088"/>
          </w:tcPr>
          <w:p>
            <w:pPr>
              <w:spacing w:after="20"/>
            </w:pPr>
            <w:r>
              <w:rPr>
                <w:color w:val="1C3A36"/>
                <w:sz w:val="17"/>
              </w:rPr>
              <w:t>The dividend</w:t>
            </w:r>
          </w:p>
        </w:tc>
        <w:tc>
          <w:tcPr>
            <w:tcW w:type="dxa" w:w="1728"/>
          </w:tcPr>
          <w:p>
            <w:pPr>
              <w:spacing w:after="20"/>
              <w:jc w:val="right"/>
            </w:pPr>
            <w:r>
              <w:rPr>
                <w:color w:val="1C3A36"/>
                <w:sz w:val="17"/>
              </w:rPr>
              <w:t>Declared with full-year results</w:t>
            </w:r>
          </w:p>
        </w:tc>
        <w:tc>
          <w:tcPr>
            <w:tcW w:type="dxa" w:w="5976"/>
          </w:tcPr>
          <w:p>
            <w:pPr>
              <w:spacing w:after="20"/>
              <w:jc w:val="right"/>
            </w:pPr>
            <w:r>
              <w:rPr>
                <w:color w:val="1C3A36"/>
                <w:sz w:val="17"/>
              </w:rPr>
              <w:t>The stated annual intention of 16.2 fils a share is 6.8% on the current price and is explicitly reaffirmed in the half-year release. It is also the reason the probability band in Section 3 drifts down rather than up.</w:t>
            </w:r>
          </w:p>
        </w:tc>
      </w:tr>
      <w:tr>
        <w:tc>
          <w:tcPr>
            <w:tcW w:type="dxa" w:w="2088"/>
          </w:tcPr>
          <w:p>
            <w:pPr>
              <w:spacing w:after="20"/>
            </w:pPr>
            <w:r>
              <w:rPr>
                <w:color w:val="1C3A36"/>
                <w:sz w:val="17"/>
              </w:rPr>
              <w:t>Borouge 4 ramp-up and recontribution</w:t>
            </w:r>
          </w:p>
        </w:tc>
        <w:tc>
          <w:tcPr>
            <w:tcW w:type="dxa" w:w="1728"/>
          </w:tcPr>
          <w:p>
            <w:pPr>
              <w:spacing w:after="20"/>
              <w:jc w:val="right"/>
            </w:pPr>
            <w:r>
              <w:rPr>
                <w:color w:val="1C3A36"/>
                <w:sz w:val="17"/>
              </w:rPr>
              <w:t>Recontribution not expected before 2029</w:t>
            </w:r>
          </w:p>
        </w:tc>
        <w:tc>
          <w:tcPr>
            <w:tcW w:type="dxa" w:w="5976"/>
          </w:tcPr>
          <w:p>
            <w:pPr>
              <w:spacing w:after="20"/>
              <w:jc w:val="right"/>
            </w:pPr>
            <w:r>
              <w:rPr>
                <w:color w:val="1C3A36"/>
                <w:sz w:val="17"/>
              </w:rPr>
              <w:t>The operator fee is worth about $2,505m today. If the terms on which those assets eventually move into the group change, so does that figure — in either direction.</w:t>
            </w:r>
          </w:p>
        </w:tc>
      </w:tr>
      <w:tr>
        <w:tc>
          <w:tcPr>
            <w:tcW w:type="dxa" w:w="2088"/>
          </w:tcPr>
          <w:p>
            <w:pPr>
              <w:spacing w:after="20"/>
            </w:pPr>
            <w:r>
              <w:rPr>
                <w:color w:val="1C3A36"/>
                <w:sz w:val="17"/>
              </w:rPr>
              <w:t>Polyolefin benchmark prices</w:t>
            </w:r>
          </w:p>
        </w:tc>
        <w:tc>
          <w:tcPr>
            <w:tcW w:type="dxa" w:w="1728"/>
          </w:tcPr>
          <w:p>
            <w:pPr>
              <w:spacing w:after="20"/>
              <w:jc w:val="right"/>
            </w:pPr>
            <w:r>
              <w:rPr>
                <w:color w:val="1C3A36"/>
                <w:sz w:val="17"/>
              </w:rPr>
              <w:t>Continuous</w:t>
            </w:r>
          </w:p>
        </w:tc>
        <w:tc>
          <w:tcPr>
            <w:tcW w:type="dxa" w:w="5976"/>
          </w:tcPr>
          <w:p>
            <w:pPr>
              <w:spacing w:after="20"/>
              <w:jc w:val="right"/>
            </w:pPr>
            <w:r>
              <w:rPr>
                <w:color w:val="1C3A36"/>
                <w:sz w:val="17"/>
              </w:rPr>
              <w:t>Global capacity rises about a fifth by 2034 against demand growing with world output. The industry’s own consensus on when operating rates recover has already slipped to 2032. This is the slow variable that sets the ceiling on every lens here.</w:t>
            </w:r>
          </w:p>
        </w:tc>
      </w:tr>
    </w:tbl>
    <w:p>
      <w:pPr>
        <w:spacing w:after="40"/>
      </w:pPr>
    </w:p>
    <w:p>
      <w:pPr>
        <w:spacing w:after="200" w:before="0"/>
      </w:pPr>
      <w:r>
        <w:rPr>
          <w:b w:val="0"/>
          <w:i/>
          <w:color w:val="6E7B77"/>
          <w:sz w:val="17"/>
        </w:rPr>
        <w:t>Table 16 — What to watch, and what each observation would actually settle.</w:t>
      </w:r>
    </w:p>
    <w:p>
      <w:pPr>
        <w:spacing w:after="120" w:before="280"/>
      </w:pPr>
      <w:r>
        <w:rPr>
          <w:b/>
          <w:i w:val="0"/>
          <w:color w:val="1C3A36"/>
          <w:sz w:val="30"/>
        </w:rPr>
        <w:t>6  Reading the probability zones</w:t>
      </w:r>
    </w:p>
    <w:p>
      <w:pPr>
        <w:spacing w:after="120" w:before="0"/>
      </w:pPr>
      <w:r>
        <w:rPr>
          <w:b w:val="0"/>
          <w:i w:val="0"/>
          <w:color w:val="1C3A36"/>
          <w:sz w:val="21"/>
        </w:rPr>
        <w:t>The bands in Section 3 are easy to over-read, so this section says plainly what they do and do not mean.</w:t>
      </w:r>
    </w:p>
    <w:p>
      <w:pPr>
        <w:pStyle w:val="ListBullet"/>
        <w:spacing w:after="60"/>
      </w:pPr>
      <w:r>
        <w:rPr>
          <w:b/>
          <w:color w:val="1C3A36"/>
          <w:sz w:val="21"/>
        </w:rPr>
        <w:t xml:space="preserve">A band is a description, not a forecast. </w:t>
      </w:r>
      <w:r>
        <w:rPr>
          <w:color w:val="1C3A36"/>
          <w:sz w:val="21"/>
        </w:rPr>
        <w:t>The 90% band for three months runs 2.07 to 2.74. That means roughly nine outcomes in ten fall inside it IF the future resembles this share’s own past. It is not a promise, and one outcome in ten falls outside it by design.</w:t>
      </w:r>
    </w:p>
    <w:p>
      <w:pPr>
        <w:pStyle w:val="ListBullet"/>
        <w:spacing w:after="60"/>
      </w:pPr>
      <w:r>
        <w:rPr>
          <w:b/>
          <w:color w:val="1C3A36"/>
          <w:sz w:val="21"/>
        </w:rPr>
        <w:t xml:space="preserve">Finishing and touching are different questions. </w:t>
      </w:r>
      <w:r>
        <w:rPr>
          <w:color w:val="1C3A36"/>
          <w:sz w:val="21"/>
        </w:rPr>
        <w:t>The percentile table says where the price might FINISH. The touch ladder says whether it might pass through a level along the way. Those are different probabilities and the touch numbers are always the larger of the two.</w:t>
      </w:r>
    </w:p>
    <w:p>
      <w:pPr>
        <w:pStyle w:val="ListBullet"/>
        <w:spacing w:after="60"/>
      </w:pPr>
      <w:r>
        <w:rPr>
          <w:b/>
          <w:color w:val="1C3A36"/>
          <w:sz w:val="21"/>
        </w:rPr>
        <w:t xml:space="preserve">On this share specifically, the bands are generous. </w:t>
      </w:r>
      <w:r>
        <w:rPr>
          <w:color w:val="1C3A36"/>
          <w:sz w:val="21"/>
        </w:rPr>
        <w:t>The evidence in Section 3 says these bands have been too WIDE on this share: 100% of past outcomes landed inside a band meant to hold 90%. A reader should treat the edges as conservative rather than as a tight boundary.</w:t>
      </w:r>
    </w:p>
    <w:p>
      <w:pPr>
        <w:pStyle w:val="ListBullet"/>
        <w:spacing w:after="60"/>
      </w:pPr>
      <w:r>
        <w:rPr>
          <w:b/>
          <w:color w:val="1C3A36"/>
          <w:sz w:val="21"/>
        </w:rPr>
        <w:t xml:space="preserve">The band and the fair value are not the same object. </w:t>
      </w:r>
      <w:r>
        <w:rPr>
          <w:color w:val="1C3A36"/>
          <w:sz w:val="21"/>
        </w:rPr>
        <w:t>A fair-value range of 1.29 to 2.79 and a three-month band of 2.07 to 2.74 are answers to different questions. The first is about the business over years; the second is about the share price over weeks. Nothing in this study claims the price will move toward the fair-value range inside the band’s window.</w:t>
      </w:r>
    </w:p>
    <w:p>
      <w:pPr>
        <w:spacing w:after="120" w:before="280"/>
      </w:pPr>
      <w:r>
        <w:rPr>
          <w:b/>
          <w:i w:val="0"/>
          <w:color w:val="1C3A36"/>
          <w:sz w:val="30"/>
        </w:rPr>
        <w:t>7  Caveats, and what would change our mind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76"/>
        <w:gridCol w:w="3384"/>
        <w:gridCol w:w="4032"/>
      </w:tblGrid>
      <w:tr>
        <w:tc>
          <w:tcPr>
            <w:tcW w:type="dxa" w:w="2376"/>
            <w:shd w:val="clear" w:color="auto" w:fill="EAF0EE"/>
          </w:tcPr>
          <w:p>
            <w:pPr>
              <w:spacing w:after="20"/>
            </w:pPr>
            <w:r>
              <w:rPr>
                <w:b/>
                <w:color w:val="1C3A36"/>
                <w:sz w:val="16"/>
              </w:rPr>
              <w:t>The concern</w:t>
            </w:r>
          </w:p>
        </w:tc>
        <w:tc>
          <w:tcPr>
            <w:tcW w:type="dxa" w:w="3384"/>
            <w:shd w:val="clear" w:color="auto" w:fill="EAF0EE"/>
          </w:tcPr>
          <w:p>
            <w:pPr>
              <w:spacing w:after="20"/>
            </w:pPr>
            <w:r>
              <w:rPr>
                <w:b/>
                <w:color w:val="1C3A36"/>
                <w:sz w:val="16"/>
              </w:rPr>
              <w:t>How much it matters</w:t>
            </w:r>
          </w:p>
        </w:tc>
        <w:tc>
          <w:tcPr>
            <w:tcW w:type="dxa" w:w="4032"/>
            <w:shd w:val="clear" w:color="auto" w:fill="EAF0EE"/>
          </w:tcPr>
          <w:p>
            <w:pPr>
              <w:spacing w:after="20"/>
            </w:pPr>
            <w:r>
              <w:rPr>
                <w:b/>
                <w:color w:val="1C3A36"/>
                <w:sz w:val="16"/>
              </w:rPr>
              <w:t>What would settle it</w:t>
            </w:r>
          </w:p>
        </w:tc>
      </w:tr>
      <w:tr>
        <w:tc>
          <w:tcPr>
            <w:tcW w:type="dxa" w:w="2376"/>
          </w:tcPr>
          <w:p>
            <w:pPr>
              <w:spacing w:after="20"/>
            </w:pPr>
            <w:r>
              <w:rPr>
                <w:color w:val="1C3A36"/>
                <w:sz w:val="16"/>
              </w:rPr>
              <w:t>The beta is weak, and it drives everything</w:t>
            </w:r>
          </w:p>
        </w:tc>
        <w:tc>
          <w:tcPr>
            <w:tcW w:type="dxa" w:w="3384"/>
          </w:tcPr>
          <w:p>
            <w:pPr>
              <w:spacing w:after="20"/>
              <w:jc w:val="right"/>
            </w:pPr>
            <w:r>
              <w:rPr>
                <w:color w:val="1C3A36"/>
                <w:sz w:val="16"/>
              </w:rPr>
              <w:t>It is worth about 1.30 dirhams a share — more than every other uncertainty in this study combined</w:t>
            </w:r>
          </w:p>
        </w:tc>
        <w:tc>
          <w:tcPr>
            <w:tcW w:type="dxa" w:w="4032"/>
          </w:tcPr>
          <w:p>
            <w:pPr>
              <w:spacing w:after="20"/>
              <w:jc w:val="right"/>
            </w:pPr>
            <w:r>
              <w:rPr>
                <w:color w:val="1C3A36"/>
                <w:sz w:val="16"/>
              </w:rPr>
              <w:t>A longer trading history, a larger free float, or a period in which the share actually moves with its market would resolve it empirically. Until then the study publishes both answers rather than choosing.</w:t>
            </w:r>
          </w:p>
        </w:tc>
      </w:tr>
      <w:tr>
        <w:tc>
          <w:tcPr>
            <w:tcW w:type="dxa" w:w="2376"/>
          </w:tcPr>
          <w:p>
            <w:pPr>
              <w:spacing w:after="20"/>
            </w:pPr>
            <w:r>
              <w:rPr>
                <w:color w:val="1C3A36"/>
                <w:sz w:val="16"/>
              </w:rPr>
              <w:t>Terminal value is 70.2% of enterprise value</w:t>
            </w:r>
          </w:p>
        </w:tc>
        <w:tc>
          <w:tcPr>
            <w:tcW w:type="dxa" w:w="3384"/>
          </w:tcPr>
          <w:p>
            <w:pPr>
              <w:spacing w:after="20"/>
              <w:jc w:val="right"/>
            </w:pPr>
            <w:r>
              <w:rPr>
                <w:color w:val="1C3A36"/>
                <w:sz w:val="16"/>
              </w:rPr>
              <w:t>High, and structurally so for a long-lived asset at a low cost of capital. At the higher cost of capital it falls to 59.7%</w:t>
            </w:r>
          </w:p>
        </w:tc>
        <w:tc>
          <w:tcPr>
            <w:tcW w:type="dxa" w:w="4032"/>
          </w:tcPr>
          <w:p>
            <w:pPr>
              <w:spacing w:after="20"/>
              <w:jc w:val="right"/>
            </w:pPr>
            <w:r>
              <w:rPr>
                <w:color w:val="1C3A36"/>
                <w:sz w:val="16"/>
              </w:rPr>
              <w:t>Nothing settles it; it is a property of the method. It is disclosed in the summary table, in the bridge and in the workbook rather than hidden, so a reader can discount it as they see fit.</w:t>
            </w:r>
          </w:p>
        </w:tc>
      </w:tr>
      <w:tr>
        <w:tc>
          <w:tcPr>
            <w:tcW w:type="dxa" w:w="2376"/>
          </w:tcPr>
          <w:p>
            <w:pPr>
              <w:spacing w:after="20"/>
            </w:pPr>
            <w:r>
              <w:rPr>
                <w:color w:val="1C3A36"/>
                <w:sz w:val="16"/>
              </w:rPr>
              <w:t>The ethane pricing formula is not disclosed</w:t>
            </w:r>
          </w:p>
        </w:tc>
        <w:tc>
          <w:tcPr>
            <w:tcW w:type="dxa" w:w="3384"/>
          </w:tcPr>
          <w:p>
            <w:pPr>
              <w:spacing w:after="20"/>
              <w:jc w:val="right"/>
            </w:pPr>
            <w:r>
              <w:rPr>
                <w:color w:val="1C3A36"/>
                <w:sz w:val="16"/>
              </w:rPr>
              <w:t>Material but bounded. The study carries zero real escalation and shows what a non-zero escalator costs in the sensitivity</w:t>
            </w:r>
          </w:p>
        </w:tc>
        <w:tc>
          <w:tcPr>
            <w:tcW w:type="dxa" w:w="4032"/>
          </w:tcPr>
          <w:p>
            <w:pPr>
              <w:spacing w:after="20"/>
              <w:jc w:val="right"/>
            </w:pPr>
            <w:r>
              <w:rPr>
                <w:color w:val="1C3A36"/>
                <w:sz w:val="16"/>
              </w:rPr>
              <w:t>Disclosure of the ADNOC supply terms. Until then no forward escalator can honestly be built, and inventing one would be worse than carrying zero and saying so.</w:t>
            </w:r>
          </w:p>
        </w:tc>
      </w:tr>
      <w:tr>
        <w:tc>
          <w:tcPr>
            <w:tcW w:type="dxa" w:w="2376"/>
          </w:tcPr>
          <w:p>
            <w:pPr>
              <w:spacing w:after="20"/>
            </w:pPr>
            <w:r>
              <w:rPr>
                <w:color w:val="1C3A36"/>
                <w:sz w:val="16"/>
              </w:rPr>
              <w:t>Only one operating segment is reported</w:t>
            </w:r>
          </w:p>
        </w:tc>
        <w:tc>
          <w:tcPr>
            <w:tcW w:type="dxa" w:w="3384"/>
          </w:tcPr>
          <w:p>
            <w:pPr>
              <w:spacing w:after="20"/>
              <w:jc w:val="right"/>
            </w:pPr>
            <w:r>
              <w:rPr>
                <w:color w:val="1C3A36"/>
                <w:sz w:val="16"/>
              </w:rPr>
              <w:t>Volume and price are disclosed by product but cost and profit are not, so the cost allocation between polyethylene and polypropylene rests on physical drivers rather than on disclosure</w:t>
            </w:r>
          </w:p>
        </w:tc>
        <w:tc>
          <w:tcPr>
            <w:tcW w:type="dxa" w:w="4032"/>
          </w:tcPr>
          <w:p>
            <w:pPr>
              <w:spacing w:after="20"/>
              <w:jc w:val="right"/>
            </w:pPr>
            <w:r>
              <w:rPr>
                <w:color w:val="1C3A36"/>
                <w:sz w:val="16"/>
              </w:rPr>
              <w:t>Segmental profitability disclosure. The gap is flagged rather than papered over.</w:t>
            </w:r>
          </w:p>
        </w:tc>
      </w:tr>
      <w:tr>
        <w:tc>
          <w:tcPr>
            <w:tcW w:type="dxa" w:w="2376"/>
          </w:tcPr>
          <w:p>
            <w:pPr>
              <w:spacing w:after="20"/>
            </w:pPr>
            <w:r>
              <w:rPr>
                <w:color w:val="1C3A36"/>
                <w:sz w:val="16"/>
              </w:rPr>
              <w:t>The tender offer has no published ratio</w:t>
            </w:r>
          </w:p>
        </w:tc>
        <w:tc>
          <w:tcPr>
            <w:tcW w:type="dxa" w:w="3384"/>
          </w:tcPr>
          <w:p>
            <w:pPr>
              <w:spacing w:after="20"/>
              <w:jc w:val="right"/>
            </w:pPr>
            <w:r>
              <w:rPr>
                <w:color w:val="1C3A36"/>
                <w:sz w:val="16"/>
              </w:rPr>
              <w:t>Potentially decisive, and entirely unquantifiable today. No conversion value enters any number here</w:t>
            </w:r>
          </w:p>
        </w:tc>
        <w:tc>
          <w:tcPr>
            <w:tcW w:type="dxa" w:w="4032"/>
          </w:tcPr>
          <w:p>
            <w:pPr>
              <w:spacing w:after="20"/>
              <w:jc w:val="right"/>
            </w:pPr>
            <w:r>
              <w:rPr>
                <w:color w:val="1C3A36"/>
                <w:sz w:val="16"/>
              </w:rPr>
              <w:t>Publication of the exchange terms. At that point this study’s subject changes and much of it would need re-doing.</w:t>
            </w:r>
          </w:p>
        </w:tc>
      </w:tr>
      <w:tr>
        <w:tc>
          <w:tcPr>
            <w:tcW w:type="dxa" w:w="2376"/>
          </w:tcPr>
          <w:p>
            <w:pPr>
              <w:spacing w:after="20"/>
            </w:pPr>
            <w:r>
              <w:rPr>
                <w:color w:val="1C3A36"/>
                <w:sz w:val="16"/>
              </w:rPr>
              <w:t>Capital expenditure beyond the current year is not guided</w:t>
            </w:r>
          </w:p>
        </w:tc>
        <w:tc>
          <w:tcPr>
            <w:tcW w:type="dxa" w:w="3384"/>
          </w:tcPr>
          <w:p>
            <w:pPr>
              <w:spacing w:after="20"/>
              <w:jc w:val="right"/>
            </w:pPr>
            <w:r>
              <w:rPr>
                <w:color w:val="1C3A36"/>
                <w:sz w:val="16"/>
              </w:rPr>
              <w:t>The one materially top-down driver in the build. It is set from the company’s own three-year outturn and sensitised</w:t>
            </w:r>
          </w:p>
        </w:tc>
        <w:tc>
          <w:tcPr>
            <w:tcW w:type="dxa" w:w="4032"/>
          </w:tcPr>
          <w:p>
            <w:pPr>
              <w:spacing w:after="20"/>
              <w:jc w:val="right"/>
            </w:pPr>
            <w:r>
              <w:rPr>
                <w:color w:val="1C3A36"/>
                <w:sz w:val="16"/>
              </w:rPr>
              <w:t>A published medium-term capital programme.</w:t>
            </w:r>
          </w:p>
        </w:tc>
      </w:tr>
      <w:tr>
        <w:tc>
          <w:tcPr>
            <w:tcW w:type="dxa" w:w="2376"/>
          </w:tcPr>
          <w:p>
            <w:pPr>
              <w:spacing w:after="20"/>
            </w:pPr>
            <w:r>
              <w:rPr>
                <w:color w:val="1C3A36"/>
                <w:sz w:val="16"/>
              </w:rPr>
              <w:t>The probability bands did not beat their benchmark on this share</w:t>
            </w:r>
          </w:p>
        </w:tc>
        <w:tc>
          <w:tcPr>
            <w:tcW w:type="dxa" w:w="3384"/>
          </w:tcPr>
          <w:p>
            <w:pPr>
              <w:spacing w:after="20"/>
              <w:jc w:val="right"/>
            </w:pPr>
            <w:r>
              <w:rPr>
                <w:color w:val="1C3A36"/>
                <w:sz w:val="16"/>
              </w:rPr>
              <w:t>Stated in full in Section 3: -0.090 against the benchmark over 12 windows, because the bands are too wide rather than mis-centred</w:t>
            </w:r>
          </w:p>
        </w:tc>
        <w:tc>
          <w:tcPr>
            <w:tcW w:type="dxa" w:w="4032"/>
          </w:tcPr>
          <w:p>
            <w:pPr>
              <w:spacing w:after="20"/>
              <w:jc w:val="right"/>
            </w:pPr>
            <w:r>
              <w:rPr>
                <w:color w:val="1C3A36"/>
                <w:sz w:val="16"/>
              </w:rPr>
              <w:t>More history. The share has traded for 4.17 years, and the test needs more independent windows than that allows.</w:t>
            </w:r>
          </w:p>
        </w:tc>
      </w:tr>
    </w:tbl>
    <w:p>
      <w:pPr>
        <w:spacing w:after="40"/>
      </w:pPr>
    </w:p>
    <w:p>
      <w:pPr>
        <w:spacing w:after="200" w:before="0"/>
      </w:pPr>
      <w:r>
        <w:rPr>
          <w:b w:val="0"/>
          <w:i/>
          <w:color w:val="6E7B77"/>
          <w:sz w:val="17"/>
        </w:rPr>
        <w:t>Table 17 — What could be wrong, how much it would cost, and what evidence would resolve it.</w:t>
      </w:r>
    </w:p>
    <w:p>
      <w:r>
        <w:br w:type="page"/>
      </w:r>
    </w:p>
    <w:p>
      <w:pPr>
        <w:spacing w:after="120" w:before="280"/>
      </w:pPr>
      <w:r>
        <w:rPr>
          <w:b/>
          <w:i w:val="0"/>
          <w:color w:val="1C3A36"/>
          <w:sz w:val="30"/>
        </w:rPr>
        <w:t>Appendix A  Financial statements</w:t>
      </w:r>
    </w:p>
    <w:p>
      <w:pPr>
        <w:spacing w:after="80" w:before="200"/>
      </w:pPr>
      <w:r>
        <w:rPr>
          <w:b/>
          <w:i w:val="0"/>
          <w:color w:val="1C3A36"/>
          <w:sz w:val="24"/>
        </w:rPr>
        <w:t>A.1  Income statement — three audited years and five forecast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893"/>
        <w:gridCol w:w="893"/>
        <w:gridCol w:w="893"/>
        <w:gridCol w:w="907"/>
        <w:gridCol w:w="907"/>
        <w:gridCol w:w="907"/>
        <w:gridCol w:w="907"/>
        <w:gridCol w:w="907"/>
      </w:tblGrid>
      <w:tr>
        <w:tc>
          <w:tcPr>
            <w:tcW w:type="dxa" w:w="2333"/>
            <w:shd w:val="clear" w:color="auto" w:fill="EAF0EE"/>
          </w:tcPr>
          <w:p>
            <w:pPr>
              <w:spacing w:after="20"/>
            </w:pPr>
            <w:r>
              <w:rPr>
                <w:b/>
                <w:color w:val="1C3A36"/>
                <w:sz w:val="16"/>
              </w:rPr>
              <w:t>USD million</w:t>
            </w:r>
          </w:p>
        </w:tc>
        <w:tc>
          <w:tcPr>
            <w:tcW w:type="dxa" w:w="893"/>
            <w:shd w:val="clear" w:color="auto" w:fill="EAF0EE"/>
          </w:tcPr>
          <w:p>
            <w:pPr>
              <w:spacing w:after="20"/>
            </w:pPr>
            <w:r>
              <w:rPr>
                <w:b/>
                <w:color w:val="1C3A36"/>
                <w:sz w:val="16"/>
              </w:rPr>
              <w:t>FY2023</w:t>
            </w:r>
          </w:p>
        </w:tc>
        <w:tc>
          <w:tcPr>
            <w:tcW w:type="dxa" w:w="893"/>
            <w:shd w:val="clear" w:color="auto" w:fill="EAF0EE"/>
          </w:tcPr>
          <w:p>
            <w:pPr>
              <w:spacing w:after="20"/>
            </w:pPr>
            <w:r>
              <w:rPr>
                <w:b/>
                <w:color w:val="1C3A36"/>
                <w:sz w:val="16"/>
              </w:rPr>
              <w:t>FY2024</w:t>
            </w:r>
          </w:p>
        </w:tc>
        <w:tc>
          <w:tcPr>
            <w:tcW w:type="dxa" w:w="893"/>
            <w:shd w:val="clear" w:color="auto" w:fill="EAF0EE"/>
          </w:tcPr>
          <w:p>
            <w:pPr>
              <w:spacing w:after="20"/>
            </w:pPr>
            <w:r>
              <w:rPr>
                <w:b/>
                <w:color w:val="1C3A36"/>
                <w:sz w:val="16"/>
              </w:rPr>
              <w:t>FY2025</w:t>
            </w:r>
          </w:p>
        </w:tc>
        <w:tc>
          <w:tcPr>
            <w:tcW w:type="dxa" w:w="907"/>
            <w:shd w:val="clear" w:color="auto" w:fill="EAF0EE"/>
          </w:tcPr>
          <w:p>
            <w:pPr>
              <w:spacing w:after="20"/>
            </w:pPr>
            <w:r>
              <w:rPr>
                <w:b/>
                <w:color w:val="1C3A36"/>
                <w:sz w:val="16"/>
              </w:rPr>
              <w:t>2026</w:t>
            </w:r>
          </w:p>
        </w:tc>
        <w:tc>
          <w:tcPr>
            <w:tcW w:type="dxa" w:w="907"/>
            <w:shd w:val="clear" w:color="auto" w:fill="EAF0EE"/>
          </w:tcPr>
          <w:p>
            <w:pPr>
              <w:spacing w:after="20"/>
            </w:pPr>
            <w:r>
              <w:rPr>
                <w:b/>
                <w:color w:val="1C3A36"/>
                <w:sz w:val="16"/>
              </w:rPr>
              <w:t>2027</w:t>
            </w:r>
          </w:p>
        </w:tc>
        <w:tc>
          <w:tcPr>
            <w:tcW w:type="dxa" w:w="907"/>
            <w:shd w:val="clear" w:color="auto" w:fill="EAF0EE"/>
          </w:tcPr>
          <w:p>
            <w:pPr>
              <w:spacing w:after="20"/>
            </w:pPr>
            <w:r>
              <w:rPr>
                <w:b/>
                <w:color w:val="1C3A36"/>
                <w:sz w:val="16"/>
              </w:rPr>
              <w:t>2028</w:t>
            </w:r>
          </w:p>
        </w:tc>
        <w:tc>
          <w:tcPr>
            <w:tcW w:type="dxa" w:w="907"/>
            <w:shd w:val="clear" w:color="auto" w:fill="EAF0EE"/>
          </w:tcPr>
          <w:p>
            <w:pPr>
              <w:spacing w:after="20"/>
            </w:pPr>
            <w:r>
              <w:rPr>
                <w:b/>
                <w:color w:val="1C3A36"/>
                <w:sz w:val="16"/>
              </w:rPr>
              <w:t>2029</w:t>
            </w:r>
          </w:p>
        </w:tc>
        <w:tc>
          <w:tcPr>
            <w:tcW w:type="dxa" w:w="907"/>
            <w:shd w:val="clear" w:color="auto" w:fill="EAF0EE"/>
          </w:tcPr>
          <w:p>
            <w:pPr>
              <w:spacing w:after="20"/>
            </w:pPr>
            <w:r>
              <w:rPr>
                <w:b/>
                <w:color w:val="1C3A36"/>
                <w:sz w:val="16"/>
              </w:rPr>
              <w:t>2030</w:t>
            </w:r>
          </w:p>
        </w:tc>
      </w:tr>
      <w:tr>
        <w:tc>
          <w:tcPr>
            <w:tcW w:type="dxa" w:w="2333"/>
          </w:tcPr>
          <w:p>
            <w:pPr>
              <w:spacing w:after="20"/>
            </w:pPr>
            <w:r>
              <w:rPr>
                <w:color w:val="1C3A36"/>
                <w:sz w:val="16"/>
              </w:rPr>
              <w:t>Revenue</w:t>
            </w:r>
          </w:p>
        </w:tc>
        <w:tc>
          <w:tcPr>
            <w:tcW w:type="dxa" w:w="893"/>
          </w:tcPr>
          <w:p>
            <w:pPr>
              <w:spacing w:after="20"/>
              <w:jc w:val="right"/>
            </w:pPr>
            <w:r>
              <w:rPr>
                <w:color w:val="1C3A36"/>
                <w:sz w:val="16"/>
              </w:rPr>
              <w:t>5,791</w:t>
            </w:r>
          </w:p>
        </w:tc>
        <w:tc>
          <w:tcPr>
            <w:tcW w:type="dxa" w:w="893"/>
          </w:tcPr>
          <w:p>
            <w:pPr>
              <w:spacing w:after="20"/>
              <w:jc w:val="right"/>
            </w:pPr>
            <w:r>
              <w:rPr>
                <w:color w:val="1C3A36"/>
                <w:sz w:val="16"/>
              </w:rPr>
              <w:t>6,026</w:t>
            </w:r>
          </w:p>
        </w:tc>
        <w:tc>
          <w:tcPr>
            <w:tcW w:type="dxa" w:w="893"/>
          </w:tcPr>
          <w:p>
            <w:pPr>
              <w:spacing w:after="20"/>
              <w:jc w:val="right"/>
            </w:pPr>
            <w:r>
              <w:rPr>
                <w:color w:val="1C3A36"/>
                <w:sz w:val="16"/>
              </w:rPr>
              <w:t>5,848</w:t>
            </w:r>
          </w:p>
        </w:tc>
        <w:tc>
          <w:tcPr>
            <w:tcW w:type="dxa" w:w="907"/>
          </w:tcPr>
          <w:p>
            <w:pPr>
              <w:spacing w:after="20"/>
              <w:jc w:val="right"/>
            </w:pPr>
            <w:r>
              <w:rPr>
                <w:color w:val="1C3A36"/>
                <w:sz w:val="16"/>
              </w:rPr>
              <w:t>5,763</w:t>
            </w:r>
          </w:p>
        </w:tc>
        <w:tc>
          <w:tcPr>
            <w:tcW w:type="dxa" w:w="907"/>
          </w:tcPr>
          <w:p>
            <w:pPr>
              <w:spacing w:after="20"/>
              <w:jc w:val="right"/>
            </w:pPr>
            <w:r>
              <w:rPr>
                <w:color w:val="1C3A36"/>
                <w:sz w:val="16"/>
              </w:rPr>
              <w:t>5,834</w:t>
            </w:r>
          </w:p>
        </w:tc>
        <w:tc>
          <w:tcPr>
            <w:tcW w:type="dxa" w:w="907"/>
          </w:tcPr>
          <w:p>
            <w:pPr>
              <w:spacing w:after="20"/>
              <w:jc w:val="right"/>
            </w:pPr>
            <w:r>
              <w:rPr>
                <w:color w:val="1C3A36"/>
                <w:sz w:val="16"/>
              </w:rPr>
              <w:t>5,632</w:t>
            </w:r>
          </w:p>
        </w:tc>
        <w:tc>
          <w:tcPr>
            <w:tcW w:type="dxa" w:w="907"/>
          </w:tcPr>
          <w:p>
            <w:pPr>
              <w:spacing w:after="20"/>
              <w:jc w:val="right"/>
            </w:pPr>
            <w:r>
              <w:rPr>
                <w:color w:val="1C3A36"/>
                <w:sz w:val="16"/>
              </w:rPr>
              <w:t>5,682</w:t>
            </w:r>
          </w:p>
        </w:tc>
        <w:tc>
          <w:tcPr>
            <w:tcW w:type="dxa" w:w="907"/>
          </w:tcPr>
          <w:p>
            <w:pPr>
              <w:spacing w:after="20"/>
              <w:jc w:val="right"/>
            </w:pPr>
            <w:r>
              <w:rPr>
                <w:color w:val="1C3A36"/>
                <w:sz w:val="16"/>
              </w:rPr>
              <w:t>5,759</w:t>
            </w:r>
          </w:p>
        </w:tc>
      </w:tr>
      <w:tr>
        <w:tc>
          <w:tcPr>
            <w:tcW w:type="dxa" w:w="2333"/>
          </w:tcPr>
          <w:p>
            <w:pPr>
              <w:spacing w:after="20"/>
            </w:pPr>
            <w:r>
              <w:rPr>
                <w:color w:val="1C3A36"/>
                <w:sz w:val="16"/>
              </w:rPr>
              <w:t>Gross profit</w:t>
            </w:r>
          </w:p>
        </w:tc>
        <w:tc>
          <w:tcPr>
            <w:tcW w:type="dxa" w:w="893"/>
          </w:tcPr>
          <w:p>
            <w:pPr>
              <w:spacing w:after="20"/>
              <w:jc w:val="right"/>
            </w:pPr>
            <w:r>
              <w:rPr>
                <w:color w:val="1C3A36"/>
                <w:sz w:val="16"/>
              </w:rPr>
              <w:t>2,164</w:t>
            </w:r>
          </w:p>
        </w:tc>
        <w:tc>
          <w:tcPr>
            <w:tcW w:type="dxa" w:w="893"/>
          </w:tcPr>
          <w:p>
            <w:pPr>
              <w:spacing w:after="20"/>
              <w:jc w:val="right"/>
            </w:pPr>
            <w:r>
              <w:rPr>
                <w:color w:val="1C3A36"/>
                <w:sz w:val="16"/>
              </w:rPr>
              <w:t>2,535</w:t>
            </w:r>
          </w:p>
        </w:tc>
        <w:tc>
          <w:tcPr>
            <w:tcW w:type="dxa" w:w="893"/>
          </w:tcPr>
          <w:p>
            <w:pPr>
              <w:spacing w:after="20"/>
              <w:jc w:val="right"/>
            </w:pPr>
            <w:r>
              <w:rPr>
                <w:color w:val="1C3A36"/>
                <w:sz w:val="16"/>
              </w:rPr>
              <w:t>2,282</w:t>
            </w:r>
          </w:p>
        </w:tc>
        <w:tc>
          <w:tcPr>
            <w:tcW w:type="dxa" w:w="907"/>
          </w:tcPr>
          <w:p>
            <w:pPr>
              <w:spacing w:after="20"/>
              <w:jc w:val="right"/>
            </w:pPr>
            <w:r>
              <w:rPr>
                <w:color w:val="1C3A36"/>
                <w:sz w:val="16"/>
              </w:rPr>
              <w:t>2,545</w:t>
            </w:r>
          </w:p>
        </w:tc>
        <w:tc>
          <w:tcPr>
            <w:tcW w:type="dxa" w:w="907"/>
          </w:tcPr>
          <w:p>
            <w:pPr>
              <w:spacing w:after="20"/>
              <w:jc w:val="right"/>
            </w:pPr>
            <w:r>
              <w:rPr>
                <w:color w:val="1C3A36"/>
                <w:sz w:val="16"/>
              </w:rPr>
              <w:t>2,407</w:t>
            </w:r>
          </w:p>
        </w:tc>
        <w:tc>
          <w:tcPr>
            <w:tcW w:type="dxa" w:w="907"/>
          </w:tcPr>
          <w:p>
            <w:pPr>
              <w:spacing w:after="20"/>
              <w:jc w:val="right"/>
            </w:pPr>
            <w:r>
              <w:rPr>
                <w:color w:val="1C3A36"/>
                <w:sz w:val="16"/>
              </w:rPr>
              <w:t>2,197</w:t>
            </w:r>
          </w:p>
        </w:tc>
        <w:tc>
          <w:tcPr>
            <w:tcW w:type="dxa" w:w="907"/>
          </w:tcPr>
          <w:p>
            <w:pPr>
              <w:spacing w:after="20"/>
              <w:jc w:val="right"/>
            </w:pPr>
            <w:r>
              <w:rPr>
                <w:color w:val="1C3A36"/>
                <w:sz w:val="16"/>
              </w:rPr>
              <w:t>2,232</w:t>
            </w:r>
          </w:p>
        </w:tc>
        <w:tc>
          <w:tcPr>
            <w:tcW w:type="dxa" w:w="907"/>
          </w:tcPr>
          <w:p>
            <w:pPr>
              <w:spacing w:after="20"/>
              <w:jc w:val="right"/>
            </w:pPr>
            <w:r>
              <w:rPr>
                <w:color w:val="1C3A36"/>
                <w:sz w:val="16"/>
              </w:rPr>
              <w:t>2,292</w:t>
            </w:r>
          </w:p>
        </w:tc>
      </w:tr>
      <w:tr>
        <w:tc>
          <w:tcPr>
            <w:tcW w:type="dxa" w:w="2333"/>
          </w:tcPr>
          <w:p>
            <w:pPr>
              <w:spacing w:after="20"/>
            </w:pPr>
            <w:r>
              <w:rPr>
                <w:color w:val="1C3A36"/>
                <w:sz w:val="16"/>
              </w:rPr>
              <w:t>Selling and distribution</w:t>
            </w:r>
          </w:p>
        </w:tc>
        <w:tc>
          <w:tcPr>
            <w:tcW w:type="dxa" w:w="893"/>
          </w:tcPr>
          <w:p>
            <w:pPr>
              <w:spacing w:after="20"/>
              <w:jc w:val="right"/>
            </w:pPr>
            <w:r>
              <w:rPr>
                <w:color w:val="1C3A36"/>
                <w:sz w:val="16"/>
              </w:rPr>
              <w:t>399</w:t>
            </w:r>
          </w:p>
        </w:tc>
        <w:tc>
          <w:tcPr>
            <w:tcW w:type="dxa" w:w="893"/>
          </w:tcPr>
          <w:p>
            <w:pPr>
              <w:spacing w:after="20"/>
              <w:jc w:val="right"/>
            </w:pPr>
            <w:r>
              <w:rPr>
                <w:color w:val="1C3A36"/>
                <w:sz w:val="16"/>
              </w:rPr>
              <w:t>472</w:t>
            </w:r>
          </w:p>
        </w:tc>
        <w:tc>
          <w:tcPr>
            <w:tcW w:type="dxa" w:w="893"/>
          </w:tcPr>
          <w:p>
            <w:pPr>
              <w:spacing w:after="20"/>
              <w:jc w:val="right"/>
            </w:pPr>
            <w:r>
              <w:rPr>
                <w:color w:val="1C3A36"/>
                <w:sz w:val="16"/>
              </w:rPr>
              <w:t>416</w:t>
            </w:r>
          </w:p>
        </w:tc>
        <w:tc>
          <w:tcPr>
            <w:tcW w:type="dxa" w:w="907"/>
          </w:tcPr>
          <w:p>
            <w:pPr>
              <w:spacing w:after="20"/>
              <w:jc w:val="right"/>
            </w:pPr>
            <w:r>
              <w:rPr>
                <w:color w:val="1C3A36"/>
                <w:sz w:val="16"/>
              </w:rPr>
              <w:t>656</w:t>
            </w:r>
          </w:p>
        </w:tc>
        <w:tc>
          <w:tcPr>
            <w:tcW w:type="dxa" w:w="907"/>
          </w:tcPr>
          <w:p>
            <w:pPr>
              <w:spacing w:after="20"/>
              <w:jc w:val="right"/>
            </w:pPr>
            <w:r>
              <w:rPr>
                <w:color w:val="1C3A36"/>
                <w:sz w:val="16"/>
              </w:rPr>
              <w:t>504</w:t>
            </w:r>
          </w:p>
        </w:tc>
        <w:tc>
          <w:tcPr>
            <w:tcW w:type="dxa" w:w="907"/>
          </w:tcPr>
          <w:p>
            <w:pPr>
              <w:spacing w:after="20"/>
              <w:jc w:val="right"/>
            </w:pPr>
            <w:r>
              <w:rPr>
                <w:color w:val="1C3A36"/>
                <w:sz w:val="16"/>
              </w:rPr>
              <w:t>417</w:t>
            </w:r>
          </w:p>
        </w:tc>
        <w:tc>
          <w:tcPr>
            <w:tcW w:type="dxa" w:w="907"/>
          </w:tcPr>
          <w:p>
            <w:pPr>
              <w:spacing w:after="20"/>
              <w:jc w:val="right"/>
            </w:pPr>
            <w:r>
              <w:rPr>
                <w:color w:val="1C3A36"/>
                <w:sz w:val="16"/>
              </w:rPr>
              <w:t>422</w:t>
            </w:r>
          </w:p>
        </w:tc>
        <w:tc>
          <w:tcPr>
            <w:tcW w:type="dxa" w:w="907"/>
          </w:tcPr>
          <w:p>
            <w:pPr>
              <w:spacing w:after="20"/>
              <w:jc w:val="right"/>
            </w:pPr>
            <w:r>
              <w:rPr>
                <w:color w:val="1C3A36"/>
                <w:sz w:val="16"/>
              </w:rPr>
              <w:t>432</w:t>
            </w:r>
          </w:p>
        </w:tc>
      </w:tr>
      <w:tr>
        <w:tc>
          <w:tcPr>
            <w:tcW w:type="dxa" w:w="2333"/>
          </w:tcPr>
          <w:p>
            <w:pPr>
              <w:spacing w:after="20"/>
            </w:pPr>
            <w:r>
              <w:rPr>
                <w:color w:val="1C3A36"/>
                <w:sz w:val="16"/>
              </w:rPr>
              <w:t>General and administrative</w:t>
            </w:r>
          </w:p>
        </w:tc>
        <w:tc>
          <w:tcPr>
            <w:tcW w:type="dxa" w:w="893"/>
          </w:tcPr>
          <w:p>
            <w:pPr>
              <w:spacing w:after="20"/>
              <w:jc w:val="right"/>
            </w:pPr>
            <w:r>
              <w:rPr>
                <w:color w:val="1C3A36"/>
                <w:sz w:val="16"/>
              </w:rPr>
              <w:t>183</w:t>
            </w:r>
          </w:p>
        </w:tc>
        <w:tc>
          <w:tcPr>
            <w:tcW w:type="dxa" w:w="893"/>
          </w:tcPr>
          <w:p>
            <w:pPr>
              <w:spacing w:after="20"/>
              <w:jc w:val="right"/>
            </w:pPr>
            <w:r>
              <w:rPr>
                <w:color w:val="1C3A36"/>
                <w:sz w:val="16"/>
              </w:rPr>
              <w:t>193</w:t>
            </w:r>
          </w:p>
        </w:tc>
        <w:tc>
          <w:tcPr>
            <w:tcW w:type="dxa" w:w="893"/>
          </w:tcPr>
          <w:p>
            <w:pPr>
              <w:spacing w:after="20"/>
              <w:jc w:val="right"/>
            </w:pPr>
            <w:r>
              <w:rPr>
                <w:color w:val="1C3A36"/>
                <w:sz w:val="16"/>
              </w:rPr>
              <w:t>197</w:t>
            </w:r>
          </w:p>
        </w:tc>
        <w:tc>
          <w:tcPr>
            <w:tcW w:type="dxa" w:w="907"/>
          </w:tcPr>
          <w:p>
            <w:pPr>
              <w:spacing w:after="20"/>
              <w:jc w:val="right"/>
            </w:pPr>
            <w:r>
              <w:rPr>
                <w:color w:val="1C3A36"/>
                <w:sz w:val="16"/>
              </w:rPr>
              <w:t>192</w:t>
            </w:r>
          </w:p>
        </w:tc>
        <w:tc>
          <w:tcPr>
            <w:tcW w:type="dxa" w:w="907"/>
          </w:tcPr>
          <w:p>
            <w:pPr>
              <w:spacing w:after="20"/>
              <w:jc w:val="right"/>
            </w:pPr>
            <w:r>
              <w:rPr>
                <w:color w:val="1C3A36"/>
                <w:sz w:val="16"/>
              </w:rPr>
              <w:t>196</w:t>
            </w:r>
          </w:p>
        </w:tc>
        <w:tc>
          <w:tcPr>
            <w:tcW w:type="dxa" w:w="907"/>
          </w:tcPr>
          <w:p>
            <w:pPr>
              <w:spacing w:after="20"/>
              <w:jc w:val="right"/>
            </w:pPr>
            <w:r>
              <w:rPr>
                <w:color w:val="1C3A36"/>
                <w:sz w:val="16"/>
              </w:rPr>
              <w:t>200</w:t>
            </w:r>
          </w:p>
        </w:tc>
        <w:tc>
          <w:tcPr>
            <w:tcW w:type="dxa" w:w="907"/>
          </w:tcPr>
          <w:p>
            <w:pPr>
              <w:spacing w:after="20"/>
              <w:jc w:val="right"/>
            </w:pPr>
            <w:r>
              <w:rPr>
                <w:color w:val="1C3A36"/>
                <w:sz w:val="16"/>
              </w:rPr>
              <w:t>204</w:t>
            </w:r>
          </w:p>
        </w:tc>
        <w:tc>
          <w:tcPr>
            <w:tcW w:type="dxa" w:w="907"/>
          </w:tcPr>
          <w:p>
            <w:pPr>
              <w:spacing w:after="20"/>
              <w:jc w:val="right"/>
            </w:pPr>
            <w:r>
              <w:rPr>
                <w:color w:val="1C3A36"/>
                <w:sz w:val="16"/>
              </w:rPr>
              <w:t>209</w:t>
            </w:r>
          </w:p>
        </w:tc>
      </w:tr>
      <w:tr>
        <w:tc>
          <w:tcPr>
            <w:tcW w:type="dxa" w:w="2333"/>
          </w:tcPr>
          <w:p>
            <w:pPr>
              <w:spacing w:after="20"/>
            </w:pPr>
            <w:r>
              <w:rPr>
                <w:color w:val="1C3A36"/>
                <w:sz w:val="16"/>
              </w:rPr>
              <w:t>Operating profit (EBIT)</w:t>
            </w:r>
          </w:p>
        </w:tc>
        <w:tc>
          <w:tcPr>
            <w:tcW w:type="dxa" w:w="893"/>
          </w:tcPr>
          <w:p>
            <w:pPr>
              <w:spacing w:after="20"/>
              <w:jc w:val="right"/>
            </w:pPr>
            <w:r>
              <w:rPr>
                <w:color w:val="1C3A36"/>
                <w:sz w:val="16"/>
              </w:rPr>
              <w:t>1,597</w:t>
            </w:r>
          </w:p>
        </w:tc>
        <w:tc>
          <w:tcPr>
            <w:tcW w:type="dxa" w:w="893"/>
          </w:tcPr>
          <w:p>
            <w:pPr>
              <w:spacing w:after="20"/>
              <w:jc w:val="right"/>
            </w:pPr>
            <w:r>
              <w:rPr>
                <w:color w:val="1C3A36"/>
                <w:sz w:val="16"/>
              </w:rPr>
              <w:t>1,921</w:t>
            </w:r>
          </w:p>
        </w:tc>
        <w:tc>
          <w:tcPr>
            <w:tcW w:type="dxa" w:w="893"/>
          </w:tcPr>
          <w:p>
            <w:pPr>
              <w:spacing w:after="20"/>
              <w:jc w:val="right"/>
            </w:pPr>
            <w:r>
              <w:rPr>
                <w:color w:val="1C3A36"/>
                <w:sz w:val="16"/>
              </w:rPr>
              <w:t>1,694</w:t>
            </w:r>
          </w:p>
        </w:tc>
        <w:tc>
          <w:tcPr>
            <w:tcW w:type="dxa" w:w="907"/>
          </w:tcPr>
          <w:p>
            <w:pPr>
              <w:spacing w:after="20"/>
              <w:jc w:val="right"/>
            </w:pPr>
            <w:r>
              <w:rPr>
                <w:color w:val="1C3A36"/>
                <w:sz w:val="16"/>
              </w:rPr>
              <w:t>1,724</w:t>
            </w:r>
          </w:p>
        </w:tc>
        <w:tc>
          <w:tcPr>
            <w:tcW w:type="dxa" w:w="907"/>
          </w:tcPr>
          <w:p>
            <w:pPr>
              <w:spacing w:after="20"/>
              <w:jc w:val="right"/>
            </w:pPr>
            <w:r>
              <w:rPr>
                <w:color w:val="1C3A36"/>
                <w:sz w:val="16"/>
              </w:rPr>
              <w:t>1,735</w:t>
            </w:r>
          </w:p>
        </w:tc>
        <w:tc>
          <w:tcPr>
            <w:tcW w:type="dxa" w:w="907"/>
          </w:tcPr>
          <w:p>
            <w:pPr>
              <w:spacing w:after="20"/>
              <w:jc w:val="right"/>
            </w:pPr>
            <w:r>
              <w:rPr>
                <w:color w:val="1C3A36"/>
                <w:sz w:val="16"/>
              </w:rPr>
              <w:t>1,608</w:t>
            </w:r>
          </w:p>
        </w:tc>
        <w:tc>
          <w:tcPr>
            <w:tcW w:type="dxa" w:w="907"/>
          </w:tcPr>
          <w:p>
            <w:pPr>
              <w:spacing w:after="20"/>
              <w:jc w:val="right"/>
            </w:pPr>
            <w:r>
              <w:rPr>
                <w:color w:val="1C3A36"/>
                <w:sz w:val="16"/>
              </w:rPr>
              <w:t>1,634</w:t>
            </w:r>
          </w:p>
        </w:tc>
        <w:tc>
          <w:tcPr>
            <w:tcW w:type="dxa" w:w="907"/>
          </w:tcPr>
          <w:p>
            <w:pPr>
              <w:spacing w:after="20"/>
              <w:jc w:val="right"/>
            </w:pPr>
            <w:r>
              <w:rPr>
                <w:color w:val="1C3A36"/>
                <w:sz w:val="16"/>
              </w:rPr>
              <w:t>1,680</w:t>
            </w:r>
          </w:p>
        </w:tc>
      </w:tr>
      <w:tr>
        <w:tc>
          <w:tcPr>
            <w:tcW w:type="dxa" w:w="2333"/>
          </w:tcPr>
          <w:p>
            <w:pPr>
              <w:spacing w:after="20"/>
            </w:pPr>
            <w:r>
              <w:rPr>
                <w:color w:val="1C3A36"/>
                <w:sz w:val="16"/>
              </w:rPr>
              <w:t>Depreciation and amortisation</w:t>
            </w:r>
          </w:p>
        </w:tc>
        <w:tc>
          <w:tcPr>
            <w:tcW w:type="dxa" w:w="893"/>
          </w:tcPr>
          <w:p>
            <w:pPr>
              <w:spacing w:after="20"/>
              <w:jc w:val="right"/>
            </w:pPr>
            <w:r>
              <w:rPr>
                <w:color w:val="1C3A36"/>
                <w:sz w:val="16"/>
              </w:rPr>
              <w:t>572</w:t>
            </w:r>
          </w:p>
        </w:tc>
        <w:tc>
          <w:tcPr>
            <w:tcW w:type="dxa" w:w="893"/>
          </w:tcPr>
          <w:p>
            <w:pPr>
              <w:spacing w:after="20"/>
              <w:jc w:val="right"/>
            </w:pPr>
            <w:r>
              <w:rPr>
                <w:color w:val="1C3A36"/>
                <w:sz w:val="16"/>
              </w:rPr>
              <w:t>553</w:t>
            </w:r>
          </w:p>
        </w:tc>
        <w:tc>
          <w:tcPr>
            <w:tcW w:type="dxa" w:w="893"/>
          </w:tcPr>
          <w:p>
            <w:pPr>
              <w:spacing w:after="20"/>
              <w:jc w:val="right"/>
            </w:pPr>
            <w:r>
              <w:rPr>
                <w:color w:val="1C3A36"/>
                <w:sz w:val="16"/>
              </w:rPr>
              <w:t>476</w:t>
            </w:r>
          </w:p>
        </w:tc>
        <w:tc>
          <w:tcPr>
            <w:tcW w:type="dxa" w:w="907"/>
          </w:tcPr>
          <w:p>
            <w:pPr>
              <w:spacing w:after="20"/>
              <w:jc w:val="right"/>
            </w:pPr>
            <w:r>
              <w:rPr>
                <w:color w:val="1C3A36"/>
                <w:sz w:val="16"/>
              </w:rPr>
              <w:t>400</w:t>
            </w:r>
          </w:p>
        </w:tc>
        <w:tc>
          <w:tcPr>
            <w:tcW w:type="dxa" w:w="907"/>
          </w:tcPr>
          <w:p>
            <w:pPr>
              <w:spacing w:after="20"/>
              <w:jc w:val="right"/>
            </w:pPr>
            <w:r>
              <w:rPr>
                <w:color w:val="1C3A36"/>
                <w:sz w:val="16"/>
              </w:rPr>
              <w:t>393</w:t>
            </w:r>
          </w:p>
        </w:tc>
        <w:tc>
          <w:tcPr>
            <w:tcW w:type="dxa" w:w="907"/>
          </w:tcPr>
          <w:p>
            <w:pPr>
              <w:spacing w:after="20"/>
              <w:jc w:val="right"/>
            </w:pPr>
            <w:r>
              <w:rPr>
                <w:color w:val="1C3A36"/>
                <w:sz w:val="16"/>
              </w:rPr>
              <w:t>389</w:t>
            </w:r>
          </w:p>
        </w:tc>
        <w:tc>
          <w:tcPr>
            <w:tcW w:type="dxa" w:w="907"/>
          </w:tcPr>
          <w:p>
            <w:pPr>
              <w:spacing w:after="20"/>
              <w:jc w:val="right"/>
            </w:pPr>
            <w:r>
              <w:rPr>
                <w:color w:val="1C3A36"/>
                <w:sz w:val="16"/>
              </w:rPr>
              <w:t>384</w:t>
            </w:r>
          </w:p>
        </w:tc>
        <w:tc>
          <w:tcPr>
            <w:tcW w:type="dxa" w:w="907"/>
          </w:tcPr>
          <w:p>
            <w:pPr>
              <w:spacing w:after="20"/>
              <w:jc w:val="right"/>
            </w:pPr>
            <w:r>
              <w:rPr>
                <w:color w:val="1C3A36"/>
                <w:sz w:val="16"/>
              </w:rPr>
              <w:t>380</w:t>
            </w:r>
          </w:p>
        </w:tc>
      </w:tr>
      <w:tr>
        <w:tc>
          <w:tcPr>
            <w:tcW w:type="dxa" w:w="2333"/>
          </w:tcPr>
          <w:p>
            <w:pPr>
              <w:spacing w:after="20"/>
            </w:pPr>
            <w:r>
              <w:rPr>
                <w:color w:val="1C3A36"/>
                <w:sz w:val="16"/>
              </w:rPr>
              <w:t>EBITDA</w:t>
            </w:r>
          </w:p>
        </w:tc>
        <w:tc>
          <w:tcPr>
            <w:tcW w:type="dxa" w:w="893"/>
          </w:tcPr>
          <w:p>
            <w:pPr>
              <w:spacing w:after="20"/>
              <w:jc w:val="right"/>
            </w:pPr>
            <w:r>
              <w:rPr>
                <w:color w:val="1C3A36"/>
                <w:sz w:val="16"/>
              </w:rPr>
              <w:t>2,169</w:t>
            </w:r>
          </w:p>
        </w:tc>
        <w:tc>
          <w:tcPr>
            <w:tcW w:type="dxa" w:w="893"/>
          </w:tcPr>
          <w:p>
            <w:pPr>
              <w:spacing w:after="20"/>
              <w:jc w:val="right"/>
            </w:pPr>
            <w:r>
              <w:rPr>
                <w:color w:val="1C3A36"/>
                <w:sz w:val="16"/>
              </w:rPr>
              <w:t>2,474</w:t>
            </w:r>
          </w:p>
        </w:tc>
        <w:tc>
          <w:tcPr>
            <w:tcW w:type="dxa" w:w="893"/>
          </w:tcPr>
          <w:p>
            <w:pPr>
              <w:spacing w:after="20"/>
              <w:jc w:val="right"/>
            </w:pPr>
            <w:r>
              <w:rPr>
                <w:color w:val="1C3A36"/>
                <w:sz w:val="16"/>
              </w:rPr>
              <w:t>2,170</w:t>
            </w:r>
          </w:p>
        </w:tc>
        <w:tc>
          <w:tcPr>
            <w:tcW w:type="dxa" w:w="907"/>
          </w:tcPr>
          <w:p>
            <w:pPr>
              <w:spacing w:after="20"/>
              <w:jc w:val="right"/>
            </w:pPr>
            <w:r>
              <w:rPr>
                <w:color w:val="1C3A36"/>
                <w:sz w:val="16"/>
              </w:rPr>
              <w:t>2,124</w:t>
            </w:r>
          </w:p>
        </w:tc>
        <w:tc>
          <w:tcPr>
            <w:tcW w:type="dxa" w:w="907"/>
          </w:tcPr>
          <w:p>
            <w:pPr>
              <w:spacing w:after="20"/>
              <w:jc w:val="right"/>
            </w:pPr>
            <w:r>
              <w:rPr>
                <w:color w:val="1C3A36"/>
                <w:sz w:val="16"/>
              </w:rPr>
              <w:t>2,129</w:t>
            </w:r>
          </w:p>
        </w:tc>
        <w:tc>
          <w:tcPr>
            <w:tcW w:type="dxa" w:w="907"/>
          </w:tcPr>
          <w:p>
            <w:pPr>
              <w:spacing w:after="20"/>
              <w:jc w:val="right"/>
            </w:pPr>
            <w:r>
              <w:rPr>
                <w:color w:val="1C3A36"/>
                <w:sz w:val="16"/>
              </w:rPr>
              <w:t>1,996</w:t>
            </w:r>
          </w:p>
        </w:tc>
        <w:tc>
          <w:tcPr>
            <w:tcW w:type="dxa" w:w="907"/>
          </w:tcPr>
          <w:p>
            <w:pPr>
              <w:spacing w:after="20"/>
              <w:jc w:val="right"/>
            </w:pPr>
            <w:r>
              <w:rPr>
                <w:color w:val="1C3A36"/>
                <w:sz w:val="16"/>
              </w:rPr>
              <w:t>2,018</w:t>
            </w:r>
          </w:p>
        </w:tc>
        <w:tc>
          <w:tcPr>
            <w:tcW w:type="dxa" w:w="907"/>
          </w:tcPr>
          <w:p>
            <w:pPr>
              <w:spacing w:after="20"/>
              <w:jc w:val="right"/>
            </w:pPr>
            <w:r>
              <w:rPr>
                <w:color w:val="1C3A36"/>
                <w:sz w:val="16"/>
              </w:rPr>
              <w:t>2,060</w:t>
            </w:r>
          </w:p>
        </w:tc>
      </w:tr>
      <w:tr>
        <w:tc>
          <w:tcPr>
            <w:tcW w:type="dxa" w:w="2333"/>
          </w:tcPr>
          <w:p>
            <w:pPr>
              <w:spacing w:after="20"/>
            </w:pPr>
            <w:r>
              <w:rPr>
                <w:color w:val="1C3A36"/>
                <w:sz w:val="16"/>
              </w:rPr>
              <w:t>Profit before tax</w:t>
            </w:r>
          </w:p>
        </w:tc>
        <w:tc>
          <w:tcPr>
            <w:tcW w:type="dxa" w:w="893"/>
          </w:tcPr>
          <w:p>
            <w:pPr>
              <w:spacing w:after="20"/>
              <w:jc w:val="right"/>
            </w:pPr>
            <w:r>
              <w:rPr>
                <w:color w:val="1C3A36"/>
                <w:sz w:val="16"/>
              </w:rPr>
              <w:t>1,401</w:t>
            </w:r>
          </w:p>
        </w:tc>
        <w:tc>
          <w:tcPr>
            <w:tcW w:type="dxa" w:w="893"/>
          </w:tcPr>
          <w:p>
            <w:pPr>
              <w:spacing w:after="20"/>
              <w:jc w:val="right"/>
            </w:pPr>
            <w:r>
              <w:rPr>
                <w:color w:val="1C3A36"/>
                <w:sz w:val="16"/>
              </w:rPr>
              <w:t>1,745</w:t>
            </w:r>
          </w:p>
        </w:tc>
        <w:tc>
          <w:tcPr>
            <w:tcW w:type="dxa" w:w="893"/>
          </w:tcPr>
          <w:p>
            <w:pPr>
              <w:spacing w:after="20"/>
              <w:jc w:val="right"/>
            </w:pPr>
            <w:r>
              <w:rPr>
                <w:color w:val="1C3A36"/>
                <w:sz w:val="16"/>
              </w:rPr>
              <w:t>1,540</w:t>
            </w:r>
          </w:p>
        </w:tc>
        <w:tc>
          <w:tcPr>
            <w:tcW w:type="dxa" w:w="907"/>
          </w:tcPr>
          <w:p>
            <w:pPr>
              <w:spacing w:after="20"/>
              <w:jc w:val="right"/>
            </w:pPr>
            <w:r>
              <w:rPr>
                <w:color w:val="1C3A36"/>
                <w:sz w:val="16"/>
              </w:rPr>
              <w:t>1,542</w:t>
            </w:r>
          </w:p>
        </w:tc>
        <w:tc>
          <w:tcPr>
            <w:tcW w:type="dxa" w:w="907"/>
          </w:tcPr>
          <w:p>
            <w:pPr>
              <w:spacing w:after="20"/>
              <w:jc w:val="right"/>
            </w:pPr>
            <w:r>
              <w:rPr>
                <w:color w:val="1C3A36"/>
                <w:sz w:val="16"/>
              </w:rPr>
              <w:t>1,553</w:t>
            </w:r>
          </w:p>
        </w:tc>
        <w:tc>
          <w:tcPr>
            <w:tcW w:type="dxa" w:w="907"/>
          </w:tcPr>
          <w:p>
            <w:pPr>
              <w:spacing w:after="20"/>
              <w:jc w:val="right"/>
            </w:pPr>
            <w:r>
              <w:rPr>
                <w:color w:val="1C3A36"/>
                <w:sz w:val="16"/>
              </w:rPr>
              <w:t>1,426</w:t>
            </w:r>
          </w:p>
        </w:tc>
        <w:tc>
          <w:tcPr>
            <w:tcW w:type="dxa" w:w="907"/>
          </w:tcPr>
          <w:p>
            <w:pPr>
              <w:spacing w:after="20"/>
              <w:jc w:val="right"/>
            </w:pPr>
            <w:r>
              <w:rPr>
                <w:color w:val="1C3A36"/>
                <w:sz w:val="16"/>
              </w:rPr>
              <w:t>1,453</w:t>
            </w:r>
          </w:p>
        </w:tc>
        <w:tc>
          <w:tcPr>
            <w:tcW w:type="dxa" w:w="907"/>
          </w:tcPr>
          <w:p>
            <w:pPr>
              <w:spacing w:after="20"/>
              <w:jc w:val="right"/>
            </w:pPr>
            <w:r>
              <w:rPr>
                <w:color w:val="1C3A36"/>
                <w:sz w:val="16"/>
              </w:rPr>
              <w:t>1,498</w:t>
            </w:r>
          </w:p>
        </w:tc>
      </w:tr>
      <w:tr>
        <w:tc>
          <w:tcPr>
            <w:tcW w:type="dxa" w:w="2333"/>
          </w:tcPr>
          <w:p>
            <w:pPr>
              <w:spacing w:after="20"/>
            </w:pPr>
            <w:r>
              <w:rPr>
                <w:color w:val="1C3A36"/>
                <w:sz w:val="16"/>
              </w:rPr>
              <w:t>Tax</w:t>
            </w:r>
          </w:p>
        </w:tc>
        <w:tc>
          <w:tcPr>
            <w:tcW w:type="dxa" w:w="893"/>
          </w:tcPr>
          <w:p>
            <w:pPr>
              <w:spacing w:after="20"/>
              <w:jc w:val="right"/>
            </w:pPr>
            <w:r>
              <w:rPr>
                <w:color w:val="1C3A36"/>
                <w:sz w:val="16"/>
              </w:rPr>
              <w:t>400</w:t>
            </w:r>
          </w:p>
        </w:tc>
        <w:tc>
          <w:tcPr>
            <w:tcW w:type="dxa" w:w="893"/>
          </w:tcPr>
          <w:p>
            <w:pPr>
              <w:spacing w:after="20"/>
              <w:jc w:val="right"/>
            </w:pPr>
            <w:r>
              <w:rPr>
                <w:color w:val="1C3A36"/>
                <w:sz w:val="16"/>
              </w:rPr>
              <w:t>506</w:t>
            </w:r>
          </w:p>
        </w:tc>
        <w:tc>
          <w:tcPr>
            <w:tcW w:type="dxa" w:w="893"/>
          </w:tcPr>
          <w:p>
            <w:pPr>
              <w:spacing w:after="20"/>
              <w:jc w:val="right"/>
            </w:pPr>
            <w:r>
              <w:rPr>
                <w:color w:val="1C3A36"/>
                <w:sz w:val="16"/>
              </w:rPr>
              <w:t>441</w:t>
            </w:r>
          </w:p>
        </w:tc>
        <w:tc>
          <w:tcPr>
            <w:tcW w:type="dxa" w:w="907"/>
          </w:tcPr>
          <w:p>
            <w:pPr>
              <w:spacing w:after="20"/>
              <w:jc w:val="right"/>
            </w:pPr>
            <w:r>
              <w:rPr>
                <w:color w:val="1C3A36"/>
                <w:sz w:val="16"/>
              </w:rPr>
              <w:t>443</w:t>
            </w:r>
          </w:p>
        </w:tc>
        <w:tc>
          <w:tcPr>
            <w:tcW w:type="dxa" w:w="907"/>
          </w:tcPr>
          <w:p>
            <w:pPr>
              <w:spacing w:after="20"/>
              <w:jc w:val="right"/>
            </w:pPr>
            <w:r>
              <w:rPr>
                <w:color w:val="1C3A36"/>
                <w:sz w:val="16"/>
              </w:rPr>
              <w:t>446</w:t>
            </w:r>
          </w:p>
        </w:tc>
        <w:tc>
          <w:tcPr>
            <w:tcW w:type="dxa" w:w="907"/>
          </w:tcPr>
          <w:p>
            <w:pPr>
              <w:spacing w:after="20"/>
              <w:jc w:val="right"/>
            </w:pPr>
            <w:r>
              <w:rPr>
                <w:color w:val="1C3A36"/>
                <w:sz w:val="16"/>
              </w:rPr>
              <w:t>410</w:t>
            </w:r>
          </w:p>
        </w:tc>
        <w:tc>
          <w:tcPr>
            <w:tcW w:type="dxa" w:w="907"/>
          </w:tcPr>
          <w:p>
            <w:pPr>
              <w:spacing w:after="20"/>
              <w:jc w:val="right"/>
            </w:pPr>
            <w:r>
              <w:rPr>
                <w:color w:val="1C3A36"/>
                <w:sz w:val="16"/>
              </w:rPr>
              <w:t>417</w:t>
            </w:r>
          </w:p>
        </w:tc>
        <w:tc>
          <w:tcPr>
            <w:tcW w:type="dxa" w:w="907"/>
          </w:tcPr>
          <w:p>
            <w:pPr>
              <w:spacing w:after="20"/>
              <w:jc w:val="right"/>
            </w:pPr>
            <w:r>
              <w:rPr>
                <w:color w:val="1C3A36"/>
                <w:sz w:val="16"/>
              </w:rPr>
              <w:t>431</w:t>
            </w:r>
          </w:p>
        </w:tc>
      </w:tr>
      <w:tr>
        <w:tc>
          <w:tcPr>
            <w:tcW w:type="dxa" w:w="2333"/>
          </w:tcPr>
          <w:p>
            <w:pPr>
              <w:spacing w:after="20"/>
            </w:pPr>
            <w:r>
              <w:rPr>
                <w:color w:val="1C3A36"/>
                <w:sz w:val="16"/>
              </w:rPr>
              <w:t>Profit after tax</w:t>
            </w:r>
          </w:p>
        </w:tc>
        <w:tc>
          <w:tcPr>
            <w:tcW w:type="dxa" w:w="893"/>
          </w:tcPr>
          <w:p>
            <w:pPr>
              <w:spacing w:after="20"/>
              <w:jc w:val="right"/>
            </w:pPr>
            <w:r>
              <w:rPr>
                <w:color w:val="1C3A36"/>
                <w:sz w:val="16"/>
              </w:rPr>
              <w:t>1,001</w:t>
            </w:r>
          </w:p>
        </w:tc>
        <w:tc>
          <w:tcPr>
            <w:tcW w:type="dxa" w:w="893"/>
          </w:tcPr>
          <w:p>
            <w:pPr>
              <w:spacing w:after="20"/>
              <w:jc w:val="right"/>
            </w:pPr>
            <w:r>
              <w:rPr>
                <w:color w:val="1C3A36"/>
                <w:sz w:val="16"/>
              </w:rPr>
              <w:t>1,239</w:t>
            </w:r>
          </w:p>
        </w:tc>
        <w:tc>
          <w:tcPr>
            <w:tcW w:type="dxa" w:w="893"/>
          </w:tcPr>
          <w:p>
            <w:pPr>
              <w:spacing w:after="20"/>
              <w:jc w:val="right"/>
            </w:pPr>
            <w:r>
              <w:rPr>
                <w:color w:val="1C3A36"/>
                <w:sz w:val="16"/>
              </w:rPr>
              <w:t>1,099</w:t>
            </w:r>
          </w:p>
        </w:tc>
        <w:tc>
          <w:tcPr>
            <w:tcW w:type="dxa" w:w="907"/>
          </w:tcPr>
          <w:p>
            <w:pPr>
              <w:spacing w:after="20"/>
              <w:jc w:val="right"/>
            </w:pPr>
            <w:r>
              <w:rPr>
                <w:color w:val="1C3A36"/>
                <w:sz w:val="16"/>
              </w:rPr>
              <w:t>1,099</w:t>
            </w:r>
          </w:p>
        </w:tc>
        <w:tc>
          <w:tcPr>
            <w:tcW w:type="dxa" w:w="907"/>
          </w:tcPr>
          <w:p>
            <w:pPr>
              <w:spacing w:after="20"/>
              <w:jc w:val="right"/>
            </w:pPr>
            <w:r>
              <w:rPr>
                <w:color w:val="1C3A36"/>
                <w:sz w:val="16"/>
              </w:rPr>
              <w:t>1,107</w:t>
            </w:r>
          </w:p>
        </w:tc>
        <w:tc>
          <w:tcPr>
            <w:tcW w:type="dxa" w:w="907"/>
          </w:tcPr>
          <w:p>
            <w:pPr>
              <w:spacing w:after="20"/>
              <w:jc w:val="right"/>
            </w:pPr>
            <w:r>
              <w:rPr>
                <w:color w:val="1C3A36"/>
                <w:sz w:val="16"/>
              </w:rPr>
              <w:t>1,016</w:t>
            </w:r>
          </w:p>
        </w:tc>
        <w:tc>
          <w:tcPr>
            <w:tcW w:type="dxa" w:w="907"/>
          </w:tcPr>
          <w:p>
            <w:pPr>
              <w:spacing w:after="20"/>
              <w:jc w:val="right"/>
            </w:pPr>
            <w:r>
              <w:rPr>
                <w:color w:val="1C3A36"/>
                <w:sz w:val="16"/>
              </w:rPr>
              <w:t>1,035</w:t>
            </w:r>
          </w:p>
        </w:tc>
        <w:tc>
          <w:tcPr>
            <w:tcW w:type="dxa" w:w="907"/>
          </w:tcPr>
          <w:p>
            <w:pPr>
              <w:spacing w:after="20"/>
              <w:jc w:val="right"/>
            </w:pPr>
            <w:r>
              <w:rPr>
                <w:color w:val="1C3A36"/>
                <w:sz w:val="16"/>
              </w:rPr>
              <w:t>1,068</w:t>
            </w:r>
          </w:p>
        </w:tc>
      </w:tr>
    </w:tbl>
    <w:p>
      <w:pPr>
        <w:spacing w:after="40"/>
      </w:pPr>
    </w:p>
    <w:p>
      <w:pPr>
        <w:spacing w:after="200" w:before="0"/>
      </w:pPr>
      <w:r>
        <w:rPr>
          <w:b w:val="0"/>
          <w:i/>
          <w:color w:val="6E7B77"/>
          <w:sz w:val="17"/>
        </w:rPr>
        <w:t>Table A1 — Historical columns are the audited figures. Forecast columns are the same cells that feed the cash-flow waterfall, linked rather than restated.</w:t>
      </w:r>
    </w:p>
    <w:p>
      <w:pPr>
        <w:spacing w:after="80" w:before="200"/>
      </w:pPr>
      <w:r>
        <w:rPr>
          <w:b/>
          <w:i w:val="0"/>
          <w:color w:val="1C3A36"/>
          <w:sz w:val="24"/>
        </w:rPr>
        <w:t>A.2  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944"/>
        <w:gridCol w:w="1944"/>
        <w:gridCol w:w="1944"/>
      </w:tblGrid>
      <w:tr>
        <w:tc>
          <w:tcPr>
            <w:tcW w:type="dxa" w:w="3744"/>
            <w:shd w:val="clear" w:color="auto" w:fill="EAF0EE"/>
          </w:tcPr>
          <w:p>
            <w:pPr>
              <w:spacing w:after="20"/>
            </w:pPr>
            <w:r>
              <w:rPr>
                <w:b/>
                <w:color w:val="1C3A36"/>
                <w:sz w:val="17"/>
              </w:rPr>
              <w:t>USD million</w:t>
            </w:r>
          </w:p>
        </w:tc>
        <w:tc>
          <w:tcPr>
            <w:tcW w:type="dxa" w:w="1944"/>
            <w:shd w:val="clear" w:color="auto" w:fill="EAF0EE"/>
          </w:tcPr>
          <w:p>
            <w:pPr>
              <w:spacing w:after="20"/>
            </w:pPr>
            <w:r>
              <w:rPr>
                <w:b/>
                <w:color w:val="1C3A36"/>
                <w:sz w:val="17"/>
              </w:rPr>
              <w:t>FY2023</w:t>
            </w:r>
          </w:p>
        </w:tc>
        <w:tc>
          <w:tcPr>
            <w:tcW w:type="dxa" w:w="1944"/>
            <w:shd w:val="clear" w:color="auto" w:fill="EAF0EE"/>
          </w:tcPr>
          <w:p>
            <w:pPr>
              <w:spacing w:after="20"/>
            </w:pPr>
            <w:r>
              <w:rPr>
                <w:b/>
                <w:color w:val="1C3A36"/>
                <w:sz w:val="17"/>
              </w:rPr>
              <w:t>FY2024</w:t>
            </w:r>
          </w:p>
        </w:tc>
        <w:tc>
          <w:tcPr>
            <w:tcW w:type="dxa" w:w="1944"/>
            <w:shd w:val="clear" w:color="auto" w:fill="EAF0EE"/>
          </w:tcPr>
          <w:p>
            <w:pPr>
              <w:spacing w:after="20"/>
            </w:pPr>
            <w:r>
              <w:rPr>
                <w:b/>
                <w:color w:val="1C3A36"/>
                <w:sz w:val="17"/>
              </w:rPr>
              <w:t>FY2025</w:t>
            </w:r>
          </w:p>
        </w:tc>
      </w:tr>
      <w:tr>
        <w:tc>
          <w:tcPr>
            <w:tcW w:type="dxa" w:w="3744"/>
          </w:tcPr>
          <w:p>
            <w:pPr>
              <w:spacing w:after="20"/>
            </w:pPr>
            <w:r>
              <w:rPr>
                <w:color w:val="1C3A36"/>
                <w:sz w:val="17"/>
              </w:rPr>
              <w:t>Property, plant and equipment</w:t>
            </w:r>
          </w:p>
        </w:tc>
        <w:tc>
          <w:tcPr>
            <w:tcW w:type="dxa" w:w="1944"/>
          </w:tcPr>
          <w:p>
            <w:pPr>
              <w:spacing w:after="20"/>
              <w:jc w:val="right"/>
            </w:pPr>
            <w:r>
              <w:rPr>
                <w:color w:val="1C3A36"/>
                <w:sz w:val="17"/>
              </w:rPr>
              <w:t>6,677</w:t>
            </w:r>
          </w:p>
        </w:tc>
        <w:tc>
          <w:tcPr>
            <w:tcW w:type="dxa" w:w="1944"/>
          </w:tcPr>
          <w:p>
            <w:pPr>
              <w:spacing w:after="20"/>
              <w:jc w:val="right"/>
            </w:pPr>
            <w:r>
              <w:rPr>
                <w:color w:val="1C3A36"/>
                <w:sz w:val="17"/>
              </w:rPr>
              <w:t>6,293</w:t>
            </w:r>
          </w:p>
        </w:tc>
        <w:tc>
          <w:tcPr>
            <w:tcW w:type="dxa" w:w="1944"/>
          </w:tcPr>
          <w:p>
            <w:pPr>
              <w:spacing w:after="20"/>
              <w:jc w:val="right"/>
            </w:pPr>
            <w:r>
              <w:rPr>
                <w:color w:val="1C3A36"/>
                <w:sz w:val="17"/>
              </w:rPr>
              <w:t>6,082</w:t>
            </w:r>
          </w:p>
        </w:tc>
      </w:tr>
      <w:tr>
        <w:tc>
          <w:tcPr>
            <w:tcW w:type="dxa" w:w="3744"/>
          </w:tcPr>
          <w:p>
            <w:pPr>
              <w:spacing w:after="20"/>
            </w:pPr>
            <w:r>
              <w:rPr>
                <w:color w:val="1C3A36"/>
                <w:sz w:val="17"/>
              </w:rPr>
              <w:t>Inventory</w:t>
            </w:r>
          </w:p>
        </w:tc>
        <w:tc>
          <w:tcPr>
            <w:tcW w:type="dxa" w:w="1944"/>
          </w:tcPr>
          <w:p>
            <w:pPr>
              <w:spacing w:after="20"/>
              <w:jc w:val="right"/>
            </w:pPr>
            <w:r>
              <w:rPr>
                <w:color w:val="1C3A36"/>
                <w:sz w:val="17"/>
              </w:rPr>
              <w:t>645</w:t>
            </w:r>
          </w:p>
        </w:tc>
        <w:tc>
          <w:tcPr>
            <w:tcW w:type="dxa" w:w="1944"/>
          </w:tcPr>
          <w:p>
            <w:pPr>
              <w:spacing w:after="20"/>
              <w:jc w:val="right"/>
            </w:pPr>
            <w:r>
              <w:rPr>
                <w:color w:val="1C3A36"/>
                <w:sz w:val="17"/>
              </w:rPr>
              <w:t>641</w:t>
            </w:r>
          </w:p>
        </w:tc>
        <w:tc>
          <w:tcPr>
            <w:tcW w:type="dxa" w:w="1944"/>
          </w:tcPr>
          <w:p>
            <w:pPr>
              <w:spacing w:after="20"/>
              <w:jc w:val="right"/>
            </w:pPr>
            <w:r>
              <w:rPr>
                <w:color w:val="1C3A36"/>
                <w:sz w:val="17"/>
              </w:rPr>
              <w:t>524</w:t>
            </w:r>
          </w:p>
        </w:tc>
      </w:tr>
      <w:tr>
        <w:tc>
          <w:tcPr>
            <w:tcW w:type="dxa" w:w="3744"/>
          </w:tcPr>
          <w:p>
            <w:pPr>
              <w:spacing w:after="20"/>
            </w:pPr>
            <w:r>
              <w:rPr>
                <w:color w:val="1C3A36"/>
                <w:sz w:val="17"/>
              </w:rPr>
              <w:t>Cash and equivalents</w:t>
            </w:r>
          </w:p>
        </w:tc>
        <w:tc>
          <w:tcPr>
            <w:tcW w:type="dxa" w:w="1944"/>
          </w:tcPr>
          <w:p>
            <w:pPr>
              <w:spacing w:after="20"/>
              <w:jc w:val="right"/>
            </w:pPr>
            <w:r>
              <w:rPr>
                <w:color w:val="1C3A36"/>
                <w:sz w:val="17"/>
              </w:rPr>
              <w:t>354</w:t>
            </w:r>
          </w:p>
        </w:tc>
        <w:tc>
          <w:tcPr>
            <w:tcW w:type="dxa" w:w="1944"/>
          </w:tcPr>
          <w:p>
            <w:pPr>
              <w:spacing w:after="20"/>
              <w:jc w:val="right"/>
            </w:pPr>
            <w:r>
              <w:rPr>
                <w:color w:val="1C3A36"/>
                <w:sz w:val="17"/>
              </w:rPr>
              <w:t>419</w:t>
            </w:r>
          </w:p>
        </w:tc>
        <w:tc>
          <w:tcPr>
            <w:tcW w:type="dxa" w:w="1944"/>
          </w:tcPr>
          <w:p>
            <w:pPr>
              <w:spacing w:after="20"/>
              <w:jc w:val="right"/>
            </w:pPr>
            <w:r>
              <w:rPr>
                <w:color w:val="1C3A36"/>
                <w:sz w:val="17"/>
              </w:rPr>
              <w:t>427</w:t>
            </w:r>
          </w:p>
        </w:tc>
      </w:tr>
      <w:tr>
        <w:tc>
          <w:tcPr>
            <w:tcW w:type="dxa" w:w="3744"/>
          </w:tcPr>
          <w:p>
            <w:pPr>
              <w:spacing w:after="20"/>
            </w:pPr>
            <w:r>
              <w:rPr>
                <w:color w:val="1C3A36"/>
                <w:sz w:val="17"/>
              </w:rPr>
              <w:t>Total assets</w:t>
            </w:r>
          </w:p>
        </w:tc>
        <w:tc>
          <w:tcPr>
            <w:tcW w:type="dxa" w:w="1944"/>
          </w:tcPr>
          <w:p>
            <w:pPr>
              <w:spacing w:after="20"/>
              <w:jc w:val="right"/>
            </w:pPr>
            <w:r>
              <w:rPr>
                <w:color w:val="1C3A36"/>
                <w:sz w:val="17"/>
              </w:rPr>
              <w:t>8,944</w:t>
            </w:r>
          </w:p>
        </w:tc>
        <w:tc>
          <w:tcPr>
            <w:tcW w:type="dxa" w:w="1944"/>
          </w:tcPr>
          <w:p>
            <w:pPr>
              <w:spacing w:after="20"/>
              <w:jc w:val="right"/>
            </w:pPr>
            <w:r>
              <w:rPr>
                <w:color w:val="1C3A36"/>
                <w:sz w:val="17"/>
              </w:rPr>
              <w:t>8,707</w:t>
            </w:r>
          </w:p>
        </w:tc>
        <w:tc>
          <w:tcPr>
            <w:tcW w:type="dxa" w:w="1944"/>
          </w:tcPr>
          <w:p>
            <w:pPr>
              <w:spacing w:after="20"/>
              <w:jc w:val="right"/>
            </w:pPr>
            <w:r>
              <w:rPr>
                <w:color w:val="1C3A36"/>
                <w:sz w:val="17"/>
              </w:rPr>
              <w:t>8,489</w:t>
            </w:r>
          </w:p>
        </w:tc>
      </w:tr>
      <w:tr>
        <w:tc>
          <w:tcPr>
            <w:tcW w:type="dxa" w:w="3744"/>
          </w:tcPr>
          <w:p>
            <w:pPr>
              <w:spacing w:after="20"/>
            </w:pPr>
            <w:r>
              <w:rPr>
                <w:color w:val="1C3A36"/>
                <w:sz w:val="17"/>
              </w:rPr>
              <w:t>Borrowings</w:t>
            </w:r>
          </w:p>
        </w:tc>
        <w:tc>
          <w:tcPr>
            <w:tcW w:type="dxa" w:w="1944"/>
          </w:tcPr>
          <w:p>
            <w:pPr>
              <w:spacing w:after="20"/>
              <w:jc w:val="right"/>
            </w:pPr>
            <w:r>
              <w:rPr>
                <w:color w:val="1C3A36"/>
                <w:sz w:val="17"/>
              </w:rPr>
              <w:t>3,141</w:t>
            </w:r>
          </w:p>
        </w:tc>
        <w:tc>
          <w:tcPr>
            <w:tcW w:type="dxa" w:w="1944"/>
          </w:tcPr>
          <w:p>
            <w:pPr>
              <w:spacing w:after="20"/>
              <w:jc w:val="right"/>
            </w:pPr>
            <w:r>
              <w:rPr>
                <w:color w:val="1C3A36"/>
                <w:sz w:val="17"/>
              </w:rPr>
              <w:t>2,944</w:t>
            </w:r>
          </w:p>
        </w:tc>
        <w:tc>
          <w:tcPr>
            <w:tcW w:type="dxa" w:w="1944"/>
          </w:tcPr>
          <w:p>
            <w:pPr>
              <w:spacing w:after="20"/>
              <w:jc w:val="right"/>
            </w:pPr>
            <w:r>
              <w:rPr>
                <w:color w:val="1C3A36"/>
                <w:sz w:val="17"/>
              </w:rPr>
              <w:t>2,958</w:t>
            </w:r>
          </w:p>
        </w:tc>
      </w:tr>
      <w:tr>
        <w:tc>
          <w:tcPr>
            <w:tcW w:type="dxa" w:w="3744"/>
          </w:tcPr>
          <w:p>
            <w:pPr>
              <w:spacing w:after="20"/>
            </w:pPr>
            <w:r>
              <w:rPr>
                <w:color w:val="1C3A36"/>
                <w:sz w:val="17"/>
              </w:rPr>
              <w:t>Equity attributable to owners</w:t>
            </w:r>
          </w:p>
        </w:tc>
        <w:tc>
          <w:tcPr>
            <w:tcW w:type="dxa" w:w="1944"/>
          </w:tcPr>
          <w:p>
            <w:pPr>
              <w:spacing w:after="20"/>
              <w:jc w:val="right"/>
            </w:pPr>
            <w:r>
              <w:rPr>
                <w:color w:val="1C3A36"/>
                <w:sz w:val="17"/>
              </w:rPr>
              <w:t>4,532</w:t>
            </w:r>
          </w:p>
        </w:tc>
        <w:tc>
          <w:tcPr>
            <w:tcW w:type="dxa" w:w="1944"/>
          </w:tcPr>
          <w:p>
            <w:pPr>
              <w:spacing w:after="20"/>
              <w:jc w:val="right"/>
            </w:pPr>
            <w:r>
              <w:rPr>
                <w:color w:val="1C3A36"/>
                <w:sz w:val="17"/>
              </w:rPr>
              <w:t>4,463</w:t>
            </w:r>
          </w:p>
        </w:tc>
        <w:tc>
          <w:tcPr>
            <w:tcW w:type="dxa" w:w="1944"/>
          </w:tcPr>
          <w:p>
            <w:pPr>
              <w:spacing w:after="20"/>
              <w:jc w:val="right"/>
            </w:pPr>
            <w:r>
              <w:rPr>
                <w:color w:val="1C3A36"/>
                <w:sz w:val="17"/>
              </w:rPr>
              <w:t>4,089</w:t>
            </w:r>
          </w:p>
        </w:tc>
      </w:tr>
      <w:tr>
        <w:tc>
          <w:tcPr>
            <w:tcW w:type="dxa" w:w="3744"/>
          </w:tcPr>
          <w:p>
            <w:pPr>
              <w:spacing w:after="20"/>
            </w:pPr>
            <w:r>
              <w:rPr>
                <w:color w:val="1C3A36"/>
                <w:sz w:val="17"/>
              </w:rPr>
              <w:t>Net debt</w:t>
            </w:r>
          </w:p>
        </w:tc>
        <w:tc>
          <w:tcPr>
            <w:tcW w:type="dxa" w:w="1944"/>
          </w:tcPr>
          <w:p>
            <w:pPr>
              <w:spacing w:after="20"/>
              <w:jc w:val="right"/>
            </w:pPr>
            <w:r>
              <w:rPr>
                <w:color w:val="1C3A36"/>
                <w:sz w:val="17"/>
              </w:rPr>
              <w:t>2,787</w:t>
            </w:r>
          </w:p>
        </w:tc>
        <w:tc>
          <w:tcPr>
            <w:tcW w:type="dxa" w:w="1944"/>
          </w:tcPr>
          <w:p>
            <w:pPr>
              <w:spacing w:after="20"/>
              <w:jc w:val="right"/>
            </w:pPr>
            <w:r>
              <w:rPr>
                <w:color w:val="1C3A36"/>
                <w:sz w:val="17"/>
              </w:rPr>
              <w:t>2,526</w:t>
            </w:r>
          </w:p>
        </w:tc>
        <w:tc>
          <w:tcPr>
            <w:tcW w:type="dxa" w:w="1944"/>
          </w:tcPr>
          <w:p>
            <w:pPr>
              <w:spacing w:after="20"/>
              <w:jc w:val="right"/>
            </w:pPr>
            <w:r>
              <w:rPr>
                <w:color w:val="1C3A36"/>
                <w:sz w:val="17"/>
              </w:rPr>
              <w:t>2,531</w:t>
            </w:r>
          </w:p>
        </w:tc>
      </w:tr>
    </w:tbl>
    <w:p>
      <w:pPr>
        <w:spacing w:after="40"/>
      </w:pPr>
    </w:p>
    <w:p>
      <w:pPr>
        <w:spacing w:after="200" w:before="0"/>
      </w:pPr>
      <w:r>
        <w:rPr>
          <w:b w:val="0"/>
          <w:i/>
          <w:color w:val="6E7B77"/>
          <w:sz w:val="17"/>
        </w:rPr>
        <w:t>Table A2 — The audited balance sheet, in USD million, from the filings.</w:t>
      </w:r>
    </w:p>
    <w:p>
      <w:pPr>
        <w:spacing w:after="80" w:before="200"/>
      </w:pPr>
      <w:r>
        <w:rPr>
          <w:b/>
          <w:i w:val="0"/>
          <w:color w:val="1C3A36"/>
          <w:sz w:val="24"/>
        </w:rPr>
        <w:t>A.3  How the forecast balance sheet and cash flow are built</w:t>
      </w:r>
    </w:p>
    <w:p>
      <w:pPr>
        <w:spacing w:after="120" w:before="0"/>
      </w:pPr>
      <w:r>
        <w:rPr>
          <w:b w:val="0"/>
          <w:i w:val="0"/>
          <w:color w:val="1C3A36"/>
          <w:sz w:val="21"/>
        </w:rPr>
        <w:t>Neither statement is plugged. The markers below are what the workbook actually does, and a reader can follow each one in the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7128"/>
      </w:tblGrid>
      <w:tr>
        <w:tc>
          <w:tcPr>
            <w:tcW w:type="dxa" w:w="2664"/>
            <w:shd w:val="clear" w:color="auto" w:fill="EAF0EE"/>
          </w:tcPr>
          <w:p>
            <w:pPr>
              <w:spacing w:after="20"/>
            </w:pPr>
            <w:r>
              <w:rPr>
                <w:b/>
                <w:color w:val="1C3A36"/>
                <w:sz w:val="17"/>
              </w:rPr>
              <w:t>Line</w:t>
            </w:r>
          </w:p>
        </w:tc>
        <w:tc>
          <w:tcPr>
            <w:tcW w:type="dxa" w:w="7128"/>
            <w:shd w:val="clear" w:color="auto" w:fill="EAF0EE"/>
          </w:tcPr>
          <w:p>
            <w:pPr>
              <w:spacing w:after="20"/>
            </w:pPr>
            <w:r>
              <w:rPr>
                <w:b/>
                <w:color w:val="1C3A36"/>
                <w:sz w:val="17"/>
              </w:rPr>
              <w:t>How it moves</w:t>
            </w:r>
          </w:p>
        </w:tc>
      </w:tr>
      <w:tr>
        <w:tc>
          <w:tcPr>
            <w:tcW w:type="dxa" w:w="2664"/>
          </w:tcPr>
          <w:p>
            <w:pPr>
              <w:spacing w:after="20"/>
            </w:pPr>
            <w:r>
              <w:rPr>
                <w:color w:val="1C3A36"/>
                <w:sz w:val="17"/>
              </w:rPr>
              <w:t>Property, plant and equipment</w:t>
            </w:r>
          </w:p>
        </w:tc>
        <w:tc>
          <w:tcPr>
            <w:tcW w:type="dxa" w:w="7128"/>
          </w:tcPr>
          <w:p>
            <w:pPr>
              <w:spacing w:after="20"/>
              <w:jc w:val="right"/>
            </w:pPr>
            <w:r>
              <w:rPr>
                <w:color w:val="1C3A36"/>
                <w:sz w:val="17"/>
              </w:rPr>
              <w:t>Opening balance, plus capital expenditure, less depreciation. Depreciation is the opening balance times a rate set by the company’s own current-year charge.</w:t>
            </w:r>
          </w:p>
        </w:tc>
      </w:tr>
      <w:tr>
        <w:tc>
          <w:tcPr>
            <w:tcW w:type="dxa" w:w="2664"/>
          </w:tcPr>
          <w:p>
            <w:pPr>
              <w:spacing w:after="20"/>
            </w:pPr>
            <w:r>
              <w:rPr>
                <w:color w:val="1C3A36"/>
                <w:sz w:val="17"/>
              </w:rPr>
              <w:t>Trade receivables</w:t>
            </w:r>
          </w:p>
        </w:tc>
        <w:tc>
          <w:tcPr>
            <w:tcW w:type="dxa" w:w="7128"/>
          </w:tcPr>
          <w:p>
            <w:pPr>
              <w:spacing w:after="20"/>
              <w:jc w:val="right"/>
            </w:pPr>
            <w:r>
              <w:rPr>
                <w:color w:val="1C3A36"/>
                <w:sz w:val="17"/>
              </w:rPr>
              <w:t>Forecast revenue times 51 days over 365 — the collection period the audited statements themselves show.</w:t>
            </w:r>
          </w:p>
        </w:tc>
      </w:tr>
      <w:tr>
        <w:tc>
          <w:tcPr>
            <w:tcW w:type="dxa" w:w="2664"/>
          </w:tcPr>
          <w:p>
            <w:pPr>
              <w:spacing w:after="20"/>
            </w:pPr>
            <w:r>
              <w:rPr>
                <w:color w:val="1C3A36"/>
                <w:sz w:val="17"/>
              </w:rPr>
              <w:t>Inventory</w:t>
            </w:r>
          </w:p>
        </w:tc>
        <w:tc>
          <w:tcPr>
            <w:tcW w:type="dxa" w:w="7128"/>
          </w:tcPr>
          <w:p>
            <w:pPr>
              <w:spacing w:after="20"/>
              <w:jc w:val="right"/>
            </w:pPr>
            <w:r>
              <w:rPr>
                <w:color w:val="1C3A36"/>
                <w:sz w:val="17"/>
              </w:rPr>
              <w:t>Forecast production cost times 62 days over 365.</w:t>
            </w:r>
          </w:p>
        </w:tc>
      </w:tr>
      <w:tr>
        <w:tc>
          <w:tcPr>
            <w:tcW w:type="dxa" w:w="2664"/>
          </w:tcPr>
          <w:p>
            <w:pPr>
              <w:spacing w:after="20"/>
            </w:pPr>
            <w:r>
              <w:rPr>
                <w:color w:val="1C3A36"/>
                <w:sz w:val="17"/>
              </w:rPr>
              <w:t>Trade payables</w:t>
            </w:r>
          </w:p>
        </w:tc>
        <w:tc>
          <w:tcPr>
            <w:tcW w:type="dxa" w:w="7128"/>
          </w:tcPr>
          <w:p>
            <w:pPr>
              <w:spacing w:after="20"/>
              <w:jc w:val="right"/>
            </w:pPr>
            <w:r>
              <w:rPr>
                <w:color w:val="1C3A36"/>
                <w:sz w:val="17"/>
              </w:rPr>
              <w:t>Forecast production cost times 92 days over 365.</w:t>
            </w:r>
          </w:p>
        </w:tc>
      </w:tr>
      <w:tr>
        <w:tc>
          <w:tcPr>
            <w:tcW w:type="dxa" w:w="2664"/>
          </w:tcPr>
          <w:p>
            <w:pPr>
              <w:spacing w:after="20"/>
            </w:pPr>
            <w:r>
              <w:rPr>
                <w:color w:val="1C3A36"/>
                <w:sz w:val="17"/>
              </w:rPr>
              <w:t>Net working capital</w:t>
            </w:r>
          </w:p>
        </w:tc>
        <w:tc>
          <w:tcPr>
            <w:tcW w:type="dxa" w:w="7128"/>
          </w:tcPr>
          <w:p>
            <w:pPr>
              <w:spacing w:after="20"/>
              <w:jc w:val="right"/>
            </w:pPr>
            <w:r>
              <w:rPr>
                <w:color w:val="1C3A36"/>
                <w:sz w:val="17"/>
              </w:rPr>
              <w:t>Receivables plus inventory less payables — a 20-day cash cycle. Its change is the working-capital line in the cash-flow waterfall.</w:t>
            </w:r>
          </w:p>
        </w:tc>
      </w:tr>
      <w:tr>
        <w:tc>
          <w:tcPr>
            <w:tcW w:type="dxa" w:w="2664"/>
          </w:tcPr>
          <w:p>
            <w:pPr>
              <w:spacing w:after="20"/>
            </w:pPr>
            <w:r>
              <w:rPr>
                <w:color w:val="1C3A36"/>
                <w:sz w:val="17"/>
              </w:rPr>
              <w:t>Net debt</w:t>
            </w:r>
          </w:p>
        </w:tc>
        <w:tc>
          <w:tcPr>
            <w:tcW w:type="dxa" w:w="7128"/>
          </w:tcPr>
          <w:p>
            <w:pPr>
              <w:spacing w:after="20"/>
              <w:jc w:val="right"/>
            </w:pPr>
            <w:r>
              <w:rPr>
                <w:color w:val="1C3A36"/>
                <w:sz w:val="17"/>
              </w:rPr>
              <w:t>Opening balance, less free cash flow after the after-tax finance cost, plus the dividend the company states it intends to keep paying.</w:t>
            </w:r>
          </w:p>
        </w:tc>
      </w:tr>
      <w:tr>
        <w:tc>
          <w:tcPr>
            <w:tcW w:type="dxa" w:w="2664"/>
          </w:tcPr>
          <w:p>
            <w:pPr>
              <w:spacing w:after="20"/>
            </w:pPr>
            <w:r>
              <w:rPr>
                <w:color w:val="1C3A36"/>
                <w:sz w:val="17"/>
              </w:rPr>
              <w:t>Equity</w:t>
            </w:r>
          </w:p>
        </w:tc>
        <w:tc>
          <w:tcPr>
            <w:tcW w:type="dxa" w:w="7128"/>
          </w:tcPr>
          <w:p>
            <w:pPr>
              <w:spacing w:after="20"/>
              <w:jc w:val="right"/>
            </w:pPr>
            <w:r>
              <w:rPr>
                <w:color w:val="1C3A36"/>
                <w:sz w:val="17"/>
              </w:rPr>
              <w:t>Opening balance, plus profit after tax, less that same dividend.</w:t>
            </w:r>
          </w:p>
        </w:tc>
      </w:tr>
      <w:tr>
        <w:tc>
          <w:tcPr>
            <w:tcW w:type="dxa" w:w="2664"/>
          </w:tcPr>
          <w:p>
            <w:pPr>
              <w:spacing w:after="20"/>
            </w:pPr>
            <w:r>
              <w:rPr>
                <w:color w:val="1C3A36"/>
                <w:sz w:val="17"/>
              </w:rPr>
              <w:t>Cash from operations</w:t>
            </w:r>
          </w:p>
        </w:tc>
        <w:tc>
          <w:tcPr>
            <w:tcW w:type="dxa" w:w="7128"/>
          </w:tcPr>
          <w:p>
            <w:pPr>
              <w:spacing w:after="20"/>
              <w:jc w:val="right"/>
            </w:pPr>
            <w:r>
              <w:rPr>
                <w:color w:val="1C3A36"/>
                <w:sz w:val="17"/>
              </w:rPr>
              <w:t>EBITDA less the working-capital movement less tax on operating profit. It reconciles to free cash flow to the firm through capital expenditure alone.</w:t>
            </w:r>
          </w:p>
        </w:tc>
      </w:tr>
    </w:tbl>
    <w:p>
      <w:pPr>
        <w:spacing w:after="40"/>
      </w:pPr>
    </w:p>
    <w:p>
      <w:pPr>
        <w:spacing w:after="200" w:before="0"/>
      </w:pPr>
      <w:r>
        <w:rPr>
          <w:b w:val="0"/>
          <w:i/>
          <w:color w:val="6E7B77"/>
          <w:sz w:val="17"/>
        </w:rPr>
        <w:t>Table A3 — The roll-forward markers. Every one of them is a live formula in the companion workbook.</w:t>
      </w:r>
    </w:p>
    <w:p>
      <w:r>
        <w:br w:type="page"/>
      </w:r>
    </w:p>
    <w:p>
      <w:pPr>
        <w:spacing w:after="120" w:before="280"/>
      </w:pPr>
      <w:r>
        <w:rPr>
          <w:b/>
          <w:i w:val="0"/>
          <w:color w:val="1C3A36"/>
          <w:sz w:val="30"/>
        </w:rPr>
        <w:t>Appendix B  Peers, risks and the research record</w:t>
      </w:r>
    </w:p>
    <w:p>
      <w:pPr>
        <w:spacing w:after="80" w:before="200"/>
      </w:pPr>
      <w:r>
        <w:rPr>
          <w:b/>
          <w:i w:val="0"/>
          <w:color w:val="1C3A36"/>
          <w:sz w:val="24"/>
        </w:rPr>
        <w:t>B.1  The listed peer set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296"/>
        <w:gridCol w:w="1296"/>
        <w:gridCol w:w="1296"/>
        <w:gridCol w:w="1368"/>
        <w:gridCol w:w="1368"/>
        <w:gridCol w:w="1080"/>
      </w:tblGrid>
      <w:tr>
        <w:tc>
          <w:tcPr>
            <w:tcW w:type="dxa" w:w="2232"/>
            <w:shd w:val="clear" w:color="auto" w:fill="EAF0EE"/>
          </w:tcPr>
          <w:p>
            <w:pPr>
              <w:spacing w:after="20"/>
            </w:pPr>
            <w:r>
              <w:rPr>
                <w:b/>
                <w:color w:val="1C3A36"/>
                <w:sz w:val="16"/>
              </w:rPr>
              <w:t>Company</w:t>
            </w:r>
          </w:p>
        </w:tc>
        <w:tc>
          <w:tcPr>
            <w:tcW w:type="dxa" w:w="1296"/>
            <w:shd w:val="clear" w:color="auto" w:fill="EAF0EE"/>
          </w:tcPr>
          <w:p>
            <w:pPr>
              <w:spacing w:after="20"/>
            </w:pPr>
            <w:r>
              <w:rPr>
                <w:b/>
                <w:color w:val="1C3A36"/>
                <w:sz w:val="16"/>
              </w:rPr>
              <w:t>EV/EBITDA</w:t>
            </w:r>
          </w:p>
        </w:tc>
        <w:tc>
          <w:tcPr>
            <w:tcW w:type="dxa" w:w="1296"/>
            <w:shd w:val="clear" w:color="auto" w:fill="EAF0EE"/>
          </w:tcPr>
          <w:p>
            <w:pPr>
              <w:spacing w:after="20"/>
            </w:pPr>
            <w:r>
              <w:rPr>
                <w:b/>
                <w:color w:val="1C3A36"/>
                <w:sz w:val="16"/>
              </w:rPr>
              <w:t>Forward P/E</w:t>
            </w:r>
          </w:p>
        </w:tc>
        <w:tc>
          <w:tcPr>
            <w:tcW w:type="dxa" w:w="1296"/>
            <w:shd w:val="clear" w:color="auto" w:fill="EAF0EE"/>
          </w:tcPr>
          <w:p>
            <w:pPr>
              <w:spacing w:after="20"/>
            </w:pPr>
            <w:r>
              <w:rPr>
                <w:b/>
                <w:color w:val="1C3A36"/>
                <w:sz w:val="16"/>
              </w:rPr>
              <w:t>Price to book</w:t>
            </w:r>
          </w:p>
        </w:tc>
        <w:tc>
          <w:tcPr>
            <w:tcW w:type="dxa" w:w="1368"/>
            <w:shd w:val="clear" w:color="auto" w:fill="EAF0EE"/>
          </w:tcPr>
          <w:p>
            <w:pPr>
              <w:spacing w:after="20"/>
            </w:pPr>
            <w:r>
              <w:rPr>
                <w:b/>
                <w:color w:val="1C3A36"/>
                <w:sz w:val="16"/>
              </w:rPr>
              <w:t>Dividend yield</w:t>
            </w:r>
          </w:p>
        </w:tc>
        <w:tc>
          <w:tcPr>
            <w:tcW w:type="dxa" w:w="1368"/>
            <w:shd w:val="clear" w:color="auto" w:fill="EAF0EE"/>
          </w:tcPr>
          <w:p>
            <w:pPr>
              <w:spacing w:after="20"/>
            </w:pPr>
            <w:r>
              <w:rPr>
                <w:b/>
                <w:color w:val="1C3A36"/>
                <w:sz w:val="16"/>
              </w:rPr>
              <w:t>EBITDA margin</w:t>
            </w:r>
          </w:p>
        </w:tc>
        <w:tc>
          <w:tcPr>
            <w:tcW w:type="dxa" w:w="1080"/>
            <w:shd w:val="clear" w:color="auto" w:fill="EAF0EE"/>
          </w:tcPr>
          <w:p>
            <w:pPr>
              <w:spacing w:after="20"/>
            </w:pPr>
            <w:r>
              <w:rPr>
                <w:b/>
                <w:color w:val="1C3A36"/>
                <w:sz w:val="16"/>
              </w:rPr>
              <w:t>Loss-making</w:t>
            </w:r>
          </w:p>
        </w:tc>
      </w:tr>
      <w:tr>
        <w:tc>
          <w:tcPr>
            <w:tcW w:type="dxa" w:w="2232"/>
          </w:tcPr>
          <w:p>
            <w:pPr>
              <w:spacing w:after="20"/>
            </w:pPr>
            <w:r>
              <w:rPr>
                <w:color w:val="1C3A36"/>
                <w:sz w:val="16"/>
              </w:rPr>
              <w:t>SABIC (Tadawul 2010)</w:t>
            </w:r>
          </w:p>
        </w:tc>
        <w:tc>
          <w:tcPr>
            <w:tcW w:type="dxa" w:w="1296"/>
          </w:tcPr>
          <w:p>
            <w:pPr>
              <w:spacing w:after="20"/>
              <w:jc w:val="right"/>
            </w:pPr>
            <w:r>
              <w:rPr>
                <w:color w:val="1C3A36"/>
                <w:sz w:val="16"/>
              </w:rPr>
              <w:t>10.8x</w:t>
            </w:r>
          </w:p>
        </w:tc>
        <w:tc>
          <w:tcPr>
            <w:tcW w:type="dxa" w:w="1296"/>
          </w:tcPr>
          <w:p>
            <w:pPr>
              <w:spacing w:after="20"/>
              <w:jc w:val="right"/>
            </w:pPr>
            <w:r>
              <w:rPr>
                <w:color w:val="1C3A36"/>
                <w:sz w:val="16"/>
              </w:rPr>
              <w:t>24.6x</w:t>
            </w:r>
          </w:p>
        </w:tc>
        <w:tc>
          <w:tcPr>
            <w:tcW w:type="dxa" w:w="1296"/>
          </w:tcPr>
          <w:p>
            <w:pPr>
              <w:spacing w:after="20"/>
              <w:jc w:val="right"/>
            </w:pPr>
            <w:r>
              <w:rPr>
                <w:color w:val="1C3A36"/>
                <w:sz w:val="16"/>
              </w:rPr>
              <w:t>1.02x</w:t>
            </w:r>
          </w:p>
        </w:tc>
        <w:tc>
          <w:tcPr>
            <w:tcW w:type="dxa" w:w="1368"/>
          </w:tcPr>
          <w:p>
            <w:pPr>
              <w:spacing w:after="20"/>
              <w:jc w:val="right"/>
            </w:pPr>
            <w:r>
              <w:rPr>
                <w:color w:val="1C3A36"/>
                <w:sz w:val="16"/>
              </w:rPr>
              <w:t>4.3%</w:t>
            </w:r>
          </w:p>
        </w:tc>
        <w:tc>
          <w:tcPr>
            <w:tcW w:type="dxa" w:w="1368"/>
          </w:tcPr>
          <w:p>
            <w:pPr>
              <w:spacing w:after="20"/>
              <w:jc w:val="right"/>
            </w:pPr>
            <w:r>
              <w:rPr>
                <w:color w:val="1C3A36"/>
                <w:sz w:val="16"/>
              </w:rPr>
              <w:t>13.9%</w:t>
            </w:r>
          </w:p>
        </w:tc>
        <w:tc>
          <w:tcPr>
            <w:tcW w:type="dxa" w:w="1080"/>
          </w:tcPr>
          <w:p>
            <w:pPr>
              <w:spacing w:after="20"/>
              <w:jc w:val="right"/>
            </w:pPr>
            <w:r>
              <w:rPr>
                <w:color w:val="1C3A36"/>
                <w:sz w:val="16"/>
              </w:rPr>
              <w:t>yes</w:t>
            </w:r>
          </w:p>
        </w:tc>
      </w:tr>
      <w:tr>
        <w:tc>
          <w:tcPr>
            <w:tcW w:type="dxa" w:w="2232"/>
          </w:tcPr>
          <w:p>
            <w:pPr>
              <w:spacing w:after="20"/>
            </w:pPr>
            <w:r>
              <w:rPr>
                <w:color w:val="1C3A36"/>
                <w:sz w:val="16"/>
              </w:rPr>
              <w:t>Saudi Kayan (2350)</w:t>
            </w:r>
          </w:p>
        </w:tc>
        <w:tc>
          <w:tcPr>
            <w:tcW w:type="dxa" w:w="1296"/>
          </w:tcPr>
          <w:p>
            <w:pPr>
              <w:spacing w:after="20"/>
              <w:jc w:val="right"/>
            </w:pPr>
            <w:r>
              <w:rPr>
                <w:color w:val="1C3A36"/>
                <w:sz w:val="16"/>
              </w:rPr>
              <w:t>32.5x</w:t>
            </w:r>
          </w:p>
        </w:tc>
        <w:tc>
          <w:tcPr>
            <w:tcW w:type="dxa" w:w="1296"/>
          </w:tcPr>
          <w:p>
            <w:pPr>
              <w:spacing w:after="20"/>
              <w:jc w:val="right"/>
            </w:pPr>
            <w:r>
              <w:rPr>
                <w:color w:val="1C3A36"/>
                <w:sz w:val="16"/>
              </w:rPr>
              <w:t>—</w:t>
            </w:r>
          </w:p>
        </w:tc>
        <w:tc>
          <w:tcPr>
            <w:tcW w:type="dxa" w:w="1296"/>
          </w:tcPr>
          <w:p>
            <w:pPr>
              <w:spacing w:after="20"/>
              <w:jc w:val="right"/>
            </w:pPr>
            <w:r>
              <w:rPr>
                <w:color w:val="1C3A36"/>
                <w:sz w:val="16"/>
              </w:rPr>
              <w:t>0.99x</w:t>
            </w:r>
          </w:p>
        </w:tc>
        <w:tc>
          <w:tcPr>
            <w:tcW w:type="dxa" w:w="1368"/>
          </w:tcPr>
          <w:p>
            <w:pPr>
              <w:spacing w:after="20"/>
              <w:jc w:val="right"/>
            </w:pPr>
            <w:r>
              <w:rPr>
                <w:color w:val="1C3A36"/>
                <w:sz w:val="16"/>
              </w:rPr>
              <w:t>0.0%</w:t>
            </w:r>
          </w:p>
        </w:tc>
        <w:tc>
          <w:tcPr>
            <w:tcW w:type="dxa" w:w="1368"/>
          </w:tcPr>
          <w:p>
            <w:pPr>
              <w:spacing w:after="20"/>
              <w:jc w:val="right"/>
            </w:pPr>
            <w:r>
              <w:rPr>
                <w:color w:val="1C3A36"/>
                <w:sz w:val="16"/>
              </w:rPr>
              <w:t>6.0%</w:t>
            </w:r>
          </w:p>
        </w:tc>
        <w:tc>
          <w:tcPr>
            <w:tcW w:type="dxa" w:w="1080"/>
          </w:tcPr>
          <w:p>
            <w:pPr>
              <w:spacing w:after="20"/>
              <w:jc w:val="right"/>
            </w:pPr>
            <w:r>
              <w:rPr>
                <w:color w:val="1C3A36"/>
                <w:sz w:val="16"/>
              </w:rPr>
              <w:t>yes</w:t>
            </w:r>
          </w:p>
        </w:tc>
      </w:tr>
      <w:tr>
        <w:tc>
          <w:tcPr>
            <w:tcW w:type="dxa" w:w="2232"/>
          </w:tcPr>
          <w:p>
            <w:pPr>
              <w:spacing w:after="20"/>
            </w:pPr>
            <w:r>
              <w:rPr>
                <w:color w:val="1C3A36"/>
                <w:sz w:val="16"/>
              </w:rPr>
              <w:t>Yansab (2290)</w:t>
            </w:r>
          </w:p>
        </w:tc>
        <w:tc>
          <w:tcPr>
            <w:tcW w:type="dxa" w:w="1296"/>
          </w:tcPr>
          <w:p>
            <w:pPr>
              <w:spacing w:after="20"/>
              <w:jc w:val="right"/>
            </w:pPr>
            <w:r>
              <w:rPr>
                <w:color w:val="1C3A36"/>
                <w:sz w:val="16"/>
              </w:rPr>
              <w:t>12.2x</w:t>
            </w:r>
          </w:p>
        </w:tc>
        <w:tc>
          <w:tcPr>
            <w:tcW w:type="dxa" w:w="1296"/>
          </w:tcPr>
          <w:p>
            <w:pPr>
              <w:spacing w:after="20"/>
              <w:jc w:val="right"/>
            </w:pPr>
            <w:r>
              <w:rPr>
                <w:color w:val="1C3A36"/>
                <w:sz w:val="16"/>
              </w:rPr>
              <w:t>33.0x</w:t>
            </w:r>
          </w:p>
        </w:tc>
        <w:tc>
          <w:tcPr>
            <w:tcW w:type="dxa" w:w="1296"/>
          </w:tcPr>
          <w:p>
            <w:pPr>
              <w:spacing w:after="20"/>
              <w:jc w:val="right"/>
            </w:pPr>
            <w:r>
              <w:rPr>
                <w:color w:val="1C3A36"/>
                <w:sz w:val="16"/>
              </w:rPr>
              <w:t>1.61x</w:t>
            </w:r>
          </w:p>
        </w:tc>
        <w:tc>
          <w:tcPr>
            <w:tcW w:type="dxa" w:w="1368"/>
          </w:tcPr>
          <w:p>
            <w:pPr>
              <w:spacing w:after="20"/>
              <w:jc w:val="right"/>
            </w:pPr>
            <w:r>
              <w:rPr>
                <w:color w:val="1C3A36"/>
                <w:sz w:val="16"/>
              </w:rPr>
              <w:t>6.7%</w:t>
            </w:r>
          </w:p>
        </w:tc>
        <w:tc>
          <w:tcPr>
            <w:tcW w:type="dxa" w:w="1368"/>
          </w:tcPr>
          <w:p>
            <w:pPr>
              <w:spacing w:after="20"/>
              <w:jc w:val="right"/>
            </w:pPr>
            <w:r>
              <w:rPr>
                <w:color w:val="1C3A36"/>
                <w:sz w:val="16"/>
              </w:rPr>
              <w:t>20.3%</w:t>
            </w:r>
          </w:p>
        </w:tc>
        <w:tc>
          <w:tcPr>
            <w:tcW w:type="dxa" w:w="1080"/>
          </w:tcPr>
          <w:p>
            <w:pPr>
              <w:spacing w:after="20"/>
              <w:jc w:val="right"/>
            </w:pPr>
            <w:r>
              <w:rPr>
                <w:color w:val="1C3A36"/>
                <w:sz w:val="16"/>
              </w:rPr>
              <w:t>no</w:t>
            </w:r>
          </w:p>
        </w:tc>
      </w:tr>
      <w:tr>
        <w:tc>
          <w:tcPr>
            <w:tcW w:type="dxa" w:w="2232"/>
          </w:tcPr>
          <w:p>
            <w:pPr>
              <w:spacing w:after="20"/>
            </w:pPr>
            <w:r>
              <w:rPr>
                <w:color w:val="1C3A36"/>
                <w:sz w:val="16"/>
              </w:rPr>
              <w:t>Industries Qatar (IQCD)</w:t>
            </w:r>
          </w:p>
        </w:tc>
        <w:tc>
          <w:tcPr>
            <w:tcW w:type="dxa" w:w="1296"/>
          </w:tcPr>
          <w:p>
            <w:pPr>
              <w:spacing w:after="20"/>
              <w:jc w:val="right"/>
            </w:pPr>
            <w:r>
              <w:rPr>
                <w:color w:val="1C3A36"/>
                <w:sz w:val="16"/>
              </w:rPr>
              <w:t>9.9x</w:t>
            </w:r>
          </w:p>
        </w:tc>
        <w:tc>
          <w:tcPr>
            <w:tcW w:type="dxa" w:w="1296"/>
          </w:tcPr>
          <w:p>
            <w:pPr>
              <w:spacing w:after="20"/>
              <w:jc w:val="right"/>
            </w:pPr>
            <w:r>
              <w:rPr>
                <w:color w:val="1C3A36"/>
                <w:sz w:val="16"/>
              </w:rPr>
              <w:t>17.0x</w:t>
            </w:r>
          </w:p>
        </w:tc>
        <w:tc>
          <w:tcPr>
            <w:tcW w:type="dxa" w:w="1296"/>
          </w:tcPr>
          <w:p>
            <w:pPr>
              <w:spacing w:after="20"/>
              <w:jc w:val="right"/>
            </w:pPr>
            <w:r>
              <w:rPr>
                <w:color w:val="1C3A36"/>
                <w:sz w:val="16"/>
              </w:rPr>
              <w:t>1.86x</w:t>
            </w:r>
          </w:p>
        </w:tc>
        <w:tc>
          <w:tcPr>
            <w:tcW w:type="dxa" w:w="1368"/>
          </w:tcPr>
          <w:p>
            <w:pPr>
              <w:spacing w:after="20"/>
              <w:jc w:val="right"/>
            </w:pPr>
            <w:r>
              <w:rPr>
                <w:color w:val="1C3A36"/>
                <w:sz w:val="16"/>
              </w:rPr>
              <w:t>6.4%</w:t>
            </w:r>
          </w:p>
        </w:tc>
        <w:tc>
          <w:tcPr>
            <w:tcW w:type="dxa" w:w="1368"/>
          </w:tcPr>
          <w:p>
            <w:pPr>
              <w:spacing w:after="20"/>
              <w:jc w:val="right"/>
            </w:pPr>
            <w:r>
              <w:rPr>
                <w:color w:val="1C3A36"/>
                <w:sz w:val="16"/>
              </w:rPr>
              <w:t>—</w:t>
            </w:r>
          </w:p>
        </w:tc>
        <w:tc>
          <w:tcPr>
            <w:tcW w:type="dxa" w:w="1080"/>
          </w:tcPr>
          <w:p>
            <w:pPr>
              <w:spacing w:after="20"/>
              <w:jc w:val="right"/>
            </w:pPr>
            <w:r>
              <w:rPr>
                <w:color w:val="1C3A36"/>
                <w:sz w:val="16"/>
              </w:rPr>
              <w:t>no</w:t>
            </w:r>
          </w:p>
        </w:tc>
      </w:tr>
      <w:tr>
        <w:tc>
          <w:tcPr>
            <w:tcW w:type="dxa" w:w="2232"/>
          </w:tcPr>
          <w:p>
            <w:pPr>
              <w:spacing w:after="20"/>
            </w:pPr>
            <w:r>
              <w:rPr>
                <w:color w:val="1C3A36"/>
                <w:sz w:val="16"/>
              </w:rPr>
              <w:t>LyondellBasell (LYB)</w:t>
            </w:r>
          </w:p>
        </w:tc>
        <w:tc>
          <w:tcPr>
            <w:tcW w:type="dxa" w:w="1296"/>
          </w:tcPr>
          <w:p>
            <w:pPr>
              <w:spacing w:after="20"/>
              <w:jc w:val="right"/>
            </w:pPr>
            <w:r>
              <w:rPr>
                <w:color w:val="1C3A36"/>
                <w:sz w:val="16"/>
              </w:rPr>
              <w:t>13.0x</w:t>
            </w:r>
          </w:p>
        </w:tc>
        <w:tc>
          <w:tcPr>
            <w:tcW w:type="dxa" w:w="1296"/>
          </w:tcPr>
          <w:p>
            <w:pPr>
              <w:spacing w:after="20"/>
              <w:jc w:val="right"/>
            </w:pPr>
            <w:r>
              <w:rPr>
                <w:color w:val="1C3A36"/>
                <w:sz w:val="16"/>
              </w:rPr>
              <w:t>7.4x</w:t>
            </w:r>
          </w:p>
        </w:tc>
        <w:tc>
          <w:tcPr>
            <w:tcW w:type="dxa" w:w="1296"/>
          </w:tcPr>
          <w:p>
            <w:pPr>
              <w:spacing w:after="20"/>
              <w:jc w:val="right"/>
            </w:pPr>
            <w:r>
              <w:rPr>
                <w:color w:val="1C3A36"/>
                <w:sz w:val="16"/>
              </w:rPr>
              <w:t>1.80x</w:t>
            </w:r>
          </w:p>
        </w:tc>
        <w:tc>
          <w:tcPr>
            <w:tcW w:type="dxa" w:w="1368"/>
          </w:tcPr>
          <w:p>
            <w:pPr>
              <w:spacing w:after="20"/>
              <w:jc w:val="right"/>
            </w:pPr>
            <w:r>
              <w:rPr>
                <w:color w:val="1C3A36"/>
                <w:sz w:val="16"/>
              </w:rPr>
              <w:t>4.6%</w:t>
            </w:r>
          </w:p>
        </w:tc>
        <w:tc>
          <w:tcPr>
            <w:tcW w:type="dxa" w:w="1368"/>
          </w:tcPr>
          <w:p>
            <w:pPr>
              <w:spacing w:after="20"/>
              <w:jc w:val="right"/>
            </w:pPr>
            <w:r>
              <w:rPr>
                <w:color w:val="1C3A36"/>
                <w:sz w:val="16"/>
              </w:rPr>
              <w:t>7.6%</w:t>
            </w:r>
          </w:p>
        </w:tc>
        <w:tc>
          <w:tcPr>
            <w:tcW w:type="dxa" w:w="1080"/>
          </w:tcPr>
          <w:p>
            <w:pPr>
              <w:spacing w:after="20"/>
              <w:jc w:val="right"/>
            </w:pPr>
            <w:r>
              <w:rPr>
                <w:color w:val="1C3A36"/>
                <w:sz w:val="16"/>
              </w:rPr>
              <w:t>yes</w:t>
            </w:r>
          </w:p>
        </w:tc>
      </w:tr>
      <w:tr>
        <w:tc>
          <w:tcPr>
            <w:tcW w:type="dxa" w:w="2232"/>
          </w:tcPr>
          <w:p>
            <w:pPr>
              <w:spacing w:after="20"/>
            </w:pPr>
            <w:r>
              <w:rPr>
                <w:color w:val="1C3A36"/>
                <w:sz w:val="16"/>
              </w:rPr>
              <w:t>Dow Inc (DOW)</w:t>
            </w:r>
          </w:p>
        </w:tc>
        <w:tc>
          <w:tcPr>
            <w:tcW w:type="dxa" w:w="1296"/>
          </w:tcPr>
          <w:p>
            <w:pPr>
              <w:spacing w:after="20"/>
              <w:jc w:val="right"/>
            </w:pPr>
            <w:r>
              <w:rPr>
                <w:color w:val="1C3A36"/>
                <w:sz w:val="16"/>
              </w:rPr>
              <w:t>13.4x</w:t>
            </w:r>
          </w:p>
        </w:tc>
        <w:tc>
          <w:tcPr>
            <w:tcW w:type="dxa" w:w="1296"/>
          </w:tcPr>
          <w:p>
            <w:pPr>
              <w:spacing w:after="20"/>
              <w:jc w:val="right"/>
            </w:pPr>
            <w:r>
              <w:rPr>
                <w:color w:val="1C3A36"/>
                <w:sz w:val="16"/>
              </w:rPr>
              <w:t>13.7x</w:t>
            </w:r>
          </w:p>
        </w:tc>
        <w:tc>
          <w:tcPr>
            <w:tcW w:type="dxa" w:w="1296"/>
          </w:tcPr>
          <w:p>
            <w:pPr>
              <w:spacing w:after="20"/>
              <w:jc w:val="right"/>
            </w:pPr>
            <w:r>
              <w:rPr>
                <w:color w:val="1C3A36"/>
                <w:sz w:val="16"/>
              </w:rPr>
              <w:t>1.34x</w:t>
            </w:r>
          </w:p>
        </w:tc>
        <w:tc>
          <w:tcPr>
            <w:tcW w:type="dxa" w:w="1368"/>
          </w:tcPr>
          <w:p>
            <w:pPr>
              <w:spacing w:after="20"/>
              <w:jc w:val="right"/>
            </w:pPr>
            <w:r>
              <w:rPr>
                <w:color w:val="1C3A36"/>
                <w:sz w:val="16"/>
              </w:rPr>
              <w:t>4.8%</w:t>
            </w:r>
          </w:p>
        </w:tc>
        <w:tc>
          <w:tcPr>
            <w:tcW w:type="dxa" w:w="1368"/>
          </w:tcPr>
          <w:p>
            <w:pPr>
              <w:spacing w:after="20"/>
              <w:jc w:val="right"/>
            </w:pPr>
            <w:r>
              <w:rPr>
                <w:color w:val="1C3A36"/>
                <w:sz w:val="16"/>
              </w:rPr>
              <w:t>6.6%</w:t>
            </w:r>
          </w:p>
        </w:tc>
        <w:tc>
          <w:tcPr>
            <w:tcW w:type="dxa" w:w="1080"/>
          </w:tcPr>
          <w:p>
            <w:pPr>
              <w:spacing w:after="20"/>
              <w:jc w:val="right"/>
            </w:pPr>
            <w:r>
              <w:rPr>
                <w:color w:val="1C3A36"/>
                <w:sz w:val="16"/>
              </w:rPr>
              <w:t>yes</w:t>
            </w:r>
          </w:p>
        </w:tc>
      </w:tr>
      <w:tr>
        <w:tc>
          <w:tcPr>
            <w:tcW w:type="dxa" w:w="2232"/>
          </w:tcPr>
          <w:p>
            <w:pPr>
              <w:spacing w:after="20"/>
            </w:pPr>
            <w:r>
              <w:rPr>
                <w:color w:val="1C3A36"/>
                <w:sz w:val="16"/>
              </w:rPr>
              <w:t>Westlake (WLK)</w:t>
            </w:r>
          </w:p>
        </w:tc>
        <w:tc>
          <w:tcPr>
            <w:tcW w:type="dxa" w:w="1296"/>
          </w:tcPr>
          <w:p>
            <w:pPr>
              <w:spacing w:after="20"/>
              <w:jc w:val="right"/>
            </w:pPr>
            <w:r>
              <w:rPr>
                <w:color w:val="1C3A36"/>
                <w:sz w:val="16"/>
              </w:rPr>
              <w:t>—</w:t>
            </w:r>
          </w:p>
        </w:tc>
        <w:tc>
          <w:tcPr>
            <w:tcW w:type="dxa" w:w="1296"/>
          </w:tcPr>
          <w:p>
            <w:pPr>
              <w:spacing w:after="20"/>
              <w:jc w:val="right"/>
            </w:pPr>
            <w:r>
              <w:rPr>
                <w:color w:val="1C3A36"/>
                <w:sz w:val="16"/>
              </w:rPr>
              <w:t>20.3x</w:t>
            </w:r>
          </w:p>
        </w:tc>
        <w:tc>
          <w:tcPr>
            <w:tcW w:type="dxa" w:w="1296"/>
          </w:tcPr>
          <w:p>
            <w:pPr>
              <w:spacing w:after="20"/>
              <w:jc w:val="right"/>
            </w:pPr>
            <w:r>
              <w:rPr>
                <w:color w:val="1C3A36"/>
                <w:sz w:val="16"/>
              </w:rPr>
              <w:t>1.14x</w:t>
            </w:r>
          </w:p>
        </w:tc>
        <w:tc>
          <w:tcPr>
            <w:tcW w:type="dxa" w:w="1368"/>
          </w:tcPr>
          <w:p>
            <w:pPr>
              <w:spacing w:after="20"/>
              <w:jc w:val="right"/>
            </w:pPr>
            <w:r>
              <w:rPr>
                <w:color w:val="1C3A36"/>
                <w:sz w:val="16"/>
              </w:rPr>
              <w:t>2.7%</w:t>
            </w:r>
          </w:p>
        </w:tc>
        <w:tc>
          <w:tcPr>
            <w:tcW w:type="dxa" w:w="1368"/>
          </w:tcPr>
          <w:p>
            <w:pPr>
              <w:spacing w:after="20"/>
              <w:jc w:val="right"/>
            </w:pPr>
            <w:r>
              <w:rPr>
                <w:color w:val="1C3A36"/>
                <w:sz w:val="16"/>
              </w:rPr>
              <w:t>-0.7%</w:t>
            </w:r>
          </w:p>
        </w:tc>
        <w:tc>
          <w:tcPr>
            <w:tcW w:type="dxa" w:w="1080"/>
          </w:tcPr>
          <w:p>
            <w:pPr>
              <w:spacing w:after="20"/>
              <w:jc w:val="right"/>
            </w:pPr>
            <w:r>
              <w:rPr>
                <w:color w:val="1C3A36"/>
                <w:sz w:val="16"/>
              </w:rPr>
              <w:t>yes</w:t>
            </w:r>
          </w:p>
        </w:tc>
      </w:tr>
      <w:tr>
        <w:tc>
          <w:tcPr>
            <w:tcW w:type="dxa" w:w="2232"/>
          </w:tcPr>
          <w:p>
            <w:pPr>
              <w:spacing w:after="20"/>
            </w:pPr>
            <w:r>
              <w:rPr>
                <w:color w:val="1C3A36"/>
                <w:sz w:val="16"/>
              </w:rPr>
              <w:t>Braskem (BAK)</w:t>
            </w:r>
          </w:p>
        </w:tc>
        <w:tc>
          <w:tcPr>
            <w:tcW w:type="dxa" w:w="1296"/>
          </w:tcPr>
          <w:p>
            <w:pPr>
              <w:spacing w:after="20"/>
              <w:jc w:val="right"/>
            </w:pPr>
            <w:r>
              <w:rPr>
                <w:color w:val="1C3A36"/>
                <w:sz w:val="16"/>
              </w:rPr>
              <w:t>—</w:t>
            </w:r>
          </w:p>
        </w:tc>
        <w:tc>
          <w:tcPr>
            <w:tcW w:type="dxa" w:w="1296"/>
          </w:tcPr>
          <w:p>
            <w:pPr>
              <w:spacing w:after="20"/>
              <w:jc w:val="right"/>
            </w:pPr>
            <w:r>
              <w:rPr>
                <w:color w:val="1C3A36"/>
                <w:sz w:val="16"/>
              </w:rPr>
              <w:t>—</w:t>
            </w:r>
          </w:p>
        </w:tc>
        <w:tc>
          <w:tcPr>
            <w:tcW w:type="dxa" w:w="1296"/>
          </w:tcPr>
          <w:p>
            <w:pPr>
              <w:spacing w:after="20"/>
              <w:jc w:val="right"/>
            </w:pPr>
            <w:r>
              <w:rPr>
                <w:color w:val="1C3A36"/>
                <w:sz w:val="16"/>
              </w:rPr>
              <w:t>—</w:t>
            </w:r>
          </w:p>
        </w:tc>
        <w:tc>
          <w:tcPr>
            <w:tcW w:type="dxa" w:w="1368"/>
          </w:tcPr>
          <w:p>
            <w:pPr>
              <w:spacing w:after="20"/>
              <w:jc w:val="right"/>
            </w:pPr>
            <w:r>
              <w:rPr>
                <w:color w:val="1C3A36"/>
                <w:sz w:val="16"/>
              </w:rPr>
              <w:t>—</w:t>
            </w:r>
          </w:p>
        </w:tc>
        <w:tc>
          <w:tcPr>
            <w:tcW w:type="dxa" w:w="1368"/>
          </w:tcPr>
          <w:p>
            <w:pPr>
              <w:spacing w:after="20"/>
              <w:jc w:val="right"/>
            </w:pPr>
            <w:r>
              <w:rPr>
                <w:color w:val="1C3A36"/>
                <w:sz w:val="16"/>
              </w:rPr>
              <w:t>-0.1%</w:t>
            </w:r>
          </w:p>
        </w:tc>
        <w:tc>
          <w:tcPr>
            <w:tcW w:type="dxa" w:w="1080"/>
          </w:tcPr>
          <w:p>
            <w:pPr>
              <w:spacing w:after="20"/>
              <w:jc w:val="right"/>
            </w:pPr>
            <w:r>
              <w:rPr>
                <w:color w:val="1C3A36"/>
                <w:sz w:val="16"/>
              </w:rPr>
              <w:t>yes</w:t>
            </w:r>
          </w:p>
        </w:tc>
      </w:tr>
      <w:tr>
        <w:tc>
          <w:tcPr>
            <w:tcW w:type="dxa" w:w="2232"/>
          </w:tcPr>
          <w:p>
            <w:pPr>
              <w:spacing w:after="20"/>
            </w:pPr>
            <w:r>
              <w:rPr>
                <w:color w:val="1C3A36"/>
                <w:sz w:val="16"/>
              </w:rPr>
              <w:t>Formosa Plastics (1301)</w:t>
            </w:r>
          </w:p>
        </w:tc>
        <w:tc>
          <w:tcPr>
            <w:tcW w:type="dxa" w:w="1296"/>
          </w:tcPr>
          <w:p>
            <w:pPr>
              <w:spacing w:after="20"/>
              <w:jc w:val="right"/>
            </w:pPr>
            <w:r>
              <w:rPr>
                <w:color w:val="1C3A36"/>
                <w:sz w:val="16"/>
              </w:rPr>
              <w:t>56.0x</w:t>
            </w:r>
          </w:p>
        </w:tc>
        <w:tc>
          <w:tcPr>
            <w:tcW w:type="dxa" w:w="1296"/>
          </w:tcPr>
          <w:p>
            <w:pPr>
              <w:spacing w:after="20"/>
              <w:jc w:val="right"/>
            </w:pPr>
            <w:r>
              <w:rPr>
                <w:color w:val="1C3A36"/>
                <w:sz w:val="16"/>
              </w:rPr>
              <w:t>14.8x</w:t>
            </w:r>
          </w:p>
        </w:tc>
        <w:tc>
          <w:tcPr>
            <w:tcW w:type="dxa" w:w="1296"/>
          </w:tcPr>
          <w:p>
            <w:pPr>
              <w:spacing w:after="20"/>
              <w:jc w:val="right"/>
            </w:pPr>
            <w:r>
              <w:rPr>
                <w:color w:val="1C3A36"/>
                <w:sz w:val="16"/>
              </w:rPr>
              <w:t>0.91x</w:t>
            </w:r>
          </w:p>
        </w:tc>
        <w:tc>
          <w:tcPr>
            <w:tcW w:type="dxa" w:w="1368"/>
          </w:tcPr>
          <w:p>
            <w:pPr>
              <w:spacing w:after="20"/>
              <w:jc w:val="right"/>
            </w:pPr>
            <w:r>
              <w:rPr>
                <w:color w:val="1C3A36"/>
                <w:sz w:val="16"/>
              </w:rPr>
              <w:t>0.9%</w:t>
            </w:r>
          </w:p>
        </w:tc>
        <w:tc>
          <w:tcPr>
            <w:tcW w:type="dxa" w:w="1368"/>
          </w:tcPr>
          <w:p>
            <w:pPr>
              <w:spacing w:after="20"/>
              <w:jc w:val="right"/>
            </w:pPr>
            <w:r>
              <w:rPr>
                <w:color w:val="1C3A36"/>
                <w:sz w:val="16"/>
              </w:rPr>
              <w:t>1.6%</w:t>
            </w:r>
          </w:p>
        </w:tc>
        <w:tc>
          <w:tcPr>
            <w:tcW w:type="dxa" w:w="1080"/>
          </w:tcPr>
          <w:p>
            <w:pPr>
              <w:spacing w:after="20"/>
              <w:jc w:val="right"/>
            </w:pPr>
            <w:r>
              <w:rPr>
                <w:color w:val="1C3A36"/>
                <w:sz w:val="16"/>
              </w:rPr>
              <w:t>yes</w:t>
            </w:r>
          </w:p>
        </w:tc>
      </w:tr>
      <w:tr>
        <w:tc>
          <w:tcPr>
            <w:tcW w:type="dxa" w:w="2232"/>
          </w:tcPr>
          <w:p>
            <w:pPr>
              <w:spacing w:after="20"/>
            </w:pPr>
            <w:r>
              <w:rPr>
                <w:color w:val="1C3A36"/>
                <w:sz w:val="16"/>
              </w:rPr>
              <w:t>LG Chem (051910)</w:t>
            </w:r>
          </w:p>
        </w:tc>
        <w:tc>
          <w:tcPr>
            <w:tcW w:type="dxa" w:w="1296"/>
          </w:tcPr>
          <w:p>
            <w:pPr>
              <w:spacing w:after="20"/>
              <w:jc w:val="right"/>
            </w:pPr>
            <w:r>
              <w:rPr>
                <w:color w:val="1C3A36"/>
                <w:sz w:val="16"/>
              </w:rPr>
              <w:t>13.4x</w:t>
            </w:r>
          </w:p>
        </w:tc>
        <w:tc>
          <w:tcPr>
            <w:tcW w:type="dxa" w:w="1296"/>
          </w:tcPr>
          <w:p>
            <w:pPr>
              <w:spacing w:after="20"/>
              <w:jc w:val="right"/>
            </w:pPr>
            <w:r>
              <w:rPr>
                <w:color w:val="1C3A36"/>
                <w:sz w:val="16"/>
              </w:rPr>
              <w:t>15.5x</w:t>
            </w:r>
          </w:p>
        </w:tc>
        <w:tc>
          <w:tcPr>
            <w:tcW w:type="dxa" w:w="1296"/>
          </w:tcPr>
          <w:p>
            <w:pPr>
              <w:spacing w:after="20"/>
              <w:jc w:val="right"/>
            </w:pPr>
            <w:r>
              <w:rPr>
                <w:color w:val="1C3A36"/>
                <w:sz w:val="16"/>
              </w:rPr>
              <w:t>0.43x</w:t>
            </w:r>
          </w:p>
        </w:tc>
        <w:tc>
          <w:tcPr>
            <w:tcW w:type="dxa" w:w="1368"/>
          </w:tcPr>
          <w:p>
            <w:pPr>
              <w:spacing w:after="20"/>
              <w:jc w:val="right"/>
            </w:pPr>
            <w:r>
              <w:rPr>
                <w:color w:val="1C3A36"/>
                <w:sz w:val="16"/>
              </w:rPr>
              <w:t>0.7%</w:t>
            </w:r>
          </w:p>
        </w:tc>
        <w:tc>
          <w:tcPr>
            <w:tcW w:type="dxa" w:w="1368"/>
          </w:tcPr>
          <w:p>
            <w:pPr>
              <w:spacing w:after="20"/>
              <w:jc w:val="right"/>
            </w:pPr>
            <w:r>
              <w:rPr>
                <w:color w:val="1C3A36"/>
                <w:sz w:val="16"/>
              </w:rPr>
              <w:t>10.0%</w:t>
            </w:r>
          </w:p>
        </w:tc>
        <w:tc>
          <w:tcPr>
            <w:tcW w:type="dxa" w:w="1080"/>
          </w:tcPr>
          <w:p>
            <w:pPr>
              <w:spacing w:after="20"/>
              <w:jc w:val="right"/>
            </w:pPr>
            <w:r>
              <w:rPr>
                <w:color w:val="1C3A36"/>
                <w:sz w:val="16"/>
              </w:rPr>
              <w:t>yes</w:t>
            </w:r>
          </w:p>
        </w:tc>
      </w:tr>
      <w:tr>
        <w:tc>
          <w:tcPr>
            <w:tcW w:type="dxa" w:w="2232"/>
          </w:tcPr>
          <w:p>
            <w:pPr>
              <w:spacing w:after="20"/>
            </w:pPr>
            <w:r>
              <w:rPr>
                <w:color w:val="1C3A36"/>
                <w:sz w:val="16"/>
              </w:rPr>
              <w:t>Petronas Chemicals (PCHEM)</w:t>
            </w:r>
          </w:p>
        </w:tc>
        <w:tc>
          <w:tcPr>
            <w:tcW w:type="dxa" w:w="1296"/>
          </w:tcPr>
          <w:p>
            <w:pPr>
              <w:spacing w:after="20"/>
              <w:jc w:val="right"/>
            </w:pPr>
            <w:r>
              <w:rPr>
                <w:color w:val="1C3A36"/>
                <w:sz w:val="16"/>
              </w:rPr>
              <w:t>22.9x</w:t>
            </w:r>
          </w:p>
        </w:tc>
        <w:tc>
          <w:tcPr>
            <w:tcW w:type="dxa" w:w="1296"/>
          </w:tcPr>
          <w:p>
            <w:pPr>
              <w:spacing w:after="20"/>
              <w:jc w:val="right"/>
            </w:pPr>
            <w:r>
              <w:rPr>
                <w:color w:val="1C3A36"/>
                <w:sz w:val="16"/>
              </w:rPr>
              <w:t>21.2x</w:t>
            </w:r>
          </w:p>
        </w:tc>
        <w:tc>
          <w:tcPr>
            <w:tcW w:type="dxa" w:w="1296"/>
          </w:tcPr>
          <w:p>
            <w:pPr>
              <w:spacing w:after="20"/>
              <w:jc w:val="right"/>
            </w:pPr>
            <w:r>
              <w:rPr>
                <w:color w:val="1C3A36"/>
                <w:sz w:val="16"/>
              </w:rPr>
              <w:t>0.97x</w:t>
            </w:r>
          </w:p>
        </w:tc>
        <w:tc>
          <w:tcPr>
            <w:tcW w:type="dxa" w:w="1368"/>
          </w:tcPr>
          <w:p>
            <w:pPr>
              <w:spacing w:after="20"/>
              <w:jc w:val="right"/>
            </w:pPr>
            <w:r>
              <w:rPr>
                <w:color w:val="1C3A36"/>
                <w:sz w:val="16"/>
              </w:rPr>
              <w:t>1.6%</w:t>
            </w:r>
          </w:p>
        </w:tc>
        <w:tc>
          <w:tcPr>
            <w:tcW w:type="dxa" w:w="1368"/>
          </w:tcPr>
          <w:p>
            <w:pPr>
              <w:spacing w:after="20"/>
              <w:jc w:val="right"/>
            </w:pPr>
            <w:r>
              <w:rPr>
                <w:color w:val="1C3A36"/>
                <w:sz w:val="16"/>
              </w:rPr>
              <w:t>5.1%</w:t>
            </w:r>
          </w:p>
        </w:tc>
        <w:tc>
          <w:tcPr>
            <w:tcW w:type="dxa" w:w="1080"/>
          </w:tcPr>
          <w:p>
            <w:pPr>
              <w:spacing w:after="20"/>
              <w:jc w:val="right"/>
            </w:pPr>
            <w:r>
              <w:rPr>
                <w:color w:val="1C3A36"/>
                <w:sz w:val="16"/>
              </w:rPr>
              <w:t>yes</w:t>
            </w:r>
          </w:p>
        </w:tc>
      </w:tr>
      <w:tr>
        <w:tc>
          <w:tcPr>
            <w:tcW w:type="dxa" w:w="2232"/>
            <w:shd w:val="clear" w:color="auto" w:fill="F6F1E6"/>
          </w:tcPr>
          <w:p>
            <w:pPr>
              <w:spacing w:after="20"/>
            </w:pPr>
            <w:r>
              <w:rPr>
                <w:b/>
                <w:color w:val="1C3A36"/>
                <w:sz w:val="16"/>
              </w:rPr>
              <w:t>Borouge, on the same basis</w:t>
            </w:r>
          </w:p>
        </w:tc>
        <w:tc>
          <w:tcPr>
            <w:tcW w:type="dxa" w:w="1296"/>
            <w:shd w:val="clear" w:color="auto" w:fill="F6F1E6"/>
          </w:tcPr>
          <w:p>
            <w:pPr>
              <w:spacing w:after="20"/>
              <w:jc w:val="right"/>
            </w:pPr>
            <w:r>
              <w:rPr>
                <w:b/>
                <w:color w:val="1C3A36"/>
                <w:sz w:val="16"/>
              </w:rPr>
              <w:t>12.0x</w:t>
            </w:r>
          </w:p>
        </w:tc>
        <w:tc>
          <w:tcPr>
            <w:tcW w:type="dxa" w:w="1296"/>
            <w:shd w:val="clear" w:color="auto" w:fill="F6F1E6"/>
          </w:tcPr>
          <w:p>
            <w:pPr>
              <w:spacing w:after="20"/>
              <w:jc w:val="right"/>
            </w:pPr>
            <w:r>
              <w:rPr>
                <w:b/>
                <w:color w:val="1C3A36"/>
                <w:sz w:val="16"/>
              </w:rPr>
              <w:t>9.2x</w:t>
            </w:r>
          </w:p>
        </w:tc>
        <w:tc>
          <w:tcPr>
            <w:tcW w:type="dxa" w:w="1296"/>
            <w:shd w:val="clear" w:color="auto" w:fill="F6F1E6"/>
          </w:tcPr>
          <w:p>
            <w:pPr>
              <w:spacing w:after="20"/>
              <w:jc w:val="right"/>
            </w:pPr>
            <w:r>
              <w:rPr>
                <w:b/>
                <w:color w:val="1C3A36"/>
                <w:sz w:val="16"/>
              </w:rPr>
              <w:t>—</w:t>
            </w:r>
          </w:p>
        </w:tc>
        <w:tc>
          <w:tcPr>
            <w:tcW w:type="dxa" w:w="1368"/>
            <w:shd w:val="clear" w:color="auto" w:fill="F6F1E6"/>
          </w:tcPr>
          <w:p>
            <w:pPr>
              <w:spacing w:after="20"/>
              <w:jc w:val="right"/>
            </w:pPr>
            <w:r>
              <w:rPr>
                <w:b/>
                <w:color w:val="1C3A36"/>
                <w:sz w:val="16"/>
              </w:rPr>
              <w:t>6.8%</w:t>
            </w:r>
          </w:p>
        </w:tc>
        <w:tc>
          <w:tcPr>
            <w:tcW w:type="dxa" w:w="1368"/>
            <w:shd w:val="clear" w:color="auto" w:fill="F6F1E6"/>
          </w:tcPr>
          <w:p>
            <w:pPr>
              <w:spacing w:after="20"/>
              <w:jc w:val="right"/>
            </w:pPr>
            <w:r>
              <w:rPr>
                <w:b/>
                <w:color w:val="1C3A36"/>
                <w:sz w:val="16"/>
              </w:rPr>
              <w:t>33.1%</w:t>
            </w:r>
          </w:p>
        </w:tc>
        <w:tc>
          <w:tcPr>
            <w:tcW w:type="dxa" w:w="1080"/>
            <w:shd w:val="clear" w:color="auto" w:fill="F6F1E6"/>
          </w:tcPr>
          <w:p>
            <w:pPr>
              <w:spacing w:after="20"/>
              <w:jc w:val="right"/>
            </w:pPr>
            <w:r>
              <w:rPr>
                <w:b/>
                <w:color w:val="1C3A36"/>
                <w:sz w:val="16"/>
              </w:rPr>
              <w:t>no</w:t>
            </w:r>
          </w:p>
        </w:tc>
      </w:tr>
    </w:tbl>
    <w:p>
      <w:pPr>
        <w:spacing w:after="40"/>
      </w:pPr>
    </w:p>
    <w:p>
      <w:pPr>
        <w:spacing w:after="200" w:before="0"/>
      </w:pPr>
      <w:r>
        <w:rPr>
          <w:b w:val="0"/>
          <w:i/>
          <w:color w:val="6E7B77"/>
          <w:sz w:val="17"/>
        </w:rPr>
        <w:t>Table B1 — The peer set, observed 9 August 2026. It is a cross-check on the valuation, never a source for any Borouge figure. Borouge’s EBITDA margin is roughly three times the group’s while nine of eleven lose money — the advantaged-feedstock position in one line.</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664"/>
        <w:gridCol w:w="4608"/>
      </w:tblGrid>
      <w:tr>
        <w:tc>
          <w:tcPr>
            <w:tcW w:type="dxa" w:w="2520"/>
            <w:shd w:val="clear" w:color="auto" w:fill="EAF0EE"/>
          </w:tcPr>
          <w:p>
            <w:pPr>
              <w:spacing w:after="20"/>
            </w:pPr>
            <w:r>
              <w:rPr>
                <w:b/>
                <w:color w:val="1C3A36"/>
                <w:sz w:val="16"/>
              </w:rPr>
              <w:t>Risk</w:t>
            </w:r>
          </w:p>
        </w:tc>
        <w:tc>
          <w:tcPr>
            <w:tcW w:type="dxa" w:w="2664"/>
            <w:shd w:val="clear" w:color="auto" w:fill="EAF0EE"/>
          </w:tcPr>
          <w:p>
            <w:pPr>
              <w:spacing w:after="20"/>
            </w:pPr>
            <w:r>
              <w:rPr>
                <w:b/>
                <w:color w:val="1C3A36"/>
                <w:sz w:val="16"/>
              </w:rPr>
              <w:t>Where it hits</w:t>
            </w:r>
          </w:p>
        </w:tc>
        <w:tc>
          <w:tcPr>
            <w:tcW w:type="dxa" w:w="4608"/>
            <w:shd w:val="clear" w:color="auto" w:fill="EAF0EE"/>
          </w:tcPr>
          <w:p>
            <w:pPr>
              <w:spacing w:after="20"/>
            </w:pPr>
            <w:r>
              <w:rPr>
                <w:b/>
                <w:color w:val="1C3A36"/>
                <w:sz w:val="16"/>
              </w:rPr>
              <w:t>How the study handles it</w:t>
            </w:r>
          </w:p>
        </w:tc>
      </w:tr>
      <w:tr>
        <w:tc>
          <w:tcPr>
            <w:tcW w:type="dxa" w:w="2520"/>
          </w:tcPr>
          <w:p>
            <w:pPr>
              <w:spacing w:after="20"/>
            </w:pPr>
            <w:r>
              <w:rPr>
                <w:color w:val="1C3A36"/>
                <w:sz w:val="16"/>
              </w:rPr>
              <w:t>Structural oversupply in polyolefins</w:t>
            </w:r>
          </w:p>
        </w:tc>
        <w:tc>
          <w:tcPr>
            <w:tcW w:type="dxa" w:w="2664"/>
          </w:tcPr>
          <w:p>
            <w:pPr>
              <w:spacing w:after="20"/>
              <w:jc w:val="right"/>
            </w:pPr>
            <w:r>
              <w:rPr>
                <w:color w:val="1C3A36"/>
                <w:sz w:val="16"/>
              </w:rPr>
              <w:t>Benchmark prices in every forecast year</w:t>
            </w:r>
          </w:p>
        </w:tc>
        <w:tc>
          <w:tcPr>
            <w:tcW w:type="dxa" w:w="4608"/>
          </w:tcPr>
          <w:p>
            <w:pPr>
              <w:spacing w:after="20"/>
              <w:jc w:val="right"/>
            </w:pPr>
            <w:r>
              <w:rPr>
                <w:color w:val="1C3A36"/>
                <w:sz w:val="16"/>
              </w:rPr>
              <w:t>The price path settles BELOW the 2023–24 level rather than returning to it, on the published capacity and operating-rate evidence</w:t>
            </w:r>
          </w:p>
        </w:tc>
      </w:tr>
      <w:tr>
        <w:tc>
          <w:tcPr>
            <w:tcW w:type="dxa" w:w="2520"/>
          </w:tcPr>
          <w:p>
            <w:pPr>
              <w:spacing w:after="20"/>
            </w:pPr>
            <w:r>
              <w:rPr>
                <w:color w:val="1C3A36"/>
                <w:sz w:val="16"/>
              </w:rPr>
              <w:t>Shipping-lane disruption</w:t>
            </w:r>
          </w:p>
        </w:tc>
        <w:tc>
          <w:tcPr>
            <w:tcW w:type="dxa" w:w="2664"/>
          </w:tcPr>
          <w:p>
            <w:pPr>
              <w:spacing w:after="20"/>
              <w:jc w:val="right"/>
            </w:pPr>
            <w:r>
              <w:rPr>
                <w:color w:val="1C3A36"/>
                <w:sz w:val="16"/>
              </w:rPr>
              <w:t>Utilisation and freight cost</w:t>
            </w:r>
          </w:p>
        </w:tc>
        <w:tc>
          <w:tcPr>
            <w:tcW w:type="dxa" w:w="4608"/>
          </w:tcPr>
          <w:p>
            <w:pPr>
              <w:spacing w:after="20"/>
              <w:jc w:val="right"/>
            </w:pPr>
            <w:r>
              <w:rPr>
                <w:color w:val="1C3A36"/>
                <w:sz w:val="16"/>
              </w:rPr>
              <w:t>Two full constructions, published side by side rather than averaged</w:t>
            </w:r>
          </w:p>
        </w:tc>
      </w:tr>
      <w:tr>
        <w:tc>
          <w:tcPr>
            <w:tcW w:type="dxa" w:w="2520"/>
          </w:tcPr>
          <w:p>
            <w:pPr>
              <w:spacing w:after="20"/>
            </w:pPr>
            <w:r>
              <w:rPr>
                <w:color w:val="1C3A36"/>
                <w:sz w:val="16"/>
              </w:rPr>
              <w:t>Feedstock availability</w:t>
            </w:r>
          </w:p>
        </w:tc>
        <w:tc>
          <w:tcPr>
            <w:tcW w:type="dxa" w:w="2664"/>
          </w:tcPr>
          <w:p>
            <w:pPr>
              <w:spacing w:after="20"/>
              <w:jc w:val="right"/>
            </w:pPr>
            <w:r>
              <w:rPr>
                <w:color w:val="1C3A36"/>
                <w:sz w:val="16"/>
              </w:rPr>
              <w:t>Feedstock cost per tonne</w:t>
            </w:r>
          </w:p>
        </w:tc>
        <w:tc>
          <w:tcPr>
            <w:tcW w:type="dxa" w:w="4608"/>
          </w:tcPr>
          <w:p>
            <w:pPr>
              <w:spacing w:after="20"/>
              <w:jc w:val="right"/>
            </w:pPr>
            <w:r>
              <w:rPr>
                <w:color w:val="1C3A36"/>
                <w:sz w:val="16"/>
              </w:rPr>
              <w:t>The contracted and market-priced legs are modelled separately, with the market share of the mix as an explicit driver</w:t>
            </w:r>
          </w:p>
        </w:tc>
      </w:tr>
      <w:tr>
        <w:tc>
          <w:tcPr>
            <w:tcW w:type="dxa" w:w="2520"/>
          </w:tcPr>
          <w:p>
            <w:pPr>
              <w:spacing w:after="20"/>
            </w:pPr>
            <w:r>
              <w:rPr>
                <w:color w:val="1C3A36"/>
                <w:sz w:val="16"/>
              </w:rPr>
              <w:t>Concentration in one site</w:t>
            </w:r>
          </w:p>
        </w:tc>
        <w:tc>
          <w:tcPr>
            <w:tcW w:type="dxa" w:w="2664"/>
          </w:tcPr>
          <w:p>
            <w:pPr>
              <w:spacing w:after="20"/>
              <w:jc w:val="right"/>
            </w:pPr>
            <w:r>
              <w:rPr>
                <w:color w:val="1C3A36"/>
                <w:sz w:val="16"/>
              </w:rPr>
              <w:t>Everything</w:t>
            </w:r>
          </w:p>
        </w:tc>
        <w:tc>
          <w:tcPr>
            <w:tcW w:type="dxa" w:w="4608"/>
          </w:tcPr>
          <w:p>
            <w:pPr>
              <w:spacing w:after="20"/>
              <w:jc w:val="right"/>
            </w:pPr>
            <w:r>
              <w:rPr>
                <w:color w:val="1C3A36"/>
                <w:sz w:val="16"/>
              </w:rPr>
              <w:t>Not diversifiable and not modelled away. One complex, one set of assets, and a single unplanned outage would hit every line</w:t>
            </w:r>
          </w:p>
        </w:tc>
      </w:tr>
      <w:tr>
        <w:tc>
          <w:tcPr>
            <w:tcW w:type="dxa" w:w="2520"/>
          </w:tcPr>
          <w:p>
            <w:pPr>
              <w:spacing w:after="20"/>
            </w:pPr>
            <w:r>
              <w:rPr>
                <w:color w:val="1C3A36"/>
                <w:sz w:val="16"/>
              </w:rPr>
              <w:t>Related-party dependence</w:t>
            </w:r>
          </w:p>
        </w:tc>
        <w:tc>
          <w:tcPr>
            <w:tcW w:type="dxa" w:w="2664"/>
          </w:tcPr>
          <w:p>
            <w:pPr>
              <w:spacing w:after="20"/>
              <w:jc w:val="right"/>
            </w:pPr>
            <w:r>
              <w:rPr>
                <w:color w:val="1C3A36"/>
                <w:sz w:val="16"/>
              </w:rPr>
              <w:t>Feedstock terms, debt pricing, the fee agreement</w:t>
            </w:r>
          </w:p>
        </w:tc>
        <w:tc>
          <w:tcPr>
            <w:tcW w:type="dxa" w:w="4608"/>
          </w:tcPr>
          <w:p>
            <w:pPr>
              <w:spacing w:after="20"/>
              <w:jc w:val="right"/>
            </w:pPr>
            <w:r>
              <w:rPr>
                <w:color w:val="1C3A36"/>
                <w:sz w:val="16"/>
              </w:rPr>
              <w:t>The debt is tested against arm’s length and sits inside it; the feedstock formula is not disclosed and that gap is flagged</w:t>
            </w:r>
          </w:p>
        </w:tc>
      </w:tr>
      <w:tr>
        <w:tc>
          <w:tcPr>
            <w:tcW w:type="dxa" w:w="2520"/>
          </w:tcPr>
          <w:p>
            <w:pPr>
              <w:spacing w:after="20"/>
            </w:pPr>
            <w:r>
              <w:rPr>
                <w:color w:val="1C3A36"/>
                <w:sz w:val="16"/>
              </w:rPr>
              <w:t>Minority position in a controlled company</w:t>
            </w:r>
          </w:p>
        </w:tc>
        <w:tc>
          <w:tcPr>
            <w:tcW w:type="dxa" w:w="2664"/>
          </w:tcPr>
          <w:p>
            <w:pPr>
              <w:spacing w:after="20"/>
              <w:jc w:val="right"/>
            </w:pPr>
            <w:r>
              <w:rPr>
                <w:color w:val="1C3A36"/>
                <w:sz w:val="16"/>
              </w:rPr>
              <w:t>Governance, and the terms of any future conversion</w:t>
            </w:r>
          </w:p>
        </w:tc>
        <w:tc>
          <w:tcPr>
            <w:tcW w:type="dxa" w:w="4608"/>
          </w:tcPr>
          <w:p>
            <w:pPr>
              <w:spacing w:after="20"/>
              <w:jc w:val="right"/>
            </w:pPr>
            <w:r>
              <w:rPr>
                <w:color w:val="1C3A36"/>
                <w:sz w:val="16"/>
              </w:rPr>
              <w:t>Stated as a caveat. No conversion value enters any number</w:t>
            </w:r>
          </w:p>
        </w:tc>
      </w:tr>
      <w:tr>
        <w:tc>
          <w:tcPr>
            <w:tcW w:type="dxa" w:w="2520"/>
          </w:tcPr>
          <w:p>
            <w:pPr>
              <w:spacing w:after="20"/>
            </w:pPr>
            <w:r>
              <w:rPr>
                <w:color w:val="1C3A36"/>
                <w:sz w:val="16"/>
              </w:rPr>
              <w:t>Regulatory pressure on plastics</w:t>
            </w:r>
          </w:p>
        </w:tc>
        <w:tc>
          <w:tcPr>
            <w:tcW w:type="dxa" w:w="2664"/>
          </w:tcPr>
          <w:p>
            <w:pPr>
              <w:spacing w:after="20"/>
              <w:jc w:val="right"/>
            </w:pPr>
            <w:r>
              <w:rPr>
                <w:color w:val="1C3A36"/>
                <w:sz w:val="16"/>
              </w:rPr>
              <w:t>Long-run demand growth</w:t>
            </w:r>
          </w:p>
        </w:tc>
        <w:tc>
          <w:tcPr>
            <w:tcW w:type="dxa" w:w="4608"/>
          </w:tcPr>
          <w:p>
            <w:pPr>
              <w:spacing w:after="20"/>
              <w:jc w:val="right"/>
            </w:pPr>
            <w:r>
              <w:rPr>
                <w:color w:val="1C3A36"/>
                <w:sz w:val="16"/>
              </w:rPr>
              <w:t>Carried as a drag on terminal growth rather than as a demand collapse</w:t>
            </w:r>
          </w:p>
        </w:tc>
      </w:tr>
    </w:tbl>
    <w:p>
      <w:pPr>
        <w:spacing w:after="40"/>
      </w:pPr>
    </w:p>
    <w:p>
      <w:pPr>
        <w:spacing w:after="200" w:before="0"/>
      </w:pPr>
      <w:r>
        <w:rPr>
          <w:b w:val="0"/>
          <w:i/>
          <w:color w:val="6E7B77"/>
          <w:sz w:val="17"/>
        </w:rPr>
        <w:t>Table B2 — The risk register.</w:t>
      </w:r>
    </w:p>
    <w:p>
      <w:pPr>
        <w:spacing w:after="80" w:before="200"/>
      </w:pPr>
      <w:r>
        <w:rPr>
          <w:b/>
          <w:i w:val="0"/>
          <w:color w:val="1C3A36"/>
          <w:sz w:val="24"/>
        </w:rPr>
        <w:t>B.3  The research record</w:t>
      </w:r>
    </w:p>
    <w:p>
      <w:pPr>
        <w:spacing w:after="120" w:before="0"/>
      </w:pPr>
      <w:r>
        <w:rPr>
          <w:b w:val="0"/>
          <w:i w:val="0"/>
          <w:color w:val="1C3A36"/>
          <w:sz w:val="21"/>
        </w:rPr>
        <w:t>Every historical figure in this study traces to a document Borouge itself published. All 21 of those documents were re-downloaded from the company’s own investor-relations library on 9 August 2026 and confirmed byte-for-byte identical to the copies this study was built from. Four complete audited financial years were obtained (2022, 2023, 2024, 2025), of which the three most recent are carried as model columns; both disclosed quarters of the study year were read before the forecast was built, not after. A separate bibliography document lists every source, every input and every judgement.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4392"/>
        <w:gridCol w:w="3168"/>
      </w:tblGrid>
      <w:tr>
        <w:tc>
          <w:tcPr>
            <w:tcW w:type="dxa" w:w="2232"/>
            <w:shd w:val="clear" w:color="auto" w:fill="EAF0EE"/>
          </w:tcPr>
          <w:p>
            <w:pPr>
              <w:spacing w:after="20"/>
            </w:pPr>
            <w:r>
              <w:rPr>
                <w:b/>
                <w:color w:val="1C3A36"/>
                <w:sz w:val="16"/>
              </w:rPr>
              <w:t>Layer</w:t>
            </w:r>
          </w:p>
        </w:tc>
        <w:tc>
          <w:tcPr>
            <w:tcW w:type="dxa" w:w="4392"/>
            <w:shd w:val="clear" w:color="auto" w:fill="EAF0EE"/>
          </w:tcPr>
          <w:p>
            <w:pPr>
              <w:spacing w:after="20"/>
            </w:pPr>
            <w:r>
              <w:rPr>
                <w:b/>
                <w:color w:val="1C3A36"/>
                <w:sz w:val="16"/>
              </w:rPr>
              <w:t>What was used</w:t>
            </w:r>
          </w:p>
        </w:tc>
        <w:tc>
          <w:tcPr>
            <w:tcW w:type="dxa" w:w="3168"/>
            <w:shd w:val="clear" w:color="auto" w:fill="EAF0EE"/>
          </w:tcPr>
          <w:p>
            <w:pPr>
              <w:spacing w:after="20"/>
            </w:pPr>
            <w:r>
              <w:rPr>
                <w:b/>
                <w:color w:val="1C3A36"/>
                <w:sz w:val="16"/>
              </w:rPr>
              <w:t>Role</w:t>
            </w:r>
          </w:p>
        </w:tc>
      </w:tr>
      <w:tr>
        <w:tc>
          <w:tcPr>
            <w:tcW w:type="dxa" w:w="2232"/>
          </w:tcPr>
          <w:p>
            <w:pPr>
              <w:spacing w:after="20"/>
            </w:pPr>
            <w:r>
              <w:rPr>
                <w:color w:val="1C3A36"/>
                <w:sz w:val="16"/>
              </w:rPr>
              <w:t>The company’s own filings</w:t>
            </w:r>
          </w:p>
        </w:tc>
        <w:tc>
          <w:tcPr>
            <w:tcW w:type="dxa" w:w="4392"/>
          </w:tcPr>
          <w:p>
            <w:pPr>
              <w:spacing w:after="20"/>
              <w:jc w:val="right"/>
            </w:pPr>
            <w:r>
              <w:rPr>
                <w:color w:val="1C3A36"/>
                <w:sz w:val="16"/>
              </w:rPr>
              <w:t>Four years of audited statements, two interim periods, five management discussions, four earnings presentations, two earnings releases, four annual reports</w:t>
            </w:r>
          </w:p>
        </w:tc>
        <w:tc>
          <w:tcPr>
            <w:tcW w:type="dxa" w:w="3168"/>
          </w:tcPr>
          <w:p>
            <w:pPr>
              <w:spacing w:after="20"/>
              <w:jc w:val="right"/>
            </w:pPr>
            <w:r>
              <w:rPr>
                <w:color w:val="1C3A36"/>
                <w:sz w:val="16"/>
              </w:rPr>
              <w:t>The ONLY source of any figure Borouge reports. Historicals, unit build, debt, working capital, tax</w:t>
            </w:r>
          </w:p>
        </w:tc>
      </w:tr>
      <w:tr>
        <w:tc>
          <w:tcPr>
            <w:tcW w:type="dxa" w:w="2232"/>
          </w:tcPr>
          <w:p>
            <w:pPr>
              <w:spacing w:after="20"/>
            </w:pPr>
            <w:r>
              <w:rPr>
                <w:color w:val="1C3A36"/>
                <w:sz w:val="16"/>
              </w:rPr>
              <w:t>Official statistics and central banks</w:t>
            </w:r>
          </w:p>
        </w:tc>
        <w:tc>
          <w:tcPr>
            <w:tcW w:type="dxa" w:w="4392"/>
          </w:tcPr>
          <w:p>
            <w:pPr>
              <w:spacing w:after="20"/>
              <w:jc w:val="right"/>
            </w:pPr>
            <w:r>
              <w:rPr>
                <w:color w:val="1C3A36"/>
                <w:sz w:val="16"/>
              </w:rPr>
              <w:t>US Treasury yields, the overnight financing rate, the UAE central bank’s base rate and quarterly review, the UAE finance ministry’s bond auction, the IMF and the Energy Information Administration</w:t>
            </w:r>
          </w:p>
        </w:tc>
        <w:tc>
          <w:tcPr>
            <w:tcW w:type="dxa" w:w="3168"/>
          </w:tcPr>
          <w:p>
            <w:pPr>
              <w:spacing w:after="20"/>
              <w:jc w:val="right"/>
            </w:pPr>
            <w:r>
              <w:rPr>
                <w:color w:val="1C3A36"/>
                <w:sz w:val="16"/>
              </w:rPr>
              <w:t>Macro context and the risk-free rate</w:t>
            </w:r>
          </w:p>
        </w:tc>
      </w:tr>
      <w:tr>
        <w:tc>
          <w:tcPr>
            <w:tcW w:type="dxa" w:w="2232"/>
          </w:tcPr>
          <w:p>
            <w:pPr>
              <w:spacing w:after="20"/>
            </w:pPr>
            <w:r>
              <w:rPr>
                <w:color w:val="1C3A36"/>
                <w:sz w:val="16"/>
              </w:rPr>
              <w:t>Published market data</w:t>
            </w:r>
          </w:p>
        </w:tc>
        <w:tc>
          <w:tcPr>
            <w:tcW w:type="dxa" w:w="4392"/>
          </w:tcPr>
          <w:p>
            <w:pPr>
              <w:spacing w:after="20"/>
              <w:jc w:val="right"/>
            </w:pPr>
            <w:r>
              <w:rPr>
                <w:color w:val="1C3A36"/>
                <w:sz w:val="16"/>
              </w:rPr>
              <w:t>Sovereign default spreads, equity risk premiums and sector betas by country and industry</w:t>
            </w:r>
          </w:p>
        </w:tc>
        <w:tc>
          <w:tcPr>
            <w:tcW w:type="dxa" w:w="3168"/>
          </w:tcPr>
          <w:p>
            <w:pPr>
              <w:spacing w:after="20"/>
              <w:jc w:val="right"/>
            </w:pPr>
            <w:r>
              <w:rPr>
                <w:color w:val="1C3A36"/>
                <w:sz w:val="16"/>
              </w:rPr>
              <w:t>The cost-of-capital build</w:t>
            </w:r>
          </w:p>
        </w:tc>
      </w:tr>
      <w:tr>
        <w:tc>
          <w:tcPr>
            <w:tcW w:type="dxa" w:w="2232"/>
          </w:tcPr>
          <w:p>
            <w:pPr>
              <w:spacing w:after="20"/>
            </w:pPr>
            <w:r>
              <w:rPr>
                <w:color w:val="1C3A36"/>
                <w:sz w:val="16"/>
              </w:rPr>
              <w:t>Industry press and research</w:t>
            </w:r>
          </w:p>
        </w:tc>
        <w:tc>
          <w:tcPr>
            <w:tcW w:type="dxa" w:w="4392"/>
          </w:tcPr>
          <w:p>
            <w:pPr>
              <w:spacing w:after="20"/>
              <w:jc w:val="right"/>
            </w:pPr>
            <w:r>
              <w:rPr>
                <w:color w:val="1C3A36"/>
                <w:sz w:val="16"/>
              </w:rPr>
              <w:t>Capacity outlooks to 2034 and operating-rate consensus</w:t>
            </w:r>
          </w:p>
        </w:tc>
        <w:tc>
          <w:tcPr>
            <w:tcW w:type="dxa" w:w="3168"/>
          </w:tcPr>
          <w:p>
            <w:pPr>
              <w:spacing w:after="20"/>
              <w:jc w:val="right"/>
            </w:pPr>
            <w:r>
              <w:rPr>
                <w:color w:val="1C3A36"/>
                <w:sz w:val="16"/>
              </w:rPr>
              <w:t>Forecast price direction only — never a Borouge figure</w:t>
            </w:r>
          </w:p>
        </w:tc>
      </w:tr>
      <w:tr>
        <w:tc>
          <w:tcPr>
            <w:tcW w:type="dxa" w:w="2232"/>
          </w:tcPr>
          <w:p>
            <w:pPr>
              <w:spacing w:after="20"/>
            </w:pPr>
            <w:r>
              <w:rPr>
                <w:color w:val="1C3A36"/>
                <w:sz w:val="16"/>
              </w:rPr>
              <w:t>Market data aggregators</w:t>
            </w:r>
          </w:p>
        </w:tc>
        <w:tc>
          <w:tcPr>
            <w:tcW w:type="dxa" w:w="4392"/>
          </w:tcPr>
          <w:p>
            <w:pPr>
              <w:spacing w:after="20"/>
              <w:jc w:val="right"/>
            </w:pPr>
            <w:r>
              <w:rPr>
                <w:color w:val="1C3A36"/>
                <w:sz w:val="16"/>
              </w:rPr>
              <w:t>Eleven listed peers’ multiples and margins</w:t>
            </w:r>
          </w:p>
        </w:tc>
        <w:tc>
          <w:tcPr>
            <w:tcW w:type="dxa" w:w="3168"/>
          </w:tcPr>
          <w:p>
            <w:pPr>
              <w:spacing w:after="20"/>
              <w:jc w:val="right"/>
            </w:pPr>
            <w:r>
              <w:rPr>
                <w:color w:val="1C3A36"/>
                <w:sz w:val="16"/>
              </w:rPr>
              <w:t>CROSS-CHECK ONLY, and labelled as such wherever it appears</w:t>
            </w:r>
          </w:p>
        </w:tc>
      </w:tr>
    </w:tbl>
    <w:p>
      <w:pPr>
        <w:spacing w:after="40"/>
      </w:pPr>
    </w:p>
    <w:p>
      <w:pPr>
        <w:spacing w:after="200" w:before="0"/>
      </w:pPr>
      <w:r>
        <w:rPr>
          <w:b w:val="0"/>
          <w:i/>
          <w:color w:val="6E7B77"/>
          <w:sz w:val="17"/>
        </w:rPr>
        <w:t>Table B3 — Where the evidence came from, and what each layer was allowed to do. No aggregator or press report is a source for any figure Borouge itself reports.</w:t>
      </w:r>
    </w:p>
    <w:p>
      <w:r>
        <w:br w:type="page"/>
      </w:r>
    </w:p>
    <w:p>
      <w:pPr>
        <w:spacing w:after="120" w:before="280"/>
      </w:pPr>
      <w:r>
        <w:rPr>
          <w:b/>
          <w:i w:val="0"/>
          <w:color w:val="1C3A36"/>
          <w:sz w:val="30"/>
        </w:rPr>
        <w:t>Appendix C  Three analysts, three methods, one company</w:t>
      </w:r>
    </w:p>
    <w:p>
      <w:pPr>
        <w:spacing w:after="120" w:before="0"/>
      </w:pPr>
      <w:r>
        <w:rPr>
          <w:b w:val="0"/>
          <w:i w:val="0"/>
          <w:color w:val="1C3A36"/>
          <w:sz w:val="21"/>
        </w:rPr>
        <w:t>Three experienced practitioners were asked to value Borouge independently, each using the method they actually trust. They are labelled Expert 1, 2 and 3. Each shows their workings in full, names a sensitivity with numbers attached, and states in advance the single observation that would prove them wrong.</w:t>
      </w:r>
    </w:p>
    <w:p>
      <w:pPr>
        <w:spacing w:after="80" w:before="200"/>
      </w:pPr>
      <w:r>
        <w:rPr>
          <w:b/>
          <w:i w:val="0"/>
          <w:color w:val="1C3A36"/>
          <w:sz w:val="24"/>
        </w:rPr>
        <w:t>C.1  Expert 1 — the cash-flow analyst</w:t>
      </w:r>
    </w:p>
    <w:p>
      <w:pPr>
        <w:spacing w:after="120" w:before="0"/>
      </w:pPr>
      <w:r>
        <w:rPr>
          <w:b w:val="0"/>
          <w:i/>
          <w:color w:val="1C3A36"/>
          <w:sz w:val="21"/>
        </w:rPr>
        <w:t>Worldview. A company is worth the cash it will produce, discounted. Everything else — multiples, book value, sentiment — is a shortcut to that, and shortcuts break exactly when you need them. Build the tonnes, build the dollars per tonne, and let the margin fall out.</w:t>
      </w:r>
    </w:p>
    <w:p>
      <w:pPr>
        <w:spacing w:after="120" w:before="0"/>
      </w:pPr>
      <w:r>
        <w:rPr>
          <w:b w:val="0"/>
          <w:i w:val="0"/>
          <w:color w:val="1C3A36"/>
          <w:sz w:val="21"/>
        </w:rPr>
        <w:t>When it works: when the operating build is genuinely disclosed, as it is here. When it fails: when most of the answer sits past the forecast, which is precisely the situation — 70.2% of enterprise value is in the terminal block.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2880"/>
      </w:tblGrid>
      <w:tr>
        <w:tc>
          <w:tcPr>
            <w:tcW w:type="dxa" w:w="6192"/>
            <w:shd w:val="clear" w:color="auto" w:fill="EAF0EE"/>
          </w:tcPr>
          <w:p>
            <w:pPr>
              <w:spacing w:after="20"/>
            </w:pPr>
            <w:r>
              <w:rPr>
                <w:b/>
                <w:color w:val="1C3A36"/>
                <w:sz w:val="17"/>
              </w:rPr>
              <w:t>Working</w:t>
            </w:r>
          </w:p>
        </w:tc>
        <w:tc>
          <w:tcPr>
            <w:tcW w:type="dxa" w:w="2880"/>
            <w:shd w:val="clear" w:color="auto" w:fill="EAF0EE"/>
          </w:tcPr>
          <w:p>
            <w:pPr>
              <w:spacing w:after="20"/>
            </w:pPr>
            <w:r>
              <w:rPr>
                <w:b/>
                <w:color w:val="1C3A36"/>
                <w:sz w:val="17"/>
              </w:rPr>
              <w:t>Value</w:t>
            </w:r>
          </w:p>
        </w:tc>
      </w:tr>
      <w:tr>
        <w:tc>
          <w:tcPr>
            <w:tcW w:type="dxa" w:w="6192"/>
          </w:tcPr>
          <w:p>
            <w:pPr>
              <w:spacing w:after="20"/>
            </w:pPr>
            <w:r>
              <w:rPr>
                <w:color w:val="1C3A36"/>
                <w:sz w:val="17"/>
              </w:rPr>
              <w:t>Mid-forecast revenue (USD m)</w:t>
            </w:r>
          </w:p>
        </w:tc>
        <w:tc>
          <w:tcPr>
            <w:tcW w:type="dxa" w:w="2880"/>
          </w:tcPr>
          <w:p>
            <w:pPr>
              <w:spacing w:after="20"/>
              <w:jc w:val="right"/>
            </w:pPr>
            <w:r>
              <w:rPr>
                <w:color w:val="1C3A36"/>
                <w:sz w:val="17"/>
              </w:rPr>
              <w:t>5,632</w:t>
            </w:r>
          </w:p>
        </w:tc>
      </w:tr>
      <w:tr>
        <w:tc>
          <w:tcPr>
            <w:tcW w:type="dxa" w:w="6192"/>
          </w:tcPr>
          <w:p>
            <w:pPr>
              <w:spacing w:after="20"/>
            </w:pPr>
            <w:r>
              <w:rPr>
                <w:color w:val="1C3A36"/>
                <w:sz w:val="17"/>
              </w:rPr>
              <w:t>Mid-forecast EBITDA (USD m)</w:t>
            </w:r>
          </w:p>
        </w:tc>
        <w:tc>
          <w:tcPr>
            <w:tcW w:type="dxa" w:w="2880"/>
          </w:tcPr>
          <w:p>
            <w:pPr>
              <w:spacing w:after="20"/>
              <w:jc w:val="right"/>
            </w:pPr>
            <w:r>
              <w:rPr>
                <w:color w:val="1C3A36"/>
                <w:sz w:val="17"/>
              </w:rPr>
              <w:t>1,996</w:t>
            </w:r>
          </w:p>
        </w:tc>
      </w:tr>
      <w:tr>
        <w:tc>
          <w:tcPr>
            <w:tcW w:type="dxa" w:w="6192"/>
          </w:tcPr>
          <w:p>
            <w:pPr>
              <w:spacing w:after="20"/>
            </w:pPr>
            <w:r>
              <w:rPr>
                <w:color w:val="1C3A36"/>
                <w:sz w:val="17"/>
              </w:rPr>
              <w:t>Implied EBITDA margin</w:t>
            </w:r>
          </w:p>
        </w:tc>
        <w:tc>
          <w:tcPr>
            <w:tcW w:type="dxa" w:w="2880"/>
          </w:tcPr>
          <w:p>
            <w:pPr>
              <w:spacing w:after="20"/>
              <w:jc w:val="right"/>
            </w:pPr>
            <w:r>
              <w:rPr>
                <w:color w:val="1C3A36"/>
                <w:sz w:val="17"/>
              </w:rPr>
              <w:t>35.4%</w:t>
            </w:r>
          </w:p>
        </w:tc>
      </w:tr>
      <w:tr>
        <w:tc>
          <w:tcPr>
            <w:tcW w:type="dxa" w:w="6192"/>
          </w:tcPr>
          <w:p>
            <w:pPr>
              <w:spacing w:after="20"/>
            </w:pPr>
            <w:r>
              <w:rPr>
                <w:color w:val="1C3A36"/>
                <w:sz w:val="17"/>
              </w:rPr>
              <w:t>Less depreciation (USD m)</w:t>
            </w:r>
          </w:p>
        </w:tc>
        <w:tc>
          <w:tcPr>
            <w:tcW w:type="dxa" w:w="2880"/>
          </w:tcPr>
          <w:p>
            <w:pPr>
              <w:spacing w:after="20"/>
              <w:jc w:val="right"/>
            </w:pPr>
            <w:r>
              <w:rPr>
                <w:color w:val="1C3A36"/>
                <w:sz w:val="17"/>
              </w:rPr>
              <w:t>389</w:t>
            </w:r>
          </w:p>
        </w:tc>
      </w:tr>
      <w:tr>
        <w:tc>
          <w:tcPr>
            <w:tcW w:type="dxa" w:w="6192"/>
          </w:tcPr>
          <w:p>
            <w:pPr>
              <w:spacing w:after="20"/>
            </w:pPr>
            <w:r>
              <w:rPr>
                <w:color w:val="1C3A36"/>
                <w:sz w:val="17"/>
              </w:rPr>
              <w:t>EBIT (USD m)</w:t>
            </w:r>
          </w:p>
        </w:tc>
        <w:tc>
          <w:tcPr>
            <w:tcW w:type="dxa" w:w="2880"/>
          </w:tcPr>
          <w:p>
            <w:pPr>
              <w:spacing w:after="20"/>
              <w:jc w:val="right"/>
            </w:pPr>
            <w:r>
              <w:rPr>
                <w:color w:val="1C3A36"/>
                <w:sz w:val="17"/>
              </w:rPr>
              <w:t>1,608</w:t>
            </w:r>
          </w:p>
        </w:tc>
      </w:tr>
      <w:tr>
        <w:tc>
          <w:tcPr>
            <w:tcW w:type="dxa" w:w="6192"/>
          </w:tcPr>
          <w:p>
            <w:pPr>
              <w:spacing w:after="20"/>
            </w:pPr>
            <w:r>
              <w:rPr>
                <w:color w:val="1C3A36"/>
                <w:sz w:val="17"/>
              </w:rPr>
              <w:t>NOPAT after 28.7% tax (USD m)</w:t>
            </w:r>
          </w:p>
        </w:tc>
        <w:tc>
          <w:tcPr>
            <w:tcW w:type="dxa" w:w="2880"/>
          </w:tcPr>
          <w:p>
            <w:pPr>
              <w:spacing w:after="20"/>
              <w:jc w:val="right"/>
            </w:pPr>
            <w:r>
              <w:rPr>
                <w:color w:val="1C3A36"/>
                <w:sz w:val="17"/>
              </w:rPr>
              <w:t>1,146</w:t>
            </w:r>
          </w:p>
        </w:tc>
      </w:tr>
      <w:tr>
        <w:tc>
          <w:tcPr>
            <w:tcW w:type="dxa" w:w="6192"/>
          </w:tcPr>
          <w:p>
            <w:pPr>
              <w:spacing w:after="20"/>
            </w:pPr>
            <w:r>
              <w:rPr>
                <w:color w:val="1C3A36"/>
                <w:sz w:val="17"/>
              </w:rPr>
              <w:t>Free cash flow to the firm (USD m)</w:t>
            </w:r>
          </w:p>
        </w:tc>
        <w:tc>
          <w:tcPr>
            <w:tcW w:type="dxa" w:w="2880"/>
          </w:tcPr>
          <w:p>
            <w:pPr>
              <w:spacing w:after="20"/>
              <w:jc w:val="right"/>
            </w:pPr>
            <w:r>
              <w:rPr>
                <w:color w:val="1C3A36"/>
                <w:sz w:val="17"/>
              </w:rPr>
              <w:t>1,244</w:t>
            </w:r>
          </w:p>
        </w:tc>
      </w:tr>
      <w:tr>
        <w:tc>
          <w:tcPr>
            <w:tcW w:type="dxa" w:w="6192"/>
          </w:tcPr>
          <w:p>
            <w:pPr>
              <w:spacing w:after="20"/>
            </w:pPr>
            <w:r>
              <w:rPr>
                <w:color w:val="1C3A36"/>
                <w:sz w:val="17"/>
              </w:rPr>
              <w:t>Present value of five explicit years (USD m)</w:t>
            </w:r>
          </w:p>
        </w:tc>
        <w:tc>
          <w:tcPr>
            <w:tcW w:type="dxa" w:w="2880"/>
          </w:tcPr>
          <w:p>
            <w:pPr>
              <w:spacing w:after="20"/>
              <w:jc w:val="right"/>
            </w:pPr>
            <w:r>
              <w:rPr>
                <w:color w:val="1C3A36"/>
                <w:sz w:val="17"/>
              </w:rPr>
              <w:t>5,349</w:t>
            </w:r>
          </w:p>
        </w:tc>
      </w:tr>
      <w:tr>
        <w:tc>
          <w:tcPr>
            <w:tcW w:type="dxa" w:w="6192"/>
          </w:tcPr>
          <w:p>
            <w:pPr>
              <w:spacing w:after="20"/>
            </w:pPr>
            <w:r>
              <w:rPr>
                <w:color w:val="1C3A36"/>
                <w:sz w:val="17"/>
              </w:rPr>
              <w:t>Present value of the terminal block (USD m)</w:t>
            </w:r>
          </w:p>
        </w:tc>
        <w:tc>
          <w:tcPr>
            <w:tcW w:type="dxa" w:w="2880"/>
          </w:tcPr>
          <w:p>
            <w:pPr>
              <w:spacing w:after="20"/>
              <w:jc w:val="right"/>
            </w:pPr>
            <w:r>
              <w:rPr>
                <w:color w:val="1C3A36"/>
                <w:sz w:val="17"/>
              </w:rPr>
              <w:t>18,531</w:t>
            </w:r>
          </w:p>
        </w:tc>
      </w:tr>
      <w:tr>
        <w:tc>
          <w:tcPr>
            <w:tcW w:type="dxa" w:w="6192"/>
          </w:tcPr>
          <w:p>
            <w:pPr>
              <w:spacing w:after="20"/>
            </w:pPr>
            <w:r>
              <w:rPr>
                <w:color w:val="1C3A36"/>
                <w:sz w:val="17"/>
              </w:rPr>
              <w:t>Operator fee stream (USD m)</w:t>
            </w:r>
          </w:p>
        </w:tc>
        <w:tc>
          <w:tcPr>
            <w:tcW w:type="dxa" w:w="2880"/>
          </w:tcPr>
          <w:p>
            <w:pPr>
              <w:spacing w:after="20"/>
              <w:jc w:val="right"/>
            </w:pPr>
            <w:r>
              <w:rPr>
                <w:color w:val="1C3A36"/>
                <w:sz w:val="17"/>
              </w:rPr>
              <w:t>2,505</w:t>
            </w:r>
          </w:p>
        </w:tc>
      </w:tr>
      <w:tr>
        <w:tc>
          <w:tcPr>
            <w:tcW w:type="dxa" w:w="6192"/>
            <w:shd w:val="clear" w:color="auto" w:fill="F6F1E6"/>
          </w:tcPr>
          <w:p>
            <w:pPr>
              <w:spacing w:after="20"/>
            </w:pPr>
            <w:r>
              <w:rPr>
                <w:b/>
                <w:color w:val="1C3A36"/>
                <w:sz w:val="17"/>
              </w:rPr>
              <w:t>Enterprise value (USD m)</w:t>
            </w:r>
          </w:p>
        </w:tc>
        <w:tc>
          <w:tcPr>
            <w:tcW w:type="dxa" w:w="2880"/>
            <w:shd w:val="clear" w:color="auto" w:fill="F6F1E6"/>
          </w:tcPr>
          <w:p>
            <w:pPr>
              <w:spacing w:after="20"/>
              <w:jc w:val="right"/>
            </w:pPr>
            <w:r>
              <w:rPr>
                <w:b/>
                <w:color w:val="1C3A36"/>
                <w:sz w:val="17"/>
              </w:rPr>
              <w:t>26,385</w:t>
            </w:r>
          </w:p>
        </w:tc>
      </w:tr>
      <w:tr>
        <w:tc>
          <w:tcPr>
            <w:tcW w:type="dxa" w:w="6192"/>
          </w:tcPr>
          <w:p>
            <w:pPr>
              <w:spacing w:after="20"/>
            </w:pPr>
            <w:r>
              <w:rPr>
                <w:color w:val="1C3A36"/>
                <w:sz w:val="17"/>
              </w:rPr>
              <w:t>Less net debt, leases and minorities (USD m)</w:t>
            </w:r>
          </w:p>
        </w:tc>
        <w:tc>
          <w:tcPr>
            <w:tcW w:type="dxa" w:w="2880"/>
          </w:tcPr>
          <w:p>
            <w:pPr>
              <w:spacing w:after="20"/>
              <w:jc w:val="right"/>
            </w:pPr>
            <w:r>
              <w:rPr>
                <w:color w:val="1C3A36"/>
                <w:sz w:val="17"/>
              </w:rPr>
              <w:t>(3,525)</w:t>
            </w:r>
          </w:p>
        </w:tc>
      </w:tr>
      <w:tr>
        <w:tc>
          <w:tcPr>
            <w:tcW w:type="dxa" w:w="6192"/>
          </w:tcPr>
          <w:p>
            <w:pPr>
              <w:spacing w:after="20"/>
            </w:pPr>
            <w:r>
              <w:rPr>
                <w:color w:val="1C3A36"/>
                <w:sz w:val="17"/>
              </w:rPr>
              <w:t>Equity value (USD m)</w:t>
            </w:r>
          </w:p>
        </w:tc>
        <w:tc>
          <w:tcPr>
            <w:tcW w:type="dxa" w:w="2880"/>
          </w:tcPr>
          <w:p>
            <w:pPr>
              <w:spacing w:after="20"/>
              <w:jc w:val="right"/>
            </w:pPr>
            <w:r>
              <w:rPr>
                <w:color w:val="1C3A36"/>
                <w:sz w:val="17"/>
              </w:rPr>
              <w:t>22,860</w:t>
            </w:r>
          </w:p>
        </w:tc>
      </w:tr>
      <w:tr>
        <w:tc>
          <w:tcPr>
            <w:tcW w:type="dxa" w:w="6192"/>
            <w:shd w:val="clear" w:color="auto" w:fill="F6F1E6"/>
          </w:tcPr>
          <w:p>
            <w:pPr>
              <w:spacing w:after="20"/>
            </w:pPr>
            <w:r>
              <w:rPr>
                <w:b/>
                <w:color w:val="1C3A36"/>
                <w:sz w:val="17"/>
              </w:rPr>
              <w:t>Value per share (AED)</w:t>
            </w:r>
          </w:p>
        </w:tc>
        <w:tc>
          <w:tcPr>
            <w:tcW w:type="dxa" w:w="2880"/>
            <w:shd w:val="clear" w:color="auto" w:fill="F6F1E6"/>
          </w:tcPr>
          <w:p>
            <w:pPr>
              <w:spacing w:after="20"/>
              <w:jc w:val="right"/>
            </w:pPr>
            <w:r>
              <w:rPr>
                <w:b/>
                <w:color w:val="1C3A36"/>
                <w:sz w:val="17"/>
              </w:rPr>
              <w:t>2.79</w:t>
            </w:r>
          </w:p>
        </w:tc>
      </w:tr>
    </w:tbl>
    <w:p>
      <w:pPr>
        <w:spacing w:after="40"/>
      </w:pPr>
    </w:p>
    <w:p>
      <w:pPr>
        <w:spacing w:after="120" w:before="0"/>
      </w:pPr>
      <w:r>
        <w:rPr>
          <w:b w:val="0"/>
          <w:i w:val="0"/>
          <w:color w:val="1C3A36"/>
          <w:sz w:val="21"/>
        </w:rPr>
        <w:t>Named sensitivity. "Move the cost of capital by fifty basis points and I move by 0.43 dirhams. Move the realised premium by a hundred dollars a tonne and I move by 1.00. Those are the only two that matter to me."</w:t>
      </w:r>
    </w:p>
    <w:p>
      <w:pPr>
        <w:spacing w:after="120" w:before="0"/>
      </w:pPr>
      <w:r>
        <w:rPr>
          <w:b w:val="0"/>
          <w:i/>
          <w:color w:val="1C3A36"/>
          <w:sz w:val="21"/>
        </w:rPr>
        <w:t>Falsifier, stated in advance. "If full-year 2026 feedstock cost per tonne comes in above $395 — that is, if the first half was not the peak — then my premise that the disruption is temporary is wrong and every number above is too high."</w:t>
      </w:r>
    </w:p>
    <w:p>
      <w:pPr>
        <w:spacing w:after="80" w:before="200"/>
      </w:pPr>
      <w:r>
        <w:rPr>
          <w:b/>
          <w:i w:val="0"/>
          <w:color w:val="1C3A36"/>
          <w:sz w:val="24"/>
        </w:rPr>
        <w:t>C.2  Expert 2 — the balance-sheet and returns analyst</w:t>
      </w:r>
    </w:p>
    <w:p>
      <w:pPr>
        <w:spacing w:after="120" w:before="0"/>
      </w:pPr>
      <w:r>
        <w:rPr>
          <w:b w:val="0"/>
          <w:i/>
          <w:color w:val="1C3A36"/>
          <w:sz w:val="21"/>
        </w:rPr>
        <w:t>Worldview. Forecasts are opinions; the balance sheet is a record. What a company has actually earned on what it has actually invested, over a full cycle, tells you more than five years of projected tonnes. Value it off book and off return.</w:t>
      </w:r>
    </w:p>
    <w:p>
      <w:pPr>
        <w:spacing w:after="120" w:before="0"/>
      </w:pPr>
      <w:r>
        <w:rPr>
          <w:b w:val="0"/>
          <w:i w:val="0"/>
          <w:color w:val="1C3A36"/>
          <w:sz w:val="21"/>
        </w:rPr>
        <w:t>When it works: when a business is capital-intensive with a long record of stable returns, which describes this one. When it fails: when book value has been distorted by write-downs or acquisitions, and when the answer is hostage to the cost of equity — which here it very much 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2880"/>
      </w:tblGrid>
      <w:tr>
        <w:tc>
          <w:tcPr>
            <w:tcW w:type="dxa" w:w="6192"/>
            <w:shd w:val="clear" w:color="auto" w:fill="EAF0EE"/>
          </w:tcPr>
          <w:p>
            <w:pPr>
              <w:spacing w:after="20"/>
            </w:pPr>
            <w:r>
              <w:rPr>
                <w:b/>
                <w:color w:val="1C3A36"/>
                <w:sz w:val="17"/>
              </w:rPr>
              <w:t>Working</w:t>
            </w:r>
          </w:p>
        </w:tc>
        <w:tc>
          <w:tcPr>
            <w:tcW w:type="dxa" w:w="2880"/>
            <w:shd w:val="clear" w:color="auto" w:fill="EAF0EE"/>
          </w:tcPr>
          <w:p>
            <w:pPr>
              <w:spacing w:after="20"/>
            </w:pPr>
            <w:r>
              <w:rPr>
                <w:b/>
                <w:color w:val="1C3A36"/>
                <w:sz w:val="17"/>
              </w:rPr>
              <w:t>Value</w:t>
            </w:r>
          </w:p>
        </w:tc>
      </w:tr>
      <w:tr>
        <w:tc>
          <w:tcPr>
            <w:tcW w:type="dxa" w:w="6192"/>
          </w:tcPr>
          <w:p>
            <w:pPr>
              <w:spacing w:after="20"/>
            </w:pPr>
            <w:r>
              <w:rPr>
                <w:color w:val="1C3A36"/>
                <w:sz w:val="17"/>
              </w:rPr>
              <w:t>Return on equity, 2023</w:t>
            </w:r>
          </w:p>
        </w:tc>
        <w:tc>
          <w:tcPr>
            <w:tcW w:type="dxa" w:w="2880"/>
          </w:tcPr>
          <w:p>
            <w:pPr>
              <w:spacing w:after="20"/>
              <w:jc w:val="right"/>
            </w:pPr>
            <w:r>
              <w:rPr>
                <w:color w:val="1C3A36"/>
                <w:sz w:val="17"/>
              </w:rPr>
              <w:t>21.9%</w:t>
            </w:r>
          </w:p>
        </w:tc>
      </w:tr>
      <w:tr>
        <w:tc>
          <w:tcPr>
            <w:tcW w:type="dxa" w:w="6192"/>
          </w:tcPr>
          <w:p>
            <w:pPr>
              <w:spacing w:after="20"/>
            </w:pPr>
            <w:r>
              <w:rPr>
                <w:color w:val="1C3A36"/>
                <w:sz w:val="17"/>
              </w:rPr>
              <w:t>Return on equity, 2024</w:t>
            </w:r>
          </w:p>
        </w:tc>
        <w:tc>
          <w:tcPr>
            <w:tcW w:type="dxa" w:w="2880"/>
          </w:tcPr>
          <w:p>
            <w:pPr>
              <w:spacing w:after="20"/>
              <w:jc w:val="right"/>
            </w:pPr>
            <w:r>
              <w:rPr>
                <w:color w:val="1C3A36"/>
                <w:sz w:val="17"/>
              </w:rPr>
              <w:t>27.5%</w:t>
            </w:r>
          </w:p>
        </w:tc>
      </w:tr>
      <w:tr>
        <w:tc>
          <w:tcPr>
            <w:tcW w:type="dxa" w:w="6192"/>
          </w:tcPr>
          <w:p>
            <w:pPr>
              <w:spacing w:after="20"/>
            </w:pPr>
            <w:r>
              <w:rPr>
                <w:color w:val="1C3A36"/>
                <w:sz w:val="17"/>
              </w:rPr>
              <w:t>Return on equity, 2025</w:t>
            </w:r>
          </w:p>
        </w:tc>
        <w:tc>
          <w:tcPr>
            <w:tcW w:type="dxa" w:w="2880"/>
          </w:tcPr>
          <w:p>
            <w:pPr>
              <w:spacing w:after="20"/>
              <w:jc w:val="right"/>
            </w:pPr>
            <w:r>
              <w:rPr>
                <w:color w:val="1C3A36"/>
                <w:sz w:val="17"/>
              </w:rPr>
              <w:t>26.6%</w:t>
            </w:r>
          </w:p>
        </w:tc>
      </w:tr>
      <w:tr>
        <w:tc>
          <w:tcPr>
            <w:tcW w:type="dxa" w:w="6192"/>
          </w:tcPr>
          <w:p>
            <w:pPr>
              <w:spacing w:after="20"/>
            </w:pPr>
            <w:r>
              <w:rPr>
                <w:color w:val="1C3A36"/>
                <w:sz w:val="17"/>
              </w:rPr>
              <w:t>Sustainable return on equity (mean)</w:t>
            </w:r>
          </w:p>
        </w:tc>
        <w:tc>
          <w:tcPr>
            <w:tcW w:type="dxa" w:w="2880"/>
          </w:tcPr>
          <w:p>
            <w:pPr>
              <w:spacing w:after="20"/>
              <w:jc w:val="right"/>
            </w:pPr>
            <w:r>
              <w:rPr>
                <w:color w:val="1C3A36"/>
                <w:sz w:val="17"/>
              </w:rPr>
              <w:t>25.3%</w:t>
            </w:r>
          </w:p>
        </w:tc>
      </w:tr>
      <w:tr>
        <w:tc>
          <w:tcPr>
            <w:tcW w:type="dxa" w:w="6192"/>
          </w:tcPr>
          <w:p>
            <w:pPr>
              <w:spacing w:after="20"/>
            </w:pPr>
            <w:r>
              <w:rPr>
                <w:color w:val="1C3A36"/>
                <w:sz w:val="17"/>
              </w:rPr>
              <w:t>Book value per share (USD)</w:t>
            </w:r>
          </w:p>
        </w:tc>
        <w:tc>
          <w:tcPr>
            <w:tcW w:type="dxa" w:w="2880"/>
          </w:tcPr>
          <w:p>
            <w:pPr>
              <w:spacing w:after="20"/>
              <w:jc w:val="right"/>
            </w:pPr>
            <w:r>
              <w:rPr>
                <w:color w:val="1C3A36"/>
                <w:sz w:val="17"/>
              </w:rPr>
              <w:t>0.1240</w:t>
            </w:r>
          </w:p>
        </w:tc>
      </w:tr>
      <w:tr>
        <w:tc>
          <w:tcPr>
            <w:tcW w:type="dxa" w:w="6192"/>
          </w:tcPr>
          <w:p>
            <w:pPr>
              <w:spacing w:after="20"/>
            </w:pPr>
            <w:r>
              <w:rPr>
                <w:color w:val="1C3A36"/>
                <w:sz w:val="17"/>
              </w:rPr>
              <w:t>Cost of equity at the share’s own measured risk</w:t>
            </w:r>
          </w:p>
        </w:tc>
        <w:tc>
          <w:tcPr>
            <w:tcW w:type="dxa" w:w="2880"/>
          </w:tcPr>
          <w:p>
            <w:pPr>
              <w:spacing w:after="20"/>
              <w:jc w:val="right"/>
            </w:pPr>
            <w:r>
              <w:rPr>
                <w:color w:val="1C3A36"/>
                <w:sz w:val="17"/>
              </w:rPr>
              <w:t>6.44%</w:t>
            </w:r>
          </w:p>
        </w:tc>
      </w:tr>
      <w:tr>
        <w:tc>
          <w:tcPr>
            <w:tcW w:type="dxa" w:w="6192"/>
          </w:tcPr>
          <w:p>
            <w:pPr>
              <w:spacing w:after="20"/>
            </w:pPr>
            <w:r>
              <w:rPr>
                <w:color w:val="1C3A36"/>
                <w:sz w:val="17"/>
              </w:rPr>
              <w:t>Long-run growth</w:t>
            </w:r>
          </w:p>
        </w:tc>
        <w:tc>
          <w:tcPr>
            <w:tcW w:type="dxa" w:w="2880"/>
          </w:tcPr>
          <w:p>
            <w:pPr>
              <w:spacing w:after="20"/>
              <w:jc w:val="right"/>
            </w:pPr>
            <w:r>
              <w:rPr>
                <w:color w:val="1C3A36"/>
                <w:sz w:val="17"/>
              </w:rPr>
              <w:t>2.0%</w:t>
            </w:r>
          </w:p>
        </w:tc>
      </w:tr>
      <w:tr>
        <w:tc>
          <w:tcPr>
            <w:tcW w:type="dxa" w:w="6192"/>
          </w:tcPr>
          <w:p>
            <w:pPr>
              <w:spacing w:after="20"/>
            </w:pPr>
            <w:r>
              <w:rPr>
                <w:color w:val="1C3A36"/>
                <w:sz w:val="17"/>
              </w:rPr>
              <w:t>Justified price to book = (return − growth) / (cost of equity − growth)</w:t>
            </w:r>
          </w:p>
        </w:tc>
        <w:tc>
          <w:tcPr>
            <w:tcW w:type="dxa" w:w="2880"/>
          </w:tcPr>
          <w:p>
            <w:pPr>
              <w:spacing w:after="20"/>
              <w:jc w:val="right"/>
            </w:pPr>
            <w:r>
              <w:rPr>
                <w:color w:val="1C3A36"/>
                <w:sz w:val="17"/>
              </w:rPr>
              <w:t>5.25x</w:t>
            </w:r>
          </w:p>
        </w:tc>
      </w:tr>
      <w:tr>
        <w:tc>
          <w:tcPr>
            <w:tcW w:type="dxa" w:w="6192"/>
            <w:shd w:val="clear" w:color="auto" w:fill="F6F1E6"/>
          </w:tcPr>
          <w:p>
            <w:pPr>
              <w:spacing w:after="20"/>
            </w:pPr>
            <w:r>
              <w:rPr>
                <w:b/>
                <w:color w:val="1C3A36"/>
                <w:sz w:val="17"/>
              </w:rPr>
              <w:t>Value per share (AED)</w:t>
            </w:r>
          </w:p>
        </w:tc>
        <w:tc>
          <w:tcPr>
            <w:tcW w:type="dxa" w:w="2880"/>
            <w:shd w:val="clear" w:color="auto" w:fill="F6F1E6"/>
          </w:tcPr>
          <w:p>
            <w:pPr>
              <w:spacing w:after="20"/>
              <w:jc w:val="right"/>
            </w:pPr>
            <w:r>
              <w:rPr>
                <w:b/>
                <w:color w:val="1C3A36"/>
                <w:sz w:val="17"/>
              </w:rPr>
              <w:t>2.39</w:t>
            </w:r>
          </w:p>
        </w:tc>
      </w:tr>
      <w:tr>
        <w:tc>
          <w:tcPr>
            <w:tcW w:type="dxa" w:w="6192"/>
          </w:tcPr>
          <w:p>
            <w:pPr>
              <w:spacing w:after="20"/>
            </w:pPr>
            <w:r>
              <w:rPr>
                <w:color w:val="1C3A36"/>
                <w:sz w:val="17"/>
              </w:rPr>
              <w:t>The same at sector risk: cost of equity</w:t>
            </w:r>
          </w:p>
        </w:tc>
        <w:tc>
          <w:tcPr>
            <w:tcW w:type="dxa" w:w="2880"/>
          </w:tcPr>
          <w:p>
            <w:pPr>
              <w:spacing w:after="20"/>
              <w:jc w:val="right"/>
            </w:pPr>
            <w:r>
              <w:rPr>
                <w:color w:val="1C3A36"/>
                <w:sz w:val="17"/>
              </w:rPr>
              <w:t>9.88%</w:t>
            </w:r>
          </w:p>
        </w:tc>
      </w:tr>
      <w:tr>
        <w:tc>
          <w:tcPr>
            <w:tcW w:type="dxa" w:w="6192"/>
          </w:tcPr>
          <w:p>
            <w:pPr>
              <w:spacing w:after="20"/>
            </w:pPr>
            <w:r>
              <w:rPr>
                <w:color w:val="1C3A36"/>
                <w:sz w:val="17"/>
              </w:rPr>
              <w:t>The same at sector risk: justified price to book</w:t>
            </w:r>
          </w:p>
        </w:tc>
        <w:tc>
          <w:tcPr>
            <w:tcW w:type="dxa" w:w="2880"/>
          </w:tcPr>
          <w:p>
            <w:pPr>
              <w:spacing w:after="20"/>
              <w:jc w:val="right"/>
            </w:pPr>
            <w:r>
              <w:rPr>
                <w:color w:val="1C3A36"/>
                <w:sz w:val="17"/>
              </w:rPr>
              <w:t>2.96x</w:t>
            </w:r>
          </w:p>
        </w:tc>
      </w:tr>
      <w:tr>
        <w:tc>
          <w:tcPr>
            <w:tcW w:type="dxa" w:w="6192"/>
            <w:shd w:val="clear" w:color="auto" w:fill="F6F1E6"/>
          </w:tcPr>
          <w:p>
            <w:pPr>
              <w:spacing w:after="20"/>
            </w:pPr>
            <w:r>
              <w:rPr>
                <w:b/>
                <w:color w:val="1C3A36"/>
                <w:sz w:val="17"/>
              </w:rPr>
              <w:t>The same at sector risk: value per share (AED)</w:t>
            </w:r>
          </w:p>
        </w:tc>
        <w:tc>
          <w:tcPr>
            <w:tcW w:type="dxa" w:w="2880"/>
            <w:shd w:val="clear" w:color="auto" w:fill="F6F1E6"/>
          </w:tcPr>
          <w:p>
            <w:pPr>
              <w:spacing w:after="20"/>
              <w:jc w:val="right"/>
            </w:pPr>
            <w:r>
              <w:rPr>
                <w:b/>
                <w:color w:val="1C3A36"/>
                <w:sz w:val="17"/>
              </w:rPr>
              <w:t>1.35</w:t>
            </w:r>
          </w:p>
        </w:tc>
      </w:tr>
    </w:tbl>
    <w:p>
      <w:pPr>
        <w:spacing w:after="40"/>
      </w:pPr>
    </w:p>
    <w:p>
      <w:pPr>
        <w:spacing w:after="120" w:before="0"/>
      </w:pPr>
      <w:r>
        <w:rPr>
          <w:b w:val="0"/>
          <w:i w:val="0"/>
          <w:color w:val="1C3A36"/>
          <w:sz w:val="21"/>
        </w:rPr>
        <w:t>Named sensitivity. "My lens is a ratio of two rates, so it is the most levered of the three to the risk question — 1.35 against 2.39, a factor of more than two. If the sustainable return falls five points to 20.3%, I lose roughly a fifth of my number."</w:t>
      </w:r>
    </w:p>
    <w:p>
      <w:pPr>
        <w:spacing w:after="120" w:before="0"/>
      </w:pPr>
      <w:r>
        <w:rPr>
          <w:b w:val="0"/>
          <w:i/>
          <w:color w:val="1C3A36"/>
          <w:sz w:val="21"/>
        </w:rPr>
        <w:t>Falsifier, stated in advance. "If return on equity in 2026 falls below the cost of equity, my whole justification for a premium to book collapses and the right answer is book value itself, not a multiple of it."</w:t>
      </w:r>
    </w:p>
    <w:p>
      <w:pPr>
        <w:spacing w:after="80" w:before="200"/>
      </w:pPr>
      <w:r>
        <w:rPr>
          <w:b/>
          <w:i w:val="0"/>
          <w:color w:val="1C3A36"/>
          <w:sz w:val="24"/>
        </w:rPr>
        <w:t>C.3  Expert 3 — the cycle and multiple analyst</w:t>
      </w:r>
    </w:p>
    <w:p>
      <w:pPr>
        <w:spacing w:after="120" w:before="0"/>
      </w:pPr>
      <w:r>
        <w:rPr>
          <w:b w:val="0"/>
          <w:i/>
          <w:color w:val="1C3A36"/>
          <w:sz w:val="21"/>
        </w:rPr>
        <w:t>Worldview. Commodity chemicals is a cycle, and the cycle is the only thing that matters. Do not forecast the trough — normalise through it, and pay a through-cycle multiple on through-cycle earnings.</w:t>
      </w:r>
    </w:p>
    <w:p>
      <w:pPr>
        <w:spacing w:after="120" w:before="0"/>
      </w:pPr>
      <w:r>
        <w:rPr>
          <w:b w:val="0"/>
          <w:i w:val="0"/>
          <w:color w:val="1C3A36"/>
          <w:sz w:val="21"/>
        </w:rPr>
        <w:t>When it works: at the extremes of a cycle, where forecasts are most wrong and multiples most misleading. When it fails: when the cycle is not a cycle but a structural shift — and with a fifth of global capacity arriving by 2034, that risk is live.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2880"/>
      </w:tblGrid>
      <w:tr>
        <w:tc>
          <w:tcPr>
            <w:tcW w:type="dxa" w:w="6192"/>
            <w:shd w:val="clear" w:color="auto" w:fill="EAF0EE"/>
          </w:tcPr>
          <w:p>
            <w:pPr>
              <w:spacing w:after="20"/>
            </w:pPr>
            <w:r>
              <w:rPr>
                <w:b/>
                <w:color w:val="1C3A36"/>
                <w:sz w:val="17"/>
              </w:rPr>
              <w:t>Working</w:t>
            </w:r>
          </w:p>
        </w:tc>
        <w:tc>
          <w:tcPr>
            <w:tcW w:type="dxa" w:w="2880"/>
            <w:shd w:val="clear" w:color="auto" w:fill="EAF0EE"/>
          </w:tcPr>
          <w:p>
            <w:pPr>
              <w:spacing w:after="20"/>
            </w:pPr>
            <w:r>
              <w:rPr>
                <w:b/>
                <w:color w:val="1C3A36"/>
                <w:sz w:val="17"/>
              </w:rPr>
              <w:t>Value</w:t>
            </w:r>
          </w:p>
        </w:tc>
      </w:tr>
      <w:tr>
        <w:tc>
          <w:tcPr>
            <w:tcW w:type="dxa" w:w="6192"/>
          </w:tcPr>
          <w:p>
            <w:pPr>
              <w:spacing w:after="20"/>
            </w:pPr>
            <w:r>
              <w:rPr>
                <w:color w:val="1C3A36"/>
                <w:sz w:val="17"/>
              </w:rPr>
              <w:t>Peers observed</w:t>
            </w:r>
          </w:p>
        </w:tc>
        <w:tc>
          <w:tcPr>
            <w:tcW w:type="dxa" w:w="2880"/>
          </w:tcPr>
          <w:p>
            <w:pPr>
              <w:spacing w:after="20"/>
              <w:jc w:val="right"/>
            </w:pPr>
            <w:r>
              <w:rPr>
                <w:color w:val="1C3A36"/>
                <w:sz w:val="17"/>
              </w:rPr>
              <w:t>11</w:t>
            </w:r>
          </w:p>
        </w:tc>
      </w:tr>
      <w:tr>
        <w:tc>
          <w:tcPr>
            <w:tcW w:type="dxa" w:w="6192"/>
          </w:tcPr>
          <w:p>
            <w:pPr>
              <w:spacing w:after="20"/>
            </w:pPr>
            <w:r>
              <w:rPr>
                <w:color w:val="1C3A36"/>
                <w:sz w:val="17"/>
              </w:rPr>
              <w:t>Of which loss-making</w:t>
            </w:r>
          </w:p>
        </w:tc>
        <w:tc>
          <w:tcPr>
            <w:tcW w:type="dxa" w:w="2880"/>
          </w:tcPr>
          <w:p>
            <w:pPr>
              <w:spacing w:after="20"/>
              <w:jc w:val="right"/>
            </w:pPr>
            <w:r>
              <w:rPr>
                <w:color w:val="1C3A36"/>
                <w:sz w:val="17"/>
              </w:rPr>
              <w:t>9</w:t>
            </w:r>
          </w:p>
        </w:tc>
      </w:tr>
      <w:tr>
        <w:tc>
          <w:tcPr>
            <w:tcW w:type="dxa" w:w="6192"/>
          </w:tcPr>
          <w:p>
            <w:pPr>
              <w:spacing w:after="20"/>
            </w:pPr>
            <w:r>
              <w:rPr>
                <w:color w:val="1C3A36"/>
                <w:sz w:val="17"/>
              </w:rPr>
              <w:t>Of which no defined multiple</w:t>
            </w:r>
          </w:p>
        </w:tc>
        <w:tc>
          <w:tcPr>
            <w:tcW w:type="dxa" w:w="2880"/>
          </w:tcPr>
          <w:p>
            <w:pPr>
              <w:spacing w:after="20"/>
              <w:jc w:val="right"/>
            </w:pPr>
            <w:r>
              <w:rPr>
                <w:color w:val="1C3A36"/>
                <w:sz w:val="17"/>
              </w:rPr>
              <w:t>2</w:t>
            </w:r>
          </w:p>
        </w:tc>
      </w:tr>
      <w:tr>
        <w:tc>
          <w:tcPr>
            <w:tcW w:type="dxa" w:w="6192"/>
          </w:tcPr>
          <w:p>
            <w:pPr>
              <w:spacing w:after="20"/>
            </w:pPr>
            <w:r>
              <w:rPr>
                <w:color w:val="1C3A36"/>
                <w:sz w:val="17"/>
              </w:rPr>
              <w:t>Naive peer median — rejected</w:t>
            </w:r>
          </w:p>
        </w:tc>
        <w:tc>
          <w:tcPr>
            <w:tcW w:type="dxa" w:w="2880"/>
          </w:tcPr>
          <w:p>
            <w:pPr>
              <w:spacing w:after="20"/>
              <w:jc w:val="right"/>
            </w:pPr>
            <w:r>
              <w:rPr>
                <w:color w:val="1C3A36"/>
                <w:sz w:val="17"/>
              </w:rPr>
              <w:t>13.4x</w:t>
            </w:r>
          </w:p>
        </w:tc>
      </w:tr>
      <w:tr>
        <w:tc>
          <w:tcPr>
            <w:tcW w:type="dxa" w:w="6192"/>
          </w:tcPr>
          <w:p>
            <w:pPr>
              <w:spacing w:after="20"/>
            </w:pPr>
            <w:r>
              <w:rPr>
                <w:color w:val="1C3A36"/>
                <w:sz w:val="17"/>
              </w:rPr>
              <w:t>LyondellBasell ten-year median</w:t>
            </w:r>
          </w:p>
        </w:tc>
        <w:tc>
          <w:tcPr>
            <w:tcW w:type="dxa" w:w="2880"/>
          </w:tcPr>
          <w:p>
            <w:pPr>
              <w:spacing w:after="20"/>
              <w:jc w:val="right"/>
            </w:pPr>
            <w:r>
              <w:rPr>
                <w:color w:val="1C3A36"/>
                <w:sz w:val="17"/>
              </w:rPr>
              <w:t>7.18x</w:t>
            </w:r>
          </w:p>
        </w:tc>
      </w:tr>
      <w:tr>
        <w:tc>
          <w:tcPr>
            <w:tcW w:type="dxa" w:w="6192"/>
          </w:tcPr>
          <w:p>
            <w:pPr>
              <w:spacing w:after="20"/>
            </w:pPr>
            <w:r>
              <w:rPr>
                <w:color w:val="1C3A36"/>
                <w:sz w:val="17"/>
              </w:rPr>
              <w:t>Industries Qatar, current</w:t>
            </w:r>
          </w:p>
        </w:tc>
        <w:tc>
          <w:tcPr>
            <w:tcW w:type="dxa" w:w="2880"/>
          </w:tcPr>
          <w:p>
            <w:pPr>
              <w:spacing w:after="20"/>
              <w:jc w:val="right"/>
            </w:pPr>
            <w:r>
              <w:rPr>
                <w:color w:val="1C3A36"/>
                <w:sz w:val="17"/>
              </w:rPr>
              <w:t>9.90x</w:t>
            </w:r>
          </w:p>
        </w:tc>
      </w:tr>
      <w:tr>
        <w:tc>
          <w:tcPr>
            <w:tcW w:type="dxa" w:w="6192"/>
          </w:tcPr>
          <w:p>
            <w:pPr>
              <w:spacing w:after="20"/>
            </w:pPr>
            <w:r>
              <w:rPr>
                <w:color w:val="1C3A36"/>
                <w:sz w:val="17"/>
              </w:rPr>
              <w:t>Global diversified chemicals sector</w:t>
            </w:r>
          </w:p>
        </w:tc>
        <w:tc>
          <w:tcPr>
            <w:tcW w:type="dxa" w:w="2880"/>
          </w:tcPr>
          <w:p>
            <w:pPr>
              <w:spacing w:after="20"/>
              <w:jc w:val="right"/>
            </w:pPr>
            <w:r>
              <w:rPr>
                <w:color w:val="1C3A36"/>
                <w:sz w:val="17"/>
              </w:rPr>
              <w:t>8.655x</w:t>
            </w:r>
          </w:p>
        </w:tc>
      </w:tr>
      <w:tr>
        <w:tc>
          <w:tcPr>
            <w:tcW w:type="dxa" w:w="6192"/>
            <w:shd w:val="clear" w:color="auto" w:fill="F6F1E6"/>
          </w:tcPr>
          <w:p>
            <w:pPr>
              <w:spacing w:after="20"/>
            </w:pPr>
            <w:r>
              <w:rPr>
                <w:b/>
                <w:color w:val="1C3A36"/>
                <w:sz w:val="17"/>
              </w:rPr>
              <w:t>Median of the three — adopted</w:t>
            </w:r>
          </w:p>
        </w:tc>
        <w:tc>
          <w:tcPr>
            <w:tcW w:type="dxa" w:w="2880"/>
            <w:shd w:val="clear" w:color="auto" w:fill="F6F1E6"/>
          </w:tcPr>
          <w:p>
            <w:pPr>
              <w:spacing w:after="20"/>
              <w:jc w:val="right"/>
            </w:pPr>
            <w:r>
              <w:rPr>
                <w:b/>
                <w:color w:val="1C3A36"/>
                <w:sz w:val="17"/>
              </w:rPr>
              <w:t>8.65x</w:t>
            </w:r>
          </w:p>
        </w:tc>
      </w:tr>
      <w:tr>
        <w:tc>
          <w:tcPr>
            <w:tcW w:type="dxa" w:w="6192"/>
          </w:tcPr>
          <w:p>
            <w:pPr>
              <w:spacing w:after="20"/>
            </w:pPr>
            <w:r>
              <w:rPr>
                <w:color w:val="1C3A36"/>
                <w:sz w:val="17"/>
              </w:rPr>
              <w:t>Mid-cycle EBITDA (USD m)</w:t>
            </w:r>
          </w:p>
        </w:tc>
        <w:tc>
          <w:tcPr>
            <w:tcW w:type="dxa" w:w="2880"/>
          </w:tcPr>
          <w:p>
            <w:pPr>
              <w:spacing w:after="20"/>
              <w:jc w:val="right"/>
            </w:pPr>
            <w:r>
              <w:rPr>
                <w:color w:val="1C3A36"/>
                <w:sz w:val="17"/>
              </w:rPr>
              <w:t>2,042</w:t>
            </w:r>
          </w:p>
        </w:tc>
      </w:tr>
      <w:tr>
        <w:tc>
          <w:tcPr>
            <w:tcW w:type="dxa" w:w="6192"/>
          </w:tcPr>
          <w:p>
            <w:pPr>
              <w:spacing w:after="20"/>
            </w:pPr>
            <w:r>
              <w:rPr>
                <w:color w:val="1C3A36"/>
                <w:sz w:val="17"/>
              </w:rPr>
              <w:t>Enterprise value (USD m)</w:t>
            </w:r>
          </w:p>
        </w:tc>
        <w:tc>
          <w:tcPr>
            <w:tcW w:type="dxa" w:w="2880"/>
          </w:tcPr>
          <w:p>
            <w:pPr>
              <w:spacing w:after="20"/>
              <w:jc w:val="right"/>
            </w:pPr>
            <w:r>
              <w:rPr>
                <w:color w:val="1C3A36"/>
                <w:sz w:val="17"/>
              </w:rPr>
              <w:t>17,671</w:t>
            </w:r>
          </w:p>
        </w:tc>
      </w:tr>
      <w:tr>
        <w:tc>
          <w:tcPr>
            <w:tcW w:type="dxa" w:w="6192"/>
          </w:tcPr>
          <w:p>
            <w:pPr>
              <w:spacing w:after="20"/>
            </w:pPr>
            <w:r>
              <w:rPr>
                <w:color w:val="1C3A36"/>
                <w:sz w:val="17"/>
              </w:rPr>
              <w:t>Equity value (USD m)</w:t>
            </w:r>
          </w:p>
        </w:tc>
        <w:tc>
          <w:tcPr>
            <w:tcW w:type="dxa" w:w="2880"/>
          </w:tcPr>
          <w:p>
            <w:pPr>
              <w:spacing w:after="20"/>
              <w:jc w:val="right"/>
            </w:pPr>
            <w:r>
              <w:rPr>
                <w:color w:val="1C3A36"/>
                <w:sz w:val="17"/>
              </w:rPr>
              <w:t>14,146</w:t>
            </w:r>
          </w:p>
        </w:tc>
      </w:tr>
      <w:tr>
        <w:tc>
          <w:tcPr>
            <w:tcW w:type="dxa" w:w="6192"/>
            <w:shd w:val="clear" w:color="auto" w:fill="F6F1E6"/>
          </w:tcPr>
          <w:p>
            <w:pPr>
              <w:spacing w:after="20"/>
            </w:pPr>
            <w:r>
              <w:rPr>
                <w:b/>
                <w:color w:val="1C3A36"/>
                <w:sz w:val="17"/>
              </w:rPr>
              <w:t>Value per share (AED)</w:t>
            </w:r>
          </w:p>
        </w:tc>
        <w:tc>
          <w:tcPr>
            <w:tcW w:type="dxa" w:w="2880"/>
            <w:shd w:val="clear" w:color="auto" w:fill="F6F1E6"/>
          </w:tcPr>
          <w:p>
            <w:pPr>
              <w:spacing w:after="20"/>
              <w:jc w:val="right"/>
            </w:pPr>
            <w:r>
              <w:rPr>
                <w:b/>
                <w:color w:val="1C3A36"/>
                <w:sz w:val="17"/>
              </w:rPr>
              <w:t>1.73</w:t>
            </w:r>
          </w:p>
        </w:tc>
      </w:tr>
      <w:tr>
        <w:tc>
          <w:tcPr>
            <w:tcW w:type="dxa" w:w="6192"/>
          </w:tcPr>
          <w:p>
            <w:pPr>
              <w:spacing w:after="20"/>
            </w:pPr>
            <w:r>
              <w:rPr>
                <w:color w:val="1C3A36"/>
                <w:sz w:val="17"/>
              </w:rPr>
              <w:t>Cross-read: normalised earnings power, own risk (AED)</w:t>
            </w:r>
          </w:p>
        </w:tc>
        <w:tc>
          <w:tcPr>
            <w:tcW w:type="dxa" w:w="2880"/>
          </w:tcPr>
          <w:p>
            <w:pPr>
              <w:spacing w:after="20"/>
              <w:jc w:val="right"/>
            </w:pPr>
            <w:r>
              <w:rPr>
                <w:color w:val="1C3A36"/>
                <w:sz w:val="17"/>
              </w:rPr>
              <w:t>2.54</w:t>
            </w:r>
          </w:p>
        </w:tc>
      </w:tr>
      <w:tr>
        <w:tc>
          <w:tcPr>
            <w:tcW w:type="dxa" w:w="6192"/>
          </w:tcPr>
          <w:p>
            <w:pPr>
              <w:spacing w:after="20"/>
            </w:pPr>
            <w:r>
              <w:rPr>
                <w:color w:val="1C3A36"/>
                <w:sz w:val="17"/>
              </w:rPr>
              <w:t>Cross-read: normalised earnings power, sector risk (AED)</w:t>
            </w:r>
          </w:p>
        </w:tc>
        <w:tc>
          <w:tcPr>
            <w:tcW w:type="dxa" w:w="2880"/>
          </w:tcPr>
          <w:p>
            <w:pPr>
              <w:spacing w:after="20"/>
              <w:jc w:val="right"/>
            </w:pPr>
            <w:r>
              <w:rPr>
                <w:color w:val="1C3A36"/>
                <w:sz w:val="17"/>
              </w:rPr>
              <w:t>1.29</w:t>
            </w:r>
          </w:p>
        </w:tc>
      </w:tr>
    </w:tbl>
    <w:p>
      <w:pPr>
        <w:spacing w:after="40"/>
      </w:pPr>
    </w:p>
    <w:p>
      <w:pPr>
        <w:spacing w:after="120" w:before="0"/>
      </w:pPr>
      <w:r>
        <w:rPr>
          <w:b w:val="0"/>
          <w:i w:val="0"/>
          <w:color w:val="1C3A36"/>
          <w:sz w:val="21"/>
        </w:rPr>
        <w:t>Named sensitivity. "One turn on the multiple is worth about 0.25 dirhams a share. That is the whole debate in my lens — and it is why I use three anchors rather than one."</w:t>
      </w:r>
    </w:p>
    <w:p>
      <w:pPr>
        <w:spacing w:after="120" w:before="0"/>
      </w:pPr>
      <w:r>
        <w:rPr>
          <w:b w:val="0"/>
          <w:i/>
          <w:color w:val="1C3A36"/>
          <w:sz w:val="21"/>
        </w:rPr>
        <w:t>Falsifier, stated in advance. "If global operating rates have not begun to recover by 2029, this is not a cycle and normalising through it is the wrong method. I would switch to a liquidation-and-replacement view of the assets."</w:t>
      </w:r>
    </w:p>
    <w:p>
      <w:pPr>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92"/>
        <w:gridCol w:w="5400"/>
      </w:tblGrid>
      <w:tr>
        <w:tc>
          <w:tcPr>
            <w:tcW w:type="dxa" w:w="4392"/>
            <w:shd w:val="clear" w:color="auto" w:fill="EAF0EE"/>
          </w:tcPr>
          <w:p>
            <w:pPr>
              <w:spacing w:after="20"/>
            </w:pPr>
            <w:r>
              <w:rPr>
                <w:b/>
                <w:color w:val="1C3A36"/>
                <w:sz w:val="16"/>
              </w:rPr>
              <w:t>Challenge</w:t>
            </w:r>
          </w:p>
        </w:tc>
        <w:tc>
          <w:tcPr>
            <w:tcW w:type="dxa" w:w="5400"/>
            <w:shd w:val="clear" w:color="auto" w:fill="EAF0EE"/>
          </w:tcPr>
          <w:p>
            <w:pPr>
              <w:spacing w:after="20"/>
            </w:pPr>
            <w:r>
              <w:rPr>
                <w:b/>
                <w:color w:val="1C3A36"/>
                <w:sz w:val="16"/>
              </w:rPr>
              <w:t>Response</w:t>
            </w:r>
          </w:p>
        </w:tc>
      </w:tr>
      <w:tr>
        <w:tc>
          <w:tcPr>
            <w:tcW w:type="dxa" w:w="4392"/>
          </w:tcPr>
          <w:p>
            <w:pPr>
              <w:spacing w:after="20"/>
            </w:pPr>
            <w:r>
              <w:rPr>
                <w:color w:val="1C3A36"/>
                <w:sz w:val="16"/>
              </w:rPr>
              <w:t>Expert 3 to Expert 1: "Seventy-three per cent of your answer is a terminal block in a business whose industry does not expect to normalise until 2032. You are not valuing cash flows, you are valuing an assumption."</w:t>
            </w:r>
          </w:p>
        </w:tc>
        <w:tc>
          <w:tcPr>
            <w:tcW w:type="dxa" w:w="5400"/>
          </w:tcPr>
          <w:p>
            <w:pPr>
              <w:spacing w:after="20"/>
              <w:jc w:val="right"/>
            </w:pPr>
            <w:r>
              <w:rPr>
                <w:color w:val="1C3A36"/>
                <w:sz w:val="16"/>
              </w:rPr>
              <w:t>CONCEDED IN PART. The terminal share is high and is disclosed everywhere it appears rather than buried. But the terminal block is built on reinvestment funded at the company’s own return on capital, not on a growth assumption pulled from the air — and the sensitivity grid shows what happens across the whole plausible range of both inputs.</w:t>
            </w:r>
          </w:p>
        </w:tc>
      </w:tr>
      <w:tr>
        <w:tc>
          <w:tcPr>
            <w:tcW w:type="dxa" w:w="4392"/>
          </w:tcPr>
          <w:p>
            <w:pPr>
              <w:spacing w:after="20"/>
            </w:pPr>
            <w:r>
              <w:rPr>
                <w:color w:val="1C3A36"/>
                <w:sz w:val="16"/>
              </w:rPr>
              <w:t>Expert 1 to Expert 2: "Your lens has no forecast in it at all, which you call a strength. But you use a cost of equity, and that means you have imported the single most contested input in the study while claiming to avoid judgement."</w:t>
            </w:r>
          </w:p>
        </w:tc>
        <w:tc>
          <w:tcPr>
            <w:tcW w:type="dxa" w:w="5400"/>
          </w:tcPr>
          <w:p>
            <w:pPr>
              <w:spacing w:after="20"/>
              <w:jc w:val="right"/>
            </w:pPr>
            <w:r>
              <w:rPr>
                <w:color w:val="1C3A36"/>
                <w:sz w:val="16"/>
              </w:rPr>
              <w:t>CONCEDED. The book-value lens is the most levered of the three to the risk question — it moves by more than a factor of two across the two costs of equity. It is presented as an independent read on returns, not as a precise answer, and both readings are published.</w:t>
            </w:r>
          </w:p>
        </w:tc>
      </w:tr>
      <w:tr>
        <w:tc>
          <w:tcPr>
            <w:tcW w:type="dxa" w:w="4392"/>
          </w:tcPr>
          <w:p>
            <w:pPr>
              <w:spacing w:after="20"/>
            </w:pPr>
            <w:r>
              <w:rPr>
                <w:color w:val="1C3A36"/>
                <w:sz w:val="16"/>
              </w:rPr>
              <w:t>Expert 2 to Expert 3: "You reject the peer median because nine of eleven are losing money, then use two of those same companies as through-cycle anchors. You cannot have it both ways."</w:t>
            </w:r>
          </w:p>
        </w:tc>
        <w:tc>
          <w:tcPr>
            <w:tcW w:type="dxa" w:w="5400"/>
          </w:tcPr>
          <w:p>
            <w:pPr>
              <w:spacing w:after="20"/>
              <w:jc w:val="right"/>
            </w:pPr>
            <w:r>
              <w:rPr>
                <w:color w:val="1C3A36"/>
                <w:sz w:val="16"/>
              </w:rPr>
              <w:t>REJECTED. The rejection is of the CURRENT median, because the denominator has collapsed. The anchors are a ten-year median for one name and a current multiple for a profitable name, plus a sector-wide figure. Those are different objects: one is a trough measurement, the others are through-cycle measurements.</w:t>
            </w:r>
          </w:p>
        </w:tc>
      </w:tr>
      <w:tr>
        <w:tc>
          <w:tcPr>
            <w:tcW w:type="dxa" w:w="4392"/>
          </w:tcPr>
          <w:p>
            <w:pPr>
              <w:spacing w:after="20"/>
            </w:pPr>
            <w:r>
              <w:rPr>
                <w:color w:val="1C3A36"/>
                <w:sz w:val="16"/>
              </w:rPr>
              <w:t>Expert 3 to Expert 2: "A sustainable return on equity of twenty-five per cent in commodity chemicals is not sustainable. It is what advantaged feedstock earns at the top of a cycle, and you have averaged three good years."</w:t>
            </w:r>
          </w:p>
        </w:tc>
        <w:tc>
          <w:tcPr>
            <w:tcW w:type="dxa" w:w="5400"/>
          </w:tcPr>
          <w:p>
            <w:pPr>
              <w:spacing w:after="20"/>
              <w:jc w:val="right"/>
            </w:pPr>
            <w:r>
              <w:rPr>
                <w:color w:val="1C3A36"/>
                <w:sz w:val="16"/>
              </w:rPr>
              <w:t>CONCEDED IN PART. The three years averaged include 2025, a soft-price year, so the mean is not purely peak. But the point stands that advantaged feedstock is a position, not a law, and the falsifier stated above is precisely the test of it.</w:t>
            </w:r>
          </w:p>
        </w:tc>
      </w:tr>
      <w:tr>
        <w:tc>
          <w:tcPr>
            <w:tcW w:type="dxa" w:w="4392"/>
          </w:tcPr>
          <w:p>
            <w:pPr>
              <w:spacing w:after="20"/>
            </w:pPr>
            <w:r>
              <w:rPr>
                <w:color w:val="1C3A36"/>
                <w:sz w:val="16"/>
              </w:rPr>
              <w:t>Expert 1 to Expert 3: "Your mid-cycle EBITDA is the average of two forecast years from MY model. You are not independent of me — you are a multiple applied to my work."</w:t>
            </w:r>
          </w:p>
        </w:tc>
        <w:tc>
          <w:tcPr>
            <w:tcW w:type="dxa" w:w="5400"/>
          </w:tcPr>
          <w:p>
            <w:pPr>
              <w:spacing w:after="20"/>
              <w:jc w:val="right"/>
            </w:pPr>
            <w:r>
              <w:rPr>
                <w:color w:val="1C3A36"/>
                <w:sz w:val="16"/>
              </w:rPr>
              <w:t>CONCEDED. The relative lens and the cash-flow lens share a mid-cycle earnings estimate, so they are not fully independent. What the relative lens contributes that the cash-flow lens cannot is a market-tested multiple in place of a discount rate — and that is exactly why it is the one lens the beta debate does not touch.</w:t>
            </w:r>
          </w:p>
        </w:tc>
      </w:tr>
    </w:tbl>
    <w:p>
      <w:pPr>
        <w:spacing w:after="40"/>
      </w:pPr>
    </w:p>
    <w:p>
      <w:pPr>
        <w:spacing w:after="200" w:before="0"/>
      </w:pPr>
      <w:r>
        <w:rPr>
          <w:b w:val="0"/>
          <w:i/>
          <w:color w:val="6E7B77"/>
          <w:sz w:val="17"/>
        </w:rPr>
        <w:t>Table C1 — Each challenge is either conceded or rejected. None is left hanging.</w:t>
      </w:r>
    </w:p>
    <w:p>
      <w:pPr>
        <w:spacing w:after="80" w:before="200"/>
      </w:pPr>
      <w:r>
        <w:rPr>
          <w:b/>
          <w:i w:val="0"/>
          <w:color w:val="1C3A36"/>
          <w:sz w:val="24"/>
        </w:rPr>
        <w:t>C.5  The three in one room</w:t>
      </w:r>
    </w:p>
    <w:p>
      <w:pPr>
        <w:spacing w:after="120" w:before="0"/>
      </w:pPr>
      <w:r>
        <w:rPr>
          <w:b w:val="0"/>
          <w:i w:val="0"/>
          <w:color w:val="1C3A36"/>
          <w:sz w:val="21"/>
        </w:rPr>
        <w:t>Put together, the three agree on more than the range suggests. All three accept that the 2026 cost step is mechanically identifiable and probably temporary. All three accept that Borouge 4 belongs to its parents and that terminal growth is therefore inflation and nothing more. All three accept that the peer group is broken as a live comparable set.</w:t>
      </w:r>
    </w:p>
    <w:p>
      <w:pPr>
        <w:spacing w:after="120" w:before="0"/>
      </w:pPr>
      <w:r>
        <w:rPr>
          <w:b w:val="0"/>
          <w:i w:val="0"/>
          <w:color w:val="1C3A36"/>
          <w:sz w:val="21"/>
        </w:rPr>
        <w:t>Where they part company is the discount rate, and only Expert 3 escapes it. At the share’s own measured risk the three land at 2.79, 2.39 and 1.73; at sector risk they land at 1.49, 1.35 and the same 1.73. Expert 3 does not move because a multiple does not contain a discount rate — which is why the study reports the relative lens as the median of the whole field rather than as one reading among four.</w:t>
      </w:r>
    </w:p>
    <w:p>
      <w:pPr>
        <w:spacing w:after="40"/>
        <w:jc w:val="center"/>
      </w:pPr>
      <w:r>
        <w:drawing>
          <wp:inline xmlns:a="http://schemas.openxmlformats.org/drawingml/2006/main" xmlns:pic="http://schemas.openxmlformats.org/drawingml/2006/picture">
            <wp:extent cx="5943600" cy="2390361"/>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5943600" cy="2390361"/>
                    </a:xfrm>
                    <a:prstGeom prst="rect"/>
                  </pic:spPr>
                </pic:pic>
              </a:graphicData>
            </a:graphic>
          </wp:inline>
        </w:drawing>
      </w:r>
    </w:p>
    <w:p>
      <w:pPr>
        <w:spacing w:after="200" w:before="0"/>
      </w:pPr>
      <w:r>
        <w:rPr>
          <w:b w:val="0"/>
          <w:i/>
          <w:color w:val="6E7B77"/>
          <w:sz w:val="17"/>
        </w:rPr>
        <w:t>Figure 8 — Where each expert lands. The span within each bar is the risk debate; the distance between bars is method.</w:t>
      </w:r>
    </w:p>
    <w:p>
      <w:pPr>
        <w:spacing w:after="80" w:before="200"/>
      </w:pPr>
      <w:r>
        <w:rPr>
          <w:b/>
          <w:i w:val="0"/>
          <w:color w:val="1C3A36"/>
          <w:sz w:val="24"/>
        </w:rPr>
        <w:t>C.6  Divergence table — which assumption drives which gap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224"/>
        <w:gridCol w:w="5616"/>
      </w:tblGrid>
      <w:tr>
        <w:tc>
          <w:tcPr>
            <w:tcW w:type="dxa" w:w="2952"/>
            <w:shd w:val="clear" w:color="auto" w:fill="EAF0EE"/>
          </w:tcPr>
          <w:p>
            <w:pPr>
              <w:spacing w:after="20"/>
            </w:pPr>
            <w:r>
              <w:rPr>
                <w:b/>
                <w:color w:val="1C3A36"/>
                <w:sz w:val="16"/>
              </w:rPr>
              <w:t>Gap</w:t>
            </w:r>
          </w:p>
        </w:tc>
        <w:tc>
          <w:tcPr>
            <w:tcW w:type="dxa" w:w="1224"/>
            <w:shd w:val="clear" w:color="auto" w:fill="EAF0EE"/>
          </w:tcPr>
          <w:p>
            <w:pPr>
              <w:spacing w:after="20"/>
            </w:pPr>
            <w:r>
              <w:rPr>
                <w:b/>
                <w:color w:val="1C3A36"/>
                <w:sz w:val="16"/>
              </w:rPr>
              <w:t>Size (AED)</w:t>
            </w:r>
          </w:p>
        </w:tc>
        <w:tc>
          <w:tcPr>
            <w:tcW w:type="dxa" w:w="5616"/>
            <w:shd w:val="clear" w:color="auto" w:fill="EAF0EE"/>
          </w:tcPr>
          <w:p>
            <w:pPr>
              <w:spacing w:after="20"/>
            </w:pPr>
            <w:r>
              <w:rPr>
                <w:b/>
                <w:color w:val="1C3A36"/>
                <w:sz w:val="16"/>
              </w:rPr>
              <w:t>The assumption behind it</w:t>
            </w:r>
          </w:p>
        </w:tc>
      </w:tr>
      <w:tr>
        <w:tc>
          <w:tcPr>
            <w:tcW w:type="dxa" w:w="2952"/>
          </w:tcPr>
          <w:p>
            <w:pPr>
              <w:spacing w:after="20"/>
            </w:pPr>
            <w:r>
              <w:rPr>
                <w:color w:val="1C3A36"/>
                <w:sz w:val="16"/>
              </w:rPr>
              <w:t>Expert 1 at own risk vs Expert 1 at sector risk</w:t>
            </w:r>
          </w:p>
        </w:tc>
        <w:tc>
          <w:tcPr>
            <w:tcW w:type="dxa" w:w="1224"/>
          </w:tcPr>
          <w:p>
            <w:pPr>
              <w:spacing w:after="20"/>
              <w:jc w:val="right"/>
            </w:pPr>
            <w:r>
              <w:rPr>
                <w:color w:val="1C3A36"/>
                <w:sz w:val="16"/>
              </w:rPr>
              <w:t>1.30</w:t>
            </w:r>
          </w:p>
        </w:tc>
        <w:tc>
          <w:tcPr>
            <w:tcW w:type="dxa" w:w="5616"/>
          </w:tcPr>
          <w:p>
            <w:pPr>
              <w:spacing w:after="20"/>
              <w:jc w:val="right"/>
            </w:pPr>
            <w:r>
              <w:rPr>
                <w:color w:val="1C3A36"/>
                <w:sz w:val="16"/>
              </w:rPr>
              <w:t>Beta of 0.42 against 1.12 — a cost of capital of 6.09% against 9.03%. This single input is larger than every other disagreement combined</w:t>
            </w:r>
          </w:p>
        </w:tc>
      </w:tr>
      <w:tr>
        <w:tc>
          <w:tcPr>
            <w:tcW w:type="dxa" w:w="2952"/>
          </w:tcPr>
          <w:p>
            <w:pPr>
              <w:spacing w:after="20"/>
            </w:pPr>
            <w:r>
              <w:rPr>
                <w:color w:val="1C3A36"/>
                <w:sz w:val="16"/>
              </w:rPr>
              <w:t>Expert 1 vs Expert 3, at own risk</w:t>
            </w:r>
          </w:p>
        </w:tc>
        <w:tc>
          <w:tcPr>
            <w:tcW w:type="dxa" w:w="1224"/>
          </w:tcPr>
          <w:p>
            <w:pPr>
              <w:spacing w:after="20"/>
              <w:jc w:val="right"/>
            </w:pPr>
            <w:r>
              <w:rPr>
                <w:color w:val="1C3A36"/>
                <w:sz w:val="16"/>
              </w:rPr>
              <w:t>1.06</w:t>
            </w:r>
          </w:p>
        </w:tc>
        <w:tc>
          <w:tcPr>
            <w:tcW w:type="dxa" w:w="5616"/>
          </w:tcPr>
          <w:p>
            <w:pPr>
              <w:spacing w:after="20"/>
              <w:jc w:val="right"/>
            </w:pPr>
            <w:r>
              <w:rPr>
                <w:color w:val="1C3A36"/>
                <w:sz w:val="16"/>
              </w:rPr>
              <w:t>A discounted cash flow at a low cost of capital against a through-cycle multiple. Method, not data</w:t>
            </w:r>
          </w:p>
        </w:tc>
      </w:tr>
      <w:tr>
        <w:tc>
          <w:tcPr>
            <w:tcW w:type="dxa" w:w="2952"/>
          </w:tcPr>
          <w:p>
            <w:pPr>
              <w:spacing w:after="20"/>
            </w:pPr>
            <w:r>
              <w:rPr>
                <w:color w:val="1C3A36"/>
                <w:sz w:val="16"/>
              </w:rPr>
              <w:t>Expert 1 vs Expert 2, at own risk</w:t>
            </w:r>
          </w:p>
        </w:tc>
        <w:tc>
          <w:tcPr>
            <w:tcW w:type="dxa" w:w="1224"/>
          </w:tcPr>
          <w:p>
            <w:pPr>
              <w:spacing w:after="20"/>
              <w:jc w:val="right"/>
            </w:pPr>
            <w:r>
              <w:rPr>
                <w:color w:val="1C3A36"/>
                <w:sz w:val="16"/>
              </w:rPr>
              <w:t>0.40</w:t>
            </w:r>
          </w:p>
        </w:tc>
        <w:tc>
          <w:tcPr>
            <w:tcW w:type="dxa" w:w="5616"/>
          </w:tcPr>
          <w:p>
            <w:pPr>
              <w:spacing w:after="20"/>
              <w:jc w:val="right"/>
            </w:pPr>
            <w:r>
              <w:rPr>
                <w:color w:val="1C3A36"/>
                <w:sz w:val="16"/>
              </w:rPr>
              <w:t>The forecast adds value above what the current book and return alone justify — the value of the five explicit years</w:t>
            </w:r>
          </w:p>
        </w:tc>
      </w:tr>
      <w:tr>
        <w:tc>
          <w:tcPr>
            <w:tcW w:type="dxa" w:w="2952"/>
          </w:tcPr>
          <w:p>
            <w:pPr>
              <w:spacing w:after="20"/>
            </w:pPr>
            <w:r>
              <w:rPr>
                <w:color w:val="1C3A36"/>
                <w:sz w:val="16"/>
              </w:rPr>
              <w:t>Shipping normalises vs disruption persists</w:t>
            </w:r>
          </w:p>
        </w:tc>
        <w:tc>
          <w:tcPr>
            <w:tcW w:type="dxa" w:w="1224"/>
          </w:tcPr>
          <w:p>
            <w:pPr>
              <w:spacing w:after="20"/>
              <w:jc w:val="right"/>
            </w:pPr>
            <w:r>
              <w:rPr>
                <w:color w:val="1C3A36"/>
                <w:sz w:val="16"/>
              </w:rPr>
              <w:t>0.1 fils</w:t>
            </w:r>
          </w:p>
        </w:tc>
        <w:tc>
          <w:tcPr>
            <w:tcW w:type="dxa" w:w="5616"/>
          </w:tcPr>
          <w:p>
            <w:pPr>
              <w:spacing w:after="20"/>
              <w:jc w:val="right"/>
            </w:pPr>
            <w:r>
              <w:rPr>
                <w:color w:val="1C3A36"/>
                <w:sz w:val="16"/>
              </w:rPr>
              <w:t>A year of impaired utilisation and elevated freight, inside a five-year window where most value sits beyond it. Loud in the news, quiet in the arithmetic</w:t>
            </w:r>
          </w:p>
        </w:tc>
      </w:tr>
      <w:tr>
        <w:tc>
          <w:tcPr>
            <w:tcW w:type="dxa" w:w="2952"/>
          </w:tcPr>
          <w:p>
            <w:pPr>
              <w:spacing w:after="20"/>
            </w:pPr>
            <w:r>
              <w:rPr>
                <w:color w:val="1C3A36"/>
                <w:sz w:val="16"/>
              </w:rPr>
              <w:t>Terminal growth 1.0% vs 3.0%</w:t>
            </w:r>
          </w:p>
        </w:tc>
        <w:tc>
          <w:tcPr>
            <w:tcW w:type="dxa" w:w="1224"/>
          </w:tcPr>
          <w:p>
            <w:pPr>
              <w:spacing w:after="20"/>
              <w:jc w:val="right"/>
            </w:pPr>
            <w:r>
              <w:rPr>
                <w:color w:val="1C3A36"/>
                <w:sz w:val="16"/>
              </w:rPr>
              <w:t>0.89</w:t>
            </w:r>
          </w:p>
        </w:tc>
        <w:tc>
          <w:tcPr>
            <w:tcW w:type="dxa" w:w="5616"/>
          </w:tcPr>
          <w:p>
            <w:pPr>
              <w:spacing w:after="20"/>
              <w:jc w:val="right"/>
            </w:pPr>
            <w:r>
              <w:rPr>
                <w:color w:val="1C3A36"/>
                <w:sz w:val="16"/>
              </w:rPr>
              <w:t>Return on capital sits above the cost of capital, so growth adds value here rather than destroying it</w:t>
            </w:r>
          </w:p>
        </w:tc>
      </w:tr>
    </w:tbl>
    <w:p>
      <w:pPr>
        <w:spacing w:after="40"/>
      </w:pPr>
    </w:p>
    <w:p>
      <w:pPr>
        <w:spacing w:after="200" w:before="0"/>
      </w:pPr>
      <w:r>
        <w:rPr>
          <w:b w:val="0"/>
          <w:i/>
          <w:color w:val="6E7B77"/>
          <w:sz w:val="17"/>
        </w:rPr>
        <w:t>Table C2 — The divergences, isolated. The beta line is the study’s central contested judgement and dwarfs the rest.</w:t>
      </w:r>
    </w:p>
    <w:p>
      <w:r>
        <w:br w:type="page"/>
      </w:r>
    </w:p>
    <w:p>
      <w:pPr>
        <w:spacing w:after="120" w:before="280"/>
      </w:pPr>
      <w:r>
        <w:rPr>
          <w:b/>
          <w:i w:val="0"/>
          <w:color w:val="1C3A36"/>
          <w:sz w:val="30"/>
        </w:rPr>
        <w:t>About this study</w:t>
      </w:r>
    </w:p>
    <w:p>
      <w:pPr>
        <w:spacing w:after="120" w:before="0"/>
      </w:pPr>
      <w:r>
        <w:rPr>
          <w:b w:val="0"/>
          <w:i w:val="0"/>
          <w:color w:val="1C3A36"/>
          <w:sz w:val="21"/>
        </w:rPr>
        <w:t>Testahil publishes independent valuation studies and calibrated probability ranges, and keeps a public record of every forecast it makes so that its accuracy can be checked rather than claimed.</w:t>
      </w:r>
    </w:p>
    <w:p>
      <w:pPr>
        <w:spacing w:after="120" w:before="0"/>
      </w:pPr>
      <w:r>
        <w:rPr>
          <w:b w:val="0"/>
          <w:i w:val="0"/>
          <w:color w:val="1C3A36"/>
          <w:sz w:val="21"/>
        </w:rPr>
        <w:t>Two commitments shape how this document is written. The first is that historical figures come only from the company’s own issued statements — never from a data vendor, a broker note or a press summary. Where an official document could not be obtained, the study would say so and stop rather than substitute. In this case every document needed was obtained directly from the company and verified. The second is that a forecast is built from the ground up: product by product, tonnes times price, cost per tonne, with each cost escalating on the thing that actually drives it. Margins are an output of that build, never an input to it.</w:t>
      </w:r>
    </w:p>
    <w:p>
      <w:pPr>
        <w:spacing w:after="120" w:before="0"/>
      </w:pPr>
      <w:r>
        <w:rPr>
          <w:b w:val="0"/>
          <w:i w:val="0"/>
          <w:color w:val="1C3A36"/>
          <w:sz w:val="21"/>
        </w:rPr>
        <w:t>Where a figure has two legitimate constructions, both are published. This study does that twice — for the cost of capital and for the shipping disruption — and averages neither.</w:t>
      </w:r>
    </w:p>
    <w:p>
      <w:pPr>
        <w:spacing w:after="120" w:before="280"/>
      </w:pPr>
      <w:r>
        <w:rPr>
          <w:b/>
          <w:i w:val="0"/>
          <w:color w:val="1C3A36"/>
          <w:sz w:val="30"/>
        </w:rPr>
        <w:t>Disclosure</w:t>
      </w:r>
    </w:p>
    <w:p>
      <w:pPr>
        <w:spacing w:after="120" w:before="0"/>
      </w:pPr>
      <w:r>
        <w:rPr>
          <w:b w:val="0"/>
          <w:i w:val="0"/>
          <w:color w:val="1C3A36"/>
          <w:sz w:val="21"/>
        </w:rPr>
        <w:t>This document is educational analysis and is not investment advice, an offer, or a solicitation. It is not a recommendation to buy, sell or hold any security. It contains no rating and no price target, by design: it publishes ranges and probability distributions instead, because a single number would imply a precision that the evidence does not support.</w:t>
      </w:r>
    </w:p>
    <w:p>
      <w:pPr>
        <w:spacing w:after="120" w:before="0"/>
      </w:pPr>
      <w:r>
        <w:rPr>
          <w:b w:val="0"/>
          <w:i w:val="0"/>
          <w:color w:val="1C3A36"/>
          <w:sz w:val="21"/>
        </w:rPr>
        <w:t>The analysis rests on information believed to be reliable, drawn from the company’s own published filings and from official statistical sources, but its accuracy and completeness are not guaranteed. Valuation involves assumptions about the future that will not be borne out exactly. The probability ranges in Section 3 describe how this share has behaved historically and are explicitly not promises about how it will behave.</w:t>
      </w:r>
    </w:p>
    <w:p>
      <w:pPr>
        <w:spacing w:after="120" w:before="0"/>
      </w:pPr>
      <w:r>
        <w:rPr>
          <w:b w:val="0"/>
          <w:i w:val="0"/>
          <w:color w:val="1C3A36"/>
          <w:sz w:val="21"/>
        </w:rPr>
        <w:t>All figures are as at 7 August 2026 for market data and the dates stated for financial data. The study was prepared on 9 August 2026. Currency amounts are US dollars for financial statements and dirhams for per-share figures, converted at the pegged rate of 3.6725 dirhams to the dollar.</w:t>
      </w:r>
    </w:p>
    <w:p>
      <w:pPr>
        <w:spacing w:after="120" w:before="0"/>
      </w:pPr>
      <w:r>
        <w:rPr>
          <w:b w:val="0"/>
          <w:i w:val="0"/>
          <w:color w:val="6E7B77"/>
          <w:sz w:val="19"/>
        </w:rPr>
        <w:t>Readers should form their own view and, where appropriate, seek professional advice suited to their own circumstances.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