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209</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241</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166</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 model change is cheap and a workbook change is not, and the workbook is where a rebuild actually stops</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EMPOWER's terminal rebuild was built, run and priced in the model in under an hour: about +1.5% on the terminal and +0.5% on the answer. It was then set down, because the delivered workbook publishes FOUR parallel live models on one sheet — the crux columns, the second tax framing, the bear case and the upside — each rebuilding the terminal in live formulas on a fixed row map built from chained range() allocations, and the sanctioned construction needs six more rows per block. Inserting them moves addresses that a dozen formulas on four other sheets name directly, which is the defect that broke five sheets on an earlier name. THE HONEST OUTPUT OF A REBUILD THAT CANNOT BE FINISHED IS THE EVIDENCE IT GATHERED, WRITTEN DOWN SO THE NEXT PASS IS A BUILD RATHER THAN A RESEARCH TASK — and the honest thing NOT to do is leave a model rebuilt while the workbook publishes the retired construction, which is worse than either state alone.</w:t>
      </w:r>
    </w:p>
    <w:p>
      <w:pPr>
        <w:spacing w:after="60"/>
        <w:ind w:left="283"/>
      </w:pPr>
      <w:r>
        <w:rPr>
          <w:b w:val="0"/>
          <w:i w:val="0"/>
          <w:color w:val="5B6570"/>
          <w:sz w:val="19"/>
        </w:rPr>
        <w:t>How we know.  compute.py routed through the sanctioned module and run: terminal +1.5%, central +0.5%. build_xlsx_empower.py: four terminal blocks on the Sensitivity sheet alone, row map S_PVEX..S_PS = range(40,51) with three further chained ranges below it. Evidence written to engine/empower_study/TERMINAL_EVIDENCE_04-09-2026.md, including the audited statements read by OCR and footed four ways, and the derived asset life of 28.10 years.</w:t>
      </w:r>
    </w:p>
    <w:p>
      <w:pPr>
        <w:spacing w:after="160"/>
        <w:ind w:left="283"/>
      </w:pPr>
      <w:r>
        <w:rPr>
          <w:b w:val="0"/>
          <w:i w:val="0"/>
          <w:color w:val="5B6570"/>
          <w:sz w:val="19"/>
        </w:rPr>
        <w:t>What would overturn it.  A workbook whose row map is published from the builder rather than hard-coded, which is the fix this lesson points at and which would make the same change routine.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