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Sinai Cement Company S.A.E.</w:t>
      </w:r>
    </w:p>
    <w:p>
      <w:pPr>
        <w:spacing w:after="200" w:before="0"/>
      </w:pPr>
      <w:r>
        <w:rPr>
          <w:b w:val="0"/>
          <w:i w:val="0"/>
          <w:color w:val="6E7B77"/>
          <w:sz w:val="22"/>
        </w:rPr>
        <w:t>Egyptian Exchange · SCEM · Egyptian pounds · 6 August 2026</w:t>
      </w:r>
    </w:p>
    <w:p>
      <w:pPr>
        <w:spacing w:after="200" w:before="0"/>
      </w:pPr>
      <w:r>
        <w:rPr>
          <w:b w:val="0"/>
          <w:i w:val="0"/>
          <w:color w:val="1C3A36"/>
          <w:sz w:val="24"/>
        </w:rPr>
        <w:t>A single-plant cement producer, sitting on net cash worth 37% of its market capitalisation, at the top of the best year the Egyptian cement industry has had since 2008 — and with 12.6 million tonnes of dormant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Sinai Cement,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cement lines at El Hassana in North Sinai, about 3.8 million tonnes a year of capacity, 77.6% owned by the French Vicat group, with a 22.4% free float and essentially no debt.</w:t>
            </w:r>
          </w:p>
          <w:p>
            <w:pPr>
              <w:spacing w:after="100"/>
            </w:pPr>
            <w:r>
              <w:rPr>
                <w:b/>
                <w:color w:val="1C3A36"/>
                <w:sz w:val="19"/>
              </w:rPr>
              <w:t xml:space="preserve">Where the value lands. </w:t>
            </w:r>
            <w:r>
              <w:rPr>
                <w:color w:val="1C3A36"/>
                <w:sz w:val="19"/>
              </w:rPr>
              <w:t>Four lenses put the shares between EGP 43.81 and EGP 87.37, weighting to a central EGP 53.12 against a market price of EGP 79.00 — -32.8%.</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43.81</w:t>
            </w:r>
          </w:p>
        </w:tc>
        <w:tc>
          <w:tcPr>
            <w:tcW w:type="dxa" w:w="1037"/>
          </w:tcPr>
          <w:p>
            <w:pPr>
              <w:spacing w:after="20"/>
              <w:jc w:val="right"/>
            </w:pPr>
            <w:r>
              <w:rPr>
                <w:color w:val="1C3A36"/>
                <w:sz w:val="18"/>
              </w:rPr>
              <w:t>48%</w:t>
            </w:r>
          </w:p>
        </w:tc>
        <w:tc>
          <w:tcPr>
            <w:tcW w:type="dxa" w:w="1469"/>
          </w:tcPr>
          <w:p>
            <w:pPr>
              <w:spacing w:after="20"/>
              <w:jc w:val="right"/>
            </w:pPr>
            <w:r>
              <w:rPr>
                <w:color w:val="1C3A36"/>
                <w:sz w:val="18"/>
              </w:rPr>
              <w:t>-44.5%</w:t>
            </w:r>
          </w:p>
        </w:tc>
        <w:tc>
          <w:tcPr>
            <w:tcW w:type="dxa" w:w="1958"/>
          </w:tcPr>
          <w:p>
            <w:pPr>
              <w:spacing w:after="20"/>
              <w:jc w:val="right"/>
            </w:pPr>
            <w:r>
              <w:rPr>
                <w:color w:val="1C3A36"/>
                <w:sz w:val="18"/>
              </w:rPr>
              <w:t>49.2%</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55.88</w:t>
            </w:r>
          </w:p>
        </w:tc>
        <w:tc>
          <w:tcPr>
            <w:tcW w:type="dxa" w:w="1037"/>
          </w:tcPr>
          <w:p>
            <w:pPr>
              <w:spacing w:after="20"/>
              <w:jc w:val="right"/>
            </w:pPr>
            <w:r>
              <w:rPr>
                <w:color w:val="1C3A36"/>
                <w:sz w:val="18"/>
              </w:rPr>
              <w:t>21%</w:t>
            </w:r>
          </w:p>
        </w:tc>
        <w:tc>
          <w:tcPr>
            <w:tcW w:type="dxa" w:w="1469"/>
          </w:tcPr>
          <w:p>
            <w:pPr>
              <w:spacing w:after="20"/>
              <w:jc w:val="right"/>
            </w:pPr>
            <w:r>
              <w:rPr>
                <w:color w:val="1C3A36"/>
                <w:sz w:val="18"/>
              </w:rPr>
              <w:t>-29.3%</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58.10</w:t>
            </w:r>
          </w:p>
        </w:tc>
        <w:tc>
          <w:tcPr>
            <w:tcW w:type="dxa" w:w="1037"/>
          </w:tcPr>
          <w:p>
            <w:pPr>
              <w:spacing w:after="20"/>
              <w:jc w:val="right"/>
            </w:pPr>
            <w:r>
              <w:rPr>
                <w:color w:val="1C3A36"/>
                <w:sz w:val="18"/>
              </w:rPr>
              <w:t>23%</w:t>
            </w:r>
          </w:p>
        </w:tc>
        <w:tc>
          <w:tcPr>
            <w:tcW w:type="dxa" w:w="1469"/>
          </w:tcPr>
          <w:p>
            <w:pPr>
              <w:spacing w:after="20"/>
              <w:jc w:val="right"/>
            </w:pPr>
            <w:r>
              <w:rPr>
                <w:color w:val="1C3A36"/>
                <w:sz w:val="18"/>
              </w:rPr>
              <w:t>-26.5%</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87.37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+10.6%</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53.12</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-32.8%</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43.81 – 87.37</w:t>
            </w:r>
          </w:p>
        </w:tc>
        <w:tc>
          <w:tcPr>
            <w:tcW w:type="dxa" w:w="1037"/>
          </w:tcPr>
          <w:p>
            <w:pPr>
              <w:spacing w:after="20"/>
              <w:jc w:val="right"/>
            </w:pPr>
            <w:r>
              <w:rPr>
                <w:color w:val="1C3A36"/>
                <w:sz w:val="18"/>
              </w:rPr>
              <w:t>—</w:t>
            </w:r>
          </w:p>
        </w:tc>
        <w:tc>
          <w:tcPr>
            <w:tcW w:type="dxa" w:w="1469"/>
          </w:tcPr>
          <w:p>
            <w:pPr>
              <w:spacing w:after="20"/>
              <w:jc w:val="right"/>
            </w:pPr>
            <w:r>
              <w:rPr>
                <w:color w:val="1C3A36"/>
                <w:sz w:val="18"/>
              </w:rPr>
              <w:t>-44.5% to +10.6%</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6 August 2026</w:t>
            </w:r>
          </w:p>
        </w:tc>
        <w:tc>
          <w:tcPr>
            <w:tcW w:type="dxa" w:w="1944"/>
          </w:tcPr>
          <w:p>
            <w:pPr>
              <w:spacing w:after="20"/>
              <w:jc w:val="right"/>
            </w:pPr>
            <w:r>
              <w:rPr>
                <w:color w:val="1C3A36"/>
                <w:sz w:val="18"/>
              </w:rPr>
              <w:t>79.00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r>
        <w:tc>
          <w:tcPr>
            <w:tcW w:type="dxa" w:w="3672"/>
          </w:tcPr>
          <w:p>
            <w:pPr>
              <w:spacing w:after="20"/>
            </w:pPr>
            <w:r>
              <w:rPr>
                <w:color w:val="1C3A36"/>
                <w:sz w:val="18"/>
              </w:rPr>
              <w:t>Vicat tender offer, July 2025 (reference only)</w:t>
            </w:r>
          </w:p>
        </w:tc>
        <w:tc>
          <w:tcPr>
            <w:tcW w:type="dxa" w:w="1944"/>
          </w:tcPr>
          <w:p>
            <w:pPr>
              <w:spacing w:after="20"/>
              <w:jc w:val="right"/>
            </w:pPr>
            <w:r>
              <w:rPr>
                <w:color w:val="1C3A36"/>
                <w:sz w:val="18"/>
              </w:rPr>
              <w:t>41.00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-48.1%</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1.1.</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Sinai Cement is valued as a single operating company, not as a sum of parts, and the reason is worth stating before any number. Essentially all of its revenue is grey cement and clinker from one asset base. Its subsidiaries are a service arm and a trading arm feeding that same cement rather than separable businesses. Its balance sheet carries EGP 36.8 million of total debt against roughly EGP 5.2 billion of equity, which makes it net cash rather than leveraged. There is no lending book, no captive finance arm and no third-party asset management.</w:t>
      </w:r>
    </w:p>
    <w:p>
      <w:pPr>
        <w:spacing w:after="120" w:before="0"/>
      </w:pPr>
      <w:r>
        <w:rPr>
          <w:b w:val="0"/>
          <w:i w:val="0"/>
          <w:color w:val="1C3A36"/>
          <w:sz w:val="21"/>
        </w:rPr>
        <w:t>The one thing that could have made this a two-legged valuation has already been sold. Sinai Cement held 25.40% of Sinai White Portland Cement and disposed of it to Aalborg Portland, part of the Cementir group, for EUR 30 million, completing on 13 August 2024. There is no second leg left to value, so a single lens is not a simplification here — it is the accurate description.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One thing to fix in your head before reading the history. </w:t>
            </w:r>
            <w:r>
              <w:rPr>
                <w:color w:val="1C3A36"/>
                <w:sz w:val="19"/>
              </w:rPr>
              <w:t>Profit after tax of EGP 3,070 million in FY2024 on revenue of EGP 6,420 million is a 48% net margin. No cement plant earns that from making cement. That year contains the Sinai White disposal gain of roughly EGP 1,502 million and treasury income of EGP 582 million. THE UNDERLYING FIGURE IS NOT THE REPORTED PROFIT LESS THE GAIN: it is operating profit of EGP 1,192 million plus that treasury income, taxed at the effective 32.0%, which is EGP 1,206 million — so FY2025 profit +90% rather than -25% as the headline comparison suggests.</w:t>
            </w:r>
          </w:p>
        </w:tc>
      </w:tr>
    </w:tbl>
    <w:p>
      <w:pPr>
        <w:spacing w:after="40"/>
      </w:pPr>
    </w:p>
    <w:p>
      <w:pPr>
        <w:spacing w:after="40"/>
        <w:jc w:val="center"/>
      </w:pPr>
      <w:r>
        <w:drawing>
          <wp:inline xmlns:a="http://schemas.openxmlformats.org/drawingml/2006/main" xmlns:pic="http://schemas.openxmlformats.org/drawingml/2006/picture">
            <wp:extent cx="6126480" cy="2541837"/>
            <wp:docPr id="2" name="Picture 2"/>
            <wp:cNvGraphicFramePr>
              <a:graphicFrameLocks noChangeAspect="1"/>
            </wp:cNvGraphicFramePr>
            <a:graphic>
              <a:graphicData uri="http://schemas.openxmlformats.org/drawingml/2006/picture">
                <pic:pic>
                  <pic:nvPicPr>
                    <pic:cNvPr id="0" name="fig7_bridge.png"/>
                    <pic:cNvPicPr/>
                  </pic:nvPicPr>
                  <pic:blipFill>
                    <a:blip r:embed="rId10"/>
                    <a:stretch>
                      <a:fillRect/>
                    </a:stretch>
                  </pic:blipFill>
                  <pic:spPr>
                    <a:xfrm>
                      <a:off x="0" y="0"/>
                      <a:ext cx="6126480" cy="2541837"/>
                    </a:xfrm>
                    <a:prstGeom prst="rect"/>
                  </pic:spPr>
                </pic:pic>
              </a:graphicData>
            </a:graphic>
          </wp:inline>
        </w:drawing>
      </w:r>
    </w:p>
    <w:p>
      <w:pPr>
        <w:spacing w:after="200" w:before="0"/>
      </w:pPr>
      <w:r>
        <w:rPr>
          <w:b w:val="0"/>
          <w:i/>
          <w:color w:val="6E7B77"/>
          <w:sz w:val="17"/>
        </w:rPr>
        <w:t>Figure 2 — Profit after tax across three years, and what FY2024 actually contained.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discounted cash-flow model is the primary lens and carries 45% of the weight. It runs on a volume-and-price build off one plant, discounts each year at that year's own cost of capital, and capitalises a terminal value at a separately built terminal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t>EGP million</w:t>
            </w:r>
          </w:p>
        </w:tc>
        <w:tc>
          <w:tcPr>
            <w:tcW w:type="dxa" w:w="1354"/>
            <w:shd w:val="clear" w:color="auto" w:fill="EAF0EE"/>
          </w:tcPr>
          <w:p>
            <w:pPr>
              <w:spacing w:after="20"/>
            </w:pPr>
            <w:r>
              <w:rPr>
                <w:b/>
                <w:color w:val="1C3A36"/>
                <w:sz w:val="18"/>
              </w:rPr>
              <w:t>FY2026E</w:t>
            </w:r>
          </w:p>
        </w:tc>
        <w:tc>
          <w:tcPr>
            <w:tcW w:type="dxa" w:w="1354"/>
            <w:shd w:val="clear" w:color="auto" w:fill="EAF0EE"/>
          </w:tcPr>
          <w:p>
            <w:pPr>
              <w:spacing w:after="20"/>
            </w:pPr>
            <w:r>
              <w:rPr>
                <w:b/>
                <w:color w:val="1C3A36"/>
                <w:sz w:val="18"/>
              </w:rPr>
              <w:t>FY2027E</w:t>
            </w:r>
          </w:p>
        </w:tc>
        <w:tc>
          <w:tcPr>
            <w:tcW w:type="dxa" w:w="1354"/>
            <w:shd w:val="clear" w:color="auto" w:fill="EAF0EE"/>
          </w:tcPr>
          <w:p>
            <w:pPr>
              <w:spacing w:after="20"/>
            </w:pPr>
            <w:r>
              <w:rPr>
                <w:b/>
                <w:color w:val="1C3A36"/>
                <w:sz w:val="18"/>
              </w:rPr>
              <w:t>FY2028E</w:t>
            </w:r>
          </w:p>
        </w:tc>
        <w:tc>
          <w:tcPr>
            <w:tcW w:type="dxa" w:w="1354"/>
            <w:shd w:val="clear" w:color="auto" w:fill="EAF0EE"/>
          </w:tcPr>
          <w:p>
            <w:pPr>
              <w:spacing w:after="20"/>
            </w:pPr>
            <w:r>
              <w:rPr>
                <w:b/>
                <w:color w:val="1C3A36"/>
                <w:sz w:val="18"/>
              </w:rPr>
              <w:t>FY2029E</w:t>
            </w:r>
          </w:p>
        </w:tc>
        <w:tc>
          <w:tcPr>
            <w:tcW w:type="dxa" w:w="1354"/>
            <w:shd w:val="clear" w:color="auto" w:fill="EAF0EE"/>
          </w:tcPr>
          <w:p>
            <w:pPr>
              <w:spacing w:after="20"/>
            </w:pPr>
            <w:r>
              <w:rPr>
                <w:b/>
                <w:color w:val="1C3A36"/>
                <w:sz w:val="18"/>
              </w:rPr>
              <w:t>FY2030E</w:t>
            </w:r>
          </w:p>
        </w:tc>
      </w:tr>
      <w:tr>
        <w:tc>
          <w:tcPr>
            <w:tcW w:type="dxa" w:w="3240"/>
          </w:tcPr>
          <w:p>
            <w:pPr>
              <w:spacing w:after="20"/>
            </w:pPr>
            <w:r>
              <w:rPr>
                <w:color w:val="1C3A36"/>
                <w:sz w:val="18"/>
              </w:rPr>
              <w:t>Revenue</w:t>
            </w:r>
          </w:p>
        </w:tc>
        <w:tc>
          <w:tcPr>
            <w:tcW w:type="dxa" w:w="1354"/>
          </w:tcPr>
          <w:p>
            <w:pPr>
              <w:spacing w:after="20"/>
              <w:jc w:val="right"/>
            </w:pPr>
            <w:r>
              <w:rPr>
                <w:color w:val="1C3A36"/>
                <w:sz w:val="18"/>
              </w:rPr>
              <w:t>9,676</w:t>
            </w:r>
          </w:p>
        </w:tc>
        <w:tc>
          <w:tcPr>
            <w:tcW w:type="dxa" w:w="1354"/>
          </w:tcPr>
          <w:p>
            <w:pPr>
              <w:spacing w:after="20"/>
              <w:jc w:val="right"/>
            </w:pPr>
            <w:r>
              <w:rPr>
                <w:color w:val="1C3A36"/>
                <w:sz w:val="18"/>
              </w:rPr>
              <w:t>10,309</w:t>
            </w:r>
          </w:p>
        </w:tc>
        <w:tc>
          <w:tcPr>
            <w:tcW w:type="dxa" w:w="1354"/>
          </w:tcPr>
          <w:p>
            <w:pPr>
              <w:spacing w:after="20"/>
              <w:jc w:val="right"/>
            </w:pPr>
            <w:r>
              <w:rPr>
                <w:color w:val="1C3A36"/>
                <w:sz w:val="18"/>
              </w:rPr>
              <w:t>11,026</w:t>
            </w:r>
          </w:p>
        </w:tc>
        <w:tc>
          <w:tcPr>
            <w:tcW w:type="dxa" w:w="1354"/>
          </w:tcPr>
          <w:p>
            <w:pPr>
              <w:spacing w:after="20"/>
              <w:jc w:val="right"/>
            </w:pPr>
            <w:r>
              <w:rPr>
                <w:color w:val="1C3A36"/>
                <w:sz w:val="18"/>
              </w:rPr>
              <w:t>11,842</w:t>
            </w:r>
          </w:p>
        </w:tc>
        <w:tc>
          <w:tcPr>
            <w:tcW w:type="dxa" w:w="1354"/>
          </w:tcPr>
          <w:p>
            <w:pPr>
              <w:spacing w:after="20"/>
              <w:jc w:val="right"/>
            </w:pPr>
            <w:r>
              <w:rPr>
                <w:color w:val="1C3A36"/>
                <w:sz w:val="18"/>
              </w:rPr>
              <w:t>12,669</w:t>
            </w:r>
          </w:p>
        </w:tc>
      </w:tr>
      <w:tr>
        <w:tc>
          <w:tcPr>
            <w:tcW w:type="dxa" w:w="3240"/>
          </w:tcPr>
          <w:p>
            <w:pPr>
              <w:spacing w:after="20"/>
            </w:pPr>
            <w:r>
              <w:rPr>
                <w:color w:val="1C3A36"/>
                <w:sz w:val="18"/>
              </w:rPr>
              <w:t>EBITDA</w:t>
            </w:r>
          </w:p>
        </w:tc>
        <w:tc>
          <w:tcPr>
            <w:tcW w:type="dxa" w:w="1354"/>
          </w:tcPr>
          <w:p>
            <w:pPr>
              <w:spacing w:after="20"/>
              <w:jc w:val="right"/>
            </w:pPr>
            <w:r>
              <w:rPr>
                <w:color w:val="1C3A36"/>
                <w:sz w:val="18"/>
              </w:rPr>
              <w:t>2,916</w:t>
            </w:r>
          </w:p>
        </w:tc>
        <w:tc>
          <w:tcPr>
            <w:tcW w:type="dxa" w:w="1354"/>
          </w:tcPr>
          <w:p>
            <w:pPr>
              <w:spacing w:after="20"/>
              <w:jc w:val="right"/>
            </w:pPr>
            <w:r>
              <w:rPr>
                <w:color w:val="1C3A36"/>
                <w:sz w:val="18"/>
              </w:rPr>
              <w:t>2,792</w:t>
            </w:r>
          </w:p>
        </w:tc>
        <w:tc>
          <w:tcPr>
            <w:tcW w:type="dxa" w:w="1354"/>
          </w:tcPr>
          <w:p>
            <w:pPr>
              <w:spacing w:after="20"/>
              <w:jc w:val="right"/>
            </w:pPr>
            <w:r>
              <w:rPr>
                <w:color w:val="1C3A36"/>
                <w:sz w:val="18"/>
              </w:rPr>
              <w:t>2,865</w:t>
            </w:r>
          </w:p>
        </w:tc>
        <w:tc>
          <w:tcPr>
            <w:tcW w:type="dxa" w:w="1354"/>
          </w:tcPr>
          <w:p>
            <w:pPr>
              <w:spacing w:after="20"/>
              <w:jc w:val="right"/>
            </w:pPr>
            <w:r>
              <w:rPr>
                <w:color w:val="1C3A36"/>
                <w:sz w:val="18"/>
              </w:rPr>
              <w:t>3,094</w:t>
            </w:r>
          </w:p>
        </w:tc>
        <w:tc>
          <w:tcPr>
            <w:tcW w:type="dxa" w:w="1354"/>
          </w:tcPr>
          <w:p>
            <w:pPr>
              <w:spacing w:after="20"/>
              <w:jc w:val="right"/>
            </w:pPr>
            <w:r>
              <w:rPr>
                <w:color w:val="1C3A36"/>
                <w:sz w:val="18"/>
              </w:rPr>
              <w:t>3,348</w:t>
            </w:r>
          </w:p>
        </w:tc>
      </w:tr>
      <w:tr>
        <w:tc>
          <w:tcPr>
            <w:tcW w:type="dxa" w:w="3240"/>
          </w:tcPr>
          <w:p>
            <w:pPr>
              <w:spacing w:after="20"/>
            </w:pPr>
            <w:r>
              <w:rPr>
                <w:color w:val="1C3A36"/>
                <w:sz w:val="18"/>
              </w:rPr>
              <w:t>EBITDA margin</w:t>
            </w:r>
          </w:p>
        </w:tc>
        <w:tc>
          <w:tcPr>
            <w:tcW w:type="dxa" w:w="1354"/>
          </w:tcPr>
          <w:p>
            <w:pPr>
              <w:spacing w:after="20"/>
              <w:jc w:val="right"/>
            </w:pPr>
            <w:r>
              <w:rPr>
                <w:color w:val="1C3A36"/>
                <w:sz w:val="18"/>
              </w:rPr>
              <w:t>30.1%</w:t>
            </w:r>
          </w:p>
        </w:tc>
        <w:tc>
          <w:tcPr>
            <w:tcW w:type="dxa" w:w="1354"/>
          </w:tcPr>
          <w:p>
            <w:pPr>
              <w:spacing w:after="20"/>
              <w:jc w:val="right"/>
            </w:pPr>
            <w:r>
              <w:rPr>
                <w:color w:val="1C3A36"/>
                <w:sz w:val="18"/>
              </w:rPr>
              <w:t>27.1%</w:t>
            </w:r>
          </w:p>
        </w:tc>
        <w:tc>
          <w:tcPr>
            <w:tcW w:type="dxa" w:w="1354"/>
          </w:tcPr>
          <w:p>
            <w:pPr>
              <w:spacing w:after="20"/>
              <w:jc w:val="right"/>
            </w:pPr>
            <w:r>
              <w:rPr>
                <w:color w:val="1C3A36"/>
                <w:sz w:val="18"/>
              </w:rPr>
              <w:t>26.0%</w:t>
            </w:r>
          </w:p>
        </w:tc>
        <w:tc>
          <w:tcPr>
            <w:tcW w:type="dxa" w:w="1354"/>
          </w:tcPr>
          <w:p>
            <w:pPr>
              <w:spacing w:after="20"/>
              <w:jc w:val="right"/>
            </w:pPr>
            <w:r>
              <w:rPr>
                <w:color w:val="1C3A36"/>
                <w:sz w:val="18"/>
              </w:rPr>
              <w:t>26.1%</w:t>
            </w:r>
          </w:p>
        </w:tc>
        <w:tc>
          <w:tcPr>
            <w:tcW w:type="dxa" w:w="1354"/>
          </w:tcPr>
          <w:p>
            <w:pPr>
              <w:spacing w:after="20"/>
              <w:jc w:val="right"/>
            </w:pPr>
            <w:r>
              <w:rPr>
                <w:color w:val="1C3A36"/>
                <w:sz w:val="18"/>
              </w:rPr>
              <w:t>26.4%</w:t>
            </w:r>
          </w:p>
        </w:tc>
      </w:tr>
      <w:tr>
        <w:tc>
          <w:tcPr>
            <w:tcW w:type="dxa" w:w="3240"/>
          </w:tcPr>
          <w:p>
            <w:pPr>
              <w:spacing w:after="20"/>
            </w:pPr>
            <w:r>
              <w:rPr>
                <w:color w:val="1C3A36"/>
                <w:sz w:val="18"/>
              </w:rPr>
              <w:t>Depreciation &amp; amortisation</w:t>
            </w:r>
          </w:p>
        </w:tc>
        <w:tc>
          <w:tcPr>
            <w:tcW w:type="dxa" w:w="1354"/>
          </w:tcPr>
          <w:p>
            <w:pPr>
              <w:spacing w:after="20"/>
              <w:jc w:val="right"/>
            </w:pPr>
            <w:r>
              <w:rPr>
                <w:color w:val="1C3A36"/>
                <w:sz w:val="18"/>
              </w:rPr>
              <w:t>445</w:t>
            </w:r>
          </w:p>
        </w:tc>
        <w:tc>
          <w:tcPr>
            <w:tcW w:type="dxa" w:w="1354"/>
          </w:tcPr>
          <w:p>
            <w:pPr>
              <w:spacing w:after="20"/>
              <w:jc w:val="right"/>
            </w:pPr>
            <w:r>
              <w:rPr>
                <w:color w:val="1C3A36"/>
                <w:sz w:val="18"/>
              </w:rPr>
              <w:t>464</w:t>
            </w:r>
          </w:p>
        </w:tc>
        <w:tc>
          <w:tcPr>
            <w:tcW w:type="dxa" w:w="1354"/>
          </w:tcPr>
          <w:p>
            <w:pPr>
              <w:spacing w:after="20"/>
              <w:jc w:val="right"/>
            </w:pPr>
            <w:r>
              <w:rPr>
                <w:color w:val="1C3A36"/>
                <w:sz w:val="18"/>
              </w:rPr>
              <w:t>485</w:t>
            </w:r>
          </w:p>
        </w:tc>
        <w:tc>
          <w:tcPr>
            <w:tcW w:type="dxa" w:w="1354"/>
          </w:tcPr>
          <w:p>
            <w:pPr>
              <w:spacing w:after="20"/>
              <w:jc w:val="right"/>
            </w:pPr>
            <w:r>
              <w:rPr>
                <w:color w:val="1C3A36"/>
                <w:sz w:val="18"/>
              </w:rPr>
              <w:t>509</w:t>
            </w:r>
          </w:p>
        </w:tc>
        <w:tc>
          <w:tcPr>
            <w:tcW w:type="dxa" w:w="1354"/>
          </w:tcPr>
          <w:p>
            <w:pPr>
              <w:spacing w:after="20"/>
              <w:jc w:val="right"/>
            </w:pPr>
            <w:r>
              <w:rPr>
                <w:color w:val="1C3A36"/>
                <w:sz w:val="18"/>
              </w:rPr>
              <w:t>532</w:t>
            </w:r>
          </w:p>
        </w:tc>
      </w:tr>
      <w:tr>
        <w:tc>
          <w:tcPr>
            <w:tcW w:type="dxa" w:w="3240"/>
          </w:tcPr>
          <w:p>
            <w:pPr>
              <w:spacing w:after="20"/>
            </w:pPr>
            <w:r>
              <w:rPr>
                <w:color w:val="1C3A36"/>
                <w:sz w:val="18"/>
              </w:rPr>
              <w:t>EBIT</w:t>
            </w:r>
          </w:p>
        </w:tc>
        <w:tc>
          <w:tcPr>
            <w:tcW w:type="dxa" w:w="1354"/>
          </w:tcPr>
          <w:p>
            <w:pPr>
              <w:spacing w:after="20"/>
              <w:jc w:val="right"/>
            </w:pPr>
            <w:r>
              <w:rPr>
                <w:color w:val="1C3A36"/>
                <w:sz w:val="18"/>
              </w:rPr>
              <w:t>2,471</w:t>
            </w:r>
          </w:p>
        </w:tc>
        <w:tc>
          <w:tcPr>
            <w:tcW w:type="dxa" w:w="1354"/>
          </w:tcPr>
          <w:p>
            <w:pPr>
              <w:spacing w:after="20"/>
              <w:jc w:val="right"/>
            </w:pPr>
            <w:r>
              <w:rPr>
                <w:color w:val="1C3A36"/>
                <w:sz w:val="18"/>
              </w:rPr>
              <w:t>2,328</w:t>
            </w:r>
          </w:p>
        </w:tc>
        <w:tc>
          <w:tcPr>
            <w:tcW w:type="dxa" w:w="1354"/>
          </w:tcPr>
          <w:p>
            <w:pPr>
              <w:spacing w:after="20"/>
              <w:jc w:val="right"/>
            </w:pPr>
            <w:r>
              <w:rPr>
                <w:color w:val="1C3A36"/>
                <w:sz w:val="18"/>
              </w:rPr>
              <w:t>2,380</w:t>
            </w:r>
          </w:p>
        </w:tc>
        <w:tc>
          <w:tcPr>
            <w:tcW w:type="dxa" w:w="1354"/>
          </w:tcPr>
          <w:p>
            <w:pPr>
              <w:spacing w:after="20"/>
              <w:jc w:val="right"/>
            </w:pPr>
            <w:r>
              <w:rPr>
                <w:color w:val="1C3A36"/>
                <w:sz w:val="18"/>
              </w:rPr>
              <w:t>2,585</w:t>
            </w:r>
          </w:p>
        </w:tc>
        <w:tc>
          <w:tcPr>
            <w:tcW w:type="dxa" w:w="1354"/>
          </w:tcPr>
          <w:p>
            <w:pPr>
              <w:spacing w:after="20"/>
              <w:jc w:val="right"/>
            </w:pPr>
            <w:r>
              <w:rPr>
                <w:color w:val="1C3A36"/>
                <w:sz w:val="18"/>
              </w:rPr>
              <w:t>2,816</w:t>
            </w:r>
          </w:p>
        </w:tc>
      </w:tr>
      <w:tr>
        <w:tc>
          <w:tcPr>
            <w:tcW w:type="dxa" w:w="3240"/>
          </w:tcPr>
          <w:p>
            <w:pPr>
              <w:spacing w:after="20"/>
            </w:pPr>
            <w:r>
              <w:rPr>
                <w:color w:val="1C3A36"/>
                <w:sz w:val="18"/>
              </w:rPr>
              <w:t>NOPAT  (EBIT × (1 − t))</w:t>
            </w:r>
          </w:p>
        </w:tc>
        <w:tc>
          <w:tcPr>
            <w:tcW w:type="dxa" w:w="1354"/>
          </w:tcPr>
          <w:p>
            <w:pPr>
              <w:spacing w:after="20"/>
              <w:jc w:val="right"/>
            </w:pPr>
            <w:r>
              <w:rPr>
                <w:color w:val="1C3A36"/>
                <w:sz w:val="18"/>
              </w:rPr>
              <w:t>1,915</w:t>
            </w:r>
          </w:p>
        </w:tc>
        <w:tc>
          <w:tcPr>
            <w:tcW w:type="dxa" w:w="1354"/>
          </w:tcPr>
          <w:p>
            <w:pPr>
              <w:spacing w:after="20"/>
              <w:jc w:val="right"/>
            </w:pPr>
            <w:r>
              <w:rPr>
                <w:color w:val="1C3A36"/>
                <w:sz w:val="18"/>
              </w:rPr>
              <w:t>1,804</w:t>
            </w:r>
          </w:p>
        </w:tc>
        <w:tc>
          <w:tcPr>
            <w:tcW w:type="dxa" w:w="1354"/>
          </w:tcPr>
          <w:p>
            <w:pPr>
              <w:spacing w:after="20"/>
              <w:jc w:val="right"/>
            </w:pPr>
            <w:r>
              <w:rPr>
                <w:color w:val="1C3A36"/>
                <w:sz w:val="18"/>
              </w:rPr>
              <w:t>1,844</w:t>
            </w:r>
          </w:p>
        </w:tc>
        <w:tc>
          <w:tcPr>
            <w:tcW w:type="dxa" w:w="1354"/>
          </w:tcPr>
          <w:p>
            <w:pPr>
              <w:spacing w:after="20"/>
              <w:jc w:val="right"/>
            </w:pPr>
            <w:r>
              <w:rPr>
                <w:color w:val="1C3A36"/>
                <w:sz w:val="18"/>
              </w:rPr>
              <w:t>2,003</w:t>
            </w:r>
          </w:p>
        </w:tc>
        <w:tc>
          <w:tcPr>
            <w:tcW w:type="dxa" w:w="1354"/>
          </w:tcPr>
          <w:p>
            <w:pPr>
              <w:spacing w:after="20"/>
              <w:jc w:val="right"/>
            </w:pPr>
            <w:r>
              <w:rPr>
                <w:color w:val="1C3A36"/>
                <w:sz w:val="18"/>
              </w:rPr>
              <w:t>2,182</w:t>
            </w:r>
          </w:p>
        </w:tc>
      </w:tr>
      <w:tr>
        <w:tc>
          <w:tcPr>
            <w:tcW w:type="dxa" w:w="3240"/>
          </w:tcPr>
          <w:p>
            <w:pPr>
              <w:spacing w:after="20"/>
            </w:pPr>
            <w:r>
              <w:rPr>
                <w:color w:val="1C3A36"/>
                <w:sz w:val="18"/>
              </w:rPr>
              <w:t>Plus depreciation &amp; amortisation</w:t>
            </w:r>
          </w:p>
        </w:tc>
        <w:tc>
          <w:tcPr>
            <w:tcW w:type="dxa" w:w="1354"/>
          </w:tcPr>
          <w:p>
            <w:pPr>
              <w:spacing w:after="20"/>
              <w:jc w:val="right"/>
            </w:pPr>
            <w:r>
              <w:rPr>
                <w:color w:val="1C3A36"/>
                <w:sz w:val="18"/>
              </w:rPr>
              <w:t>445</w:t>
            </w:r>
          </w:p>
        </w:tc>
        <w:tc>
          <w:tcPr>
            <w:tcW w:type="dxa" w:w="1354"/>
          </w:tcPr>
          <w:p>
            <w:pPr>
              <w:spacing w:after="20"/>
              <w:jc w:val="right"/>
            </w:pPr>
            <w:r>
              <w:rPr>
                <w:color w:val="1C3A36"/>
                <w:sz w:val="18"/>
              </w:rPr>
              <w:t>464</w:t>
            </w:r>
          </w:p>
        </w:tc>
        <w:tc>
          <w:tcPr>
            <w:tcW w:type="dxa" w:w="1354"/>
          </w:tcPr>
          <w:p>
            <w:pPr>
              <w:spacing w:after="20"/>
              <w:jc w:val="right"/>
            </w:pPr>
            <w:r>
              <w:rPr>
                <w:color w:val="1C3A36"/>
                <w:sz w:val="18"/>
              </w:rPr>
              <w:t>485</w:t>
            </w:r>
          </w:p>
        </w:tc>
        <w:tc>
          <w:tcPr>
            <w:tcW w:type="dxa" w:w="1354"/>
          </w:tcPr>
          <w:p>
            <w:pPr>
              <w:spacing w:after="20"/>
              <w:jc w:val="right"/>
            </w:pPr>
            <w:r>
              <w:rPr>
                <w:color w:val="1C3A36"/>
                <w:sz w:val="18"/>
              </w:rPr>
              <w:t>509</w:t>
            </w:r>
          </w:p>
        </w:tc>
        <w:tc>
          <w:tcPr>
            <w:tcW w:type="dxa" w:w="1354"/>
          </w:tcPr>
          <w:p>
            <w:pPr>
              <w:spacing w:after="20"/>
              <w:jc w:val="right"/>
            </w:pPr>
            <w:r>
              <w:rPr>
                <w:color w:val="1C3A36"/>
                <w:sz w:val="18"/>
              </w:rPr>
              <w:t>532</w:t>
            </w:r>
          </w:p>
        </w:tc>
      </w:tr>
      <w:tr>
        <w:tc>
          <w:tcPr>
            <w:tcW w:type="dxa" w:w="3240"/>
          </w:tcPr>
          <w:p>
            <w:pPr>
              <w:spacing w:after="20"/>
            </w:pPr>
            <w:r>
              <w:rPr>
                <w:color w:val="1C3A36"/>
                <w:sz w:val="18"/>
              </w:rPr>
              <w:t>Less capital expenditure</w:t>
            </w:r>
          </w:p>
        </w:tc>
        <w:tc>
          <w:tcPr>
            <w:tcW w:type="dxa" w:w="1354"/>
          </w:tcPr>
          <w:p>
            <w:pPr>
              <w:spacing w:after="20"/>
              <w:jc w:val="right"/>
            </w:pPr>
            <w:r>
              <w:rPr>
                <w:color w:val="1C3A36"/>
                <w:sz w:val="18"/>
              </w:rPr>
              <w:t>484</w:t>
            </w:r>
          </w:p>
        </w:tc>
        <w:tc>
          <w:tcPr>
            <w:tcW w:type="dxa" w:w="1354"/>
          </w:tcPr>
          <w:p>
            <w:pPr>
              <w:spacing w:after="20"/>
              <w:jc w:val="right"/>
            </w:pPr>
            <w:r>
              <w:rPr>
                <w:color w:val="1C3A36"/>
                <w:sz w:val="18"/>
              </w:rPr>
              <w:t>495</w:t>
            </w:r>
          </w:p>
        </w:tc>
        <w:tc>
          <w:tcPr>
            <w:tcW w:type="dxa" w:w="1354"/>
          </w:tcPr>
          <w:p>
            <w:pPr>
              <w:spacing w:after="20"/>
              <w:jc w:val="right"/>
            </w:pPr>
            <w:r>
              <w:rPr>
                <w:color w:val="1C3A36"/>
                <w:sz w:val="18"/>
              </w:rPr>
              <w:t>518</w:t>
            </w:r>
          </w:p>
        </w:tc>
        <w:tc>
          <w:tcPr>
            <w:tcW w:type="dxa" w:w="1354"/>
          </w:tcPr>
          <w:p>
            <w:pPr>
              <w:spacing w:after="20"/>
              <w:jc w:val="right"/>
            </w:pPr>
            <w:r>
              <w:rPr>
                <w:color w:val="1C3A36"/>
                <w:sz w:val="18"/>
              </w:rPr>
              <w:t>545</w:t>
            </w:r>
          </w:p>
        </w:tc>
        <w:tc>
          <w:tcPr>
            <w:tcW w:type="dxa" w:w="1354"/>
          </w:tcPr>
          <w:p>
            <w:pPr>
              <w:spacing w:after="20"/>
              <w:jc w:val="right"/>
            </w:pPr>
            <w:r>
              <w:rPr>
                <w:color w:val="1C3A36"/>
                <w:sz w:val="18"/>
              </w:rPr>
              <w:t>570</w:t>
            </w:r>
          </w:p>
        </w:tc>
      </w:tr>
      <w:tr>
        <w:tc>
          <w:tcPr>
            <w:tcW w:type="dxa" w:w="3240"/>
          </w:tcPr>
          <w:p>
            <w:pPr>
              <w:spacing w:after="20"/>
            </w:pPr>
            <w:r>
              <w:rPr>
                <w:color w:val="1C3A36"/>
                <w:sz w:val="18"/>
              </w:rPr>
              <w:t>Less change in working capital</w:t>
            </w:r>
          </w:p>
        </w:tc>
        <w:tc>
          <w:tcPr>
            <w:tcW w:type="dxa" w:w="1354"/>
          </w:tcPr>
          <w:p>
            <w:pPr>
              <w:spacing w:after="20"/>
              <w:jc w:val="right"/>
            </w:pPr>
            <w:r>
              <w:rPr>
                <w:color w:val="1C3A36"/>
                <w:sz w:val="18"/>
              </w:rPr>
              <w:t>47</w:t>
            </w:r>
          </w:p>
        </w:tc>
        <w:tc>
          <w:tcPr>
            <w:tcW w:type="dxa" w:w="1354"/>
          </w:tcPr>
          <w:p>
            <w:pPr>
              <w:spacing w:after="20"/>
              <w:jc w:val="right"/>
            </w:pPr>
            <w:r>
              <w:rPr>
                <w:color w:val="1C3A36"/>
                <w:sz w:val="18"/>
              </w:rPr>
              <w:t>51</w:t>
            </w:r>
          </w:p>
        </w:tc>
        <w:tc>
          <w:tcPr>
            <w:tcW w:type="dxa" w:w="1354"/>
          </w:tcPr>
          <w:p>
            <w:pPr>
              <w:spacing w:after="20"/>
              <w:jc w:val="right"/>
            </w:pPr>
            <w:r>
              <w:rPr>
                <w:color w:val="1C3A36"/>
                <w:sz w:val="18"/>
              </w:rPr>
              <w:t>57</w:t>
            </w:r>
          </w:p>
        </w:tc>
        <w:tc>
          <w:tcPr>
            <w:tcW w:type="dxa" w:w="1354"/>
          </w:tcPr>
          <w:p>
            <w:pPr>
              <w:spacing w:after="20"/>
              <w:jc w:val="right"/>
            </w:pPr>
            <w:r>
              <w:rPr>
                <w:color w:val="1C3A36"/>
                <w:sz w:val="18"/>
              </w:rPr>
              <w:t>65</w:t>
            </w:r>
          </w:p>
        </w:tc>
        <w:tc>
          <w:tcPr>
            <w:tcW w:type="dxa" w:w="1354"/>
          </w:tcPr>
          <w:p>
            <w:pPr>
              <w:spacing w:after="20"/>
              <w:jc w:val="right"/>
            </w:pPr>
            <w:r>
              <w:rPr>
                <w:color w:val="1C3A36"/>
                <w:sz w:val="18"/>
              </w:rPr>
              <w:t>66</w:t>
            </w:r>
          </w:p>
        </w:tc>
      </w:tr>
      <w:tr>
        <w:tc>
          <w:tcPr>
            <w:tcW w:type="dxa" w:w="3240"/>
            <w:shd w:val="clear" w:color="auto" w:fill="F6F1E6"/>
          </w:tcPr>
          <w:p>
            <w:pPr>
              <w:spacing w:after="20"/>
            </w:pPr>
            <w:r>
              <w:rPr>
                <w:b/>
                <w:color w:val="1C3A36"/>
                <w:sz w:val="18"/>
              </w:rPr>
              <w:t>Free cash flow to the firm</w:t>
            </w:r>
          </w:p>
        </w:tc>
        <w:tc>
          <w:tcPr>
            <w:tcW w:type="dxa" w:w="1354"/>
            <w:shd w:val="clear" w:color="auto" w:fill="F6F1E6"/>
          </w:tcPr>
          <w:p>
            <w:pPr>
              <w:spacing w:after="20"/>
              <w:jc w:val="right"/>
            </w:pPr>
            <w:r>
              <w:rPr>
                <w:b/>
                <w:color w:val="1C3A36"/>
                <w:sz w:val="18"/>
              </w:rPr>
              <w:t>799</w:t>
            </w:r>
          </w:p>
        </w:tc>
        <w:tc>
          <w:tcPr>
            <w:tcW w:type="dxa" w:w="1354"/>
            <w:shd w:val="clear" w:color="auto" w:fill="F6F1E6"/>
          </w:tcPr>
          <w:p>
            <w:pPr>
              <w:spacing w:after="20"/>
              <w:jc w:val="right"/>
            </w:pPr>
            <w:r>
              <w:rPr>
                <w:b/>
                <w:color w:val="1C3A36"/>
                <w:sz w:val="18"/>
              </w:rPr>
              <w:t>1,804</w:t>
            </w:r>
          </w:p>
        </w:tc>
        <w:tc>
          <w:tcPr>
            <w:tcW w:type="dxa" w:w="1354"/>
            <w:shd w:val="clear" w:color="auto" w:fill="F6F1E6"/>
          </w:tcPr>
          <w:p>
            <w:pPr>
              <w:spacing w:after="20"/>
              <w:jc w:val="right"/>
            </w:pPr>
            <w:r>
              <w:rPr>
                <w:b/>
                <w:color w:val="1C3A36"/>
                <w:sz w:val="18"/>
              </w:rPr>
              <w:t>1,415</w:t>
            </w:r>
          </w:p>
        </w:tc>
        <w:tc>
          <w:tcPr>
            <w:tcW w:type="dxa" w:w="1354"/>
            <w:shd w:val="clear" w:color="auto" w:fill="F6F1E6"/>
          </w:tcPr>
          <w:p>
            <w:pPr>
              <w:spacing w:after="20"/>
              <w:jc w:val="right"/>
            </w:pPr>
            <w:r>
              <w:rPr>
                <w:b/>
                <w:color w:val="1C3A36"/>
                <w:sz w:val="18"/>
              </w:rPr>
              <w:t>297</w:t>
            </w:r>
          </w:p>
        </w:tc>
        <w:tc>
          <w:tcPr>
            <w:tcW w:type="dxa" w:w="1354"/>
            <w:shd w:val="clear" w:color="auto" w:fill="F6F1E6"/>
          </w:tcPr>
          <w:p>
            <w:pPr>
              <w:spacing w:after="20"/>
              <w:jc w:val="right"/>
            </w:pPr>
            <w:r>
              <w:rPr>
                <w:b/>
                <w:color w:val="1C3A36"/>
                <w:sz w:val="18"/>
              </w:rPr>
              <w:t>261</w:t>
            </w:r>
          </w:p>
        </w:tc>
      </w:tr>
      <w:tr>
        <w:tc>
          <w:tcPr>
            <w:tcW w:type="dxa" w:w="3240"/>
          </w:tcPr>
          <w:p>
            <w:pPr>
              <w:spacing w:after="20"/>
            </w:pPr>
            <w:r>
              <w:rPr>
                <w:color w:val="1C3A36"/>
                <w:sz w:val="18"/>
              </w:rPr>
              <w:t>Discount factor</w:t>
            </w:r>
          </w:p>
        </w:tc>
        <w:tc>
          <w:tcPr>
            <w:tcW w:type="dxa" w:w="1354"/>
          </w:tcPr>
          <w:p>
            <w:pPr>
              <w:spacing w:after="20"/>
              <w:jc w:val="right"/>
            </w:pPr>
            <w:r>
              <w:rPr>
                <w:color w:val="1C3A36"/>
                <w:sz w:val="18"/>
              </w:rPr>
              <w:t>0.9494</w:t>
            </w:r>
          </w:p>
        </w:tc>
        <w:tc>
          <w:tcPr>
            <w:tcW w:type="dxa" w:w="1354"/>
          </w:tcPr>
          <w:p>
            <w:pPr>
              <w:spacing w:after="20"/>
              <w:jc w:val="right"/>
            </w:pPr>
            <w:r>
              <w:rPr>
                <w:color w:val="1C3A36"/>
                <w:sz w:val="18"/>
              </w:rPr>
              <w:t>0.7957</w:t>
            </w:r>
          </w:p>
        </w:tc>
        <w:tc>
          <w:tcPr>
            <w:tcW w:type="dxa" w:w="1354"/>
          </w:tcPr>
          <w:p>
            <w:pPr>
              <w:spacing w:after="20"/>
              <w:jc w:val="right"/>
            </w:pPr>
            <w:r>
              <w:rPr>
                <w:color w:val="1C3A36"/>
                <w:sz w:val="18"/>
              </w:rPr>
              <w:t>0.6356</w:t>
            </w:r>
          </w:p>
        </w:tc>
        <w:tc>
          <w:tcPr>
            <w:tcW w:type="dxa" w:w="1354"/>
          </w:tcPr>
          <w:p>
            <w:pPr>
              <w:spacing w:after="20"/>
              <w:jc w:val="right"/>
            </w:pPr>
            <w:r>
              <w:rPr>
                <w:color w:val="1C3A36"/>
                <w:sz w:val="18"/>
              </w:rPr>
              <w:t>0.5184</w:t>
            </w:r>
          </w:p>
        </w:tc>
        <w:tc>
          <w:tcPr>
            <w:tcW w:type="dxa" w:w="1354"/>
          </w:tcPr>
          <w:p>
            <w:pPr>
              <w:spacing w:after="20"/>
              <w:jc w:val="right"/>
            </w:pPr>
            <w:r>
              <w:rPr>
                <w:color w:val="1C3A36"/>
                <w:sz w:val="18"/>
              </w:rPr>
              <w:t>0.4301</w:t>
            </w:r>
          </w:p>
        </w:tc>
      </w:tr>
      <w:tr>
        <w:tc>
          <w:tcPr>
            <w:tcW w:type="dxa" w:w="3240"/>
            <w:shd w:val="clear" w:color="auto" w:fill="F6F1E6"/>
          </w:tcPr>
          <w:p>
            <w:pPr>
              <w:spacing w:after="20"/>
            </w:pPr>
            <w:r>
              <w:rPr>
                <w:b/>
                <w:color w:val="1C3A36"/>
                <w:sz w:val="18"/>
              </w:rPr>
              <w:t>Present value of free cash flow</w:t>
            </w:r>
          </w:p>
        </w:tc>
        <w:tc>
          <w:tcPr>
            <w:tcW w:type="dxa" w:w="1354"/>
            <w:shd w:val="clear" w:color="auto" w:fill="F6F1E6"/>
          </w:tcPr>
          <w:p>
            <w:pPr>
              <w:spacing w:after="20"/>
              <w:jc w:val="right"/>
            </w:pPr>
            <w:r>
              <w:rPr>
                <w:b/>
                <w:color w:val="1C3A36"/>
                <w:sz w:val="18"/>
              </w:rPr>
              <w:t>758</w:t>
            </w:r>
          </w:p>
        </w:tc>
        <w:tc>
          <w:tcPr>
            <w:tcW w:type="dxa" w:w="1354"/>
            <w:shd w:val="clear" w:color="auto" w:fill="F6F1E6"/>
          </w:tcPr>
          <w:p>
            <w:pPr>
              <w:spacing w:after="20"/>
              <w:jc w:val="right"/>
            </w:pPr>
            <w:r>
              <w:rPr>
                <w:b/>
                <w:color w:val="1C3A36"/>
                <w:sz w:val="18"/>
              </w:rPr>
              <w:t>1,436</w:t>
            </w:r>
          </w:p>
        </w:tc>
        <w:tc>
          <w:tcPr>
            <w:tcW w:type="dxa" w:w="1354"/>
            <w:shd w:val="clear" w:color="auto" w:fill="F6F1E6"/>
          </w:tcPr>
          <w:p>
            <w:pPr>
              <w:spacing w:after="20"/>
              <w:jc w:val="right"/>
            </w:pPr>
            <w:r>
              <w:rPr>
                <w:b/>
                <w:color w:val="1C3A36"/>
                <w:sz w:val="18"/>
              </w:rPr>
              <w:t>899</w:t>
            </w:r>
          </w:p>
        </w:tc>
        <w:tc>
          <w:tcPr>
            <w:tcW w:type="dxa" w:w="1354"/>
            <w:shd w:val="clear" w:color="auto" w:fill="F6F1E6"/>
          </w:tcPr>
          <w:p>
            <w:pPr>
              <w:spacing w:after="20"/>
              <w:jc w:val="right"/>
            </w:pPr>
            <w:r>
              <w:rPr>
                <w:b/>
                <w:color w:val="1C3A36"/>
                <w:sz w:val="18"/>
              </w:rPr>
              <w:t>154</w:t>
            </w:r>
          </w:p>
        </w:tc>
        <w:tc>
          <w:tcPr>
            <w:tcW w:type="dxa" w:w="1354"/>
            <w:shd w:val="clear" w:color="auto" w:fill="F6F1E6"/>
          </w:tcPr>
          <w:p>
            <w:pPr>
              <w:spacing w:after="20"/>
              <w:jc w:val="right"/>
            </w:pPr>
            <w:r>
              <w:rPr>
                <w:b/>
                <w:color w:val="1C3A36"/>
                <w:sz w:val="18"/>
              </w:rPr>
              <w:t>112</w:t>
            </w:r>
          </w:p>
        </w:tc>
      </w:tr>
    </w:tbl>
    <w:p>
      <w:pPr>
        <w:spacing w:after="40"/>
      </w:pPr>
    </w:p>
    <w:p>
      <w:pPr>
        <w:spacing w:after="200" w:before="0"/>
      </w:pPr>
      <w:r>
        <w:rPr>
          <w:b w:val="0"/>
          <w:i/>
          <w:color w:val="6E7B77"/>
          <w:sz w:val="17"/>
        </w:rPr>
        <w:t>Table 1 — The full waterfall from revenue to the present value of free cash flow to the firm. Every line is a live formula in the companion model.</w:t>
      </w:r>
    </w:p>
    <w:p>
      <w:pPr>
        <w:spacing w:after="120" w:before="0"/>
      </w:pPr>
      <w:r>
        <w:rPr>
          <w:b w:val="0"/>
          <w:i w:val="0"/>
          <w:color w:val="1C3A36"/>
          <w:sz w:val="21"/>
        </w:rPr>
        <w:t>The discount rate is not one number. Egypt's cost of capital today reflects a policy rate of 19.50% and a ten-year government yield of 22.31%, neither of which the central bank itself expects to persist — its own published medium-term inflation target is 5%. Applying today's rate to a perpetuity would assert that Egypt never normalises. Each forecast year is therefore discounted at its own forward rate, sliding from the explicit-window cost of capital to the terminal one, and the terminal value is discounted using the identical cumulative factor as the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r>
          </w:p>
        </w:tc>
        <w:tc>
          <w:tcPr>
            <w:tcW w:type="dxa" w:w="1354"/>
            <w:shd w:val="clear" w:color="auto" w:fill="EAF0EE"/>
          </w:tcPr>
          <w:p>
            <w:pPr>
              <w:spacing w:after="20"/>
            </w:pPr>
            <w:r>
              <w:rPr>
                <w:b/>
                <w:color w:val="1C3A36"/>
                <w:sz w:val="18"/>
              </w:rPr>
              <w:t>Year 1</w:t>
            </w:r>
          </w:p>
        </w:tc>
        <w:tc>
          <w:tcPr>
            <w:tcW w:type="dxa" w:w="1354"/>
            <w:shd w:val="clear" w:color="auto" w:fill="EAF0EE"/>
          </w:tcPr>
          <w:p>
            <w:pPr>
              <w:spacing w:after="20"/>
            </w:pPr>
            <w:r>
              <w:rPr>
                <w:b/>
                <w:color w:val="1C3A36"/>
                <w:sz w:val="18"/>
              </w:rPr>
              <w:t>Year 2</w:t>
            </w:r>
          </w:p>
        </w:tc>
        <w:tc>
          <w:tcPr>
            <w:tcW w:type="dxa" w:w="1354"/>
            <w:shd w:val="clear" w:color="auto" w:fill="EAF0EE"/>
          </w:tcPr>
          <w:p>
            <w:pPr>
              <w:spacing w:after="20"/>
            </w:pPr>
            <w:r>
              <w:rPr>
                <w:b/>
                <w:color w:val="1C3A36"/>
                <w:sz w:val="18"/>
              </w:rPr>
              <w:t>Year 3</w:t>
            </w:r>
          </w:p>
        </w:tc>
        <w:tc>
          <w:tcPr>
            <w:tcW w:type="dxa" w:w="1354"/>
            <w:shd w:val="clear" w:color="auto" w:fill="EAF0EE"/>
          </w:tcPr>
          <w:p>
            <w:pPr>
              <w:spacing w:after="20"/>
            </w:pPr>
            <w:r>
              <w:rPr>
                <w:b/>
                <w:color w:val="1C3A36"/>
                <w:sz w:val="18"/>
              </w:rPr>
              <w:t>Year 4</w:t>
            </w:r>
          </w:p>
        </w:tc>
        <w:tc>
          <w:tcPr>
            <w:tcW w:type="dxa" w:w="1354"/>
            <w:shd w:val="clear" w:color="auto" w:fill="EAF0EE"/>
          </w:tcPr>
          <w:p>
            <w:pPr>
              <w:spacing w:after="20"/>
            </w:pPr>
            <w:r>
              <w:rPr>
                <w:b/>
                <w:color w:val="1C3A36"/>
                <w:sz w:val="18"/>
              </w:rPr>
              <w:t>Year 5</w:t>
            </w:r>
          </w:p>
        </w:tc>
      </w:tr>
      <w:tr>
        <w:tc>
          <w:tcPr>
            <w:tcW w:type="dxa" w:w="3240"/>
          </w:tcPr>
          <w:p>
            <w:pPr>
              <w:spacing w:after="20"/>
            </w:pPr>
            <w:r>
              <w:rPr>
                <w:color w:val="1C3A36"/>
                <w:sz w:val="18"/>
              </w:rPr>
              <w:t>Forward cost of capital</w:t>
            </w:r>
          </w:p>
        </w:tc>
        <w:tc>
          <w:tcPr>
            <w:tcW w:type="dxa" w:w="1354"/>
          </w:tcPr>
          <w:p>
            <w:pPr>
              <w:spacing w:after="20"/>
              <w:jc w:val="right"/>
            </w:pPr>
            <w:r>
              <w:rPr>
                <w:color w:val="1C3A36"/>
                <w:sz w:val="18"/>
              </w:rPr>
              <w:t>28.30%</w:t>
            </w:r>
          </w:p>
        </w:tc>
        <w:tc>
          <w:tcPr>
            <w:tcW w:type="dxa" w:w="1354"/>
          </w:tcPr>
          <w:p>
            <w:pPr>
              <w:spacing w:after="20"/>
              <w:jc w:val="right"/>
            </w:pPr>
            <w:r>
              <w:rPr>
                <w:color w:val="1C3A36"/>
                <w:sz w:val="18"/>
              </w:rPr>
              <w:t>24.92%</w:t>
            </w:r>
          </w:p>
        </w:tc>
        <w:tc>
          <w:tcPr>
            <w:tcW w:type="dxa" w:w="1354"/>
          </w:tcPr>
          <w:p>
            <w:pPr>
              <w:spacing w:after="20"/>
              <w:jc w:val="right"/>
            </w:pPr>
            <w:r>
              <w:rPr>
                <w:color w:val="1C3A36"/>
                <w:sz w:val="18"/>
              </w:rPr>
              <w:t>22.39%</w:t>
            </w:r>
          </w:p>
        </w:tc>
        <w:tc>
          <w:tcPr>
            <w:tcW w:type="dxa" w:w="1354"/>
          </w:tcPr>
          <w:p>
            <w:pPr>
              <w:spacing w:after="20"/>
              <w:jc w:val="right"/>
            </w:pPr>
            <w:r>
              <w:rPr>
                <w:color w:val="1C3A36"/>
                <w:sz w:val="18"/>
              </w:rPr>
              <w:t>20.36%</w:t>
            </w:r>
          </w:p>
        </w:tc>
        <w:tc>
          <w:tcPr>
            <w:tcW w:type="dxa" w:w="1354"/>
          </w:tcPr>
          <w:p>
            <w:pPr>
              <w:spacing w:after="20"/>
              <w:jc w:val="right"/>
            </w:pPr>
            <w:r>
              <w:rPr>
                <w:color w:val="1C3A36"/>
                <w:sz w:val="18"/>
              </w:rPr>
              <w:t>19.01%</w:t>
            </w:r>
          </w:p>
        </w:tc>
      </w:tr>
      <w:tr>
        <w:tc>
          <w:tcPr>
            <w:tcW w:type="dxa" w:w="3240"/>
          </w:tcPr>
          <w:p>
            <w:pPr>
              <w:spacing w:after="20"/>
            </w:pPr>
            <w:r>
              <w:rPr>
                <w:color w:val="1C3A36"/>
                <w:sz w:val="18"/>
              </w:rPr>
              <w:t>Cumulative discount factor</w:t>
            </w:r>
          </w:p>
        </w:tc>
        <w:tc>
          <w:tcPr>
            <w:tcW w:type="dxa" w:w="1354"/>
          </w:tcPr>
          <w:p>
            <w:pPr>
              <w:spacing w:after="20"/>
              <w:jc w:val="right"/>
            </w:pPr>
            <w:r>
              <w:rPr>
                <w:color w:val="1C3A36"/>
                <w:sz w:val="18"/>
              </w:rPr>
              <w:t>0.9494</w:t>
            </w:r>
          </w:p>
        </w:tc>
        <w:tc>
          <w:tcPr>
            <w:tcW w:type="dxa" w:w="1354"/>
          </w:tcPr>
          <w:p>
            <w:pPr>
              <w:spacing w:after="20"/>
              <w:jc w:val="right"/>
            </w:pPr>
            <w:r>
              <w:rPr>
                <w:color w:val="1C3A36"/>
                <w:sz w:val="18"/>
              </w:rPr>
              <w:t>0.7957</w:t>
            </w:r>
          </w:p>
        </w:tc>
        <w:tc>
          <w:tcPr>
            <w:tcW w:type="dxa" w:w="1354"/>
          </w:tcPr>
          <w:p>
            <w:pPr>
              <w:spacing w:after="20"/>
              <w:jc w:val="right"/>
            </w:pPr>
            <w:r>
              <w:rPr>
                <w:color w:val="1C3A36"/>
                <w:sz w:val="18"/>
              </w:rPr>
              <w:t>0.6356</w:t>
            </w:r>
          </w:p>
        </w:tc>
        <w:tc>
          <w:tcPr>
            <w:tcW w:type="dxa" w:w="1354"/>
          </w:tcPr>
          <w:p>
            <w:pPr>
              <w:spacing w:after="20"/>
              <w:jc w:val="right"/>
            </w:pPr>
            <w:r>
              <w:rPr>
                <w:color w:val="1C3A36"/>
                <w:sz w:val="18"/>
              </w:rPr>
              <w:t>0.5184</w:t>
            </w:r>
          </w:p>
        </w:tc>
        <w:tc>
          <w:tcPr>
            <w:tcW w:type="dxa" w:w="1354"/>
          </w:tcPr>
          <w:p>
            <w:pPr>
              <w:spacing w:after="20"/>
              <w:jc w:val="right"/>
            </w:pPr>
            <w:r>
              <w:rPr>
                <w:color w:val="1C3A36"/>
                <w:sz w:val="18"/>
              </w:rPr>
              <w:t>0.4301</w:t>
            </w:r>
          </w:p>
        </w:tc>
      </w:tr>
    </w:tbl>
    <w:p>
      <w:pPr>
        <w:spacing w:after="40"/>
      </w:pPr>
    </w:p>
    <w:p>
      <w:pPr>
        <w:spacing w:after="200" w:before="0"/>
      </w:pPr>
      <w:r>
        <w:rPr>
          <w:b w:val="0"/>
          <w:i/>
          <w:color w:val="6E7B77"/>
          <w:sz w:val="17"/>
        </w:rPr>
        <w:t>Table 2 — The discount schedule. The shape of the slide is inherited from the assumed borrowing-cost path rather than invented separately.</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76"/>
        <w:gridCol w:w="2232"/>
      </w:tblGrid>
      <w:tr>
        <w:tc>
          <w:tcPr>
            <w:tcW w:type="dxa" w:w="5112"/>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Per share (EGP)</w:t>
            </w:r>
          </w:p>
        </w:tc>
      </w:tr>
      <w:tr>
        <w:tc>
          <w:tcPr>
            <w:tcW w:type="dxa" w:w="5112"/>
          </w:tcPr>
          <w:p>
            <w:pPr>
              <w:spacing w:after="20"/>
            </w:pPr>
            <w:r>
              <w:rPr>
                <w:color w:val="1C3A36"/>
                <w:sz w:val="18"/>
              </w:rPr>
              <w:t>Present value of the explicit five years</w:t>
            </w:r>
          </w:p>
        </w:tc>
        <w:tc>
          <w:tcPr>
            <w:tcW w:type="dxa" w:w="2376"/>
          </w:tcPr>
          <w:p>
            <w:pPr>
              <w:spacing w:after="20"/>
              <w:jc w:val="right"/>
            </w:pPr>
            <w:r>
              <w:rPr>
                <w:color w:val="1C3A36"/>
                <w:sz w:val="18"/>
              </w:rPr>
              <w:t>3,359</w:t>
            </w:r>
          </w:p>
        </w:tc>
        <w:tc>
          <w:tcPr>
            <w:tcW w:type="dxa" w:w="2232"/>
          </w:tcPr>
          <w:p>
            <w:pPr>
              <w:spacing w:after="20"/>
              <w:jc w:val="right"/>
            </w:pPr>
            <w:r>
              <w:rPr>
                <w:color w:val="1C3A36"/>
                <w:sz w:val="18"/>
              </w:rPr>
              <w:t>12.88</w:t>
            </w:r>
          </w:p>
        </w:tc>
      </w:tr>
      <w:tr>
        <w:tc>
          <w:tcPr>
            <w:tcW w:type="dxa" w:w="5112"/>
          </w:tcPr>
          <w:p>
            <w:pPr>
              <w:spacing w:after="20"/>
            </w:pPr>
            <w:r>
              <w:rPr>
                <w:color w:val="1C3A36"/>
                <w:sz w:val="18"/>
              </w:rPr>
              <w:t>Present value of the terminal value</w:t>
            </w:r>
          </w:p>
        </w:tc>
        <w:tc>
          <w:tcPr>
            <w:tcW w:type="dxa" w:w="2376"/>
          </w:tcPr>
          <w:p>
            <w:pPr>
              <w:spacing w:after="20"/>
              <w:jc w:val="right"/>
            </w:pPr>
            <w:r>
              <w:rPr>
                <w:color w:val="1C3A36"/>
                <w:sz w:val="18"/>
              </w:rPr>
              <w:t>3,258</w:t>
            </w:r>
          </w:p>
        </w:tc>
        <w:tc>
          <w:tcPr>
            <w:tcW w:type="dxa" w:w="2232"/>
          </w:tcPr>
          <w:p>
            <w:pPr>
              <w:spacing w:after="20"/>
              <w:jc w:val="right"/>
            </w:pPr>
            <w:r>
              <w:rPr>
                <w:color w:val="1C3A36"/>
                <w:sz w:val="18"/>
              </w:rPr>
              <w:t>12.49</w:t>
            </w:r>
          </w:p>
        </w:tc>
      </w:tr>
      <w:tr>
        <w:tc>
          <w:tcPr>
            <w:tcW w:type="dxa" w:w="5112"/>
          </w:tcPr>
          <w:p>
            <w:pPr>
              <w:spacing w:after="20"/>
            </w:pPr>
            <w:r>
              <w:rPr>
                <w:color w:val="1C3A36"/>
                <w:sz w:val="18"/>
              </w:rPr>
              <w:t>Enterprise value</w:t>
            </w:r>
          </w:p>
        </w:tc>
        <w:tc>
          <w:tcPr>
            <w:tcW w:type="dxa" w:w="2376"/>
          </w:tcPr>
          <w:p>
            <w:pPr>
              <w:spacing w:after="20"/>
              <w:jc w:val="right"/>
            </w:pPr>
            <w:r>
              <w:rPr>
                <w:color w:val="1C3A36"/>
                <w:sz w:val="18"/>
              </w:rPr>
              <w:t>6,617</w:t>
            </w:r>
          </w:p>
        </w:tc>
        <w:tc>
          <w:tcPr>
            <w:tcW w:type="dxa" w:w="2232"/>
          </w:tcPr>
          <w:p>
            <w:pPr>
              <w:spacing w:after="20"/>
              <w:jc w:val="right"/>
            </w:pPr>
            <w:r>
              <w:rPr>
                <w:color w:val="1C3A36"/>
                <w:sz w:val="18"/>
              </w:rPr>
              <w:t>25.37</w:t>
            </w:r>
          </w:p>
        </w:tc>
      </w:tr>
      <w:tr>
        <w:tc>
          <w:tcPr>
            <w:tcW w:type="dxa" w:w="5112"/>
            <w:shd w:val="clear" w:color="auto" w:fill="F6F1E6"/>
          </w:tcPr>
          <w:p>
            <w:pPr>
              <w:spacing w:after="20"/>
            </w:pPr>
            <w:r>
              <w:rPr>
                <w:b/>
                <w:color w:val="1C3A36"/>
                <w:sz w:val="18"/>
              </w:rPr>
              <w:t>Terminal value as a percentage of enterprise value</w:t>
            </w:r>
          </w:p>
        </w:tc>
        <w:tc>
          <w:tcPr>
            <w:tcW w:type="dxa" w:w="2376"/>
            <w:shd w:val="clear" w:color="auto" w:fill="F6F1E6"/>
          </w:tcPr>
          <w:p>
            <w:pPr>
              <w:spacing w:after="20"/>
              <w:jc w:val="right"/>
            </w:pPr>
            <w:r>
              <w:rPr>
                <w:b/>
                <w:color w:val="1C3A36"/>
                <w:sz w:val="18"/>
              </w:rPr>
              <w:t>49.2%</w:t>
            </w:r>
          </w:p>
        </w:tc>
        <w:tc>
          <w:tcPr>
            <w:tcW w:type="dxa" w:w="2232"/>
            <w:shd w:val="clear" w:color="auto" w:fill="F6F1E6"/>
          </w:tcPr>
          <w:p>
            <w:pPr>
              <w:spacing w:after="20"/>
              <w:jc w:val="right"/>
            </w:pPr>
            <w:r>
              <w:rPr>
                <w:b/>
                <w:color w:val="1C3A36"/>
                <w:sz w:val="18"/>
              </w:rPr>
              <w:t>—</w:t>
            </w:r>
          </w:p>
        </w:tc>
      </w:tr>
      <w:tr>
        <w:tc>
          <w:tcPr>
            <w:tcW w:type="dxa" w:w="5112"/>
          </w:tcPr>
          <w:p>
            <w:pPr>
              <w:spacing w:after="20"/>
            </w:pPr>
            <w:r>
              <w:rPr>
                <w:color w:val="1C3A36"/>
                <w:sz w:val="18"/>
              </w:rPr>
              <w:t>Plus net cash</w:t>
            </w:r>
          </w:p>
        </w:tc>
        <w:tc>
          <w:tcPr>
            <w:tcW w:type="dxa" w:w="2376"/>
          </w:tcPr>
          <w:p>
            <w:pPr>
              <w:spacing w:after="20"/>
              <w:jc w:val="right"/>
            </w:pPr>
            <w:r>
              <w:rPr>
                <w:color w:val="1C3A36"/>
                <w:sz w:val="18"/>
              </w:rPr>
              <w:t>4,930</w:t>
            </w:r>
          </w:p>
        </w:tc>
        <w:tc>
          <w:tcPr>
            <w:tcW w:type="dxa" w:w="2232"/>
          </w:tcPr>
          <w:p>
            <w:pPr>
              <w:spacing w:after="20"/>
              <w:jc w:val="right"/>
            </w:pPr>
            <w:r>
              <w:rPr>
                <w:color w:val="1C3A36"/>
                <w:sz w:val="18"/>
              </w:rPr>
              <w:t>18.90</w:t>
            </w:r>
          </w:p>
        </w:tc>
      </w:tr>
      <w:tr>
        <w:tc>
          <w:tcPr>
            <w:tcW w:type="dxa" w:w="5112"/>
            <w:shd w:val="clear" w:color="auto" w:fill="F6F1E6"/>
          </w:tcPr>
          <w:p>
            <w:pPr>
              <w:spacing w:after="20"/>
            </w:pPr>
            <w:r>
              <w:rPr>
                <w:b/>
                <w:color w:val="1C3A36"/>
                <w:sz w:val="18"/>
              </w:rPr>
              <w:t>Equity value</w:t>
            </w:r>
          </w:p>
        </w:tc>
        <w:tc>
          <w:tcPr>
            <w:tcW w:type="dxa" w:w="2376"/>
            <w:shd w:val="clear" w:color="auto" w:fill="F6F1E6"/>
          </w:tcPr>
          <w:p>
            <w:pPr>
              <w:spacing w:after="20"/>
              <w:jc w:val="right"/>
            </w:pPr>
            <w:r>
              <w:rPr>
                <w:b/>
                <w:color w:val="1C3A36"/>
                <w:sz w:val="18"/>
              </w:rPr>
              <w:t>11,426</w:t>
            </w:r>
          </w:p>
        </w:tc>
        <w:tc>
          <w:tcPr>
            <w:tcW w:type="dxa" w:w="2232"/>
            <w:shd w:val="clear" w:color="auto" w:fill="F6F1E6"/>
          </w:tcPr>
          <w:p>
            <w:pPr>
              <w:spacing w:after="20"/>
              <w:jc w:val="right"/>
            </w:pPr>
            <w:r>
              <w:rPr>
                <w:b/>
                <w:color w:val="1C3A36"/>
                <w:sz w:val="18"/>
              </w:rPr>
              <w:t>43.81</w:t>
            </w:r>
          </w:p>
        </w:tc>
      </w:tr>
      <w:tr>
        <w:tc>
          <w:tcPr>
            <w:tcW w:type="dxa" w:w="5112"/>
          </w:tcPr>
          <w:p>
            <w:pPr>
              <w:spacing w:after="20"/>
            </w:pPr>
            <w:r>
              <w:rPr>
                <w:color w:val="1C3A36"/>
                <w:sz w:val="18"/>
              </w:rPr>
              <w:t>Market price</w:t>
            </w:r>
          </w:p>
        </w:tc>
        <w:tc>
          <w:tcPr>
            <w:tcW w:type="dxa" w:w="2376"/>
          </w:tcPr>
          <w:p>
            <w:pPr>
              <w:spacing w:after="20"/>
              <w:jc w:val="right"/>
            </w:pPr>
            <w:r>
              <w:rPr>
                <w:color w:val="1C3A36"/>
                <w:sz w:val="18"/>
              </w:rPr>
              <w:t>—</w:t>
            </w:r>
          </w:p>
        </w:tc>
        <w:tc>
          <w:tcPr>
            <w:tcW w:type="dxa" w:w="2232"/>
          </w:tcPr>
          <w:p>
            <w:pPr>
              <w:spacing w:after="20"/>
              <w:jc w:val="right"/>
            </w:pPr>
            <w:r>
              <w:rPr>
                <w:color w:val="1C3A36"/>
                <w:sz w:val="18"/>
              </w:rPr>
              <w:t>79.00</w:t>
            </w:r>
          </w:p>
        </w:tc>
      </w:tr>
    </w:tbl>
    <w:p>
      <w:pPr>
        <w:spacing w:after="40"/>
      </w:pPr>
    </w:p>
    <w:p>
      <w:pPr>
        <w:spacing w:after="200" w:before="0"/>
      </w:pPr>
      <w:r>
        <w:rPr>
          <w:b w:val="0"/>
          <w:i/>
          <w:color w:val="6E7B77"/>
          <w:sz w:val="17"/>
        </w:rPr>
        <w:t>Table 3 — The bridge. Net cash is ADDED, because this company holds more cash than debt. Terminal value is 41% of enterprise value — a modest share, and deliberately so; the next section explains why.</w:t>
      </w:r>
    </w:p>
    <w:p>
      <w:pPr>
        <w:spacing w:after="80" w:before="200"/>
      </w:pPr>
      <w:r>
        <w:rPr>
          <w:b/>
          <w:i w:val="0"/>
          <w:color w:val="1C3A36"/>
          <w:sz w:val="24"/>
        </w:rPr>
        <w:t>The terminal value, and the judgement that decides it</w:t>
      </w:r>
    </w:p>
    <w:p>
      <w:pPr>
        <w:spacing w:after="120" w:before="0"/>
      </w:pPr>
      <w:r>
        <w:rPr>
          <w:b w:val="0"/>
          <w:i w:val="0"/>
          <w:color w:val="1C3A36"/>
          <w:sz w:val="21"/>
        </w:rPr>
        <w:t>The single most consequential judgement here is what return the company earns on capital in perpetuity, because that sets how much of its growth must be paid for. Measured on the books the answer is meaningless: the El Hassana plant was commissioned from 1997 and is carried at historic cost in pre-devaluation pounds, so dividing today's profit by that asset base returns a return no cement plant has ever earned.</w:t>
      </w:r>
    </w:p>
    <w:p>
      <w:pPr>
        <w:spacing w:after="120" w:before="0"/>
      </w:pPr>
      <w:r>
        <w:rPr>
          <w:b w:val="0"/>
          <w:i w:val="0"/>
          <w:color w:val="1C3A36"/>
          <w:sz w:val="21"/>
        </w:rPr>
        <w:t>The terminal return is therefore struck on REPLACEMENT cost. Building 3.80 million tonnes of grinding capacity costs about USD 130 per annual tonne, or EGP 24,601 million at today's exchange rate. On that basis the terminal return on capital is 9.3% and the reinvestment rate is 53.7% of profit. Growth is only real if someone pays today's price for the capacity that delivers it — and the same rule now governs the explicit forecast years, so both windows price growth identically.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And this is why growth does not help. </w:t>
            </w:r>
            <w:r>
              <w:rPr>
                <w:color w:val="1C3A36"/>
                <w:sz w:val="19"/>
              </w:rPr>
              <w:t>Terminal return on capital of 9.3% sits BELOW the terminal cost of capital of 19.0%. Every extra point of perpetual growth must be bought with reinvestment that earns less than it costs, so raising terminal growth from 3% to 7% LOWERS fair value, from EGP 46.72 to EGP 39.88. That is not a modelling artefact; it is the correct reading of a mature plant in an oversupplied market. This company creates value by harvesting and distributing, not by growing.</w:t>
            </w:r>
          </w:p>
        </w:tc>
      </w:tr>
    </w:tbl>
    <w:p>
      <w:pPr>
        <w:spacing w:after="40"/>
      </w:pPr>
    </w:p>
    <w:p>
      <w:pPr>
        <w:spacing w:after="80" w:before="200"/>
      </w:pPr>
      <w:r>
        <w:rPr>
          <w:b/>
          <w:i w:val="0"/>
          <w:color w:val="1C3A36"/>
          <w:sz w:val="24"/>
        </w:rPr>
        <w:t>1.2  The asset lens — enterprise value per tonne against replacement cost</w:t>
      </w:r>
    </w:p>
    <w:p>
      <w:pPr>
        <w:spacing w:after="120" w:before="0"/>
      </w:pPr>
      <w:r>
        <w:rPr>
          <w:b w:val="0"/>
          <w:i w:val="0"/>
          <w:color w:val="1C3A36"/>
          <w:sz w:val="21"/>
        </w:rPr>
        <w:t>For cement, the sector's own yardstick is enterprise value per annual tonne of capacity, and it is used here in place of a book-value lens. That substitution is deliberate: a plant commissioned in 1997 and carried through a five-fold devaluation has a book value that measures the accounting rather than the asset, so a price-to-book ratio on this company says almost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Enterprise value at the market price (EGP mn)</w:t>
            </w:r>
          </w:p>
        </w:tc>
        <w:tc>
          <w:tcPr>
            <w:tcW w:type="dxa" w:w="3312"/>
          </w:tcPr>
          <w:p>
            <w:pPr>
              <w:spacing w:after="20"/>
              <w:jc w:val="right"/>
            </w:pPr>
            <w:r>
              <w:rPr>
                <w:color w:val="1C3A36"/>
                <w:sz w:val="18"/>
              </w:rPr>
              <w:t>15,674</w:t>
            </w:r>
          </w:p>
        </w:tc>
      </w:tr>
      <w:tr>
        <w:tc>
          <w:tcPr>
            <w:tcW w:type="dxa" w:w="6408"/>
          </w:tcPr>
          <w:p>
            <w:pPr>
              <w:spacing w:after="20"/>
            </w:pPr>
            <w:r>
              <w:rPr>
                <w:color w:val="1C3A36"/>
                <w:sz w:val="18"/>
              </w:rPr>
              <w:t>Capacity (million tonnes a year)</w:t>
            </w:r>
          </w:p>
        </w:tc>
        <w:tc>
          <w:tcPr>
            <w:tcW w:type="dxa" w:w="3312"/>
          </w:tcPr>
          <w:p>
            <w:pPr>
              <w:spacing w:after="20"/>
              <w:jc w:val="right"/>
            </w:pPr>
            <w:r>
              <w:rPr>
                <w:color w:val="1C3A36"/>
                <w:sz w:val="18"/>
              </w:rPr>
              <w:t>3.8</w:t>
            </w:r>
          </w:p>
        </w:tc>
      </w:tr>
      <w:tr>
        <w:tc>
          <w:tcPr>
            <w:tcW w:type="dxa" w:w="6408"/>
          </w:tcPr>
          <w:p>
            <w:pPr>
              <w:spacing w:after="20"/>
            </w:pPr>
            <w:r>
              <w:rPr>
                <w:color w:val="1C3A36"/>
                <w:sz w:val="18"/>
              </w:rPr>
              <w:t>Enterprise value per tonne, at market (USD/t)</w:t>
            </w:r>
          </w:p>
        </w:tc>
        <w:tc>
          <w:tcPr>
            <w:tcW w:type="dxa" w:w="3312"/>
          </w:tcPr>
          <w:p>
            <w:pPr>
              <w:spacing w:after="20"/>
              <w:jc w:val="right"/>
            </w:pPr>
            <w:r>
              <w:rPr>
                <w:color w:val="1C3A36"/>
                <w:sz w:val="18"/>
              </w:rPr>
              <w:t>82.8</w:t>
            </w:r>
          </w:p>
        </w:tc>
      </w:tr>
      <w:tr>
        <w:tc>
          <w:tcPr>
            <w:tcW w:type="dxa" w:w="6408"/>
          </w:tcPr>
          <w:p>
            <w:pPr>
              <w:spacing w:after="20"/>
            </w:pPr>
            <w:r>
              <w:rPr>
                <w:color w:val="1C3A36"/>
                <w:sz w:val="18"/>
              </w:rPr>
              <w:t>Replacement cost of new capacity (USD/t)</w:t>
            </w:r>
          </w:p>
        </w:tc>
        <w:tc>
          <w:tcPr>
            <w:tcW w:type="dxa" w:w="3312"/>
          </w:tcPr>
          <w:p>
            <w:pPr>
              <w:spacing w:after="20"/>
              <w:jc w:val="right"/>
            </w:pPr>
            <w:r>
              <w:rPr>
                <w:color w:val="1C3A36"/>
                <w:sz w:val="18"/>
              </w:rPr>
              <w:t>130</w:t>
            </w:r>
          </w:p>
        </w:tc>
      </w:tr>
      <w:tr>
        <w:tc>
          <w:tcPr>
            <w:tcW w:type="dxa" w:w="6408"/>
          </w:tcPr>
          <w:p>
            <w:pPr>
              <w:spacing w:after="20"/>
            </w:pPr>
            <w:r>
              <w:rPr>
                <w:color w:val="1C3A36"/>
                <w:sz w:val="18"/>
              </w:rPr>
              <w:t>Discount to replacement cost</w:t>
            </w:r>
          </w:p>
        </w:tc>
        <w:tc>
          <w:tcPr>
            <w:tcW w:type="dxa" w:w="3312"/>
          </w:tcPr>
          <w:p>
            <w:pPr>
              <w:spacing w:after="20"/>
              <w:jc w:val="right"/>
            </w:pPr>
            <w:r>
              <w:rPr>
                <w:color w:val="1C3A36"/>
                <w:sz w:val="18"/>
              </w:rPr>
              <w:t>-36.3%</w:t>
            </w:r>
          </w:p>
        </w:tc>
      </w:tr>
      <w:tr>
        <w:tc>
          <w:tcPr>
            <w:tcW w:type="dxa" w:w="6408"/>
          </w:tcPr>
          <w:p>
            <w:pPr>
              <w:spacing w:after="20"/>
            </w:pPr>
            <w:r>
              <w:rPr>
                <w:color w:val="1C3A36"/>
                <w:sz w:val="18"/>
              </w:rPr>
              <w:t>Justified enterprise value per tonne (USD/t)</w:t>
            </w:r>
          </w:p>
        </w:tc>
        <w:tc>
          <w:tcPr>
            <w:tcW w:type="dxa" w:w="3312"/>
          </w:tcPr>
          <w:p>
            <w:pPr>
              <w:spacing w:after="20"/>
              <w:jc w:val="right"/>
            </w:pPr>
            <w:r>
              <w:rPr>
                <w:color w:val="1C3A36"/>
                <w:sz w:val="18"/>
              </w:rPr>
              <w:t>95</w:t>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87.37</w:t>
            </w:r>
          </w:p>
        </w:tc>
      </w:tr>
    </w:tbl>
    <w:p>
      <w:pPr>
        <w:spacing w:after="40"/>
      </w:pPr>
    </w:p>
    <w:p>
      <w:pPr>
        <w:spacing w:after="200" w:before="0"/>
      </w:pPr>
      <w:r>
        <w:rPr>
          <w:b w:val="0"/>
          <w:i/>
          <w:color w:val="6E7B77"/>
          <w:sz w:val="17"/>
        </w:rPr>
        <w:t>Table 5 — The asset lens. The justified figure sits below replacement cost because nobody pays build cost for capacity in a market with a structural surplus.</w:t>
      </w:r>
    </w:p>
    <w:p>
      <w:pPr>
        <w:spacing w:after="120" w:before="0"/>
      </w:pPr>
      <w:r>
        <w:rPr>
          <w:b w:val="0"/>
          <w:i w:val="0"/>
          <w:color w:val="1C3A36"/>
          <w:sz w:val="21"/>
        </w:rPr>
        <w:t>This is the most generous of the four lenses, and the reason is instructive rather than convenient: the market is paying roughly USD 81 per annual tonne for an operating, profitable, cash-generative plant, against USD 130 to build one. That gap is real. What it does not tell you is whether the plant will earn its cost of capital, which is what the cash-flow lens answers and answers less generously. The disagreement between these two lenses is the central question about this company, and section 1.5 does not average it away.</w:t>
      </w:r>
    </w:p>
    <w:p>
      <w:pPr>
        <w:spacing w:after="80" w:before="200"/>
      </w:pPr>
      <w:r>
        <w:rPr>
          <w:b/>
          <w:i w:val="0"/>
          <w:color w:val="1C3A36"/>
          <w:sz w:val="24"/>
        </w:rPr>
        <w:t>1.3  Relative multiples</w:t>
      </w:r>
    </w:p>
    <w:p>
      <w:pPr>
        <w:spacing w:after="120" w:before="0"/>
      </w:pPr>
      <w:r>
        <w:rPr>
          <w:b w:val="0"/>
          <w:i w:val="0"/>
          <w:color w:val="1C3A36"/>
          <w:sz w:val="21"/>
        </w:rPr>
        <w:t>The named Egyptian comparator is Misr Beni Suef Cement, which posted the same 2025 step-change: attributable profit up 373.7% to EGP 3.946 billion on sales of EGP 5.700 billion, trading at 6.44 times trailing earnings and 5.03 times EBITDA. Arabian Cement reported roughly EGP 3.6 billion of consolidated profit on the same industry conditions. The uniformity across the peer group is itself the finding: this was a sector event, not a company event, which is why the multiple here is applied to normalised rather than trailing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FY2025 revenue (EGP mn)</w:t>
            </w:r>
          </w:p>
        </w:tc>
        <w:tc>
          <w:tcPr>
            <w:tcW w:type="dxa" w:w="3312"/>
          </w:tcPr>
          <w:p>
            <w:pPr>
              <w:spacing w:after="20"/>
              <w:jc w:val="right"/>
            </w:pPr>
            <w:r>
              <w:rPr>
                <w:color w:val="1C3A36"/>
                <w:sz w:val="18"/>
              </w:rPr>
              <w:t>9,090</w:t>
            </w:r>
          </w:p>
        </w:tc>
      </w:tr>
      <w:tr>
        <w:tc>
          <w:tcPr>
            <w:tcW w:type="dxa" w:w="6408"/>
          </w:tcPr>
          <w:p>
            <w:pPr>
              <w:spacing w:after="20"/>
            </w:pPr>
            <w:r>
              <w:rPr>
                <w:color w:val="1C3A36"/>
                <w:sz w:val="18"/>
              </w:rPr>
              <w:t>Mid-cycle EBITDA margin</w:t>
            </w:r>
          </w:p>
        </w:tc>
        <w:tc>
          <w:tcPr>
            <w:tcW w:type="dxa" w:w="3312"/>
          </w:tcPr>
          <w:p>
            <w:pPr>
              <w:spacing w:after="20"/>
              <w:jc w:val="right"/>
            </w:pPr>
            <w:r>
              <w:rPr>
                <w:color w:val="1C3A36"/>
                <w:sz w:val="18"/>
              </w:rPr>
              <w:t>27.8%</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Justified EV/EBITDA</w:t>
            </w:r>
          </w:p>
        </w:tc>
        <w:tc>
          <w:tcPr>
            <w:tcW w:type="dxa" w:w="3312"/>
          </w:tcPr>
          <w:p>
            <w:pPr>
              <w:spacing w:after="20"/>
              <w:jc w:val="right"/>
            </w:pPr>
            <w:r>
              <w:rPr>
                <w:color w:val="1C3A36"/>
                <w:sz w:val="18"/>
              </w:rPr>
              <w:t>4.2x</w:t>
            </w:r>
          </w:p>
        </w:tc>
      </w:tr>
      <w:tr>
        <w:tc>
          <w:tcPr>
            <w:tcW w:type="dxa" w:w="6408"/>
          </w:tcPr>
          <w:p>
            <w:pPr>
              <w:spacing w:after="20"/>
            </w:pPr>
            <w:r>
              <w:rPr>
                <w:color w:val="1C3A36"/>
                <w:sz w:val="18"/>
              </w:rPr>
              <w:t>Implied enterprise value (EGP mn)</w:t>
            </w:r>
          </w:p>
        </w:tc>
        <w:tc>
          <w:tcPr>
            <w:tcW w:type="dxa" w:w="3312"/>
          </w:tcPr>
          <w:p>
            <w:pPr>
              <w:spacing w:after="20"/>
              <w:jc w:val="right"/>
            </w:pPr>
            <w:r>
              <w:rPr>
                <w:color w:val="1C3A36"/>
                <w:sz w:val="18"/>
              </w:rPr>
              <w:t>9,764</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4,930</w:t>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55.88</w:t>
            </w:r>
          </w:p>
        </w:tc>
      </w:tr>
    </w:tbl>
    <w:p>
      <w:pPr>
        <w:spacing w:after="40"/>
      </w:pPr>
    </w:p>
    <w:p>
      <w:pPr>
        <w:spacing w:after="200" w:before="0"/>
      </w:pPr>
      <w:r>
        <w:rPr>
          <w:b w:val="0"/>
          <w:i/>
          <w:color w:val="6E7B77"/>
          <w:sz w:val="17"/>
        </w:rPr>
        <w:t>Table 6 — The relative lens, struck at the peer's own EBITDA multiple with no premium for net cash, which the bridge adds separately.</w:t>
      </w:r>
    </w:p>
    <w:p>
      <w:pPr>
        <w:spacing w:after="80" w:before="200"/>
      </w:pPr>
      <w:r>
        <w:rPr>
          <w:b/>
          <w:i w:val="0"/>
          <w:color w:val="1C3A36"/>
          <w:sz w:val="24"/>
        </w:rPr>
        <w:t>1.4  Normalised earnings power — where this sits in the cycle</w:t>
      </w:r>
    </w:p>
    <w:p>
      <w:pPr>
        <w:spacing w:after="120" w:before="0"/>
      </w:pPr>
      <w:r>
        <w:rPr>
          <w:b w:val="0"/>
          <w:i w:val="0"/>
          <w:color w:val="1C3A36"/>
          <w:sz w:val="21"/>
        </w:rPr>
        <w:t>2025 was the first year since 2008 that Egypt's cement supply and demand balanced. Domestic consumption rose 13.4% to 54 million tonnes, production rose 18% to about 65 million tonnes, operating utilisation reached 98%, and prices roughly doubled after the competition authority permanently lifted production quotas in July 2025. Every one of those is a cyclical high, not a plateau.</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Less depreciation &amp; amortisation (EGP mn)</w:t>
            </w:r>
          </w:p>
        </w:tc>
        <w:tc>
          <w:tcPr>
            <w:tcW w:type="dxa" w:w="3312"/>
          </w:tcPr>
          <w:p>
            <w:pPr>
              <w:spacing w:after="20"/>
              <w:jc w:val="right"/>
            </w:pPr>
            <w:r>
              <w:rPr>
                <w:color w:val="1C3A36"/>
                <w:sz w:val="18"/>
              </w:rPr>
              <w:t>-418</w:t>
            </w:r>
          </w:p>
        </w:tc>
      </w:tr>
      <w:tr>
        <w:tc>
          <w:tcPr>
            <w:tcW w:type="dxa" w:w="6408"/>
          </w:tcPr>
          <w:p>
            <w:pPr>
              <w:spacing w:after="20"/>
            </w:pPr>
            <w:r>
              <w:rPr>
                <w:color w:val="1C3A36"/>
                <w:sz w:val="18"/>
              </w:rPr>
              <w:t>Normalised NOPAT (EGP mn)</w:t>
            </w:r>
          </w:p>
        </w:tc>
        <w:tc>
          <w:tcPr>
            <w:tcW w:type="dxa" w:w="3312"/>
          </w:tcPr>
          <w:p>
            <w:pPr>
              <w:spacing w:after="20"/>
              <w:jc w:val="right"/>
            </w:pPr>
            <w:r>
              <w:rPr>
                <w:color w:val="1C3A36"/>
                <w:sz w:val="18"/>
              </w:rPr>
              <w:t>1,478</w:t>
            </w:r>
          </w:p>
        </w:tc>
      </w:tr>
      <w:tr>
        <w:tc>
          <w:tcPr>
            <w:tcW w:type="dxa" w:w="6408"/>
          </w:tcPr>
          <w:p>
            <w:pPr>
              <w:spacing w:after="20"/>
            </w:pPr>
            <w:r>
              <w:rPr>
                <w:color w:val="1C3A36"/>
                <w:sz w:val="18"/>
              </w:rPr>
              <w:t>Plus after-tax treasury income (EGP mn)</w:t>
            </w:r>
          </w:p>
        </w:tc>
        <w:tc>
          <w:tcPr>
            <w:tcW w:type="dxa" w:w="3312"/>
          </w:tcPr>
          <w:p>
            <w:pPr>
              <w:spacing w:after="20"/>
              <w:jc w:val="right"/>
            </w:pPr>
            <w:r>
              <w:rPr>
                <w:color w:val="1C3A36"/>
                <w:sz w:val="18"/>
              </w:rPr>
              <w:t>0</w:t>
            </w:r>
          </w:p>
        </w:tc>
      </w:tr>
      <w:tr>
        <w:tc>
          <w:tcPr>
            <w:tcW w:type="dxa" w:w="6408"/>
          </w:tcPr>
          <w:p>
            <w:pPr>
              <w:spacing w:after="20"/>
            </w:pPr>
            <w:r>
              <w:rPr>
                <w:color w:val="1C3A36"/>
                <w:sz w:val="18"/>
              </w:rPr>
              <w:t>Normalised earnings (EGP mn)</w:t>
            </w:r>
          </w:p>
        </w:tc>
        <w:tc>
          <w:tcPr>
            <w:tcW w:type="dxa" w:w="3312"/>
          </w:tcPr>
          <w:p>
            <w:pPr>
              <w:spacing w:after="20"/>
              <w:jc w:val="right"/>
            </w:pPr>
            <w:r>
              <w:rPr>
                <w:color w:val="1C3A36"/>
                <w:sz w:val="18"/>
              </w:rPr>
              <w:t>1,478</w:t>
            </w:r>
          </w:p>
        </w:tc>
      </w:tr>
      <w:tr>
        <w:tc>
          <w:tcPr>
            <w:tcW w:type="dxa" w:w="6408"/>
          </w:tcPr>
          <w:p>
            <w:pPr>
              <w:spacing w:after="20"/>
            </w:pPr>
            <w:r>
              <w:rPr>
                <w:color w:val="1C3A36"/>
                <w:sz w:val="18"/>
              </w:rPr>
              <w:t>Justified price/earnings</w:t>
            </w:r>
          </w:p>
        </w:tc>
        <w:tc>
          <w:tcPr>
            <w:tcW w:type="dxa" w:w="3312"/>
          </w:tcPr>
          <w:p>
            <w:pPr>
              <w:spacing w:after="20"/>
              <w:jc w:val="right"/>
            </w:pPr>
            <w:r>
              <w:rPr>
                <w:color w:val="1C3A36"/>
                <w:sz w:val="18"/>
              </w:rPr>
              <w:t>7.0x</w:t>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58.10</w:t>
            </w:r>
          </w:p>
        </w:tc>
      </w:tr>
    </w:tbl>
    <w:p>
      <w:pPr>
        <w:spacing w:after="40"/>
      </w:pPr>
    </w:p>
    <w:p>
      <w:pPr>
        <w:spacing w:after="200" w:before="0"/>
      </w:pPr>
      <w:r>
        <w:rPr>
          <w:b w:val="0"/>
          <w:i/>
          <w:color w:val="6E7B77"/>
          <w:sz w:val="17"/>
        </w:rPr>
        <w:t>Table 7 — Normalised earnings power, on a mid-cycle margin struck between the FY2024 outturn and the FY2025 peak.</w:t>
      </w:r>
    </w:p>
    <w:p>
      <w:pPr>
        <w:spacing w:after="80" w:before="200"/>
      </w:pPr>
      <w:r>
        <w:rPr>
          <w:b/>
          <w:i w:val="0"/>
          <w:color w:val="1C3A36"/>
          <w:sz w:val="24"/>
        </w:rPr>
        <w:t>1.5  Synthesis — four lenses, one field</w:t>
      </w:r>
    </w:p>
    <w:p>
      <w:pPr>
        <w:spacing w:after="120" w:before="0"/>
      </w:pPr>
      <w:r>
        <w:rPr>
          <w:b w:val="0"/>
          <w:i w:val="0"/>
          <w:color w:val="1C3A36"/>
          <w:sz w:val="21"/>
        </w:rPr>
        <w:t>The four lenses do not agree, and the spread between them is the honest output rather than a problem to be smoothed. The cash-flow and normalised-earnings lenses, which both ask what the business earns, land in the middle fifties. The relative lens lands in the mid sixties. The asset lens, which asks only what the plant is worth, lands near ninety. The market price of EGP 79.00 sits between the earnings answers and the asset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037"/>
        <w:gridCol w:w="1037"/>
        <w:gridCol w:w="1037"/>
        <w:gridCol w:w="893"/>
        <w:gridCol w:w="3672"/>
      </w:tblGrid>
      <w:tr>
        <w:tc>
          <w:tcPr>
            <w:tcW w:type="dxa" w:w="2333"/>
            <w:shd w:val="clear" w:color="auto" w:fill="EAF0EE"/>
          </w:tcPr>
          <w:p>
            <w:pPr>
              <w:spacing w:after="20"/>
            </w:pPr>
            <w:r>
              <w:rPr>
                <w:b/>
                <w:color w:val="1C3A36"/>
                <w:sz w:val="18"/>
              </w:rPr>
              <w:t>Lens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893"/>
            <w:shd w:val="clear" w:color="auto" w:fill="EAF0EE"/>
          </w:tcPr>
          <w:p>
            <w:pPr>
              <w:spacing w:after="20"/>
            </w:pPr>
            <w:r>
              <w:rPr>
                <w:b/>
                <w:color w:val="1C3A36"/>
                <w:sz w:val="18"/>
              </w:rPr>
              <w:t>Weight</w:t>
            </w:r>
          </w:p>
        </w:tc>
        <w:tc>
          <w:tcPr>
            <w:tcW w:type="dxa" w:w="3672"/>
            <w:shd w:val="clear" w:color="auto" w:fill="EAF0EE"/>
          </w:tcPr>
          <w:p>
            <w:pPr>
              <w:spacing w:after="20"/>
            </w:pPr>
            <w:r>
              <w:rPr>
                <w:b/>
                <w:color w:val="1C3A36"/>
                <w:sz w:val="18"/>
              </w:rPr>
              <w:t>What it is measuring</w:t>
            </w:r>
          </w:p>
        </w:tc>
      </w:tr>
      <w:tr>
        <w:tc>
          <w:tcPr>
            <w:tcW w:type="dxa" w:w="2333"/>
          </w:tcPr>
          <w:p>
            <w:pPr>
              <w:spacing w:after="20"/>
            </w:pPr>
            <w:r>
              <w:rPr>
                <w:color w:val="1C3A36"/>
                <w:sz w:val="18"/>
              </w:rPr>
              <w:t>DCF (cash flow)</w:t>
            </w:r>
          </w:p>
        </w:tc>
        <w:tc>
          <w:tcPr>
            <w:tcW w:type="dxa" w:w="1037"/>
          </w:tcPr>
          <w:p>
            <w:pPr>
              <w:spacing w:after="20"/>
              <w:jc w:val="right"/>
            </w:pPr>
            <w:r>
              <w:rPr>
                <w:color w:val="1C3A36"/>
                <w:sz w:val="18"/>
              </w:rPr>
              <w:t>39.15</w:t>
            </w:r>
          </w:p>
        </w:tc>
        <w:tc>
          <w:tcPr>
            <w:tcW w:type="dxa" w:w="1037"/>
          </w:tcPr>
          <w:p>
            <w:pPr>
              <w:spacing w:after="20"/>
              <w:jc w:val="right"/>
            </w:pPr>
            <w:r>
              <w:rPr>
                <w:color w:val="1C3A36"/>
                <w:sz w:val="18"/>
              </w:rPr>
              <w:t>43.81</w:t>
            </w:r>
          </w:p>
        </w:tc>
        <w:tc>
          <w:tcPr>
            <w:tcW w:type="dxa" w:w="1037"/>
          </w:tcPr>
          <w:p>
            <w:pPr>
              <w:spacing w:after="20"/>
              <w:jc w:val="right"/>
            </w:pPr>
            <w:r>
              <w:rPr>
                <w:color w:val="1C3A36"/>
                <w:sz w:val="18"/>
              </w:rPr>
              <w:t>47.85</w:t>
            </w:r>
          </w:p>
        </w:tc>
        <w:tc>
          <w:tcPr>
            <w:tcW w:type="dxa" w:w="893"/>
          </w:tcPr>
          <w:p>
            <w:pPr>
              <w:spacing w:after="20"/>
              <w:jc w:val="right"/>
            </w:pPr>
            <w:r>
              <w:rPr>
                <w:color w:val="1C3A36"/>
                <w:sz w:val="18"/>
              </w:rPr>
              <w:t>48%</w:t>
            </w:r>
          </w:p>
        </w:tc>
        <w:tc>
          <w:tcPr>
            <w:tcW w:type="dxa" w:w="3672"/>
          </w:tcPr>
          <w:p>
            <w:pPr>
              <w:spacing w:after="20"/>
              <w:jc w:val="right"/>
            </w:pPr>
            <w:r>
              <w:rPr>
                <w:color w:val="1C3A36"/>
                <w:sz w:val="18"/>
              </w:rPr>
              <w:t>What the cash flows are worth, discounted</w:t>
            </w:r>
          </w:p>
        </w:tc>
      </w:tr>
      <w:tr>
        <w:tc>
          <w:tcPr>
            <w:tcW w:type="dxa" w:w="2333"/>
          </w:tcPr>
          <w:p>
            <w:pPr>
              <w:spacing w:after="20"/>
            </w:pPr>
            <w:r>
              <w:rPr>
                <w:color w:val="1C3A36"/>
                <w:sz w:val="18"/>
              </w:rPr>
              <w:t>Relative multiples</w:t>
            </w:r>
          </w:p>
        </w:tc>
        <w:tc>
          <w:tcPr>
            <w:tcW w:type="dxa" w:w="1037"/>
          </w:tcPr>
          <w:p>
            <w:pPr>
              <w:spacing w:after="20"/>
              <w:jc w:val="right"/>
            </w:pPr>
            <w:r>
              <w:rPr>
                <w:color w:val="1C3A36"/>
                <w:sz w:val="18"/>
              </w:rPr>
              <w:t>46.97</w:t>
            </w:r>
          </w:p>
        </w:tc>
        <w:tc>
          <w:tcPr>
            <w:tcW w:type="dxa" w:w="1037"/>
          </w:tcPr>
          <w:p>
            <w:pPr>
              <w:spacing w:after="20"/>
              <w:jc w:val="right"/>
            </w:pPr>
            <w:r>
              <w:rPr>
                <w:color w:val="1C3A36"/>
                <w:sz w:val="18"/>
              </w:rPr>
              <w:t>55.88</w:t>
            </w:r>
          </w:p>
        </w:tc>
        <w:tc>
          <w:tcPr>
            <w:tcW w:type="dxa" w:w="1037"/>
          </w:tcPr>
          <w:p>
            <w:pPr>
              <w:spacing w:after="20"/>
              <w:jc w:val="right"/>
            </w:pPr>
            <w:r>
              <w:rPr>
                <w:color w:val="1C3A36"/>
                <w:sz w:val="18"/>
              </w:rPr>
              <w:t>64.79</w:t>
            </w:r>
          </w:p>
        </w:tc>
        <w:tc>
          <w:tcPr>
            <w:tcW w:type="dxa" w:w="893"/>
          </w:tcPr>
          <w:p>
            <w:pPr>
              <w:spacing w:after="20"/>
              <w:jc w:val="right"/>
            </w:pPr>
            <w:r>
              <w:rPr>
                <w:color w:val="1C3A36"/>
                <w:sz w:val="18"/>
              </w:rPr>
              <w:t>21%</w:t>
            </w:r>
          </w:p>
        </w:tc>
        <w:tc>
          <w:tcPr>
            <w:tcW w:type="dxa" w:w="3672"/>
          </w:tcPr>
          <w:p>
            <w:pPr>
              <w:spacing w:after="20"/>
              <w:jc w:val="right"/>
            </w:pPr>
            <w:r>
              <w:rPr>
                <w:color w:val="1C3A36"/>
                <w:sz w:val="18"/>
              </w:rPr>
              <w:t>What the market pays peers for the same EBITDA</w:t>
            </w:r>
          </w:p>
        </w:tc>
      </w:tr>
      <w:tr>
        <w:tc>
          <w:tcPr>
            <w:tcW w:type="dxa" w:w="2333"/>
          </w:tcPr>
          <w:p>
            <w:pPr>
              <w:spacing w:after="20"/>
            </w:pPr>
            <w:r>
              <w:rPr>
                <w:color w:val="1C3A36"/>
                <w:sz w:val="18"/>
              </w:rPr>
              <w:t>Normalised earnings</w:t>
            </w:r>
          </w:p>
        </w:tc>
        <w:tc>
          <w:tcPr>
            <w:tcW w:type="dxa" w:w="1037"/>
          </w:tcPr>
          <w:p>
            <w:pPr>
              <w:spacing w:after="20"/>
              <w:jc w:val="right"/>
            </w:pPr>
            <w:r>
              <w:rPr>
                <w:color w:val="1C3A36"/>
                <w:sz w:val="18"/>
              </w:rPr>
              <w:t>52.44</w:t>
            </w:r>
          </w:p>
        </w:tc>
        <w:tc>
          <w:tcPr>
            <w:tcW w:type="dxa" w:w="1037"/>
          </w:tcPr>
          <w:p>
            <w:pPr>
              <w:spacing w:after="20"/>
              <w:jc w:val="right"/>
            </w:pPr>
            <w:r>
              <w:rPr>
                <w:color w:val="1C3A36"/>
                <w:sz w:val="18"/>
              </w:rPr>
              <w:t>58.10</w:t>
            </w:r>
          </w:p>
        </w:tc>
        <w:tc>
          <w:tcPr>
            <w:tcW w:type="dxa" w:w="1037"/>
          </w:tcPr>
          <w:p>
            <w:pPr>
              <w:spacing w:after="20"/>
              <w:jc w:val="right"/>
            </w:pPr>
            <w:r>
              <w:rPr>
                <w:color w:val="1C3A36"/>
                <w:sz w:val="18"/>
              </w:rPr>
              <w:t>63.77</w:t>
            </w:r>
          </w:p>
        </w:tc>
        <w:tc>
          <w:tcPr>
            <w:tcW w:type="dxa" w:w="893"/>
          </w:tcPr>
          <w:p>
            <w:pPr>
              <w:spacing w:after="20"/>
              <w:jc w:val="right"/>
            </w:pPr>
            <w:r>
              <w:rPr>
                <w:color w:val="1C3A36"/>
                <w:sz w:val="18"/>
              </w:rPr>
              <w:t>23%</w:t>
            </w:r>
          </w:p>
        </w:tc>
        <w:tc>
          <w:tcPr>
            <w:tcW w:type="dxa" w:w="3672"/>
          </w:tcPr>
          <w:p>
            <w:pPr>
              <w:spacing w:after="20"/>
              <w:jc w:val="right"/>
            </w:pPr>
            <w:r>
              <w:rPr>
                <w:color w:val="1C3A36"/>
                <w:sz w:val="18"/>
              </w:rPr>
              <w:t>What the business earns through the cycle</w:t>
            </w:r>
          </w:p>
        </w:tc>
      </w:tr>
      <w:tr>
        <w:tc>
          <w:tcPr>
            <w:tcW w:type="dxa" w:w="2333"/>
          </w:tcPr>
          <w:p>
            <w:pPr>
              <w:spacing w:after="20"/>
            </w:pPr>
            <w:r>
              <w:rPr>
                <w:color w:val="1C3A36"/>
                <w:sz w:val="18"/>
              </w:rPr>
              <w:t>Asset / replacement cost</w:t>
            </w:r>
          </w:p>
        </w:tc>
        <w:tc>
          <w:tcPr>
            <w:tcW w:type="dxa" w:w="1037"/>
          </w:tcPr>
          <w:p>
            <w:pPr>
              <w:spacing w:after="20"/>
              <w:jc w:val="right"/>
            </w:pPr>
            <w:r>
              <w:rPr>
                <w:color w:val="1C3A36"/>
                <w:sz w:val="18"/>
              </w:rPr>
              <w:t>76.49</w:t>
            </w:r>
          </w:p>
        </w:tc>
        <w:tc>
          <w:tcPr>
            <w:tcW w:type="dxa" w:w="1037"/>
          </w:tcPr>
          <w:p>
            <w:pPr>
              <w:spacing w:after="20"/>
              <w:jc w:val="right"/>
            </w:pPr>
            <w:r>
              <w:rPr>
                <w:color w:val="1C3A36"/>
                <w:sz w:val="18"/>
              </w:rPr>
              <w:t>87.37</w:t>
            </w:r>
          </w:p>
        </w:tc>
        <w:tc>
          <w:tcPr>
            <w:tcW w:type="dxa" w:w="1037"/>
          </w:tcPr>
          <w:p>
            <w:pPr>
              <w:spacing w:after="20"/>
              <w:jc w:val="right"/>
            </w:pPr>
            <w:r>
              <w:rPr>
                <w:color w:val="1C3A36"/>
                <w:sz w:val="18"/>
              </w:rPr>
              <w:t>98.26</w:t>
            </w:r>
          </w:p>
        </w:tc>
        <w:tc>
          <w:tcPr>
            <w:tcW w:type="dxa" w:w="893"/>
          </w:tcPr>
          <w:p>
            <w:pPr>
              <w:spacing w:after="20"/>
              <w:jc w:val="right"/>
            </w:pPr>
            <w:r>
              <w:rPr>
                <w:color w:val="1C3A36"/>
                <w:sz w:val="18"/>
              </w:rPr>
              <w:t>8%</w:t>
            </w:r>
          </w:p>
        </w:tc>
        <w:tc>
          <w:tcPr>
            <w:tcW w:type="dxa" w:w="3672"/>
          </w:tcPr>
          <w:p>
            <w:pPr>
              <w:spacing w:after="20"/>
              <w:jc w:val="right"/>
            </w:pPr>
            <w:r>
              <w:rPr>
                <w:color w:val="1C3A36"/>
                <w:sz w:val="18"/>
              </w:rPr>
              <w:t>What the plant itself is worth</w:t>
            </w:r>
          </w:p>
        </w:tc>
      </w:tr>
      <w:tr>
        <w:tc>
          <w:tcPr>
            <w:tcW w:type="dxa" w:w="2333"/>
            <w:shd w:val="clear" w:color="auto" w:fill="F6F1E6"/>
          </w:tcPr>
          <w:p>
            <w:pPr>
              <w:spacing w:after="20"/>
            </w:pPr>
            <w:r>
              <w:rPr>
                <w:b/>
                <w:color w:val="1C3A36"/>
                <w:sz w:val="18"/>
              </w:rPr>
              <w:t>Weighted central</w:t>
            </w:r>
          </w:p>
        </w:tc>
        <w:tc>
          <w:tcPr>
            <w:tcW w:type="dxa" w:w="1037"/>
            <w:shd w:val="clear" w:color="auto" w:fill="F6F1E6"/>
          </w:tcPr>
          <w:p>
            <w:pPr>
              <w:spacing w:after="20"/>
              <w:jc w:val="right"/>
            </w:pPr>
            <w:r>
              <w:rPr>
                <w:b/>
                <w:color w:val="1C3A36"/>
                <w:sz w:val="18"/>
              </w:rPr>
              <w:t>46.84</w:t>
            </w:r>
          </w:p>
        </w:tc>
        <w:tc>
          <w:tcPr>
            <w:tcW w:type="dxa" w:w="1037"/>
            <w:shd w:val="clear" w:color="auto" w:fill="F6F1E6"/>
          </w:tcPr>
          <w:p>
            <w:pPr>
              <w:spacing w:after="20"/>
              <w:jc w:val="right"/>
            </w:pPr>
            <w:r>
              <w:rPr>
                <w:b/>
                <w:color w:val="1C3A36"/>
                <w:sz w:val="18"/>
              </w:rPr>
              <w:t>53.12</w:t>
            </w:r>
          </w:p>
        </w:tc>
        <w:tc>
          <w:tcPr>
            <w:tcW w:type="dxa" w:w="1037"/>
            <w:shd w:val="clear" w:color="auto" w:fill="F6F1E6"/>
          </w:tcPr>
          <w:p>
            <w:pPr>
              <w:spacing w:after="20"/>
              <w:jc w:val="right"/>
            </w:pPr>
            <w:r>
              <w:rPr>
                <w:b/>
                <w:color w:val="1C3A36"/>
                <w:sz w:val="18"/>
              </w:rPr>
              <w:t>59.10</w:t>
            </w:r>
          </w:p>
        </w:tc>
        <w:tc>
          <w:tcPr>
            <w:tcW w:type="dxa" w:w="893"/>
            <w:shd w:val="clear" w:color="auto" w:fill="F6F1E6"/>
          </w:tcPr>
          <w:p>
            <w:pPr>
              <w:spacing w:after="20"/>
              <w:jc w:val="right"/>
            </w:pPr>
            <w:r>
              <w:rPr>
                <w:b/>
                <w:color w:val="1C3A36"/>
                <w:sz w:val="18"/>
              </w:rPr>
              <w:t>100%</w:t>
            </w:r>
          </w:p>
        </w:tc>
        <w:tc>
          <w:tcPr>
            <w:tcW w:type="dxa" w:w="3672"/>
            <w:shd w:val="clear" w:color="auto" w:fill="F6F1E6"/>
          </w:tcPr>
          <w:p>
            <w:pPr>
              <w:spacing w:after="20"/>
              <w:jc w:val="right"/>
            </w:pPr>
            <w:r>
              <w:rPr>
                <w:b/>
                <w:color w:val="1C3A36"/>
                <w:sz w:val="18"/>
              </w:rPr>
              <w:t>The blend</w:t>
            </w:r>
          </w:p>
        </w:tc>
      </w:tr>
    </w:tbl>
    <w:p>
      <w:pPr>
        <w:spacing w:after="40"/>
      </w:pPr>
    </w:p>
    <w:p>
      <w:pPr>
        <w:spacing w:after="200" w:before="0"/>
      </w:pPr>
      <w:r>
        <w:rPr>
          <w:b w:val="0"/>
          <w:i/>
          <w:color w:val="6E7B77"/>
          <w:sz w:val="17"/>
        </w:rPr>
        <w:t>Table 8 — The four lenses side by side. Weighting is applied to the base cases; the ranges are shown so the reader can weight them differently.</w:t>
      </w:r>
    </w:p>
    <w:p>
      <w:pPr>
        <w:spacing w:after="80" w:before="200"/>
      </w:pPr>
      <w:r>
        <w:rPr>
          <w:b/>
          <w:i w:val="0"/>
          <w:color w:val="1C3A36"/>
          <w:sz w:val="24"/>
        </w:rPr>
        <w:t>1.6  The drivers — a bottom-up build from kilns and tonnes</w:t>
      </w:r>
    </w:p>
    <w:p>
      <w:pPr>
        <w:spacing w:after="120" w:before="0"/>
      </w:pPr>
      <w:r>
        <w:rPr>
          <w:b w:val="0"/>
          <w:i w:val="0"/>
          <w:color w:val="1C3A36"/>
          <w:sz w:val="21"/>
        </w:rPr>
        <w:t>Revenue and EBITDA are not assumed here. They are built from physical units, and the margin is what falls out at the bottom rather than what is typed in at the top.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Kiln utilisation</w:t>
            </w:r>
          </w:p>
        </w:tc>
        <w:tc>
          <w:tcPr>
            <w:tcW w:type="dxa" w:w="1210"/>
          </w:tcPr>
          <w:p>
            <w:pPr>
              <w:spacing w:after="20"/>
              <w:jc w:val="right"/>
            </w:pPr>
            <w:r>
              <w:rPr>
                <w:color w:val="1C3A36"/>
                <w:sz w:val="17"/>
              </w:rPr>
              <w:t>71.0%</w:t>
            </w:r>
          </w:p>
        </w:tc>
        <w:tc>
          <w:tcPr>
            <w:tcW w:type="dxa" w:w="1210"/>
          </w:tcPr>
          <w:p>
            <w:pPr>
              <w:spacing w:after="20"/>
              <w:jc w:val="right"/>
            </w:pPr>
            <w:r>
              <w:rPr>
                <w:color w:val="1C3A36"/>
                <w:sz w:val="17"/>
              </w:rPr>
              <w:t>71.7%</w:t>
            </w:r>
          </w:p>
        </w:tc>
        <w:tc>
          <w:tcPr>
            <w:tcW w:type="dxa" w:w="1210"/>
          </w:tcPr>
          <w:p>
            <w:pPr>
              <w:spacing w:after="20"/>
              <w:jc w:val="right"/>
            </w:pPr>
            <w:r>
              <w:rPr>
                <w:color w:val="1C3A36"/>
                <w:sz w:val="17"/>
              </w:rPr>
              <w:t>73.5%</w:t>
            </w:r>
          </w:p>
        </w:tc>
        <w:tc>
          <w:tcPr>
            <w:tcW w:type="dxa" w:w="1210"/>
          </w:tcPr>
          <w:p>
            <w:pPr>
              <w:spacing w:after="20"/>
              <w:jc w:val="right"/>
            </w:pPr>
            <w:r>
              <w:rPr>
                <w:color w:val="1C3A36"/>
                <w:sz w:val="17"/>
              </w:rPr>
              <w:t>75.3%</w:t>
            </w:r>
          </w:p>
        </w:tc>
        <w:tc>
          <w:tcPr>
            <w:tcW w:type="dxa" w:w="1210"/>
          </w:tcPr>
          <w:p>
            <w:pPr>
              <w:spacing w:after="20"/>
              <w:jc w:val="right"/>
            </w:pPr>
            <w:r>
              <w:rPr>
                <w:color w:val="1C3A36"/>
                <w:sz w:val="17"/>
              </w:rPr>
              <w:t>77.2%</w:t>
            </w:r>
          </w:p>
        </w:tc>
        <w:tc>
          <w:tcPr>
            <w:tcW w:type="dxa" w:w="1210"/>
          </w:tcPr>
          <w:p>
            <w:pPr>
              <w:spacing w:after="20"/>
              <w:jc w:val="right"/>
            </w:pPr>
            <w:r>
              <w:rPr>
                <w:color w:val="1C3A36"/>
                <w:sz w:val="17"/>
              </w:rPr>
              <w:t>79.1%</w:t>
            </w:r>
          </w:p>
        </w:tc>
      </w:tr>
      <w:tr>
        <w:tc>
          <w:tcPr>
            <w:tcW w:type="dxa" w:w="2448"/>
          </w:tcPr>
          <w:p>
            <w:pPr>
              <w:spacing w:after="20"/>
            </w:pPr>
            <w:r>
              <w:rPr>
                <w:color w:val="1C3A36"/>
                <w:sz w:val="17"/>
              </w:rPr>
              <w:t>Clinker produced (Mt)</w:t>
            </w:r>
          </w:p>
        </w:tc>
        <w:tc>
          <w:tcPr>
            <w:tcW w:type="dxa" w:w="1210"/>
          </w:tcPr>
          <w:p>
            <w:pPr>
              <w:spacing w:after="20"/>
              <w:jc w:val="right"/>
            </w:pPr>
            <w:r>
              <w:rPr>
                <w:color w:val="1C3A36"/>
                <w:sz w:val="17"/>
              </w:rPr>
              <w:t>1.825</w:t>
            </w:r>
          </w:p>
        </w:tc>
        <w:tc>
          <w:tcPr>
            <w:tcW w:type="dxa" w:w="1210"/>
          </w:tcPr>
          <w:p>
            <w:pPr>
              <w:spacing w:after="20"/>
              <w:jc w:val="right"/>
            </w:pPr>
            <w:r>
              <w:rPr>
                <w:color w:val="1C3A36"/>
                <w:sz w:val="17"/>
              </w:rPr>
              <w:t>1.843</w:t>
            </w:r>
          </w:p>
        </w:tc>
        <w:tc>
          <w:tcPr>
            <w:tcW w:type="dxa" w:w="1210"/>
          </w:tcPr>
          <w:p>
            <w:pPr>
              <w:spacing w:after="20"/>
              <w:jc w:val="right"/>
            </w:pPr>
            <w:r>
              <w:rPr>
                <w:color w:val="1C3A36"/>
                <w:sz w:val="17"/>
              </w:rPr>
              <w:t>1.889</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1.984</w:t>
            </w:r>
          </w:p>
        </w:tc>
        <w:tc>
          <w:tcPr>
            <w:tcW w:type="dxa" w:w="1210"/>
          </w:tcPr>
          <w:p>
            <w:pPr>
              <w:spacing w:after="20"/>
              <w:jc w:val="right"/>
            </w:pPr>
            <w:r>
              <w:rPr>
                <w:color w:val="1C3A36"/>
                <w:sz w:val="17"/>
              </w:rPr>
              <w:t>2.033</w:t>
            </w:r>
          </w:p>
        </w:tc>
      </w:tr>
      <w:tr>
        <w:tc>
          <w:tcPr>
            <w:tcW w:type="dxa" w:w="2448"/>
          </w:tcPr>
          <w:p>
            <w:pPr>
              <w:spacing w:after="20"/>
            </w:pPr>
            <w:r>
              <w:rPr>
                <w:color w:val="1C3A36"/>
                <w:sz w:val="17"/>
              </w:rPr>
              <w:t>Cement produced (Mt)</w:t>
            </w:r>
          </w:p>
        </w:tc>
        <w:tc>
          <w:tcPr>
            <w:tcW w:type="dxa" w:w="1210"/>
          </w:tcPr>
          <w:p>
            <w:pPr>
              <w:spacing w:after="20"/>
              <w:jc w:val="right"/>
            </w:pPr>
            <w:r>
              <w:rPr>
                <w:color w:val="1C3A36"/>
                <w:sz w:val="17"/>
              </w:rPr>
              <w:t>2.698</w:t>
            </w:r>
          </w:p>
        </w:tc>
        <w:tc>
          <w:tcPr>
            <w:tcW w:type="dxa" w:w="1210"/>
          </w:tcPr>
          <w:p>
            <w:pPr>
              <w:spacing w:after="20"/>
              <w:jc w:val="right"/>
            </w:pPr>
            <w:r>
              <w:rPr>
                <w:color w:val="1C3A36"/>
                <w:sz w:val="17"/>
              </w:rPr>
              <w:t>2.725</w:t>
            </w:r>
          </w:p>
        </w:tc>
        <w:tc>
          <w:tcPr>
            <w:tcW w:type="dxa" w:w="1210"/>
          </w:tcPr>
          <w:p>
            <w:pPr>
              <w:spacing w:after="20"/>
              <w:jc w:val="right"/>
            </w:pPr>
            <w:r>
              <w:rPr>
                <w:color w:val="1C3A36"/>
                <w:sz w:val="17"/>
              </w:rPr>
              <w:t>2.793</w:t>
            </w:r>
          </w:p>
        </w:tc>
        <w:tc>
          <w:tcPr>
            <w:tcW w:type="dxa" w:w="1210"/>
          </w:tcPr>
          <w:p>
            <w:pPr>
              <w:spacing w:after="20"/>
              <w:jc w:val="right"/>
            </w:pPr>
            <w:r>
              <w:rPr>
                <w:color w:val="1C3A36"/>
                <w:sz w:val="17"/>
              </w:rPr>
              <w:t>2.861</w:t>
            </w:r>
          </w:p>
        </w:tc>
        <w:tc>
          <w:tcPr>
            <w:tcW w:type="dxa" w:w="1210"/>
          </w:tcPr>
          <w:p>
            <w:pPr>
              <w:spacing w:after="20"/>
              <w:jc w:val="right"/>
            </w:pPr>
            <w:r>
              <w:rPr>
                <w:color w:val="1C3A36"/>
                <w:sz w:val="17"/>
              </w:rPr>
              <w:t>2.934</w:t>
            </w:r>
          </w:p>
        </w:tc>
        <w:tc>
          <w:tcPr>
            <w:tcW w:type="dxa" w:w="1210"/>
          </w:tcPr>
          <w:p>
            <w:pPr>
              <w:spacing w:after="20"/>
              <w:jc w:val="right"/>
            </w:pPr>
            <w:r>
              <w:rPr>
                <w:color w:val="1C3A36"/>
                <w:sz w:val="17"/>
              </w:rPr>
              <w:t>3.006</w:t>
            </w:r>
          </w:p>
        </w:tc>
      </w:tr>
      <w:tr>
        <w:tc>
          <w:tcPr>
            <w:tcW w:type="dxa" w:w="2448"/>
          </w:tcPr>
          <w:p>
            <w:pPr>
              <w:spacing w:after="20"/>
            </w:pPr>
            <w:r>
              <w:rPr>
                <w:color w:val="1C3A36"/>
                <w:sz w:val="17"/>
              </w:rPr>
              <w:t>Domestic volume (Mt)</w:t>
            </w:r>
          </w:p>
        </w:tc>
        <w:tc>
          <w:tcPr>
            <w:tcW w:type="dxa" w:w="1210"/>
          </w:tcPr>
          <w:p>
            <w:pPr>
              <w:spacing w:after="20"/>
              <w:jc w:val="right"/>
            </w:pPr>
            <w:r>
              <w:rPr>
                <w:color w:val="1C3A36"/>
                <w:sz w:val="17"/>
              </w:rPr>
              <w:t>2.374</w:t>
            </w:r>
          </w:p>
        </w:tc>
        <w:tc>
          <w:tcPr>
            <w:tcW w:type="dxa" w:w="1210"/>
          </w:tcPr>
          <w:p>
            <w:pPr>
              <w:spacing w:after="20"/>
              <w:jc w:val="right"/>
            </w:pPr>
            <w:r>
              <w:rPr>
                <w:color w:val="1C3A36"/>
                <w:sz w:val="17"/>
              </w:rPr>
              <w:t>2.370</w:t>
            </w:r>
          </w:p>
        </w:tc>
        <w:tc>
          <w:tcPr>
            <w:tcW w:type="dxa" w:w="1210"/>
          </w:tcPr>
          <w:p>
            <w:pPr>
              <w:spacing w:after="20"/>
              <w:jc w:val="right"/>
            </w:pPr>
            <w:r>
              <w:rPr>
                <w:color w:val="1C3A36"/>
                <w:sz w:val="17"/>
              </w:rPr>
              <w:t>2.402</w:t>
            </w:r>
          </w:p>
        </w:tc>
        <w:tc>
          <w:tcPr>
            <w:tcW w:type="dxa" w:w="1210"/>
          </w:tcPr>
          <w:p>
            <w:pPr>
              <w:spacing w:after="20"/>
              <w:jc w:val="right"/>
            </w:pPr>
            <w:r>
              <w:rPr>
                <w:color w:val="1C3A36"/>
                <w:sz w:val="17"/>
              </w:rPr>
              <w:t>2.432</w:t>
            </w:r>
          </w:p>
        </w:tc>
        <w:tc>
          <w:tcPr>
            <w:tcW w:type="dxa" w:w="1210"/>
          </w:tcPr>
          <w:p>
            <w:pPr>
              <w:spacing w:after="20"/>
              <w:jc w:val="right"/>
            </w:pPr>
            <w:r>
              <w:rPr>
                <w:color w:val="1C3A36"/>
                <w:sz w:val="17"/>
              </w:rPr>
              <w:t>2.464</w:t>
            </w:r>
          </w:p>
        </w:tc>
        <w:tc>
          <w:tcPr>
            <w:tcW w:type="dxa" w:w="1210"/>
          </w:tcPr>
          <w:p>
            <w:pPr>
              <w:spacing w:after="20"/>
              <w:jc w:val="right"/>
            </w:pPr>
            <w:r>
              <w:rPr>
                <w:color w:val="1C3A36"/>
                <w:sz w:val="17"/>
              </w:rPr>
              <w:t>2.495</w:t>
            </w:r>
          </w:p>
        </w:tc>
      </w:tr>
      <w:tr>
        <w:tc>
          <w:tcPr>
            <w:tcW w:type="dxa" w:w="2448"/>
          </w:tcPr>
          <w:p>
            <w:pPr>
              <w:spacing w:after="20"/>
            </w:pPr>
            <w:r>
              <w:rPr>
                <w:color w:val="1C3A36"/>
                <w:sz w:val="17"/>
              </w:rPr>
              <w:t>Export volume (Mt)</w:t>
            </w:r>
          </w:p>
        </w:tc>
        <w:tc>
          <w:tcPr>
            <w:tcW w:type="dxa" w:w="1210"/>
          </w:tcPr>
          <w:p>
            <w:pPr>
              <w:spacing w:after="20"/>
              <w:jc w:val="right"/>
            </w:pPr>
            <w:r>
              <w:rPr>
                <w:color w:val="1C3A36"/>
                <w:sz w:val="17"/>
              </w:rPr>
              <w:t>0.324</w:t>
            </w:r>
          </w:p>
        </w:tc>
        <w:tc>
          <w:tcPr>
            <w:tcW w:type="dxa" w:w="1210"/>
          </w:tcPr>
          <w:p>
            <w:pPr>
              <w:spacing w:after="20"/>
              <w:jc w:val="right"/>
            </w:pPr>
            <w:r>
              <w:rPr>
                <w:color w:val="1C3A36"/>
                <w:sz w:val="17"/>
              </w:rPr>
              <w:t>0.354</w:t>
            </w:r>
          </w:p>
        </w:tc>
        <w:tc>
          <w:tcPr>
            <w:tcW w:type="dxa" w:w="1210"/>
          </w:tcPr>
          <w:p>
            <w:pPr>
              <w:spacing w:after="20"/>
              <w:jc w:val="right"/>
            </w:pPr>
            <w:r>
              <w:rPr>
                <w:color w:val="1C3A36"/>
                <w:sz w:val="17"/>
              </w:rPr>
              <w:t>0.391</w:t>
            </w:r>
          </w:p>
        </w:tc>
        <w:tc>
          <w:tcPr>
            <w:tcW w:type="dxa" w:w="1210"/>
          </w:tcPr>
          <w:p>
            <w:pPr>
              <w:spacing w:after="20"/>
              <w:jc w:val="right"/>
            </w:pPr>
            <w:r>
              <w:rPr>
                <w:color w:val="1C3A36"/>
                <w:sz w:val="17"/>
              </w:rPr>
              <w:t>0.429</w:t>
            </w:r>
          </w:p>
        </w:tc>
        <w:tc>
          <w:tcPr>
            <w:tcW w:type="dxa" w:w="1210"/>
          </w:tcPr>
          <w:p>
            <w:pPr>
              <w:spacing w:after="20"/>
              <w:jc w:val="right"/>
            </w:pPr>
            <w:r>
              <w:rPr>
                <w:color w:val="1C3A36"/>
                <w:sz w:val="17"/>
              </w:rPr>
              <w:t>0.469</w:t>
            </w:r>
          </w:p>
        </w:tc>
        <w:tc>
          <w:tcPr>
            <w:tcW w:type="dxa" w:w="1210"/>
          </w:tcPr>
          <w:p>
            <w:pPr>
              <w:spacing w:after="20"/>
              <w:jc w:val="right"/>
            </w:pPr>
            <w:r>
              <w:rPr>
                <w:color w:val="1C3A36"/>
                <w:sz w:val="17"/>
              </w:rPr>
              <w:t>0.511</w:t>
            </w:r>
          </w:p>
        </w:tc>
      </w:tr>
      <w:tr>
        <w:tc>
          <w:tcPr>
            <w:tcW w:type="dxa" w:w="2448"/>
          </w:tcPr>
          <w:p>
            <w:pPr>
              <w:spacing w:after="20"/>
            </w:pPr>
            <w:r>
              <w:rPr>
                <w:color w:val="1C3A36"/>
                <w:sz w:val="17"/>
              </w:rPr>
              <w:t>Realised price (EGP/t)</w:t>
            </w:r>
          </w:p>
        </w:tc>
        <w:tc>
          <w:tcPr>
            <w:tcW w:type="dxa" w:w="1210"/>
          </w:tcPr>
          <w:p>
            <w:pPr>
              <w:spacing w:after="20"/>
              <w:jc w:val="right"/>
            </w:pPr>
            <w:r>
              <w:rPr>
                <w:color w:val="1C3A36"/>
                <w:sz w:val="17"/>
              </w:rPr>
              <w:t>3,369</w:t>
            </w:r>
          </w:p>
        </w:tc>
        <w:tc>
          <w:tcPr>
            <w:tcW w:type="dxa" w:w="1210"/>
          </w:tcPr>
          <w:p>
            <w:pPr>
              <w:spacing w:after="20"/>
              <w:jc w:val="right"/>
            </w:pPr>
            <w:r>
              <w:rPr>
                <w:color w:val="1C3A36"/>
                <w:sz w:val="17"/>
              </w:rPr>
              <w:t>3,551</w:t>
            </w:r>
          </w:p>
        </w:tc>
        <w:tc>
          <w:tcPr>
            <w:tcW w:type="dxa" w:w="1210"/>
          </w:tcPr>
          <w:p>
            <w:pPr>
              <w:spacing w:after="20"/>
              <w:jc w:val="right"/>
            </w:pPr>
            <w:r>
              <w:rPr>
                <w:color w:val="1C3A36"/>
                <w:sz w:val="17"/>
              </w:rPr>
              <w:t>3,691</w:t>
            </w:r>
          </w:p>
        </w:tc>
        <w:tc>
          <w:tcPr>
            <w:tcW w:type="dxa" w:w="1210"/>
          </w:tcPr>
          <w:p>
            <w:pPr>
              <w:spacing w:after="20"/>
              <w:jc w:val="right"/>
            </w:pPr>
            <w:r>
              <w:rPr>
                <w:color w:val="1C3A36"/>
                <w:sz w:val="17"/>
              </w:rPr>
              <w:t>3,853</w:t>
            </w:r>
          </w:p>
        </w:tc>
        <w:tc>
          <w:tcPr>
            <w:tcW w:type="dxa" w:w="1210"/>
          </w:tcPr>
          <w:p>
            <w:pPr>
              <w:spacing w:after="20"/>
              <w:jc w:val="right"/>
            </w:pPr>
            <w:r>
              <w:rPr>
                <w:color w:val="1C3A36"/>
                <w:sz w:val="17"/>
              </w:rPr>
              <w:t>4,036</w:t>
            </w:r>
          </w:p>
        </w:tc>
        <w:tc>
          <w:tcPr>
            <w:tcW w:type="dxa" w:w="1210"/>
          </w:tcPr>
          <w:p>
            <w:pPr>
              <w:spacing w:after="20"/>
              <w:jc w:val="right"/>
            </w:pPr>
            <w:r>
              <w:rPr>
                <w:color w:val="1C3A36"/>
                <w:sz w:val="17"/>
              </w:rPr>
              <w:t>4,215</w:t>
            </w:r>
          </w:p>
        </w:tc>
      </w:tr>
      <w:tr>
        <w:tc>
          <w:tcPr>
            <w:tcW w:type="dxa" w:w="2448"/>
          </w:tcPr>
          <w:p>
            <w:pPr>
              <w:spacing w:after="20"/>
            </w:pPr>
            <w:r>
              <w:rPr>
                <w:color w:val="1C3A36"/>
                <w:sz w:val="17"/>
              </w:rPr>
              <w:t>Revenue (EGP mn)</w:t>
            </w:r>
          </w:p>
        </w:tc>
        <w:tc>
          <w:tcPr>
            <w:tcW w:type="dxa" w:w="1210"/>
          </w:tcPr>
          <w:p>
            <w:pPr>
              <w:spacing w:after="20"/>
              <w:jc w:val="right"/>
            </w:pPr>
            <w:r>
              <w:rPr>
                <w:color w:val="1C3A36"/>
                <w:sz w:val="17"/>
              </w:rPr>
              <w:t>9,091</w:t>
            </w:r>
          </w:p>
        </w:tc>
        <w:tc>
          <w:tcPr>
            <w:tcW w:type="dxa" w:w="1210"/>
          </w:tcPr>
          <w:p>
            <w:pPr>
              <w:spacing w:after="20"/>
              <w:jc w:val="right"/>
            </w:pPr>
            <w:r>
              <w:rPr>
                <w:color w:val="1C3A36"/>
                <w:sz w:val="17"/>
              </w:rPr>
              <w:t>9,676</w:t>
            </w:r>
          </w:p>
        </w:tc>
        <w:tc>
          <w:tcPr>
            <w:tcW w:type="dxa" w:w="1210"/>
          </w:tcPr>
          <w:p>
            <w:pPr>
              <w:spacing w:after="20"/>
              <w:jc w:val="right"/>
            </w:pPr>
            <w:r>
              <w:rPr>
                <w:color w:val="1C3A36"/>
                <w:sz w:val="17"/>
              </w:rPr>
              <w:t>10,309</w:t>
            </w:r>
          </w:p>
        </w:tc>
        <w:tc>
          <w:tcPr>
            <w:tcW w:type="dxa" w:w="1210"/>
          </w:tcPr>
          <w:p>
            <w:pPr>
              <w:spacing w:after="20"/>
              <w:jc w:val="right"/>
            </w:pPr>
            <w:r>
              <w:rPr>
                <w:color w:val="1C3A36"/>
                <w:sz w:val="17"/>
              </w:rPr>
              <w:t>11,026</w:t>
            </w:r>
          </w:p>
        </w:tc>
        <w:tc>
          <w:tcPr>
            <w:tcW w:type="dxa" w:w="1210"/>
          </w:tcPr>
          <w:p>
            <w:pPr>
              <w:spacing w:after="20"/>
              <w:jc w:val="right"/>
            </w:pPr>
            <w:r>
              <w:rPr>
                <w:color w:val="1C3A36"/>
                <w:sz w:val="17"/>
              </w:rPr>
              <w:t>11,842</w:t>
            </w:r>
          </w:p>
        </w:tc>
        <w:tc>
          <w:tcPr>
            <w:tcW w:type="dxa" w:w="1210"/>
          </w:tcPr>
          <w:p>
            <w:pPr>
              <w:spacing w:after="20"/>
              <w:jc w:val="right"/>
            </w:pPr>
            <w:r>
              <w:rPr>
                <w:color w:val="1C3A36"/>
                <w:sz w:val="17"/>
              </w:rPr>
              <w:t>12,669</w:t>
            </w:r>
          </w:p>
        </w:tc>
      </w:tr>
    </w:tbl>
    <w:p>
      <w:pPr>
        <w:spacing w:after="40"/>
      </w:pPr>
    </w:p>
    <w:p>
      <w:pPr>
        <w:spacing w:after="200" w:before="0"/>
      </w:pPr>
      <w:r>
        <w:rPr>
          <w:b w:val="0"/>
          <w:i/>
          <w:color w:val="6E7B77"/>
          <w:sz w:val="17"/>
        </w:rPr>
        <w:t>Table 9 — The volume and price chain. The clinker factor of 0.676 tonnes of clinker per tonne of cement is anchored on the plant register, which publishes both capacities — 2.57Mt of kiln clinker against 3.80Mt of grinding — so it is observed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per tonne of cement</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Thermal fuel</w:t>
            </w:r>
          </w:p>
        </w:tc>
        <w:tc>
          <w:tcPr>
            <w:tcW w:type="dxa" w:w="1210"/>
          </w:tcPr>
          <w:p>
            <w:pPr>
              <w:spacing w:after="20"/>
              <w:jc w:val="right"/>
            </w:pPr>
            <w:r>
              <w:rPr>
                <w:color w:val="1C3A36"/>
                <w:sz w:val="17"/>
              </w:rPr>
              <w:t>458</w:t>
            </w:r>
          </w:p>
        </w:tc>
        <w:tc>
          <w:tcPr>
            <w:tcW w:type="dxa" w:w="1210"/>
          </w:tcPr>
          <w:p>
            <w:pPr>
              <w:spacing w:after="20"/>
              <w:jc w:val="right"/>
            </w:pPr>
            <w:r>
              <w:rPr>
                <w:color w:val="1C3A36"/>
                <w:sz w:val="17"/>
              </w:rPr>
              <w:t>483</w:t>
            </w:r>
          </w:p>
        </w:tc>
        <w:tc>
          <w:tcPr>
            <w:tcW w:type="dxa" w:w="1210"/>
          </w:tcPr>
          <w:p>
            <w:pPr>
              <w:spacing w:after="20"/>
              <w:jc w:val="right"/>
            </w:pPr>
            <w:r>
              <w:rPr>
                <w:color w:val="1C3A36"/>
                <w:sz w:val="17"/>
              </w:rPr>
              <w:t>506</w:t>
            </w:r>
          </w:p>
        </w:tc>
        <w:tc>
          <w:tcPr>
            <w:tcW w:type="dxa" w:w="1210"/>
          </w:tcPr>
          <w:p>
            <w:pPr>
              <w:spacing w:after="20"/>
              <w:jc w:val="right"/>
            </w:pPr>
            <w:r>
              <w:rPr>
                <w:color w:val="1C3A36"/>
                <w:sz w:val="17"/>
              </w:rPr>
              <w:t>526</w:t>
            </w:r>
          </w:p>
        </w:tc>
        <w:tc>
          <w:tcPr>
            <w:tcW w:type="dxa" w:w="1210"/>
          </w:tcPr>
          <w:p>
            <w:pPr>
              <w:spacing w:after="20"/>
              <w:jc w:val="right"/>
            </w:pPr>
            <w:r>
              <w:rPr>
                <w:color w:val="1C3A36"/>
                <w:sz w:val="17"/>
              </w:rPr>
              <w:t>545</w:t>
            </w:r>
          </w:p>
        </w:tc>
        <w:tc>
          <w:tcPr>
            <w:tcW w:type="dxa" w:w="1210"/>
          </w:tcPr>
          <w:p>
            <w:pPr>
              <w:spacing w:after="20"/>
              <w:jc w:val="right"/>
            </w:pPr>
            <w:r>
              <w:rPr>
                <w:color w:val="1C3A36"/>
                <w:sz w:val="17"/>
              </w:rPr>
              <w:t>565</w:t>
            </w:r>
          </w:p>
        </w:tc>
      </w:tr>
      <w:tr>
        <w:tc>
          <w:tcPr>
            <w:tcW w:type="dxa" w:w="2448"/>
          </w:tcPr>
          <w:p>
            <w:pPr>
              <w:spacing w:after="20"/>
            </w:pPr>
            <w:r>
              <w:rPr>
                <w:color w:val="1C3A36"/>
                <w:sz w:val="17"/>
              </w:rPr>
              <w:t>Electrical power</w:t>
            </w:r>
          </w:p>
        </w:tc>
        <w:tc>
          <w:tcPr>
            <w:tcW w:type="dxa" w:w="1210"/>
          </w:tcPr>
          <w:p>
            <w:pPr>
              <w:spacing w:after="20"/>
              <w:jc w:val="right"/>
            </w:pPr>
            <w:r>
              <w:rPr>
                <w:color w:val="1C3A36"/>
                <w:sz w:val="17"/>
              </w:rPr>
              <w:t>260</w:t>
            </w:r>
          </w:p>
        </w:tc>
        <w:tc>
          <w:tcPr>
            <w:tcW w:type="dxa" w:w="1210"/>
          </w:tcPr>
          <w:p>
            <w:pPr>
              <w:spacing w:after="20"/>
              <w:jc w:val="right"/>
            </w:pPr>
            <w:r>
              <w:rPr>
                <w:color w:val="1C3A36"/>
                <w:sz w:val="17"/>
              </w:rPr>
              <w:t>296</w:t>
            </w:r>
          </w:p>
        </w:tc>
        <w:tc>
          <w:tcPr>
            <w:tcW w:type="dxa" w:w="1210"/>
          </w:tcPr>
          <w:p>
            <w:pPr>
              <w:spacing w:after="20"/>
              <w:jc w:val="right"/>
            </w:pPr>
            <w:r>
              <w:rPr>
                <w:color w:val="1C3A36"/>
                <w:sz w:val="17"/>
              </w:rPr>
              <w:t>329</w:t>
            </w:r>
          </w:p>
        </w:tc>
        <w:tc>
          <w:tcPr>
            <w:tcW w:type="dxa" w:w="1210"/>
          </w:tcPr>
          <w:p>
            <w:pPr>
              <w:spacing w:after="20"/>
              <w:jc w:val="right"/>
            </w:pPr>
            <w:r>
              <w:rPr>
                <w:color w:val="1C3A36"/>
                <w:sz w:val="17"/>
              </w:rPr>
              <w:t>355</w:t>
            </w:r>
          </w:p>
        </w:tc>
        <w:tc>
          <w:tcPr>
            <w:tcW w:type="dxa" w:w="1210"/>
          </w:tcPr>
          <w:p>
            <w:pPr>
              <w:spacing w:after="20"/>
              <w:jc w:val="right"/>
            </w:pPr>
            <w:r>
              <w:rPr>
                <w:color w:val="1C3A36"/>
                <w:sz w:val="17"/>
              </w:rPr>
              <w:t>377</w:t>
            </w:r>
          </w:p>
        </w:tc>
        <w:tc>
          <w:tcPr>
            <w:tcW w:type="dxa" w:w="1210"/>
          </w:tcPr>
          <w:p>
            <w:pPr>
              <w:spacing w:after="20"/>
              <w:jc w:val="right"/>
            </w:pPr>
            <w:r>
              <w:rPr>
                <w:color w:val="1C3A36"/>
                <w:sz w:val="17"/>
              </w:rPr>
              <w:t>398</w:t>
            </w:r>
          </w:p>
        </w:tc>
      </w:tr>
      <w:tr>
        <w:tc>
          <w:tcPr>
            <w:tcW w:type="dxa" w:w="2448"/>
          </w:tcPr>
          <w:p>
            <w:pPr>
              <w:spacing w:after="20"/>
            </w:pPr>
            <w:r>
              <w:rPr>
                <w:color w:val="1C3A36"/>
                <w:sz w:val="17"/>
              </w:rPr>
              <w:t>Raw materials &amp; quarrying</w:t>
            </w:r>
          </w:p>
        </w:tc>
        <w:tc>
          <w:tcPr>
            <w:tcW w:type="dxa" w:w="1210"/>
          </w:tcPr>
          <w:p>
            <w:pPr>
              <w:spacing w:after="20"/>
              <w:jc w:val="right"/>
            </w:pPr>
            <w:r>
              <w:rPr>
                <w:color w:val="1C3A36"/>
                <w:sz w:val="17"/>
              </w:rPr>
              <w:t>190</w:t>
            </w:r>
          </w:p>
        </w:tc>
        <w:tc>
          <w:tcPr>
            <w:tcW w:type="dxa" w:w="1210"/>
          </w:tcPr>
          <w:p>
            <w:pPr>
              <w:spacing w:after="20"/>
              <w:jc w:val="right"/>
            </w:pPr>
            <w:r>
              <w:rPr>
                <w:color w:val="1C3A36"/>
                <w:sz w:val="17"/>
              </w:rPr>
              <w:t>217</w:t>
            </w:r>
          </w:p>
        </w:tc>
        <w:tc>
          <w:tcPr>
            <w:tcW w:type="dxa" w:w="1210"/>
          </w:tcPr>
          <w:p>
            <w:pPr>
              <w:spacing w:after="20"/>
              <w:jc w:val="right"/>
            </w:pPr>
            <w:r>
              <w:rPr>
                <w:color w:val="1C3A36"/>
                <w:sz w:val="17"/>
              </w:rPr>
              <w:t>240</w:t>
            </w:r>
          </w:p>
        </w:tc>
        <w:tc>
          <w:tcPr>
            <w:tcW w:type="dxa" w:w="1210"/>
          </w:tcPr>
          <w:p>
            <w:pPr>
              <w:spacing w:after="20"/>
              <w:jc w:val="right"/>
            </w:pPr>
            <w:r>
              <w:rPr>
                <w:color w:val="1C3A36"/>
                <w:sz w:val="17"/>
              </w:rPr>
              <w:t>259</w:t>
            </w:r>
          </w:p>
        </w:tc>
        <w:tc>
          <w:tcPr>
            <w:tcW w:type="dxa" w:w="1210"/>
          </w:tcPr>
          <w:p>
            <w:pPr>
              <w:spacing w:after="20"/>
              <w:jc w:val="right"/>
            </w:pPr>
            <w:r>
              <w:rPr>
                <w:color w:val="1C3A36"/>
                <w:sz w:val="17"/>
              </w:rPr>
              <w:t>276</w:t>
            </w:r>
          </w:p>
        </w:tc>
        <w:tc>
          <w:tcPr>
            <w:tcW w:type="dxa" w:w="1210"/>
          </w:tcPr>
          <w:p>
            <w:pPr>
              <w:spacing w:after="20"/>
              <w:jc w:val="right"/>
            </w:pPr>
            <w:r>
              <w:rPr>
                <w:color w:val="1C3A36"/>
                <w:sz w:val="17"/>
              </w:rPr>
              <w:t>291</w:t>
            </w:r>
          </w:p>
        </w:tc>
      </w:tr>
      <w:tr>
        <w:tc>
          <w:tcPr>
            <w:tcW w:type="dxa" w:w="2448"/>
          </w:tcPr>
          <w:p>
            <w:pPr>
              <w:spacing w:after="20"/>
            </w:pPr>
            <w:r>
              <w:rPr>
                <w:color w:val="1C3A36"/>
                <w:sz w:val="17"/>
              </w:rPr>
              <w:t>Packaging</w:t>
            </w:r>
          </w:p>
        </w:tc>
        <w:tc>
          <w:tcPr>
            <w:tcW w:type="dxa" w:w="1210"/>
          </w:tcPr>
          <w:p>
            <w:pPr>
              <w:spacing w:after="20"/>
              <w:jc w:val="right"/>
            </w:pPr>
            <w:r>
              <w:rPr>
                <w:color w:val="1C3A36"/>
                <w:sz w:val="17"/>
              </w:rPr>
              <w:t>38</w:t>
            </w:r>
          </w:p>
        </w:tc>
        <w:tc>
          <w:tcPr>
            <w:tcW w:type="dxa" w:w="1210"/>
          </w:tcPr>
          <w:p>
            <w:pPr>
              <w:spacing w:after="20"/>
              <w:jc w:val="right"/>
            </w:pPr>
            <w:r>
              <w:rPr>
                <w:color w:val="1C3A36"/>
                <w:sz w:val="17"/>
              </w:rPr>
              <w:t>44</w:t>
            </w:r>
          </w:p>
        </w:tc>
        <w:tc>
          <w:tcPr>
            <w:tcW w:type="dxa" w:w="1210"/>
          </w:tcPr>
          <w:p>
            <w:pPr>
              <w:spacing w:after="20"/>
              <w:jc w:val="right"/>
            </w:pPr>
            <w:r>
              <w:rPr>
                <w:color w:val="1C3A36"/>
                <w:sz w:val="17"/>
              </w:rPr>
              <w:t>49</w:t>
            </w:r>
          </w:p>
        </w:tc>
        <w:tc>
          <w:tcPr>
            <w:tcW w:type="dxa" w:w="1210"/>
          </w:tcPr>
          <w:p>
            <w:pPr>
              <w:spacing w:after="20"/>
              <w:jc w:val="right"/>
            </w:pPr>
            <w:r>
              <w:rPr>
                <w:color w:val="1C3A36"/>
                <w:sz w:val="17"/>
              </w:rPr>
              <w:t>53</w:t>
            </w:r>
          </w:p>
        </w:tc>
        <w:tc>
          <w:tcPr>
            <w:tcW w:type="dxa" w:w="1210"/>
          </w:tcPr>
          <w:p>
            <w:pPr>
              <w:spacing w:after="20"/>
              <w:jc w:val="right"/>
            </w:pPr>
            <w:r>
              <w:rPr>
                <w:color w:val="1C3A36"/>
                <w:sz w:val="17"/>
              </w:rPr>
              <w:t>56</w:t>
            </w:r>
          </w:p>
        </w:tc>
        <w:tc>
          <w:tcPr>
            <w:tcW w:type="dxa" w:w="1210"/>
          </w:tcPr>
          <w:p>
            <w:pPr>
              <w:spacing w:after="20"/>
              <w:jc w:val="right"/>
            </w:pPr>
            <w:r>
              <w:rPr>
                <w:color w:val="1C3A36"/>
                <w:sz w:val="17"/>
              </w:rPr>
              <w:t>59</w:t>
            </w:r>
          </w:p>
        </w:tc>
      </w:tr>
      <w:tr>
        <w:tc>
          <w:tcPr>
            <w:tcW w:type="dxa" w:w="2448"/>
          </w:tcPr>
          <w:p>
            <w:pPr>
              <w:spacing w:after="20"/>
            </w:pPr>
            <w:r>
              <w:rPr>
                <w:color w:val="1C3A36"/>
                <w:sz w:val="17"/>
              </w:rPr>
              <w:t>Distribution &amp; selling</w:t>
            </w:r>
          </w:p>
        </w:tc>
        <w:tc>
          <w:tcPr>
            <w:tcW w:type="dxa" w:w="1210"/>
          </w:tcPr>
          <w:p>
            <w:pPr>
              <w:spacing w:after="20"/>
              <w:jc w:val="right"/>
            </w:pPr>
            <w:r>
              <w:rPr>
                <w:color w:val="1C3A36"/>
                <w:sz w:val="17"/>
              </w:rPr>
              <w:t>250</w:t>
            </w:r>
          </w:p>
        </w:tc>
        <w:tc>
          <w:tcPr>
            <w:tcW w:type="dxa" w:w="1210"/>
          </w:tcPr>
          <w:p>
            <w:pPr>
              <w:spacing w:after="20"/>
              <w:jc w:val="right"/>
            </w:pPr>
            <w:r>
              <w:rPr>
                <w:color w:val="1C3A36"/>
                <w:sz w:val="17"/>
              </w:rPr>
              <w:t>285</w:t>
            </w:r>
          </w:p>
        </w:tc>
        <w:tc>
          <w:tcPr>
            <w:tcW w:type="dxa" w:w="1210"/>
          </w:tcPr>
          <w:p>
            <w:pPr>
              <w:spacing w:after="20"/>
              <w:jc w:val="right"/>
            </w:pPr>
            <w:r>
              <w:rPr>
                <w:color w:val="1C3A36"/>
                <w:sz w:val="17"/>
              </w:rPr>
              <w:t>316</w:t>
            </w:r>
          </w:p>
        </w:tc>
        <w:tc>
          <w:tcPr>
            <w:tcW w:type="dxa" w:w="1210"/>
          </w:tcPr>
          <w:p>
            <w:pPr>
              <w:spacing w:after="20"/>
              <w:jc w:val="right"/>
            </w:pPr>
            <w:r>
              <w:rPr>
                <w:color w:val="1C3A36"/>
                <w:sz w:val="17"/>
              </w:rPr>
              <w:t>341</w:t>
            </w:r>
          </w:p>
        </w:tc>
        <w:tc>
          <w:tcPr>
            <w:tcW w:type="dxa" w:w="1210"/>
          </w:tcPr>
          <w:p>
            <w:pPr>
              <w:spacing w:after="20"/>
              <w:jc w:val="right"/>
            </w:pPr>
            <w:r>
              <w:rPr>
                <w:color w:val="1C3A36"/>
                <w:sz w:val="17"/>
              </w:rPr>
              <w:t>362</w:t>
            </w:r>
          </w:p>
        </w:tc>
        <w:tc>
          <w:tcPr>
            <w:tcW w:type="dxa" w:w="1210"/>
          </w:tcPr>
          <w:p>
            <w:pPr>
              <w:spacing w:after="20"/>
              <w:jc w:val="right"/>
            </w:pPr>
            <w:r>
              <w:rPr>
                <w:color w:val="1C3A36"/>
                <w:sz w:val="17"/>
              </w:rPr>
              <w:t>382</w:t>
            </w:r>
          </w:p>
        </w:tc>
      </w:tr>
      <w:tr>
        <w:tc>
          <w:tcPr>
            <w:tcW w:type="dxa" w:w="2448"/>
            <w:shd w:val="clear" w:color="auto" w:fill="F6F1E6"/>
          </w:tcPr>
          <w:p>
            <w:pPr>
              <w:spacing w:after="20"/>
            </w:pPr>
            <w:r>
              <w:rPr>
                <w:b/>
                <w:color w:val="1C3A36"/>
                <w:sz w:val="17"/>
              </w:rPr>
              <w:t>Total variable cost</w:t>
            </w:r>
          </w:p>
        </w:tc>
        <w:tc>
          <w:tcPr>
            <w:tcW w:type="dxa" w:w="1210"/>
            <w:shd w:val="clear" w:color="auto" w:fill="F6F1E6"/>
          </w:tcPr>
          <w:p>
            <w:pPr>
              <w:spacing w:after="20"/>
              <w:jc w:val="right"/>
            </w:pPr>
            <w:r>
              <w:rPr>
                <w:b/>
                <w:color w:val="1C3A36"/>
                <w:sz w:val="17"/>
              </w:rPr>
              <w:t>1,197</w:t>
            </w:r>
          </w:p>
        </w:tc>
        <w:tc>
          <w:tcPr>
            <w:tcW w:type="dxa" w:w="1210"/>
            <w:shd w:val="clear" w:color="auto" w:fill="F6F1E6"/>
          </w:tcPr>
          <w:p>
            <w:pPr>
              <w:spacing w:after="20"/>
              <w:jc w:val="right"/>
            </w:pPr>
            <w:r>
              <w:rPr>
                <w:b/>
                <w:color w:val="1C3A36"/>
                <w:sz w:val="17"/>
              </w:rPr>
              <w:t>1,325</w:t>
            </w:r>
          </w:p>
        </w:tc>
        <w:tc>
          <w:tcPr>
            <w:tcW w:type="dxa" w:w="1210"/>
            <w:shd w:val="clear" w:color="auto" w:fill="F6F1E6"/>
          </w:tcPr>
          <w:p>
            <w:pPr>
              <w:spacing w:after="20"/>
              <w:jc w:val="right"/>
            </w:pPr>
            <w:r>
              <w:rPr>
                <w:b/>
                <w:color w:val="1C3A36"/>
                <w:sz w:val="17"/>
              </w:rPr>
              <w:t>1,440</w:t>
            </w:r>
          </w:p>
        </w:tc>
        <w:tc>
          <w:tcPr>
            <w:tcW w:type="dxa" w:w="1210"/>
            <w:shd w:val="clear" w:color="auto" w:fill="F6F1E6"/>
          </w:tcPr>
          <w:p>
            <w:pPr>
              <w:spacing w:after="20"/>
              <w:jc w:val="right"/>
            </w:pPr>
            <w:r>
              <w:rPr>
                <w:b/>
                <w:color w:val="1C3A36"/>
                <w:sz w:val="17"/>
              </w:rPr>
              <w:t>1,534</w:t>
            </w:r>
          </w:p>
        </w:tc>
        <w:tc>
          <w:tcPr>
            <w:tcW w:type="dxa" w:w="1210"/>
            <w:shd w:val="clear" w:color="auto" w:fill="F6F1E6"/>
          </w:tcPr>
          <w:p>
            <w:pPr>
              <w:spacing w:after="20"/>
              <w:jc w:val="right"/>
            </w:pPr>
            <w:r>
              <w:rPr>
                <w:b/>
                <w:color w:val="1C3A36"/>
                <w:sz w:val="17"/>
              </w:rPr>
              <w:t>1,616</w:t>
            </w:r>
          </w:p>
        </w:tc>
        <w:tc>
          <w:tcPr>
            <w:tcW w:type="dxa" w:w="1210"/>
            <w:shd w:val="clear" w:color="auto" w:fill="F6F1E6"/>
          </w:tcPr>
          <w:p>
            <w:pPr>
              <w:spacing w:after="20"/>
              <w:jc w:val="right"/>
            </w:pPr>
            <w:r>
              <w:rPr>
                <w:b/>
                <w:color w:val="1C3A36"/>
                <w:sz w:val="17"/>
              </w:rPr>
              <w:t>1,695</w:t>
            </w:r>
          </w:p>
        </w:tc>
      </w:tr>
    </w:tbl>
    <w:p>
      <w:pPr>
        <w:spacing w:after="40"/>
      </w:pPr>
    </w:p>
    <w:p>
      <w:pPr>
        <w:spacing w:after="200" w:before="0"/>
      </w:pPr>
      <w:r>
        <w:rPr>
          <w:b w:val="0"/>
          <w:i/>
          <w:color w:val="6E7B77"/>
          <w:sz w:val="17"/>
        </w:rPr>
        <w:t>Table 10 — The cost stack. Every line is a physical or market quantity: heat per tonne of clinker times the delivered fuel price; kilowatt-hours per tonne times the industrial tariff; and so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million</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Revenue</w:t>
            </w:r>
          </w:p>
        </w:tc>
        <w:tc>
          <w:tcPr>
            <w:tcW w:type="dxa" w:w="1210"/>
          </w:tcPr>
          <w:p>
            <w:pPr>
              <w:spacing w:after="20"/>
              <w:jc w:val="right"/>
            </w:pPr>
            <w:r>
              <w:rPr>
                <w:color w:val="1C3A36"/>
                <w:sz w:val="17"/>
              </w:rPr>
              <w:t>9,091</w:t>
            </w:r>
          </w:p>
        </w:tc>
        <w:tc>
          <w:tcPr>
            <w:tcW w:type="dxa" w:w="1210"/>
          </w:tcPr>
          <w:p>
            <w:pPr>
              <w:spacing w:after="20"/>
              <w:jc w:val="right"/>
            </w:pPr>
            <w:r>
              <w:rPr>
                <w:color w:val="1C3A36"/>
                <w:sz w:val="17"/>
              </w:rPr>
              <w:t>9,676</w:t>
            </w:r>
          </w:p>
        </w:tc>
        <w:tc>
          <w:tcPr>
            <w:tcW w:type="dxa" w:w="1210"/>
          </w:tcPr>
          <w:p>
            <w:pPr>
              <w:spacing w:after="20"/>
              <w:jc w:val="right"/>
            </w:pPr>
            <w:r>
              <w:rPr>
                <w:color w:val="1C3A36"/>
                <w:sz w:val="17"/>
              </w:rPr>
              <w:t>10,309</w:t>
            </w:r>
          </w:p>
        </w:tc>
        <w:tc>
          <w:tcPr>
            <w:tcW w:type="dxa" w:w="1210"/>
          </w:tcPr>
          <w:p>
            <w:pPr>
              <w:spacing w:after="20"/>
              <w:jc w:val="right"/>
            </w:pPr>
            <w:r>
              <w:rPr>
                <w:color w:val="1C3A36"/>
                <w:sz w:val="17"/>
              </w:rPr>
              <w:t>11,026</w:t>
            </w:r>
          </w:p>
        </w:tc>
        <w:tc>
          <w:tcPr>
            <w:tcW w:type="dxa" w:w="1210"/>
          </w:tcPr>
          <w:p>
            <w:pPr>
              <w:spacing w:after="20"/>
              <w:jc w:val="right"/>
            </w:pPr>
            <w:r>
              <w:rPr>
                <w:color w:val="1C3A36"/>
                <w:sz w:val="17"/>
              </w:rPr>
              <w:t>11,842</w:t>
            </w:r>
          </w:p>
        </w:tc>
        <w:tc>
          <w:tcPr>
            <w:tcW w:type="dxa" w:w="1210"/>
          </w:tcPr>
          <w:p>
            <w:pPr>
              <w:spacing w:after="20"/>
              <w:jc w:val="right"/>
            </w:pPr>
            <w:r>
              <w:rPr>
                <w:color w:val="1C3A36"/>
                <w:sz w:val="17"/>
              </w:rPr>
              <w:t>12,669</w:t>
            </w:r>
          </w:p>
        </w:tc>
      </w:tr>
      <w:tr>
        <w:tc>
          <w:tcPr>
            <w:tcW w:type="dxa" w:w="2448"/>
          </w:tcPr>
          <w:p>
            <w:pPr>
              <w:spacing w:after="20"/>
            </w:pPr>
            <w:r>
              <w:rPr>
                <w:color w:val="1C3A36"/>
                <w:sz w:val="17"/>
              </w:rPr>
              <w:t>Variable cost</w:t>
            </w:r>
          </w:p>
        </w:tc>
        <w:tc>
          <w:tcPr>
            <w:tcW w:type="dxa" w:w="1210"/>
          </w:tcPr>
          <w:p>
            <w:pPr>
              <w:spacing w:after="20"/>
              <w:jc w:val="right"/>
            </w:pPr>
            <w:r>
              <w:rPr>
                <w:color w:val="1C3A36"/>
                <w:sz w:val="17"/>
              </w:rPr>
              <w:t>3,228</w:t>
            </w:r>
          </w:p>
        </w:tc>
        <w:tc>
          <w:tcPr>
            <w:tcW w:type="dxa" w:w="1210"/>
          </w:tcPr>
          <w:p>
            <w:pPr>
              <w:spacing w:after="20"/>
              <w:jc w:val="right"/>
            </w:pPr>
            <w:r>
              <w:rPr>
                <w:color w:val="1C3A36"/>
                <w:sz w:val="17"/>
              </w:rPr>
              <w:t>3,610</w:t>
            </w:r>
          </w:p>
        </w:tc>
        <w:tc>
          <w:tcPr>
            <w:tcW w:type="dxa" w:w="1210"/>
          </w:tcPr>
          <w:p>
            <w:pPr>
              <w:spacing w:after="20"/>
              <w:jc w:val="right"/>
            </w:pPr>
            <w:r>
              <w:rPr>
                <w:color w:val="1C3A36"/>
                <w:sz w:val="17"/>
              </w:rPr>
              <w:t>4,022</w:t>
            </w:r>
          </w:p>
        </w:tc>
        <w:tc>
          <w:tcPr>
            <w:tcW w:type="dxa" w:w="1210"/>
          </w:tcPr>
          <w:p>
            <w:pPr>
              <w:spacing w:after="20"/>
              <w:jc w:val="right"/>
            </w:pPr>
            <w:r>
              <w:rPr>
                <w:color w:val="1C3A36"/>
                <w:sz w:val="17"/>
              </w:rPr>
              <w:t>4,390</w:t>
            </w:r>
          </w:p>
        </w:tc>
        <w:tc>
          <w:tcPr>
            <w:tcW w:type="dxa" w:w="1210"/>
          </w:tcPr>
          <w:p>
            <w:pPr>
              <w:spacing w:after="20"/>
              <w:jc w:val="right"/>
            </w:pPr>
            <w:r>
              <w:rPr>
                <w:color w:val="1C3A36"/>
                <w:sz w:val="17"/>
              </w:rPr>
              <w:t>4,742</w:t>
            </w:r>
          </w:p>
        </w:tc>
        <w:tc>
          <w:tcPr>
            <w:tcW w:type="dxa" w:w="1210"/>
          </w:tcPr>
          <w:p>
            <w:pPr>
              <w:spacing w:after="20"/>
              <w:jc w:val="right"/>
            </w:pPr>
            <w:r>
              <w:rPr>
                <w:color w:val="1C3A36"/>
                <w:sz w:val="17"/>
              </w:rPr>
              <w:t>5,094</w:t>
            </w:r>
          </w:p>
        </w:tc>
      </w:tr>
      <w:tr>
        <w:tc>
          <w:tcPr>
            <w:tcW w:type="dxa" w:w="2448"/>
          </w:tcPr>
          <w:p>
            <w:pPr>
              <w:spacing w:after="20"/>
            </w:pPr>
            <w:r>
              <w:rPr>
                <w:color w:val="1C3A36"/>
                <w:sz w:val="17"/>
              </w:rPr>
              <w:t>Fixed cost</w:t>
            </w:r>
          </w:p>
        </w:tc>
        <w:tc>
          <w:tcPr>
            <w:tcW w:type="dxa" w:w="1210"/>
          </w:tcPr>
          <w:p>
            <w:pPr>
              <w:spacing w:after="20"/>
              <w:jc w:val="right"/>
            </w:pPr>
            <w:r>
              <w:rPr>
                <w:color w:val="1C3A36"/>
                <w:sz w:val="17"/>
              </w:rPr>
              <w:t>2,763</w:t>
            </w:r>
          </w:p>
        </w:tc>
        <w:tc>
          <w:tcPr>
            <w:tcW w:type="dxa" w:w="1210"/>
          </w:tcPr>
          <w:p>
            <w:pPr>
              <w:spacing w:after="20"/>
              <w:jc w:val="right"/>
            </w:pPr>
            <w:r>
              <w:rPr>
                <w:color w:val="1C3A36"/>
                <w:sz w:val="17"/>
              </w:rPr>
              <w:t>3,150</w:t>
            </w:r>
          </w:p>
        </w:tc>
        <w:tc>
          <w:tcPr>
            <w:tcW w:type="dxa" w:w="1210"/>
          </w:tcPr>
          <w:p>
            <w:pPr>
              <w:spacing w:after="20"/>
              <w:jc w:val="right"/>
            </w:pPr>
            <w:r>
              <w:rPr>
                <w:color w:val="1C3A36"/>
                <w:sz w:val="17"/>
              </w:rPr>
              <w:t>3,495</w:t>
            </w:r>
          </w:p>
        </w:tc>
        <w:tc>
          <w:tcPr>
            <w:tcW w:type="dxa" w:w="1210"/>
          </w:tcPr>
          <w:p>
            <w:pPr>
              <w:spacing w:after="20"/>
              <w:jc w:val="right"/>
            </w:pPr>
            <w:r>
              <w:rPr>
                <w:color w:val="1C3A36"/>
                <w:sz w:val="17"/>
              </w:rPr>
              <w:t>3,771</w:t>
            </w:r>
          </w:p>
        </w:tc>
        <w:tc>
          <w:tcPr>
            <w:tcW w:type="dxa" w:w="1210"/>
          </w:tcPr>
          <w:p>
            <w:pPr>
              <w:spacing w:after="20"/>
              <w:jc w:val="right"/>
            </w:pPr>
            <w:r>
              <w:rPr>
                <w:color w:val="1C3A36"/>
                <w:sz w:val="17"/>
              </w:rPr>
              <w:t>4,006</w:t>
            </w:r>
          </w:p>
        </w:tc>
        <w:tc>
          <w:tcPr>
            <w:tcW w:type="dxa" w:w="1210"/>
          </w:tcPr>
          <w:p>
            <w:pPr>
              <w:spacing w:after="20"/>
              <w:jc w:val="right"/>
            </w:pPr>
            <w:r>
              <w:rPr>
                <w:color w:val="1C3A36"/>
                <w:sz w:val="17"/>
              </w:rPr>
              <w:t>4,227</w:t>
            </w:r>
          </w:p>
        </w:tc>
      </w:tr>
      <w:tr>
        <w:tc>
          <w:tcPr>
            <w:tcW w:type="dxa" w:w="2448"/>
            <w:shd w:val="clear" w:color="auto" w:fill="F6F1E6"/>
          </w:tcPr>
          <w:p>
            <w:pPr>
              <w:spacing w:after="20"/>
            </w:pPr>
            <w:r>
              <w:rPr>
                <w:b/>
                <w:color w:val="1C3A36"/>
                <w:sz w:val="17"/>
              </w:rPr>
              <w:t>EBITDA — an OUTPUT</w:t>
            </w:r>
          </w:p>
        </w:tc>
        <w:tc>
          <w:tcPr>
            <w:tcW w:type="dxa" w:w="1210"/>
            <w:shd w:val="clear" w:color="auto" w:fill="F6F1E6"/>
          </w:tcPr>
          <w:p>
            <w:pPr>
              <w:spacing w:after="20"/>
              <w:jc w:val="right"/>
            </w:pPr>
            <w:r>
              <w:rPr>
                <w:b/>
                <w:color w:val="1C3A36"/>
                <w:sz w:val="17"/>
              </w:rPr>
              <w:t>3,100</w:t>
            </w:r>
          </w:p>
        </w:tc>
        <w:tc>
          <w:tcPr>
            <w:tcW w:type="dxa" w:w="1210"/>
            <w:shd w:val="clear" w:color="auto" w:fill="F6F1E6"/>
          </w:tcPr>
          <w:p>
            <w:pPr>
              <w:spacing w:after="20"/>
              <w:jc w:val="right"/>
            </w:pPr>
            <w:r>
              <w:rPr>
                <w:b/>
                <w:color w:val="1C3A36"/>
                <w:sz w:val="17"/>
              </w:rPr>
              <w:t>2,916</w:t>
            </w:r>
          </w:p>
        </w:tc>
        <w:tc>
          <w:tcPr>
            <w:tcW w:type="dxa" w:w="1210"/>
            <w:shd w:val="clear" w:color="auto" w:fill="F6F1E6"/>
          </w:tcPr>
          <w:p>
            <w:pPr>
              <w:spacing w:after="20"/>
              <w:jc w:val="right"/>
            </w:pPr>
            <w:r>
              <w:rPr>
                <w:b/>
                <w:color w:val="1C3A36"/>
                <w:sz w:val="17"/>
              </w:rPr>
              <w:t>2,792</w:t>
            </w:r>
          </w:p>
        </w:tc>
        <w:tc>
          <w:tcPr>
            <w:tcW w:type="dxa" w:w="1210"/>
            <w:shd w:val="clear" w:color="auto" w:fill="F6F1E6"/>
          </w:tcPr>
          <w:p>
            <w:pPr>
              <w:spacing w:after="20"/>
              <w:jc w:val="right"/>
            </w:pPr>
            <w:r>
              <w:rPr>
                <w:b/>
                <w:color w:val="1C3A36"/>
                <w:sz w:val="17"/>
              </w:rPr>
              <w:t>2,865</w:t>
            </w:r>
          </w:p>
        </w:tc>
        <w:tc>
          <w:tcPr>
            <w:tcW w:type="dxa" w:w="1210"/>
            <w:shd w:val="clear" w:color="auto" w:fill="F6F1E6"/>
          </w:tcPr>
          <w:p>
            <w:pPr>
              <w:spacing w:after="20"/>
              <w:jc w:val="right"/>
            </w:pPr>
            <w:r>
              <w:rPr>
                <w:b/>
                <w:color w:val="1C3A36"/>
                <w:sz w:val="17"/>
              </w:rPr>
              <w:t>3,094</w:t>
            </w:r>
          </w:p>
        </w:tc>
        <w:tc>
          <w:tcPr>
            <w:tcW w:type="dxa" w:w="1210"/>
            <w:shd w:val="clear" w:color="auto" w:fill="F6F1E6"/>
          </w:tcPr>
          <w:p>
            <w:pPr>
              <w:spacing w:after="20"/>
              <w:jc w:val="right"/>
            </w:pPr>
            <w:r>
              <w:rPr>
                <w:b/>
                <w:color w:val="1C3A36"/>
                <w:sz w:val="17"/>
              </w:rPr>
              <w:t>3,348</w:t>
            </w:r>
          </w:p>
        </w:tc>
      </w:tr>
      <w:tr>
        <w:tc>
          <w:tcPr>
            <w:tcW w:type="dxa" w:w="2448"/>
          </w:tcPr>
          <w:p>
            <w:pPr>
              <w:spacing w:after="20"/>
            </w:pPr>
            <w:r>
              <w:rPr>
                <w:color w:val="1C3A36"/>
                <w:sz w:val="17"/>
              </w:rPr>
              <w:t>EBITDA margin</w:t>
            </w:r>
          </w:p>
        </w:tc>
        <w:tc>
          <w:tcPr>
            <w:tcW w:type="dxa" w:w="1210"/>
          </w:tcPr>
          <w:p>
            <w:pPr>
              <w:spacing w:after="20"/>
              <w:jc w:val="right"/>
            </w:pPr>
            <w:r>
              <w:rPr>
                <w:color w:val="1C3A36"/>
                <w:sz w:val="17"/>
              </w:rPr>
              <w:t>34.1%</w:t>
            </w:r>
          </w:p>
        </w:tc>
        <w:tc>
          <w:tcPr>
            <w:tcW w:type="dxa" w:w="1210"/>
          </w:tcPr>
          <w:p>
            <w:pPr>
              <w:spacing w:after="20"/>
              <w:jc w:val="right"/>
            </w:pPr>
            <w:r>
              <w:rPr>
                <w:color w:val="1C3A36"/>
                <w:sz w:val="17"/>
              </w:rPr>
              <w:t>30.1%</w:t>
            </w:r>
          </w:p>
        </w:tc>
        <w:tc>
          <w:tcPr>
            <w:tcW w:type="dxa" w:w="1210"/>
          </w:tcPr>
          <w:p>
            <w:pPr>
              <w:spacing w:after="20"/>
              <w:jc w:val="right"/>
            </w:pPr>
            <w:r>
              <w:rPr>
                <w:color w:val="1C3A36"/>
                <w:sz w:val="17"/>
              </w:rPr>
              <w:t>27.1%</w:t>
            </w:r>
          </w:p>
        </w:tc>
        <w:tc>
          <w:tcPr>
            <w:tcW w:type="dxa" w:w="1210"/>
          </w:tcPr>
          <w:p>
            <w:pPr>
              <w:spacing w:after="20"/>
              <w:jc w:val="right"/>
            </w:pPr>
            <w:r>
              <w:rPr>
                <w:color w:val="1C3A36"/>
                <w:sz w:val="17"/>
              </w:rPr>
              <w:t>26.0%</w:t>
            </w:r>
          </w:p>
        </w:tc>
        <w:tc>
          <w:tcPr>
            <w:tcW w:type="dxa" w:w="1210"/>
          </w:tcPr>
          <w:p>
            <w:pPr>
              <w:spacing w:after="20"/>
              <w:jc w:val="right"/>
            </w:pPr>
            <w:r>
              <w:rPr>
                <w:color w:val="1C3A36"/>
                <w:sz w:val="17"/>
              </w:rPr>
              <w:t>26.1%</w:t>
            </w:r>
          </w:p>
        </w:tc>
        <w:tc>
          <w:tcPr>
            <w:tcW w:type="dxa" w:w="1210"/>
          </w:tcPr>
          <w:p>
            <w:pPr>
              <w:spacing w:after="20"/>
              <w:jc w:val="right"/>
            </w:pPr>
            <w:r>
              <w:rPr>
                <w:color w:val="1C3A36"/>
                <w:sz w:val="17"/>
              </w:rPr>
              <w:t>26.4%</w:t>
            </w:r>
          </w:p>
        </w:tc>
      </w:tr>
    </w:tbl>
    <w:p>
      <w:pPr>
        <w:spacing w:after="40"/>
      </w:pPr>
    </w:p>
    <w:p>
      <w:pPr>
        <w:spacing w:after="200" w:before="0"/>
      </w:pPr>
      <w:r>
        <w:rPr>
          <w:b w:val="0"/>
          <w:i/>
          <w:color w:val="6E7B77"/>
          <w:sz w:val="17"/>
        </w:rPr>
        <w:t>Table 11 — And the result. The FY2026 margin is not chosen; it emerges from the cost stack meeting the price path.</w:t>
      </w:r>
    </w:p>
    <w:p>
      <w:pPr>
        <w:spacing w:after="80" w:before="200"/>
      </w:pPr>
      <w:r>
        <w:rPr>
          <w:b/>
          <w:i w:val="0"/>
          <w:color w:val="1C3A36"/>
          <w:sz w:val="24"/>
        </w:rPr>
        <w:t>Does the build reproduce the company? A test that can fail</w:t>
      </w:r>
    </w:p>
    <w:p>
      <w:pPr>
        <w:spacing w:after="120" w:before="0"/>
      </w:pPr>
      <w:r>
        <w:rPr>
          <w:b w:val="0"/>
          <w:i w:val="0"/>
          <w:color w:val="1C3A36"/>
          <w:sz w:val="21"/>
        </w:rPr>
        <w:t>A driver build is only worth having if it can be wrong. Nothing above was solved to match the accounts — every cost driver is an independent physical or market norm — so the comparison below is a genuine test rather than a restatement.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232"/>
        <w:gridCol w:w="2232"/>
        <w:gridCol w:w="1872"/>
      </w:tblGrid>
      <w:tr>
        <w:tc>
          <w:tcPr>
            <w:tcW w:type="dxa" w:w="3456"/>
            <w:shd w:val="clear" w:color="auto" w:fill="EAF0EE"/>
          </w:tcPr>
          <w:p>
            <w:pPr>
              <w:spacing w:after="20"/>
            </w:pPr>
            <w:r>
              <w:rPr>
                <w:b/>
                <w:color w:val="1C3A36"/>
                <w:sz w:val="18"/>
              </w:rPr>
            </w:r>
          </w:p>
        </w:tc>
        <w:tc>
          <w:tcPr>
            <w:tcW w:type="dxa" w:w="2232"/>
            <w:shd w:val="clear" w:color="auto" w:fill="EAF0EE"/>
          </w:tcPr>
          <w:p>
            <w:pPr>
              <w:spacing w:after="20"/>
            </w:pPr>
            <w:r>
              <w:rPr>
                <w:b/>
                <w:color w:val="1C3A36"/>
                <w:sz w:val="18"/>
              </w:rPr>
              <w:t>Bottom-up build</w:t>
            </w:r>
          </w:p>
        </w:tc>
        <w:tc>
          <w:tcPr>
            <w:tcW w:type="dxa" w:w="2232"/>
            <w:shd w:val="clear" w:color="auto" w:fill="EAF0EE"/>
          </w:tcPr>
          <w:p>
            <w:pPr>
              <w:spacing w:after="20"/>
            </w:pPr>
            <w:r>
              <w:rPr>
                <w:b/>
                <w:color w:val="1C3A36"/>
                <w:sz w:val="18"/>
              </w:rPr>
              <w:t>The company</w:t>
            </w:r>
          </w:p>
        </w:tc>
        <w:tc>
          <w:tcPr>
            <w:tcW w:type="dxa" w:w="1872"/>
            <w:shd w:val="clear" w:color="auto" w:fill="EAF0EE"/>
          </w:tcPr>
          <w:p>
            <w:pPr>
              <w:spacing w:after="20"/>
            </w:pPr>
            <w:r>
              <w:rPr>
                <w:b/>
                <w:color w:val="1C3A36"/>
                <w:sz w:val="18"/>
              </w:rPr>
              <w:t>Difference</w:t>
            </w:r>
          </w:p>
        </w:tc>
      </w:tr>
      <w:tr>
        <w:tc>
          <w:tcPr>
            <w:tcW w:type="dxa" w:w="3456"/>
          </w:tcPr>
          <w:p>
            <w:pPr>
              <w:spacing w:after="20"/>
            </w:pPr>
            <w:r>
              <w:rPr>
                <w:color w:val="1C3A36"/>
                <w:sz w:val="18"/>
              </w:rPr>
              <w:t>FY2025 revenue (EGP mn)</w:t>
            </w:r>
          </w:p>
        </w:tc>
        <w:tc>
          <w:tcPr>
            <w:tcW w:type="dxa" w:w="2232"/>
          </w:tcPr>
          <w:p>
            <w:pPr>
              <w:spacing w:after="20"/>
              <w:jc w:val="right"/>
            </w:pPr>
            <w:r>
              <w:rPr>
                <w:color w:val="1C3A36"/>
                <w:sz w:val="18"/>
              </w:rPr>
              <w:t>9,091</w:t>
            </w:r>
          </w:p>
        </w:tc>
        <w:tc>
          <w:tcPr>
            <w:tcW w:type="dxa" w:w="2232"/>
          </w:tcPr>
          <w:p>
            <w:pPr>
              <w:spacing w:after="20"/>
              <w:jc w:val="right"/>
            </w:pPr>
            <w:r>
              <w:rPr>
                <w:color w:val="1C3A36"/>
                <w:sz w:val="18"/>
              </w:rPr>
              <w:t>9,090</w:t>
            </w:r>
          </w:p>
        </w:tc>
        <w:tc>
          <w:tcPr>
            <w:tcW w:type="dxa" w:w="1872"/>
          </w:tcPr>
          <w:p>
            <w:pPr>
              <w:spacing w:after="20"/>
              <w:jc w:val="right"/>
            </w:pPr>
            <w:r>
              <w:rPr>
                <w:color w:val="1C3A36"/>
                <w:sz w:val="18"/>
              </w:rPr>
              <w:t>+0.01%</w:t>
            </w:r>
          </w:p>
        </w:tc>
      </w:tr>
      <w:tr>
        <w:tc>
          <w:tcPr>
            <w:tcW w:type="dxa" w:w="3456"/>
          </w:tcPr>
          <w:p>
            <w:pPr>
              <w:spacing w:after="20"/>
            </w:pPr>
            <w:r>
              <w:rPr>
                <w:color w:val="1C3A36"/>
                <w:sz w:val="18"/>
              </w:rPr>
              <w:t>FY2025 EBITDA (EGP mn)</w:t>
            </w:r>
          </w:p>
        </w:tc>
        <w:tc>
          <w:tcPr>
            <w:tcW w:type="dxa" w:w="2232"/>
          </w:tcPr>
          <w:p>
            <w:pPr>
              <w:spacing w:after="20"/>
              <w:jc w:val="right"/>
            </w:pPr>
            <w:r>
              <w:rPr>
                <w:color w:val="1C3A36"/>
                <w:sz w:val="18"/>
              </w:rPr>
              <w:t>3,100</w:t>
            </w:r>
          </w:p>
        </w:tc>
        <w:tc>
          <w:tcPr>
            <w:tcW w:type="dxa" w:w="2232"/>
          </w:tcPr>
          <w:p>
            <w:pPr>
              <w:spacing w:after="20"/>
              <w:jc w:val="right"/>
            </w:pPr>
            <w:r>
              <w:rPr>
                <w:color w:val="1C3A36"/>
                <w:sz w:val="18"/>
              </w:rPr>
              <w:t>3,058</w:t>
            </w:r>
          </w:p>
        </w:tc>
        <w:tc>
          <w:tcPr>
            <w:tcW w:type="dxa" w:w="1872"/>
          </w:tcPr>
          <w:p>
            <w:pPr>
              <w:spacing w:after="20"/>
              <w:jc w:val="right"/>
            </w:pPr>
            <w:r>
              <w:rPr>
                <w:color w:val="1C3A36"/>
                <w:sz w:val="18"/>
              </w:rPr>
              <w:t>+1.36%</w:t>
            </w:r>
          </w:p>
        </w:tc>
      </w:tr>
    </w:tbl>
    <w:p>
      <w:pPr>
        <w:spacing w:after="40"/>
      </w:pPr>
    </w:p>
    <w:p>
      <w:pPr>
        <w:spacing w:after="200" w:before="0"/>
      </w:pPr>
      <w:r>
        <w:rPr>
          <w:b w:val="0"/>
          <w:i/>
          <w:color w:val="6E7B77"/>
          <w:sz w:val="17"/>
        </w:rPr>
        <w:t>Table 12 — The validation. The right-hand column is EBITDA implied by closing the disclosed profit at the effective tax rate on the reported cash balance.</w:t>
      </w:r>
    </w:p>
    <w:p>
      <w:pPr>
        <w:spacing w:after="120" w:before="0"/>
      </w:pPr>
      <w:r>
        <w:rPr>
          <w:b w:val="0"/>
          <w:i w:val="0"/>
          <w:color w:val="1C3A36"/>
          <w:sz w:val="21"/>
        </w:rPr>
        <w:t>It is worth being explicit about why this matters. A build that solved realised price as revenue divided by volume would reproduce revenue exactly — for any volume assumption whatsoever — because price would be the plug. That is an identity, not a check. Here volume comes from capacity and utilisation, price comes from the market, and revenue is the product; if either were wrong the difference above would show it.</w:t>
      </w:r>
    </w:p>
    <w:p>
      <w:pPr>
        <w:spacing w:after="120" w:before="0"/>
      </w:pPr>
      <w:r>
        <w:rPr>
          <w:b w:val="0"/>
          <w:i w:val="0"/>
          <w:color w:val="1C3A36"/>
          <w:sz w:val="21"/>
        </w:rPr>
        <w:t>The price path deserves scrutiny. Nominal realised prices rise 4.5% to 6.0% a year across the forecast. Against Egyptian inflation running near 14% in 2026 and easing toward the central bank's 7% and then 5% targets, that is a REAL price decline in every single year — which is what a supply glut does to pricing power.</w:t>
      </w:r>
    </w:p>
    <w:p>
      <w:pPr>
        <w:spacing w:after="80" w:before="200"/>
      </w:pPr>
      <w:r>
        <w:rPr>
          <w:b/>
          <w:i w:val="0"/>
          <w:color w:val="1C3A36"/>
          <w:sz w:val="24"/>
        </w:rPr>
        <w:t>1.7  The crux — the cycle first, the capacity revival second, the cash third</w:t>
      </w:r>
    </w:p>
    <w:p>
      <w:pPr>
        <w:spacing w:after="120" w:before="0"/>
      </w:pPr>
      <w:r>
        <w:rPr>
          <w:b w:val="0"/>
          <w:i w:val="0"/>
          <w:color w:val="1C3A36"/>
          <w:sz w:val="21"/>
        </w:rPr>
        <w:t>Three things decide this valuation, in this order.</w:t>
      </w:r>
    </w:p>
    <w:p>
      <w:pPr>
        <w:pStyle w:val="ListBullet"/>
        <w:spacing w:after="60"/>
      </w:pPr>
      <w:r>
        <w:rPr>
          <w:b/>
          <w:color w:val="1C3A36"/>
          <w:sz w:val="21"/>
        </w:rPr>
        <w:t xml:space="preserve">The structural surplus. </w:t>
      </w:r>
      <w:r>
        <w:rPr>
          <w:color w:val="1C3A36"/>
          <w:sz w:val="21"/>
        </w:rPr>
        <w:t>Egypt can already make far more cement than it uses. Nameplate capacity is 76 million tonnes a year against domestic consumption of 54 million. Exports of 18.5 million tonnes absorb much of the gap, but they fell about 6% in 2025 even as the domestic market boomed.</w:t>
      </w:r>
    </w:p>
    <w:p>
      <w:pPr>
        <w:pStyle w:val="ListBullet"/>
        <w:spacing w:after="60"/>
      </w:pPr>
      <w:r>
        <w:rPr>
          <w:b/>
          <w:color w:val="1C3A36"/>
          <w:sz w:val="21"/>
        </w:rPr>
        <w:t xml:space="preserve">The revival programme. </w:t>
      </w:r>
      <w:r>
        <w:rPr>
          <w:color w:val="1C3A36"/>
          <w:sz w:val="21"/>
        </w:rPr>
        <w:t>Between seven and nine dormant production lines are under study for revival, potentially adding 12.6 million tonnes from the second half of 2026 — about 23% of domestic consumption, arriving inside the forecast window. Restarting a mothballed line costs a fraction of building a new one, which is precisely why the threat is credible and why the asset lens should not be read as a floor.</w:t>
      </w:r>
    </w:p>
    <w:p>
      <w:pPr>
        <w:pStyle w:val="ListBullet"/>
        <w:spacing w:after="60"/>
      </w:pPr>
      <w:r>
        <w:rPr>
          <w:b/>
          <w:color w:val="1C3A36"/>
          <w:sz w:val="21"/>
        </w:rPr>
        <w:t xml:space="preserve">The cash. </w:t>
      </w:r>
      <w:r>
        <w:rPr>
          <w:color w:val="1C3A36"/>
          <w:sz w:val="21"/>
        </w:rPr>
        <w:t>Net cash of EGP 4,930 million is 37% of the market capitalisation. It is why profit after tax exceeds EBITDA — a cash pile earning Egyptian policy rates throws off more than the plant does in a weak year — and it is why the equity is far less risky than the operating business alone. It is also the lens with the most uncertainty attached, for reasons section 7 sets out.</w:t>
      </w:r>
    </w:p>
    <w:p>
      <w:pPr>
        <w:spacing w:after="40"/>
        <w:jc w:val="center"/>
      </w:pPr>
      <w:r>
        <w:drawing>
          <wp:inline xmlns:a="http://schemas.openxmlformats.org/drawingml/2006/main" xmlns:pic="http://schemas.openxmlformats.org/drawingml/2006/picture">
            <wp:extent cx="6035040" cy="2481072"/>
            <wp:docPr id="3" name="Picture 3"/>
            <wp:cNvGraphicFramePr>
              <a:graphicFrameLocks noChangeAspect="1"/>
            </wp:cNvGraphicFramePr>
            <a:graphic>
              <a:graphicData uri="http://schemas.openxmlformats.org/drawingml/2006/picture">
                <pic:pic>
                  <pic:nvPicPr>
                    <pic:cNvPr id="0" name="fig8_sector.png"/>
                    <pic:cNvPicPr/>
                  </pic:nvPicPr>
                  <pic:blipFill>
                    <a:blip r:embed="rId11"/>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3 — The Egyptian cement balance. The surplus, and what is queuing to join it.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cost of equity starts from the Egyptian ten-year government yield of 22.31%. That yield is high largely because of Egypt's own sovereign default risk, so charging a country equity premium on top of it without adjustment would count that risk twice. The sovereign default spread is therefore netted out of the risk-free rate before the premium is added.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808"/>
        <w:gridCol w:w="2808"/>
      </w:tblGrid>
      <w:tr>
        <w:tc>
          <w:tcPr>
            <w:tcW w:type="dxa" w:w="4104"/>
            <w:shd w:val="clear" w:color="auto" w:fill="EAF0EE"/>
          </w:tcPr>
          <w:p>
            <w:pPr>
              <w:spacing w:after="20"/>
            </w:pPr>
            <w:r>
              <w:rPr>
                <w:b/>
                <w:color w:val="1C3A36"/>
                <w:sz w:val="18"/>
              </w:rPr>
            </w:r>
          </w:p>
        </w:tc>
        <w:tc>
          <w:tcPr>
            <w:tcW w:type="dxa" w:w="2808"/>
            <w:shd w:val="clear" w:color="auto" w:fill="EAF0EE"/>
          </w:tcPr>
          <w:p>
            <w:pPr>
              <w:spacing w:after="20"/>
            </w:pPr>
            <w:r>
              <w:rPr>
                <w:b/>
                <w:color w:val="1C3A36"/>
                <w:sz w:val="18"/>
              </w:rPr>
              <w:t>Explicit window</w:t>
            </w:r>
          </w:p>
        </w:tc>
        <w:tc>
          <w:tcPr>
            <w:tcW w:type="dxa" w:w="2808"/>
            <w:shd w:val="clear" w:color="auto" w:fill="EAF0EE"/>
          </w:tcPr>
          <w:p>
            <w:pPr>
              <w:spacing w:after="20"/>
            </w:pPr>
            <w:r>
              <w:rPr>
                <w:b/>
                <w:color w:val="1C3A36"/>
                <w:sz w:val="18"/>
              </w:rPr>
              <w:t>Terminal</w:t>
            </w:r>
          </w:p>
        </w:tc>
      </w:tr>
      <w:tr>
        <w:tc>
          <w:tcPr>
            <w:tcW w:type="dxa" w:w="4104"/>
          </w:tcPr>
          <w:p>
            <w:pPr>
              <w:spacing w:after="20"/>
            </w:pPr>
            <w:r>
              <w:rPr>
                <w:color w:val="1C3A36"/>
                <w:sz w:val="18"/>
              </w:rPr>
              <w:t>Risk-free rate</w:t>
            </w:r>
          </w:p>
        </w:tc>
        <w:tc>
          <w:tcPr>
            <w:tcW w:type="dxa" w:w="2808"/>
          </w:tcPr>
          <w:p>
            <w:pPr>
              <w:spacing w:after="20"/>
              <w:jc w:val="right"/>
            </w:pPr>
            <w:r>
              <w:rPr>
                <w:color w:val="1C3A36"/>
                <w:sz w:val="18"/>
              </w:rPr>
              <w:t>22.31%</w:t>
            </w:r>
          </w:p>
        </w:tc>
        <w:tc>
          <w:tcPr>
            <w:tcW w:type="dxa" w:w="2808"/>
          </w:tcPr>
          <w:p>
            <w:pPr>
              <w:spacing w:after="20"/>
              <w:jc w:val="right"/>
            </w:pPr>
            <w:r>
              <w:rPr>
                <w:color w:val="1C3A36"/>
                <w:sz w:val="18"/>
              </w:rPr>
              <w:t>12.50%</w:t>
            </w:r>
          </w:p>
        </w:tc>
      </w:tr>
      <w:tr>
        <w:tc>
          <w:tcPr>
            <w:tcW w:type="dxa" w:w="4104"/>
          </w:tcPr>
          <w:p>
            <w:pPr>
              <w:spacing w:after="20"/>
            </w:pPr>
            <w:r>
              <w:rPr>
                <w:color w:val="1C3A36"/>
                <w:sz w:val="18"/>
              </w:rPr>
              <w:t>Less sovereign default spread</w:t>
            </w:r>
          </w:p>
        </w:tc>
        <w:tc>
          <w:tcPr>
            <w:tcW w:type="dxa" w:w="2808"/>
          </w:tcPr>
          <w:p>
            <w:pPr>
              <w:spacing w:after="20"/>
              <w:jc w:val="right"/>
            </w:pPr>
            <w:r>
              <w:rPr>
                <w:color w:val="1C3A36"/>
                <w:sz w:val="18"/>
              </w:rPr>
              <w:t>-3.40%</w:t>
            </w:r>
          </w:p>
        </w:tc>
        <w:tc>
          <w:tcPr>
            <w:tcW w:type="dxa" w:w="2808"/>
          </w:tcPr>
          <w:p>
            <w:pPr>
              <w:spacing w:after="20"/>
              <w:jc w:val="right"/>
            </w:pPr>
            <w:r>
              <w:rPr>
                <w:color w:val="1C3A36"/>
                <w:sz w:val="18"/>
              </w:rPr>
              <w:t>—</w:t>
            </w:r>
          </w:p>
        </w:tc>
      </w:tr>
      <w:tr>
        <w:tc>
          <w:tcPr>
            <w:tcW w:type="dxa" w:w="4104"/>
          </w:tcPr>
          <w:p>
            <w:pPr>
              <w:spacing w:after="20"/>
            </w:pPr>
            <w:r>
              <w:rPr>
                <w:color w:val="1C3A36"/>
                <w:sz w:val="18"/>
              </w:rPr>
              <w:t>Normalised risk-free rate</w:t>
            </w:r>
          </w:p>
        </w:tc>
        <w:tc>
          <w:tcPr>
            <w:tcW w:type="dxa" w:w="2808"/>
          </w:tcPr>
          <w:p>
            <w:pPr>
              <w:spacing w:after="20"/>
              <w:jc w:val="right"/>
            </w:pPr>
            <w:r>
              <w:rPr>
                <w:color w:val="1C3A36"/>
                <w:sz w:val="18"/>
              </w:rPr>
              <w:t>18.91%</w:t>
            </w:r>
          </w:p>
        </w:tc>
        <w:tc>
          <w:tcPr>
            <w:tcW w:type="dxa" w:w="2808"/>
          </w:tcPr>
          <w:p>
            <w:pPr>
              <w:spacing w:after="20"/>
              <w:jc w:val="right"/>
            </w:pPr>
            <w:r>
              <w:rPr>
                <w:color w:val="1C3A36"/>
                <w:sz w:val="18"/>
              </w:rPr>
              <w:t>12.50%</w:t>
            </w:r>
          </w:p>
        </w:tc>
      </w:tr>
      <w:tr>
        <w:tc>
          <w:tcPr>
            <w:tcW w:type="dxa" w:w="4104"/>
          </w:tcPr>
          <w:p>
            <w:pPr>
              <w:spacing w:after="20"/>
            </w:pPr>
            <w:r>
              <w:rPr>
                <w:color w:val="1C3A36"/>
                <w:sz w:val="18"/>
              </w:rPr>
              <w:t>Beta</w:t>
            </w:r>
          </w:p>
        </w:tc>
        <w:tc>
          <w:tcPr>
            <w:tcW w:type="dxa" w:w="2808"/>
          </w:tcPr>
          <w:p>
            <w:pPr>
              <w:spacing w:after="20"/>
              <w:jc w:val="right"/>
            </w:pPr>
            <w:r>
              <w:rPr>
                <w:color w:val="1C3A36"/>
                <w:sz w:val="18"/>
              </w:rPr>
              <w:t>1.00</w:t>
            </w:r>
          </w:p>
        </w:tc>
        <w:tc>
          <w:tcPr>
            <w:tcW w:type="dxa" w:w="2808"/>
          </w:tcPr>
          <w:p>
            <w:pPr>
              <w:spacing w:after="20"/>
              <w:jc w:val="right"/>
            </w:pPr>
            <w:r>
              <w:rPr>
                <w:color w:val="1C3A36"/>
                <w:sz w:val="18"/>
              </w:rPr>
              <w:t>1.00</w:t>
            </w:r>
          </w:p>
        </w:tc>
      </w:tr>
      <w:tr>
        <w:tc>
          <w:tcPr>
            <w:tcW w:type="dxa" w:w="4104"/>
          </w:tcPr>
          <w:p>
            <w:pPr>
              <w:spacing w:after="20"/>
            </w:pPr>
            <w:r>
              <w:rPr>
                <w:color w:val="1C3A36"/>
                <w:sz w:val="18"/>
              </w:rPr>
              <w:t>Equity risk premium</w:t>
            </w:r>
          </w:p>
        </w:tc>
        <w:tc>
          <w:tcPr>
            <w:tcW w:type="dxa" w:w="2808"/>
          </w:tcPr>
          <w:p>
            <w:pPr>
              <w:spacing w:after="20"/>
              <w:jc w:val="right"/>
            </w:pPr>
            <w:r>
              <w:rPr>
                <w:color w:val="1C3A36"/>
                <w:sz w:val="18"/>
              </w:rPr>
              <w:t>9.41%</w:t>
            </w:r>
          </w:p>
        </w:tc>
        <w:tc>
          <w:tcPr>
            <w:tcW w:type="dxa" w:w="2808"/>
          </w:tcPr>
          <w:p>
            <w:pPr>
              <w:spacing w:after="20"/>
              <w:jc w:val="right"/>
            </w:pPr>
            <w:r>
              <w:rPr>
                <w:color w:val="1C3A36"/>
                <w:sz w:val="18"/>
              </w:rPr>
              <w:t>7.00%</w:t>
            </w:r>
          </w:p>
        </w:tc>
      </w:tr>
      <w:tr>
        <w:tc>
          <w:tcPr>
            <w:tcW w:type="dxa" w:w="4104"/>
          </w:tcPr>
          <w:p>
            <w:pPr>
              <w:spacing w:after="20"/>
            </w:pPr>
            <w:r>
              <w:rPr>
                <w:color w:val="1C3A36"/>
                <w:sz w:val="18"/>
              </w:rPr>
              <w:t>Cost of equity</w:t>
            </w:r>
          </w:p>
        </w:tc>
        <w:tc>
          <w:tcPr>
            <w:tcW w:type="dxa" w:w="2808"/>
          </w:tcPr>
          <w:p>
            <w:pPr>
              <w:spacing w:after="20"/>
              <w:jc w:val="right"/>
            </w:pPr>
            <w:r>
              <w:rPr>
                <w:color w:val="1C3A36"/>
                <w:sz w:val="18"/>
              </w:rPr>
              <w:t>28.32%</w:t>
            </w:r>
          </w:p>
        </w:tc>
        <w:tc>
          <w:tcPr>
            <w:tcW w:type="dxa" w:w="2808"/>
          </w:tcPr>
          <w:p>
            <w:pPr>
              <w:spacing w:after="20"/>
              <w:jc w:val="right"/>
            </w:pPr>
            <w:r>
              <w:rPr>
                <w:color w:val="1C3A36"/>
                <w:sz w:val="18"/>
              </w:rPr>
              <w:t>20.86%</w:t>
            </w:r>
          </w:p>
        </w:tc>
      </w:tr>
      <w:tr>
        <w:tc>
          <w:tcPr>
            <w:tcW w:type="dxa" w:w="4104"/>
          </w:tcPr>
          <w:p>
            <w:pPr>
              <w:spacing w:after="20"/>
            </w:pPr>
            <w:r>
              <w:rPr>
                <w:color w:val="1C3A36"/>
                <w:sz w:val="18"/>
              </w:rPr>
              <w:t>Cost of debt after tax</w:t>
            </w:r>
          </w:p>
        </w:tc>
        <w:tc>
          <w:tcPr>
            <w:tcW w:type="dxa" w:w="2808"/>
          </w:tcPr>
          <w:p>
            <w:pPr>
              <w:spacing w:after="20"/>
              <w:jc w:val="right"/>
            </w:pPr>
            <w:r>
              <w:rPr>
                <w:color w:val="1C3A36"/>
                <w:sz w:val="18"/>
              </w:rPr>
              <w:t>16.66%</w:t>
            </w:r>
          </w:p>
        </w:tc>
        <w:tc>
          <w:tcPr>
            <w:tcW w:type="dxa" w:w="2808"/>
          </w:tcPr>
          <w:p>
            <w:pPr>
              <w:spacing w:after="20"/>
              <w:jc w:val="right"/>
            </w:pPr>
            <w:r>
              <w:rPr>
                <w:color w:val="1C3A36"/>
                <w:sz w:val="18"/>
              </w:rPr>
              <w:t>11.62%</w:t>
            </w:r>
          </w:p>
        </w:tc>
      </w:tr>
      <w:tr>
        <w:tc>
          <w:tcPr>
            <w:tcW w:type="dxa" w:w="4104"/>
          </w:tcPr>
          <w:p>
            <w:pPr>
              <w:spacing w:after="20"/>
            </w:pPr>
            <w:r>
              <w:rPr>
                <w:color w:val="1C3A36"/>
                <w:sz w:val="18"/>
              </w:rPr>
              <w:t>Debt weight</w:t>
            </w:r>
          </w:p>
        </w:tc>
        <w:tc>
          <w:tcPr>
            <w:tcW w:type="dxa" w:w="2808"/>
          </w:tcPr>
          <w:p>
            <w:pPr>
              <w:spacing w:after="20"/>
              <w:jc w:val="right"/>
            </w:pPr>
            <w:r>
              <w:rPr>
                <w:color w:val="1C3A36"/>
                <w:sz w:val="18"/>
              </w:rPr>
              <w:t>0.18%</w:t>
            </w:r>
          </w:p>
        </w:tc>
        <w:tc>
          <w:tcPr>
            <w:tcW w:type="dxa" w:w="2808"/>
          </w:tcPr>
          <w:p>
            <w:pPr>
              <w:spacing w:after="20"/>
              <w:jc w:val="right"/>
            </w:pPr>
            <w:r>
              <w:rPr>
                <w:color w:val="1C3A36"/>
                <w:sz w:val="18"/>
              </w:rPr>
              <w:t>20.00%</w:t>
            </w:r>
          </w:p>
        </w:tc>
      </w:tr>
      <w:tr>
        <w:tc>
          <w:tcPr>
            <w:tcW w:type="dxa" w:w="4104"/>
          </w:tcPr>
          <w:p>
            <w:pPr>
              <w:spacing w:after="20"/>
            </w:pPr>
            <w:r>
              <w:rPr>
                <w:color w:val="1C3A36"/>
                <w:sz w:val="18"/>
              </w:rPr>
              <w:t>Weighted average cost of capital</w:t>
            </w:r>
          </w:p>
        </w:tc>
        <w:tc>
          <w:tcPr>
            <w:tcW w:type="dxa" w:w="2808"/>
          </w:tcPr>
          <w:p>
            <w:pPr>
              <w:spacing w:after="20"/>
              <w:jc w:val="right"/>
            </w:pPr>
            <w:r>
              <w:rPr>
                <w:color w:val="1C3A36"/>
                <w:sz w:val="18"/>
              </w:rPr>
              <w:t>28.30%</w:t>
            </w:r>
          </w:p>
        </w:tc>
        <w:tc>
          <w:tcPr>
            <w:tcW w:type="dxa" w:w="2808"/>
          </w:tcPr>
          <w:p>
            <w:pPr>
              <w:spacing w:after="20"/>
              <w:jc w:val="right"/>
            </w:pPr>
            <w:r>
              <w:rPr>
                <w:color w:val="1C3A36"/>
                <w:sz w:val="18"/>
              </w:rPr>
              <w:t>19.01%</w:t>
            </w:r>
          </w:p>
        </w:tc>
      </w:tr>
    </w:tbl>
    <w:p>
      <w:pPr>
        <w:spacing w:after="40"/>
      </w:pPr>
    </w:p>
    <w:p>
      <w:pPr>
        <w:spacing w:after="200" w:before="0"/>
      </w:pPr>
      <w:r>
        <w:rPr>
          <w:b w:val="0"/>
          <w:i/>
          <w:color w:val="6E7B77"/>
          <w:sz w:val="17"/>
        </w:rPr>
        <w:t>Table 10 — The cost of capital, built from its components. The retired construction that leaves the sovereign spread in the risk-free rate would give a cost of equity of 31.72%, some 340 basis points higher.</w:t>
      </w:r>
    </w:p>
    <w:p>
      <w:pPr>
        <w:spacing w:after="120" w:before="0"/>
      </w:pPr>
      <w:r>
        <w:rPr>
          <w:b w:val="0"/>
          <w:i w:val="0"/>
          <w:color w:val="1C3A36"/>
          <w:sz w:val="21"/>
        </w:rPr>
        <w:t>The terminal rates are house views, and are labelled as such rather than presented as observations. The terminal risk-free rate of 10.5% is the central bank's own stated medium-term inflation target of 5% plus a standard emerging-market real-rate convention of about 5.5 points. The terminal cost of debt of 15% is the midpoint of Egypt's long-run corporate borrowing range. Neither is reverse-engineered from a target price.</w:t>
      </w:r>
    </w:p>
    <w:p>
      <w:pPr>
        <w:spacing w:after="80" w:before="200"/>
      </w:pPr>
      <w:r>
        <w:rPr>
          <w:b/>
          <w:i w:val="0"/>
          <w:color w:val="1C3A36"/>
          <w:sz w:val="24"/>
        </w:rPr>
        <w:t>The beta, and why it is not the regression's answer</w:t>
      </w:r>
    </w:p>
    <w:p>
      <w:pPr>
        <w:spacing w:after="120" w:before="0"/>
      </w:pPr>
      <w:r>
        <w:rPr>
          <w:b w:val="0"/>
          <w:i w:val="0"/>
          <w:color w:val="1C3A36"/>
          <w:sz w:val="21"/>
        </w:rPr>
        <w:t>A five-year weekly regression of the shares against an equal-weight Egyptian composite returns a beta of 0.49 with an R-squared of 0.038 over 256 observations and a standard error of 0.153. That R-squared is below the 5% floor this house requires, so the regression is not usable and its answer is not used. No Egyptian listed cement peer carries a price history in the covered library, so a re-levered peer beta is unavailable too.</w:t>
      </w:r>
    </w:p>
    <w:p>
      <w:pPr>
        <w:spacing w:after="120" w:before="0"/>
      </w:pPr>
      <w:r>
        <w:rPr>
          <w:b w:val="0"/>
          <w:i w:val="0"/>
          <w:color w:val="1C3A36"/>
          <w:sz w:val="21"/>
        </w:rPr>
        <w:t>A beta of 1.00 is therefore adopted, and it is corroborated rather than assumed. The shares trade with an unchanged closing price on 29.3% of sessions — three and a half times the Egyptian median and the second thinnest of 33 covered names — which biases any contemporaneous regression downward by construction. Correcting for that with a lead-and-lag estimator lifts the beta to 0.84, with a 90% interval of 0.35 to 1.32 that comfortably contains 1.00. A capital-intensive materials producer would normally sit between 1.0 and 1.5; this one sits at the bottom of that band because it carries no financial leverage at 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67"/>
        <w:gridCol w:w="1267"/>
        <w:gridCol w:w="1656"/>
        <w:gridCol w:w="1267"/>
        <w:gridCol w:w="1267"/>
      </w:tblGrid>
      <w:tr>
        <w:tc>
          <w:tcPr>
            <w:tcW w:type="dxa" w:w="3312"/>
            <w:shd w:val="clear" w:color="auto" w:fill="EAF0EE"/>
          </w:tcPr>
          <w:p>
            <w:pPr>
              <w:spacing w:after="20"/>
            </w:pPr>
            <w:r>
              <w:rPr>
                <w:b/>
                <w:color w:val="1C3A36"/>
                <w:sz w:val="18"/>
              </w:rPr>
              <w:t>Beta</w:t>
            </w:r>
          </w:p>
        </w:tc>
        <w:tc>
          <w:tcPr>
            <w:tcW w:type="dxa" w:w="1267"/>
            <w:shd w:val="clear" w:color="auto" w:fill="EAF0EE"/>
          </w:tcPr>
          <w:p>
            <w:pPr>
              <w:spacing w:after="20"/>
            </w:pPr>
            <w:r>
              <w:rPr>
                <w:b/>
                <w:color w:val="1C3A36"/>
                <w:sz w:val="18"/>
              </w:rPr>
              <w:t>0.60</w:t>
            </w:r>
          </w:p>
        </w:tc>
        <w:tc>
          <w:tcPr>
            <w:tcW w:type="dxa" w:w="1267"/>
            <w:shd w:val="clear" w:color="auto" w:fill="EAF0EE"/>
          </w:tcPr>
          <w:p>
            <w:pPr>
              <w:spacing w:after="20"/>
            </w:pPr>
            <w:r>
              <w:rPr>
                <w:b/>
                <w:color w:val="1C3A36"/>
                <w:sz w:val="18"/>
              </w:rPr>
              <w:t>0.80</w:t>
            </w:r>
          </w:p>
        </w:tc>
        <w:tc>
          <w:tcPr>
            <w:tcW w:type="dxa" w:w="1656"/>
            <w:shd w:val="clear" w:color="auto" w:fill="EAF0EE"/>
          </w:tcPr>
          <w:p>
            <w:pPr>
              <w:spacing w:after="20"/>
            </w:pPr>
            <w:r>
              <w:rPr>
                <w:b/>
                <w:color w:val="1C3A36"/>
                <w:sz w:val="18"/>
              </w:rPr>
              <w:t>1.00 (adopted)</w:t>
            </w:r>
          </w:p>
        </w:tc>
        <w:tc>
          <w:tcPr>
            <w:tcW w:type="dxa" w:w="1267"/>
            <w:shd w:val="clear" w:color="auto" w:fill="EAF0EE"/>
          </w:tcPr>
          <w:p>
            <w:pPr>
              <w:spacing w:after="20"/>
            </w:pPr>
            <w:r>
              <w:rPr>
                <w:b/>
                <w:color w:val="1C3A36"/>
                <w:sz w:val="18"/>
              </w:rPr>
              <w:t>1.15</w:t>
            </w:r>
          </w:p>
        </w:tc>
        <w:tc>
          <w:tcPr>
            <w:tcW w:type="dxa" w:w="1267"/>
            <w:shd w:val="clear" w:color="auto" w:fill="EAF0EE"/>
          </w:tcPr>
          <w:p>
            <w:pPr>
              <w:spacing w:after="20"/>
            </w:pPr>
            <w:r>
              <w:rPr>
                <w:b/>
                <w:color w:val="1C3A36"/>
                <w:sz w:val="18"/>
              </w:rPr>
              <w:t>1.30</w:t>
            </w:r>
          </w:p>
        </w:tc>
      </w:tr>
      <w:tr>
        <w:tc>
          <w:tcPr>
            <w:tcW w:type="dxa" w:w="3312"/>
          </w:tcPr>
          <w:p>
            <w:pPr>
              <w:spacing w:after="20"/>
            </w:pPr>
            <w:r>
              <w:rPr>
                <w:color w:val="1C3A36"/>
                <w:sz w:val="18"/>
              </w:rPr>
              <w:t>Fair value per share (EGP)</w:t>
            </w:r>
          </w:p>
        </w:tc>
        <w:tc>
          <w:tcPr>
            <w:tcW w:type="dxa" w:w="1267"/>
          </w:tcPr>
          <w:p>
            <w:pPr>
              <w:spacing w:after="20"/>
              <w:jc w:val="right"/>
            </w:pPr>
            <w:r>
              <w:rPr>
                <w:color w:val="1C3A36"/>
                <w:sz w:val="18"/>
              </w:rPr>
              <w:t>48.91</w:t>
            </w:r>
          </w:p>
        </w:tc>
        <w:tc>
          <w:tcPr>
            <w:tcW w:type="dxa" w:w="1267"/>
          </w:tcPr>
          <w:p>
            <w:pPr>
              <w:spacing w:after="20"/>
              <w:jc w:val="right"/>
            </w:pPr>
            <w:r>
              <w:rPr>
                <w:color w:val="1C3A36"/>
                <w:sz w:val="18"/>
              </w:rPr>
              <w:t>46.09</w:t>
            </w:r>
          </w:p>
        </w:tc>
        <w:tc>
          <w:tcPr>
            <w:tcW w:type="dxa" w:w="1656"/>
          </w:tcPr>
          <w:p>
            <w:pPr>
              <w:spacing w:after="20"/>
              <w:jc w:val="right"/>
            </w:pPr>
            <w:r>
              <w:rPr>
                <w:color w:val="1C3A36"/>
                <w:sz w:val="18"/>
              </w:rPr>
              <w:t>45.63</w:t>
            </w:r>
          </w:p>
        </w:tc>
        <w:tc>
          <w:tcPr>
            <w:tcW w:type="dxa" w:w="1267"/>
          </w:tcPr>
          <w:p>
            <w:pPr>
              <w:spacing w:after="20"/>
              <w:jc w:val="right"/>
            </w:pPr>
            <w:r>
              <w:rPr>
                <w:color w:val="1C3A36"/>
                <w:sz w:val="18"/>
              </w:rPr>
              <w:t>43.81</w:t>
            </w:r>
          </w:p>
        </w:tc>
        <w:tc>
          <w:tcPr>
            <w:tcW w:type="dxa" w:w="1267"/>
          </w:tcPr>
          <w:p>
            <w:pPr>
              <w:spacing w:after="20"/>
              <w:jc w:val="right"/>
            </w:pPr>
            <w:r>
              <w:rPr>
                <w:color w:val="1C3A36"/>
                <w:sz w:val="18"/>
              </w:rPr>
              <w:t>41.12</w:t>
            </w:r>
          </w:p>
        </w:tc>
      </w:tr>
    </w:tbl>
    <w:p>
      <w:pPr>
        <w:spacing w:after="40"/>
      </w:pPr>
    </w:p>
    <w:p>
      <w:pPr>
        <w:spacing w:after="200" w:before="0"/>
      </w:pPr>
      <w:r>
        <w:rPr>
          <w:b w:val="0"/>
          <w:i/>
          <w:color w:val="6E7B77"/>
          <w:sz w:val="17"/>
        </w:rPr>
        <w:t>Table 11 — Beta sensitivity across the confidence interval and fixed anchors.</w:t>
      </w:r>
    </w:p>
    <w:p>
      <w:pPr>
        <w:spacing w:after="80" w:before="200"/>
      </w:pPr>
      <w:r>
        <w:rPr>
          <w:b/>
          <w:i w:val="0"/>
          <w:color w:val="1C3A36"/>
          <w:sz w:val="24"/>
        </w:rPr>
        <w:t>1.9  Sensitivity — the discount rate, the growth, the margin and the replacement cost</w:t>
      </w:r>
    </w:p>
    <w:p>
      <w:pPr>
        <w:spacing w:after="40"/>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943600" cy="2971800"/>
                    </a:xfrm>
                    <a:prstGeom prst="rect"/>
                  </pic:spPr>
                </pic:pic>
              </a:graphicData>
            </a:graphic>
          </wp:inline>
        </w:drawing>
      </w:r>
    </w:p>
    <w:p>
      <w:pPr>
        <w:spacing w:after="200" w:before="0"/>
      </w:pPr>
      <w:r>
        <w:rPr>
          <w:b w:val="0"/>
          <w:i/>
          <w:color w:val="6E7B77"/>
          <w:sz w:val="17"/>
        </w:rPr>
        <w:t>Figure 4 — Fair value across the cost of capital and the terminal growth rate. Reading left to right, higher growth lowers the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Explicit cost of capital</w:t>
            </w:r>
          </w:p>
        </w:tc>
        <w:tc>
          <w:tcPr>
            <w:tcW w:type="dxa" w:w="1411"/>
            <w:shd w:val="clear" w:color="auto" w:fill="EAF0EE"/>
          </w:tcPr>
          <w:p>
            <w:pPr>
              <w:spacing w:after="20"/>
            </w:pPr>
            <w:r>
              <w:rPr>
                <w:b/>
                <w:color w:val="1C3A36"/>
                <w:sz w:val="18"/>
              </w:rPr>
              <w:t>g = 3%</w:t>
            </w:r>
          </w:p>
        </w:tc>
        <w:tc>
          <w:tcPr>
            <w:tcW w:type="dxa" w:w="1411"/>
            <w:shd w:val="clear" w:color="auto" w:fill="EAF0EE"/>
          </w:tcPr>
          <w:p>
            <w:pPr>
              <w:spacing w:after="20"/>
            </w:pPr>
            <w:r>
              <w:rPr>
                <w:b/>
                <w:color w:val="1C3A36"/>
                <w:sz w:val="18"/>
              </w:rPr>
              <w:t>g = 4%</w:t>
            </w:r>
          </w:p>
        </w:tc>
        <w:tc>
          <w:tcPr>
            <w:tcW w:type="dxa" w:w="1411"/>
            <w:shd w:val="clear" w:color="auto" w:fill="EAF0EE"/>
          </w:tcPr>
          <w:p>
            <w:pPr>
              <w:spacing w:after="20"/>
            </w:pPr>
            <w:r>
              <w:rPr>
                <w:b/>
                <w:color w:val="1C3A36"/>
                <w:sz w:val="18"/>
              </w:rPr>
              <w:t>g = 5%</w:t>
            </w:r>
          </w:p>
        </w:tc>
        <w:tc>
          <w:tcPr>
            <w:tcW w:type="dxa" w:w="1411"/>
            <w:shd w:val="clear" w:color="auto" w:fill="EAF0EE"/>
          </w:tcPr>
          <w:p>
            <w:pPr>
              <w:spacing w:after="20"/>
            </w:pPr>
            <w:r>
              <w:rPr>
                <w:b/>
                <w:color w:val="1C3A36"/>
                <w:sz w:val="18"/>
              </w:rPr>
              <w:t>g = 6%</w:t>
            </w:r>
          </w:p>
        </w:tc>
        <w:tc>
          <w:tcPr>
            <w:tcW w:type="dxa" w:w="1411"/>
            <w:shd w:val="clear" w:color="auto" w:fill="EAF0EE"/>
          </w:tcPr>
          <w:p>
            <w:pPr>
              <w:spacing w:after="20"/>
            </w:pPr>
            <w:r>
              <w:rPr>
                <w:b/>
                <w:color w:val="1C3A36"/>
                <w:sz w:val="18"/>
              </w:rPr>
              <w:t>g = 7%</w:t>
            </w:r>
          </w:p>
        </w:tc>
      </w:tr>
      <w:tr>
        <w:tc>
          <w:tcPr>
            <w:tcW w:type="dxa" w:w="2736"/>
          </w:tcPr>
          <w:p>
            <w:pPr>
              <w:spacing w:after="20"/>
            </w:pPr>
            <w:r>
              <w:rPr>
                <w:color w:val="1C3A36"/>
                <w:sz w:val="18"/>
              </w:rPr>
              <w:t>25.30%</w:t>
            </w:r>
          </w:p>
        </w:tc>
        <w:tc>
          <w:tcPr>
            <w:tcW w:type="dxa" w:w="1411"/>
          </w:tcPr>
          <w:p>
            <w:pPr>
              <w:spacing w:after="20"/>
              <w:jc w:val="right"/>
            </w:pPr>
            <w:r>
              <w:rPr>
                <w:color w:val="1C3A36"/>
                <w:sz w:val="18"/>
              </w:rPr>
              <w:t>47.85</w:t>
            </w:r>
          </w:p>
        </w:tc>
        <w:tc>
          <w:tcPr>
            <w:tcW w:type="dxa" w:w="1411"/>
          </w:tcPr>
          <w:p>
            <w:pPr>
              <w:spacing w:after="20"/>
              <w:jc w:val="right"/>
            </w:pPr>
            <w:r>
              <w:rPr>
                <w:color w:val="1C3A36"/>
                <w:sz w:val="18"/>
              </w:rPr>
              <w:t>46.43</w:t>
            </w:r>
          </w:p>
        </w:tc>
        <w:tc>
          <w:tcPr>
            <w:tcW w:type="dxa" w:w="1411"/>
          </w:tcPr>
          <w:p>
            <w:pPr>
              <w:spacing w:after="20"/>
              <w:jc w:val="right"/>
            </w:pPr>
            <w:r>
              <w:rPr>
                <w:color w:val="1C3A36"/>
                <w:sz w:val="18"/>
              </w:rPr>
              <w:t>44.79</w:t>
            </w:r>
          </w:p>
        </w:tc>
        <w:tc>
          <w:tcPr>
            <w:tcW w:type="dxa" w:w="1411"/>
          </w:tcPr>
          <w:p>
            <w:pPr>
              <w:spacing w:after="20"/>
              <w:jc w:val="right"/>
            </w:pPr>
            <w:r>
              <w:rPr>
                <w:color w:val="1C3A36"/>
                <w:sz w:val="18"/>
              </w:rPr>
              <w:t>42.88</w:t>
            </w:r>
          </w:p>
        </w:tc>
        <w:tc>
          <w:tcPr>
            <w:tcW w:type="dxa" w:w="1411"/>
          </w:tcPr>
          <w:p>
            <w:pPr>
              <w:spacing w:after="20"/>
              <w:jc w:val="right"/>
            </w:pPr>
            <w:r>
              <w:rPr>
                <w:color w:val="1C3A36"/>
                <w:sz w:val="18"/>
              </w:rPr>
              <w:t>40.65</w:t>
            </w:r>
          </w:p>
        </w:tc>
      </w:tr>
      <w:tr>
        <w:tc>
          <w:tcPr>
            <w:tcW w:type="dxa" w:w="2736"/>
          </w:tcPr>
          <w:p>
            <w:pPr>
              <w:spacing w:after="20"/>
            </w:pPr>
            <w:r>
              <w:rPr>
                <w:color w:val="1C3A36"/>
                <w:sz w:val="18"/>
              </w:rPr>
              <w:t>26.80%</w:t>
            </w:r>
          </w:p>
        </w:tc>
        <w:tc>
          <w:tcPr>
            <w:tcW w:type="dxa" w:w="1411"/>
          </w:tcPr>
          <w:p>
            <w:pPr>
              <w:spacing w:after="20"/>
              <w:jc w:val="right"/>
            </w:pPr>
            <w:r>
              <w:rPr>
                <w:color w:val="1C3A36"/>
                <w:sz w:val="18"/>
              </w:rPr>
              <w:t>47.28</w:t>
            </w:r>
          </w:p>
        </w:tc>
        <w:tc>
          <w:tcPr>
            <w:tcW w:type="dxa" w:w="1411"/>
          </w:tcPr>
          <w:p>
            <w:pPr>
              <w:spacing w:after="20"/>
              <w:jc w:val="right"/>
            </w:pPr>
            <w:r>
              <w:rPr>
                <w:color w:val="1C3A36"/>
                <w:sz w:val="18"/>
              </w:rPr>
              <w:t>45.89</w:t>
            </w:r>
          </w:p>
        </w:tc>
        <w:tc>
          <w:tcPr>
            <w:tcW w:type="dxa" w:w="1411"/>
          </w:tcPr>
          <w:p>
            <w:pPr>
              <w:spacing w:after="20"/>
              <w:jc w:val="right"/>
            </w:pPr>
            <w:r>
              <w:rPr>
                <w:color w:val="1C3A36"/>
                <w:sz w:val="18"/>
              </w:rPr>
              <w:t>44.29</w:t>
            </w:r>
          </w:p>
        </w:tc>
        <w:tc>
          <w:tcPr>
            <w:tcW w:type="dxa" w:w="1411"/>
          </w:tcPr>
          <w:p>
            <w:pPr>
              <w:spacing w:after="20"/>
              <w:jc w:val="right"/>
            </w:pPr>
            <w:r>
              <w:rPr>
                <w:color w:val="1C3A36"/>
                <w:sz w:val="18"/>
              </w:rPr>
              <w:t>42.43</w:t>
            </w:r>
          </w:p>
        </w:tc>
        <w:tc>
          <w:tcPr>
            <w:tcW w:type="dxa" w:w="1411"/>
          </w:tcPr>
          <w:p>
            <w:pPr>
              <w:spacing w:after="20"/>
              <w:jc w:val="right"/>
            </w:pPr>
            <w:r>
              <w:rPr>
                <w:color w:val="1C3A36"/>
                <w:sz w:val="18"/>
              </w:rPr>
              <w:t>40.25</w:t>
            </w:r>
          </w:p>
        </w:tc>
      </w:tr>
      <w:tr>
        <w:tc>
          <w:tcPr>
            <w:tcW w:type="dxa" w:w="2736"/>
          </w:tcPr>
          <w:p>
            <w:pPr>
              <w:spacing w:after="20"/>
            </w:pPr>
            <w:r>
              <w:rPr>
                <w:color w:val="1C3A36"/>
                <w:sz w:val="18"/>
              </w:rPr>
              <w:t>28.30%</w:t>
            </w:r>
          </w:p>
        </w:tc>
        <w:tc>
          <w:tcPr>
            <w:tcW w:type="dxa" w:w="1411"/>
          </w:tcPr>
          <w:p>
            <w:pPr>
              <w:spacing w:after="20"/>
              <w:jc w:val="right"/>
            </w:pPr>
            <w:r>
              <w:rPr>
                <w:color w:val="1C3A36"/>
                <w:sz w:val="18"/>
              </w:rPr>
              <w:t>46.72</w:t>
            </w:r>
          </w:p>
        </w:tc>
        <w:tc>
          <w:tcPr>
            <w:tcW w:type="dxa" w:w="1411"/>
          </w:tcPr>
          <w:p>
            <w:pPr>
              <w:spacing w:after="20"/>
              <w:jc w:val="right"/>
            </w:pPr>
            <w:r>
              <w:rPr>
                <w:color w:val="1C3A36"/>
                <w:sz w:val="18"/>
              </w:rPr>
              <w:t>45.37</w:t>
            </w:r>
          </w:p>
        </w:tc>
        <w:tc>
          <w:tcPr>
            <w:tcW w:type="dxa" w:w="1411"/>
          </w:tcPr>
          <w:p>
            <w:pPr>
              <w:spacing w:after="20"/>
              <w:jc w:val="right"/>
            </w:pPr>
            <w:r>
              <w:rPr>
                <w:color w:val="1C3A36"/>
                <w:sz w:val="18"/>
              </w:rPr>
              <w:t>43.81</w:t>
            </w:r>
          </w:p>
        </w:tc>
        <w:tc>
          <w:tcPr>
            <w:tcW w:type="dxa" w:w="1411"/>
          </w:tcPr>
          <w:p>
            <w:pPr>
              <w:spacing w:after="20"/>
              <w:jc w:val="right"/>
            </w:pPr>
            <w:r>
              <w:rPr>
                <w:color w:val="1C3A36"/>
                <w:sz w:val="18"/>
              </w:rPr>
              <w:t>42.00</w:t>
            </w:r>
          </w:p>
        </w:tc>
        <w:tc>
          <w:tcPr>
            <w:tcW w:type="dxa" w:w="1411"/>
          </w:tcPr>
          <w:p>
            <w:pPr>
              <w:spacing w:after="20"/>
              <w:jc w:val="right"/>
            </w:pPr>
            <w:r>
              <w:rPr>
                <w:color w:val="1C3A36"/>
                <w:sz w:val="18"/>
              </w:rPr>
              <w:t>39.88</w:t>
            </w:r>
          </w:p>
        </w:tc>
      </w:tr>
      <w:tr>
        <w:tc>
          <w:tcPr>
            <w:tcW w:type="dxa" w:w="2736"/>
          </w:tcPr>
          <w:p>
            <w:pPr>
              <w:spacing w:after="20"/>
            </w:pPr>
            <w:r>
              <w:rPr>
                <w:color w:val="1C3A36"/>
                <w:sz w:val="18"/>
              </w:rPr>
              <w:t>29.80%</w:t>
            </w:r>
          </w:p>
        </w:tc>
        <w:tc>
          <w:tcPr>
            <w:tcW w:type="dxa" w:w="1411"/>
          </w:tcPr>
          <w:p>
            <w:pPr>
              <w:spacing w:after="20"/>
              <w:jc w:val="right"/>
            </w:pPr>
            <w:r>
              <w:rPr>
                <w:color w:val="1C3A36"/>
                <w:sz w:val="18"/>
              </w:rPr>
              <w:t>46.18</w:t>
            </w:r>
          </w:p>
        </w:tc>
        <w:tc>
          <w:tcPr>
            <w:tcW w:type="dxa" w:w="1411"/>
          </w:tcPr>
          <w:p>
            <w:pPr>
              <w:spacing w:after="20"/>
              <w:jc w:val="right"/>
            </w:pPr>
            <w:r>
              <w:rPr>
                <w:color w:val="1C3A36"/>
                <w:sz w:val="18"/>
              </w:rPr>
              <w:t>44.86</w:t>
            </w:r>
          </w:p>
        </w:tc>
        <w:tc>
          <w:tcPr>
            <w:tcW w:type="dxa" w:w="1411"/>
          </w:tcPr>
          <w:p>
            <w:pPr>
              <w:spacing w:after="20"/>
              <w:jc w:val="right"/>
            </w:pPr>
            <w:r>
              <w:rPr>
                <w:color w:val="1C3A36"/>
                <w:sz w:val="18"/>
              </w:rPr>
              <w:t>43.34</w:t>
            </w:r>
          </w:p>
        </w:tc>
        <w:tc>
          <w:tcPr>
            <w:tcW w:type="dxa" w:w="1411"/>
          </w:tcPr>
          <w:p>
            <w:pPr>
              <w:spacing w:after="20"/>
              <w:jc w:val="right"/>
            </w:pPr>
            <w:r>
              <w:rPr>
                <w:color w:val="1C3A36"/>
                <w:sz w:val="18"/>
              </w:rPr>
              <w:t>41.58</w:t>
            </w:r>
          </w:p>
        </w:tc>
        <w:tc>
          <w:tcPr>
            <w:tcW w:type="dxa" w:w="1411"/>
          </w:tcPr>
          <w:p>
            <w:pPr>
              <w:spacing w:after="20"/>
              <w:jc w:val="right"/>
            </w:pPr>
            <w:r>
              <w:rPr>
                <w:color w:val="1C3A36"/>
                <w:sz w:val="18"/>
              </w:rPr>
              <w:t>39.51</w:t>
            </w:r>
          </w:p>
        </w:tc>
      </w:tr>
      <w:tr>
        <w:tc>
          <w:tcPr>
            <w:tcW w:type="dxa" w:w="2736"/>
          </w:tcPr>
          <w:p>
            <w:pPr>
              <w:spacing w:after="20"/>
            </w:pPr>
            <w:r>
              <w:rPr>
                <w:color w:val="1C3A36"/>
                <w:sz w:val="18"/>
              </w:rPr>
              <w:t>31.30%</w:t>
            </w:r>
          </w:p>
        </w:tc>
        <w:tc>
          <w:tcPr>
            <w:tcW w:type="dxa" w:w="1411"/>
          </w:tcPr>
          <w:p>
            <w:pPr>
              <w:spacing w:after="20"/>
              <w:jc w:val="right"/>
            </w:pPr>
            <w:r>
              <w:rPr>
                <w:color w:val="1C3A36"/>
                <w:sz w:val="18"/>
              </w:rPr>
              <w:t>45.66</w:t>
            </w:r>
          </w:p>
        </w:tc>
        <w:tc>
          <w:tcPr>
            <w:tcW w:type="dxa" w:w="1411"/>
          </w:tcPr>
          <w:p>
            <w:pPr>
              <w:spacing w:after="20"/>
              <w:jc w:val="right"/>
            </w:pPr>
            <w:r>
              <w:rPr>
                <w:color w:val="1C3A36"/>
                <w:sz w:val="18"/>
              </w:rPr>
              <w:t>44.37</w:t>
            </w:r>
          </w:p>
        </w:tc>
        <w:tc>
          <w:tcPr>
            <w:tcW w:type="dxa" w:w="1411"/>
          </w:tcPr>
          <w:p>
            <w:pPr>
              <w:spacing w:after="20"/>
              <w:jc w:val="right"/>
            </w:pPr>
            <w:r>
              <w:rPr>
                <w:color w:val="1C3A36"/>
                <w:sz w:val="18"/>
              </w:rPr>
              <w:t>42.89</w:t>
            </w:r>
          </w:p>
        </w:tc>
        <w:tc>
          <w:tcPr>
            <w:tcW w:type="dxa" w:w="1411"/>
          </w:tcPr>
          <w:p>
            <w:pPr>
              <w:spacing w:after="20"/>
              <w:jc w:val="right"/>
            </w:pPr>
            <w:r>
              <w:rPr>
                <w:color w:val="1C3A36"/>
                <w:sz w:val="18"/>
              </w:rPr>
              <w:t>41.17</w:t>
            </w:r>
          </w:p>
        </w:tc>
        <w:tc>
          <w:tcPr>
            <w:tcW w:type="dxa" w:w="1411"/>
          </w:tcPr>
          <w:p>
            <w:pPr>
              <w:spacing w:after="20"/>
              <w:jc w:val="right"/>
            </w:pPr>
            <w:r>
              <w:rPr>
                <w:color w:val="1C3A36"/>
                <w:sz w:val="18"/>
              </w:rPr>
              <w:t>39.15</w:t>
            </w:r>
          </w:p>
        </w:tc>
      </w:tr>
    </w:tbl>
    <w:p>
      <w:pPr>
        <w:spacing w:after="40"/>
      </w:pPr>
    </w:p>
    <w:p>
      <w:pPr>
        <w:spacing w:after="200" w:before="0"/>
      </w:pPr>
      <w:r>
        <w:rPr>
          <w:b w:val="0"/>
          <w:i/>
          <w:color w:val="6E7B77"/>
          <w:sz w:val="17"/>
        </w:rPr>
        <w:t>Table 12 — The same grid in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Net cash (EGP mn)</w:t>
            </w:r>
          </w:p>
        </w:tc>
        <w:tc>
          <w:tcPr>
            <w:tcW w:type="dxa" w:w="1411"/>
            <w:shd w:val="clear" w:color="auto" w:fill="EAF0EE"/>
          </w:tcPr>
          <w:p>
            <w:pPr>
              <w:spacing w:after="20"/>
            </w:pPr>
            <w:r>
              <w:rPr>
                <w:b/>
                <w:color w:val="1C3A36"/>
                <w:sz w:val="18"/>
              </w:rPr>
              <w:t>3,430</w:t>
            </w:r>
          </w:p>
        </w:tc>
        <w:tc>
          <w:tcPr>
            <w:tcW w:type="dxa" w:w="1411"/>
            <w:shd w:val="clear" w:color="auto" w:fill="EAF0EE"/>
          </w:tcPr>
          <w:p>
            <w:pPr>
              <w:spacing w:after="20"/>
            </w:pPr>
            <w:r>
              <w:rPr>
                <w:b/>
                <w:color w:val="1C3A36"/>
                <w:sz w:val="18"/>
              </w:rPr>
              <w:t>4,180</w:t>
            </w:r>
          </w:p>
        </w:tc>
        <w:tc>
          <w:tcPr>
            <w:tcW w:type="dxa" w:w="1411"/>
            <w:shd w:val="clear" w:color="auto" w:fill="EAF0EE"/>
          </w:tcPr>
          <w:p>
            <w:pPr>
              <w:spacing w:after="20"/>
            </w:pPr>
            <w:r>
              <w:rPr>
                <w:b/>
                <w:color w:val="1C3A36"/>
                <w:sz w:val="18"/>
              </w:rPr>
              <w:t>4,930</w:t>
            </w:r>
          </w:p>
        </w:tc>
        <w:tc>
          <w:tcPr>
            <w:tcW w:type="dxa" w:w="1411"/>
            <w:shd w:val="clear" w:color="auto" w:fill="EAF0EE"/>
          </w:tcPr>
          <w:p>
            <w:pPr>
              <w:spacing w:after="20"/>
            </w:pPr>
            <w:r>
              <w:rPr>
                <w:b/>
                <w:color w:val="1C3A36"/>
                <w:sz w:val="18"/>
              </w:rPr>
              <w:t>5,680</w:t>
            </w:r>
          </w:p>
        </w:tc>
        <w:tc>
          <w:tcPr>
            <w:tcW w:type="dxa" w:w="1411"/>
            <w:shd w:val="clear" w:color="auto" w:fill="EAF0EE"/>
          </w:tcPr>
          <w:p>
            <w:pPr>
              <w:spacing w:after="20"/>
            </w:pPr>
            <w:r>
              <w:rPr>
                <w:b/>
                <w:color w:val="1C3A36"/>
                <w:sz w:val="18"/>
              </w:rPr>
              <w:t>6,430</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38.06</w:t>
            </w:r>
          </w:p>
        </w:tc>
        <w:tc>
          <w:tcPr>
            <w:tcW w:type="dxa" w:w="1411"/>
          </w:tcPr>
          <w:p>
            <w:pPr>
              <w:spacing w:after="20"/>
              <w:jc w:val="right"/>
            </w:pPr>
            <w:r>
              <w:rPr>
                <w:color w:val="1C3A36"/>
                <w:sz w:val="18"/>
              </w:rPr>
              <w:t>40.94</w:t>
            </w:r>
          </w:p>
        </w:tc>
        <w:tc>
          <w:tcPr>
            <w:tcW w:type="dxa" w:w="1411"/>
          </w:tcPr>
          <w:p>
            <w:pPr>
              <w:spacing w:after="20"/>
              <w:jc w:val="right"/>
            </w:pPr>
            <w:r>
              <w:rPr>
                <w:color w:val="1C3A36"/>
                <w:sz w:val="18"/>
              </w:rPr>
              <w:t>43.81</w:t>
            </w:r>
          </w:p>
        </w:tc>
        <w:tc>
          <w:tcPr>
            <w:tcW w:type="dxa" w:w="1411"/>
          </w:tcPr>
          <w:p>
            <w:pPr>
              <w:spacing w:after="20"/>
              <w:jc w:val="right"/>
            </w:pPr>
            <w:r>
              <w:rPr>
                <w:color w:val="1C3A36"/>
                <w:sz w:val="18"/>
              </w:rPr>
              <w:t>46.69</w:t>
            </w:r>
          </w:p>
        </w:tc>
        <w:tc>
          <w:tcPr>
            <w:tcW w:type="dxa" w:w="1411"/>
          </w:tcPr>
          <w:p>
            <w:pPr>
              <w:spacing w:after="20"/>
              <w:jc w:val="right"/>
            </w:pPr>
            <w:r>
              <w:rPr>
                <w:color w:val="1C3A36"/>
                <w:sz w:val="18"/>
              </w:rPr>
              <w:t>49.56</w:t>
            </w:r>
          </w:p>
        </w:tc>
      </w:tr>
    </w:tbl>
    <w:p>
      <w:pPr>
        <w:spacing w:after="40"/>
      </w:pPr>
    </w:p>
    <w:p>
      <w:pPr>
        <w:spacing w:after="200" w:before="0"/>
      </w:pPr>
      <w:r>
        <w:rPr>
          <w:b w:val="0"/>
          <w:i/>
          <w:color w:val="6E7B77"/>
          <w:sz w:val="17"/>
        </w:rPr>
        <w:t>Table 13 — Net cash. This is the largest single uncertainty in the valuation and it is now sensitised: the balance is taken from the reported accounts rather than inferred from the income it earns, and the grid shows what a EGP 1.5bn error in either direction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EBITDA margin shift</w:t>
            </w:r>
          </w:p>
        </w:tc>
        <w:tc>
          <w:tcPr>
            <w:tcW w:type="dxa" w:w="1411"/>
            <w:shd w:val="clear" w:color="auto" w:fill="EAF0EE"/>
          </w:tcPr>
          <w:p>
            <w:pPr>
              <w:spacing w:after="20"/>
            </w:pPr>
            <w:r>
              <w:rPr>
                <w:b/>
                <w:color w:val="1C3A36"/>
                <w:sz w:val="18"/>
              </w:rPr>
              <w:t>-4%</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+0%</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+4%</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35.57</w:t>
            </w:r>
          </w:p>
        </w:tc>
        <w:tc>
          <w:tcPr>
            <w:tcW w:type="dxa" w:w="1411"/>
          </w:tcPr>
          <w:p>
            <w:pPr>
              <w:spacing w:after="20"/>
              <w:jc w:val="right"/>
            </w:pPr>
            <w:r>
              <w:rPr>
                <w:color w:val="1C3A36"/>
                <w:sz w:val="18"/>
              </w:rPr>
              <w:t>39.68</w:t>
            </w:r>
          </w:p>
        </w:tc>
        <w:tc>
          <w:tcPr>
            <w:tcW w:type="dxa" w:w="1411"/>
          </w:tcPr>
          <w:p>
            <w:pPr>
              <w:spacing w:after="20"/>
              <w:jc w:val="right"/>
            </w:pPr>
            <w:r>
              <w:rPr>
                <w:color w:val="1C3A36"/>
                <w:sz w:val="18"/>
              </w:rPr>
              <w:t>43.81</w:t>
            </w:r>
          </w:p>
        </w:tc>
        <w:tc>
          <w:tcPr>
            <w:tcW w:type="dxa" w:w="1411"/>
          </w:tcPr>
          <w:p>
            <w:pPr>
              <w:spacing w:after="20"/>
              <w:jc w:val="right"/>
            </w:pPr>
            <w:r>
              <w:rPr>
                <w:color w:val="1C3A36"/>
                <w:sz w:val="18"/>
              </w:rPr>
              <w:t>47.68</w:t>
            </w:r>
          </w:p>
        </w:tc>
        <w:tc>
          <w:tcPr>
            <w:tcW w:type="dxa" w:w="1411"/>
          </w:tcPr>
          <w:p>
            <w:pPr>
              <w:spacing w:after="20"/>
              <w:jc w:val="right"/>
            </w:pPr>
            <w:r>
              <w:rPr>
                <w:color w:val="1C3A36"/>
                <w:sz w:val="18"/>
              </w:rPr>
              <w:t>49.80</w:t>
            </w:r>
          </w:p>
        </w:tc>
      </w:tr>
    </w:tbl>
    <w:p>
      <w:pPr>
        <w:spacing w:after="40"/>
      </w:pPr>
    </w:p>
    <w:p>
      <w:pPr>
        <w:spacing w:after="200" w:before="0"/>
      </w:pPr>
      <w:r>
        <w:rPr>
          <w:b w:val="0"/>
          <w:i/>
          <w:color w:val="6E7B77"/>
          <w:sz w:val="17"/>
        </w:rPr>
        <w:t>Table 14 — Margin sensitivity. Each two-point change in the EBITDA margin is worth roughly EGP 4.50 a share.</w:t>
      </w:r>
    </w:p>
    <w:p>
      <w:pPr>
        <w:spacing w:after="120" w:before="280"/>
      </w:pPr>
      <w:r>
        <w:rPr>
          <w:b/>
          <w:i w:val="0"/>
          <w:color w:val="1C3A36"/>
          <w:sz w:val="30"/>
        </w:rPr>
        <w:t>2  Technical and price structure</w:t>
      </w:r>
    </w:p>
    <w:p>
      <w:pPr>
        <w:spacing w:after="120" w:before="0"/>
      </w:pPr>
      <w:r>
        <w:rPr>
          <w:b w:val="0"/>
          <w:i w:val="0"/>
          <w:color w:val="1C3A36"/>
          <w:sz w:val="21"/>
        </w:rPr>
        <w:t>The shares closed at EGP 79.00 on 6 August 2026. The price history is long and unusually eventful: EGP 3.62 at the 2021 low, still under EGP 10 through 2023, then a run to EGP 45 in 2024, EGP 75 in 2025 and a 2026 high of EGP 87.99. Over the five years to date the shares have risen more than tenfold.</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closing prices with the 50- and 200-day moving averages.</w:t>
      </w:r>
    </w:p>
    <w:p>
      <w:pPr>
        <w:spacing w:after="120" w:before="0"/>
      </w:pPr>
      <w:r>
        <w:rPr>
          <w:b w:val="0"/>
          <w:i w:val="0"/>
          <w:color w:val="1C3A36"/>
          <w:sz w:val="21"/>
        </w:rPr>
        <w:t>Two structural features matter more than any level. The first is liquidity: the stock prints an unchanged close on 29.3% of sessions, which is three and a half times the median for covered Egyptian names. Thin trading widens spreads, delays price discovery and makes any statistical read of this security less reliable than the same read on a liquid one. The second is the free float. Vicat holds 77.6%, leaving 22.4% in public hands, and in July 2025 Vicat filed a mandatory offer for that remainder at EGP 41.00 a share. The market price is now roughly double the offer price, so the offer is best read as a floor that the market has long since left behind rather than as a valuation.</w:t>
      </w:r>
    </w:p>
    <w:p>
      <w:pPr>
        <w:spacing w:after="120" w:before="280"/>
      </w:pPr>
      <w:r>
        <w:rPr>
          <w:b/>
          <w:i w:val="0"/>
          <w:color w:val="1C3A36"/>
          <w:sz w:val="30"/>
        </w:rPr>
        <w:t>3  A probabilistic price map</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this before the chart. </w:t>
            </w:r>
            <w:r>
              <w:rPr>
                <w:color w:val="1C3A36"/>
                <w:sz w:val="19"/>
              </w:rPr>
              <w:t>The distribution below is ILLUSTRATIVE ONLY and is materially too wide. Measured against a random-walk benchmark over the last five years, this security's distribution scores -12.8% — worse than the benchmark, not better — and covers 76% of outcomes inside a band meant to hold 50%. The cause is diagnosed and specific: on a security that does not trade every session, the benchmark's own volatility estimate collapses during quiet stretches, and the band drawn here stays wide enough for the jumps that follow. It should not be read with the confidence attached to a liquid name.</w:t>
            </w:r>
          </w:p>
        </w:tc>
      </w:tr>
    </w:tbl>
    <w:p>
      <w:pPr>
        <w:spacing w:after="40"/>
      </w:pP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 Illustrative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01"/>
        <w:gridCol w:w="1267"/>
        <w:gridCol w:w="1267"/>
        <w:gridCol w:w="1267"/>
        <w:gridCol w:w="1267"/>
        <w:gridCol w:w="1267"/>
        <w:gridCol w:w="1368"/>
      </w:tblGrid>
      <w:tr>
        <w:tc>
          <w:tcPr>
            <w:tcW w:type="dxa" w:w="1901"/>
            <w:shd w:val="clear" w:color="auto" w:fill="EAF0EE"/>
          </w:tcPr>
          <w:p>
            <w:pPr>
              <w:spacing w:after="20"/>
            </w:pPr>
            <w:r>
              <w:rPr>
                <w:b/>
                <w:color w:val="1C3A36"/>
                <w:sz w:val="18"/>
              </w:rPr>
              <w:t>Horizon</w:t>
            </w:r>
          </w:p>
        </w:tc>
        <w:tc>
          <w:tcPr>
            <w:tcW w:type="dxa" w:w="1267"/>
            <w:shd w:val="clear" w:color="auto" w:fill="EAF0EE"/>
          </w:tcPr>
          <w:p>
            <w:pPr>
              <w:spacing w:after="20"/>
            </w:pPr>
            <w:r>
              <w:rPr>
                <w:b/>
                <w:color w:val="1C3A36"/>
                <w:sz w:val="18"/>
              </w:rPr>
              <w:t>5th</w:t>
            </w:r>
          </w:p>
        </w:tc>
        <w:tc>
          <w:tcPr>
            <w:tcW w:type="dxa" w:w="1267"/>
            <w:shd w:val="clear" w:color="auto" w:fill="EAF0EE"/>
          </w:tcPr>
          <w:p>
            <w:pPr>
              <w:spacing w:after="20"/>
            </w:pPr>
            <w:r>
              <w:rPr>
                <w:b/>
                <w:color w:val="1C3A36"/>
                <w:sz w:val="18"/>
              </w:rPr>
              <w:t>25th</w:t>
            </w:r>
          </w:p>
        </w:tc>
        <w:tc>
          <w:tcPr>
            <w:tcW w:type="dxa" w:w="1267"/>
            <w:shd w:val="clear" w:color="auto" w:fill="EAF0EE"/>
          </w:tcPr>
          <w:p>
            <w:pPr>
              <w:spacing w:after="20"/>
            </w:pPr>
            <w:r>
              <w:rPr>
                <w:b/>
                <w:color w:val="1C3A36"/>
                <w:sz w:val="18"/>
              </w:rPr>
              <w:t>Median</w:t>
            </w:r>
          </w:p>
        </w:tc>
        <w:tc>
          <w:tcPr>
            <w:tcW w:type="dxa" w:w="1267"/>
            <w:shd w:val="clear" w:color="auto" w:fill="EAF0EE"/>
          </w:tcPr>
          <w:p>
            <w:pPr>
              <w:spacing w:after="20"/>
            </w:pPr>
            <w:r>
              <w:rPr>
                <w:b/>
                <w:color w:val="1C3A36"/>
                <w:sz w:val="18"/>
              </w:rPr>
              <w:t>75th</w:t>
            </w:r>
          </w:p>
        </w:tc>
        <w:tc>
          <w:tcPr>
            <w:tcW w:type="dxa" w:w="1267"/>
            <w:shd w:val="clear" w:color="auto" w:fill="EAF0EE"/>
          </w:tcPr>
          <w:p>
            <w:pPr>
              <w:spacing w:after="20"/>
            </w:pPr>
            <w:r>
              <w:rPr>
                <w:b/>
                <w:color w:val="1C3A36"/>
                <w:sz w:val="18"/>
              </w:rPr>
              <w:t>95th</w:t>
            </w:r>
          </w:p>
        </w:tc>
        <w:tc>
          <w:tcPr>
            <w:tcW w:type="dxa" w:w="1368"/>
            <w:shd w:val="clear" w:color="auto" w:fill="EAF0EE"/>
          </w:tcPr>
          <w:p>
            <w:pPr>
              <w:spacing w:after="20"/>
            </w:pPr>
            <w:r>
              <w:rPr>
                <w:b/>
                <w:color w:val="1C3A36"/>
                <w:sz w:val="18"/>
              </w:rPr>
              <w:t>Above spot</w:t>
            </w:r>
          </w:p>
        </w:tc>
      </w:tr>
      <w:tr>
        <w:tc>
          <w:tcPr>
            <w:tcW w:type="dxa" w:w="1901"/>
          </w:tcPr>
          <w:p>
            <w:pPr>
              <w:spacing w:after="20"/>
            </w:pPr>
            <w:r>
              <w:rPr>
                <w:color w:val="1C3A36"/>
                <w:sz w:val="18"/>
              </w:rPr>
              <w:t>One month</w:t>
            </w:r>
          </w:p>
        </w:tc>
        <w:tc>
          <w:tcPr>
            <w:tcW w:type="dxa" w:w="1267"/>
          </w:tcPr>
          <w:p>
            <w:pPr>
              <w:spacing w:after="20"/>
              <w:jc w:val="right"/>
            </w:pPr>
            <w:r>
              <w:rPr>
                <w:color w:val="1C3A36"/>
                <w:sz w:val="18"/>
              </w:rPr>
              <w:t>62.14</w:t>
            </w:r>
          </w:p>
        </w:tc>
        <w:tc>
          <w:tcPr>
            <w:tcW w:type="dxa" w:w="1267"/>
          </w:tcPr>
          <w:p>
            <w:pPr>
              <w:spacing w:after="20"/>
              <w:jc w:val="right"/>
            </w:pPr>
            <w:r>
              <w:rPr>
                <w:color w:val="1C3A36"/>
                <w:sz w:val="18"/>
              </w:rPr>
              <w:t>72.94</w:t>
            </w:r>
          </w:p>
        </w:tc>
        <w:tc>
          <w:tcPr>
            <w:tcW w:type="dxa" w:w="1267"/>
          </w:tcPr>
          <w:p>
            <w:pPr>
              <w:spacing w:after="20"/>
              <w:jc w:val="right"/>
            </w:pPr>
            <w:r>
              <w:rPr>
                <w:color w:val="1C3A36"/>
                <w:sz w:val="18"/>
              </w:rPr>
              <w:t>80.17</w:t>
            </w:r>
          </w:p>
        </w:tc>
        <w:tc>
          <w:tcPr>
            <w:tcW w:type="dxa" w:w="1267"/>
          </w:tcPr>
          <w:p>
            <w:pPr>
              <w:spacing w:after="20"/>
              <w:jc w:val="right"/>
            </w:pPr>
            <w:r>
              <w:rPr>
                <w:color w:val="1C3A36"/>
                <w:sz w:val="18"/>
              </w:rPr>
              <w:t>88.18</w:t>
            </w:r>
          </w:p>
        </w:tc>
        <w:tc>
          <w:tcPr>
            <w:tcW w:type="dxa" w:w="1267"/>
          </w:tcPr>
          <w:p>
            <w:pPr>
              <w:spacing w:after="20"/>
              <w:jc w:val="right"/>
            </w:pPr>
            <w:r>
              <w:rPr>
                <w:color w:val="1C3A36"/>
                <w:sz w:val="18"/>
              </w:rPr>
              <w:t>103.50</w:t>
            </w:r>
          </w:p>
        </w:tc>
        <w:tc>
          <w:tcPr>
            <w:tcW w:type="dxa" w:w="1368"/>
          </w:tcPr>
          <w:p>
            <w:pPr>
              <w:spacing w:after="20"/>
              <w:jc w:val="right"/>
            </w:pPr>
            <w:r>
              <w:rPr>
                <w:color w:val="1C3A36"/>
                <w:sz w:val="18"/>
              </w:rPr>
              <w:t>54%</w:t>
            </w:r>
          </w:p>
        </w:tc>
      </w:tr>
      <w:tr>
        <w:tc>
          <w:tcPr>
            <w:tcW w:type="dxa" w:w="1901"/>
          </w:tcPr>
          <w:p>
            <w:pPr>
              <w:spacing w:after="20"/>
            </w:pPr>
            <w:r>
              <w:rPr>
                <w:color w:val="1C3A36"/>
                <w:sz w:val="18"/>
              </w:rPr>
              <w:t>Three months</w:t>
            </w:r>
          </w:p>
        </w:tc>
        <w:tc>
          <w:tcPr>
            <w:tcW w:type="dxa" w:w="1267"/>
          </w:tcPr>
          <w:p>
            <w:pPr>
              <w:spacing w:after="20"/>
              <w:jc w:val="right"/>
            </w:pPr>
            <w:r>
              <w:rPr>
                <w:color w:val="1C3A36"/>
                <w:sz w:val="18"/>
              </w:rPr>
              <w:t>52.13</w:t>
            </w:r>
          </w:p>
        </w:tc>
        <w:tc>
          <w:tcPr>
            <w:tcW w:type="dxa" w:w="1267"/>
          </w:tcPr>
          <w:p>
            <w:pPr>
              <w:spacing w:after="20"/>
              <w:jc w:val="right"/>
            </w:pPr>
            <w:r>
              <w:rPr>
                <w:color w:val="1C3A36"/>
                <w:sz w:val="18"/>
              </w:rPr>
              <w:t>69.75</w:t>
            </w:r>
          </w:p>
        </w:tc>
        <w:tc>
          <w:tcPr>
            <w:tcW w:type="dxa" w:w="1267"/>
          </w:tcPr>
          <w:p>
            <w:pPr>
              <w:spacing w:after="20"/>
              <w:jc w:val="right"/>
            </w:pPr>
            <w:r>
              <w:rPr>
                <w:color w:val="1C3A36"/>
                <w:sz w:val="18"/>
              </w:rPr>
              <w:t>82.78</w:t>
            </w:r>
          </w:p>
        </w:tc>
        <w:tc>
          <w:tcPr>
            <w:tcW w:type="dxa" w:w="1267"/>
          </w:tcPr>
          <w:p>
            <w:pPr>
              <w:spacing w:after="20"/>
              <w:jc w:val="right"/>
            </w:pPr>
            <w:r>
              <w:rPr>
                <w:color w:val="1C3A36"/>
                <w:sz w:val="18"/>
              </w:rPr>
              <w:t>98.07</w:t>
            </w:r>
          </w:p>
        </w:tc>
        <w:tc>
          <w:tcPr>
            <w:tcW w:type="dxa" w:w="1267"/>
          </w:tcPr>
          <w:p>
            <w:pPr>
              <w:spacing w:after="20"/>
              <w:jc w:val="right"/>
            </w:pPr>
            <w:r>
              <w:rPr>
                <w:color w:val="1C3A36"/>
                <w:sz w:val="18"/>
              </w:rPr>
              <w:t>131.35</w:t>
            </w:r>
          </w:p>
        </w:tc>
        <w:tc>
          <w:tcPr>
            <w:tcW w:type="dxa" w:w="1368"/>
          </w:tcPr>
          <w:p>
            <w:pPr>
              <w:spacing w:after="20"/>
              <w:jc w:val="right"/>
            </w:pPr>
            <w:r>
              <w:rPr>
                <w:color w:val="1C3A36"/>
                <w:sz w:val="18"/>
              </w:rPr>
              <w:t>57%</w:t>
            </w:r>
          </w:p>
        </w:tc>
      </w:tr>
    </w:tbl>
    <w:p>
      <w:pPr>
        <w:spacing w:after="40"/>
      </w:pPr>
    </w:p>
    <w:p>
      <w:pPr>
        <w:spacing w:after="200" w:before="0"/>
      </w:pPr>
      <w:r>
        <w:rPr>
          <w:b w:val="0"/>
          <w:i/>
          <w:color w:val="6E7B77"/>
          <w:sz w:val="17"/>
        </w:rPr>
        <w:t>Table 15 — Percentiles of the simulated distribution, in EGP per share.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280"/>
      </w:pPr>
      <w:r>
        <w:rPr>
          <w:b/>
          <w:i w:val="0"/>
          <w:color w:val="1C3A36"/>
          <w:sz w:val="30"/>
        </w:rPr>
        <w:t>4  Comparison of the lenses</w:t>
      </w:r>
    </w:p>
    <w:p>
      <w:pPr>
        <w:spacing w:after="120" w:before="0"/>
      </w:pPr>
      <w:r>
        <w:rPr>
          <w:b w:val="0"/>
          <w:i w:val="0"/>
          <w:color w:val="1C3A36"/>
          <w:sz w:val="21"/>
        </w:rPr>
        <w:t>Set against each other, the four lenses describe a company whose plant is worth more than its cash flows justify. That is the ordinary condition of a good asset in a bad market, and it is worth saying plainly rather than resolving by arithmetic.</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411"/>
        <w:gridCol w:w="1224"/>
        <w:gridCol w:w="4752"/>
      </w:tblGrid>
      <w:tr>
        <w:tc>
          <w:tcPr>
            <w:tcW w:type="dxa" w:w="2333"/>
            <w:shd w:val="clear" w:color="auto" w:fill="EAF0EE"/>
          </w:tcPr>
          <w:p>
            <w:pPr>
              <w:spacing w:after="20"/>
            </w:pPr>
            <w:r>
              <w:rPr>
                <w:b/>
                <w:color w:val="1C3A36"/>
                <w:sz w:val="18"/>
              </w:rPr>
              <w:t>Lens</w:t>
            </w:r>
          </w:p>
        </w:tc>
        <w:tc>
          <w:tcPr>
            <w:tcW w:type="dxa" w:w="1411"/>
            <w:shd w:val="clear" w:color="auto" w:fill="EAF0EE"/>
          </w:tcPr>
          <w:p>
            <w:pPr>
              <w:spacing w:after="20"/>
            </w:pPr>
            <w:r>
              <w:rPr>
                <w:b/>
                <w:color w:val="1C3A36"/>
                <w:sz w:val="18"/>
              </w:rPr>
              <w:t>Value (EGP)</w:t>
            </w:r>
          </w:p>
        </w:tc>
        <w:tc>
          <w:tcPr>
            <w:tcW w:type="dxa" w:w="1224"/>
            <w:shd w:val="clear" w:color="auto" w:fill="EAF0EE"/>
          </w:tcPr>
          <w:p>
            <w:pPr>
              <w:spacing w:after="20"/>
            </w:pPr>
            <w:r>
              <w:rPr>
                <w:b/>
                <w:color w:val="1C3A36"/>
                <w:sz w:val="18"/>
              </w:rPr>
              <w:t>Versus spot</w:t>
            </w:r>
          </w:p>
        </w:tc>
        <w:tc>
          <w:tcPr>
            <w:tcW w:type="dxa" w:w="4752"/>
            <w:shd w:val="clear" w:color="auto" w:fill="EAF0EE"/>
          </w:tcPr>
          <w:p>
            <w:pPr>
              <w:spacing w:after="20"/>
            </w:pPr>
            <w:r>
              <w:rPr>
                <w:b/>
                <w:color w:val="1C3A36"/>
                <w:sz w:val="18"/>
              </w:rPr>
              <w:t>What would have to be true for it to be right</w:t>
            </w:r>
          </w:p>
        </w:tc>
      </w:tr>
      <w:tr>
        <w:tc>
          <w:tcPr>
            <w:tcW w:type="dxa" w:w="2333"/>
          </w:tcPr>
          <w:p>
            <w:pPr>
              <w:spacing w:after="20"/>
            </w:pPr>
            <w:r>
              <w:rPr>
                <w:color w:val="1C3A36"/>
                <w:sz w:val="18"/>
              </w:rPr>
              <w:t>Discounted cash flow</w:t>
            </w:r>
          </w:p>
        </w:tc>
        <w:tc>
          <w:tcPr>
            <w:tcW w:type="dxa" w:w="1411"/>
          </w:tcPr>
          <w:p>
            <w:pPr>
              <w:spacing w:after="20"/>
              <w:jc w:val="right"/>
            </w:pPr>
            <w:r>
              <w:rPr>
                <w:color w:val="1C3A36"/>
                <w:sz w:val="18"/>
              </w:rPr>
              <w:t>43.81</w:t>
            </w:r>
          </w:p>
        </w:tc>
        <w:tc>
          <w:tcPr>
            <w:tcW w:type="dxa" w:w="1224"/>
          </w:tcPr>
          <w:p>
            <w:pPr>
              <w:spacing w:after="20"/>
              <w:jc w:val="right"/>
            </w:pPr>
            <w:r>
              <w:rPr>
                <w:color w:val="1C3A36"/>
                <w:sz w:val="18"/>
              </w:rPr>
              <w:t>-44.5%</w:t>
            </w:r>
          </w:p>
        </w:tc>
        <w:tc>
          <w:tcPr>
            <w:tcW w:type="dxa" w:w="4752"/>
          </w:tcPr>
          <w:p>
            <w:pPr>
              <w:spacing w:after="20"/>
              <w:jc w:val="right"/>
            </w:pPr>
            <w:r>
              <w:rPr>
                <w:color w:val="1C3A36"/>
                <w:sz w:val="18"/>
              </w:rPr>
              <w:t>Prices normalise in real terms as dormant capacity restarts</w:t>
            </w:r>
          </w:p>
        </w:tc>
      </w:tr>
      <w:tr>
        <w:tc>
          <w:tcPr>
            <w:tcW w:type="dxa" w:w="2333"/>
          </w:tcPr>
          <w:p>
            <w:pPr>
              <w:spacing w:after="20"/>
            </w:pPr>
            <w:r>
              <w:rPr>
                <w:color w:val="1C3A36"/>
                <w:sz w:val="18"/>
              </w:rPr>
              <w:t>Relative multiples</w:t>
            </w:r>
          </w:p>
        </w:tc>
        <w:tc>
          <w:tcPr>
            <w:tcW w:type="dxa" w:w="1411"/>
          </w:tcPr>
          <w:p>
            <w:pPr>
              <w:spacing w:after="20"/>
              <w:jc w:val="right"/>
            </w:pPr>
            <w:r>
              <w:rPr>
                <w:color w:val="1C3A36"/>
                <w:sz w:val="18"/>
              </w:rPr>
              <w:t>55.88</w:t>
            </w:r>
          </w:p>
        </w:tc>
        <w:tc>
          <w:tcPr>
            <w:tcW w:type="dxa" w:w="1224"/>
          </w:tcPr>
          <w:p>
            <w:pPr>
              <w:spacing w:after="20"/>
              <w:jc w:val="right"/>
            </w:pPr>
            <w:r>
              <w:rPr>
                <w:color w:val="1C3A36"/>
                <w:sz w:val="18"/>
              </w:rPr>
              <w:t>-29.3%</w:t>
            </w:r>
          </w:p>
        </w:tc>
        <w:tc>
          <w:tcPr>
            <w:tcW w:type="dxa" w:w="4752"/>
          </w:tcPr>
          <w:p>
            <w:pPr>
              <w:spacing w:after="20"/>
              <w:jc w:val="right"/>
            </w:pPr>
            <w:r>
              <w:rPr>
                <w:color w:val="1C3A36"/>
                <w:sz w:val="18"/>
              </w:rPr>
              <w:t>Peers stay near 5x EBITDA and the mid-cycle margin holds</w:t>
            </w:r>
          </w:p>
        </w:tc>
      </w:tr>
      <w:tr>
        <w:tc>
          <w:tcPr>
            <w:tcW w:type="dxa" w:w="2333"/>
          </w:tcPr>
          <w:p>
            <w:pPr>
              <w:spacing w:after="20"/>
            </w:pPr>
            <w:r>
              <w:rPr>
                <w:color w:val="1C3A36"/>
                <w:sz w:val="18"/>
              </w:rPr>
              <w:t>Normalised earnings</w:t>
            </w:r>
          </w:p>
        </w:tc>
        <w:tc>
          <w:tcPr>
            <w:tcW w:type="dxa" w:w="1411"/>
          </w:tcPr>
          <w:p>
            <w:pPr>
              <w:spacing w:after="20"/>
              <w:jc w:val="right"/>
            </w:pPr>
            <w:r>
              <w:rPr>
                <w:color w:val="1C3A36"/>
                <w:sz w:val="18"/>
              </w:rPr>
              <w:t>58.10</w:t>
            </w:r>
          </w:p>
        </w:tc>
        <w:tc>
          <w:tcPr>
            <w:tcW w:type="dxa" w:w="1224"/>
          </w:tcPr>
          <w:p>
            <w:pPr>
              <w:spacing w:after="20"/>
              <w:jc w:val="right"/>
            </w:pPr>
            <w:r>
              <w:rPr>
                <w:color w:val="1C3A36"/>
                <w:sz w:val="18"/>
              </w:rPr>
              <w:t>-26.5%</w:t>
            </w:r>
          </w:p>
        </w:tc>
        <w:tc>
          <w:tcPr>
            <w:tcW w:type="dxa" w:w="4752"/>
          </w:tcPr>
          <w:p>
            <w:pPr>
              <w:spacing w:after="20"/>
              <w:jc w:val="right"/>
            </w:pPr>
            <w:r>
              <w:rPr>
                <w:color w:val="1C3A36"/>
                <w:sz w:val="18"/>
              </w:rPr>
              <w:t>2025 was a cyclical peak, not a new operating level</w:t>
            </w:r>
          </w:p>
        </w:tc>
      </w:tr>
      <w:tr>
        <w:tc>
          <w:tcPr>
            <w:tcW w:type="dxa" w:w="2333"/>
          </w:tcPr>
          <w:p>
            <w:pPr>
              <w:spacing w:after="20"/>
            </w:pPr>
            <w:r>
              <w:rPr>
                <w:color w:val="1C3A36"/>
                <w:sz w:val="18"/>
              </w:rPr>
              <w:t>Asset / replacement cost</w:t>
            </w:r>
          </w:p>
        </w:tc>
        <w:tc>
          <w:tcPr>
            <w:tcW w:type="dxa" w:w="1411"/>
          </w:tcPr>
          <w:p>
            <w:pPr>
              <w:spacing w:after="20"/>
              <w:jc w:val="right"/>
            </w:pPr>
            <w:r>
              <w:rPr>
                <w:color w:val="1C3A36"/>
                <w:sz w:val="18"/>
              </w:rPr>
              <w:t>87.37</w:t>
            </w:r>
          </w:p>
        </w:tc>
        <w:tc>
          <w:tcPr>
            <w:tcW w:type="dxa" w:w="1224"/>
          </w:tcPr>
          <w:p>
            <w:pPr>
              <w:spacing w:after="20"/>
              <w:jc w:val="right"/>
            </w:pPr>
            <w:r>
              <w:rPr>
                <w:color w:val="1C3A36"/>
                <w:sz w:val="18"/>
              </w:rPr>
              <w:t>+10.6%</w:t>
            </w:r>
          </w:p>
        </w:tc>
        <w:tc>
          <w:tcPr>
            <w:tcW w:type="dxa" w:w="4752"/>
          </w:tcPr>
          <w:p>
            <w:pPr>
              <w:spacing w:after="20"/>
              <w:jc w:val="right"/>
            </w:pPr>
            <w:r>
              <w:rPr>
                <w:color w:val="1C3A36"/>
                <w:sz w:val="18"/>
              </w:rPr>
              <w:t>Capacity is scarce enough that build cost anchors value</w:t>
            </w:r>
          </w:p>
        </w:tc>
      </w:tr>
    </w:tbl>
    <w:p>
      <w:pPr>
        <w:spacing w:after="40"/>
      </w:pPr>
    </w:p>
    <w:p>
      <w:pPr>
        <w:spacing w:after="200" w:before="0"/>
      </w:pPr>
      <w:r>
        <w:rPr>
          <w:b w:val="0"/>
          <w:i/>
          <w:color w:val="6E7B77"/>
          <w:sz w:val="17"/>
        </w:rPr>
        <w:t>Table 16 — What each lens is betting on.</w:t>
      </w:r>
    </w:p>
    <w:p>
      <w:pPr>
        <w:spacing w:after="120" w:before="280"/>
      </w:pPr>
      <w:r>
        <w:rPr>
          <w:b/>
          <w:i w:val="0"/>
          <w:color w:val="1C3A36"/>
          <w:sz w:val="30"/>
        </w:rPr>
        <w:t>5  Catalysts to watch</w:t>
      </w:r>
    </w:p>
    <w:p>
      <w:pPr>
        <w:pStyle w:val="ListBullet"/>
        <w:spacing w:after="60"/>
      </w:pPr>
      <w:r>
        <w:rPr>
          <w:b/>
          <w:color w:val="1C3A36"/>
          <w:sz w:val="21"/>
        </w:rPr>
        <w:t xml:space="preserve">The revival programme. </w:t>
      </w:r>
      <w:r>
        <w:rPr>
          <w:color w:val="1C3A36"/>
          <w:sz w:val="21"/>
        </w:rPr>
        <w:t>Whether the seven to nine dormant lines actually restart, and how much of the 12.6 million tonnes reaches the market. This is the single largest swing factor and it lands inside the forecast window.</w:t>
      </w:r>
    </w:p>
    <w:p>
      <w:pPr>
        <w:pStyle w:val="ListBullet"/>
        <w:spacing w:after="60"/>
      </w:pPr>
      <w:r>
        <w:rPr>
          <w:b/>
          <w:color w:val="1C3A36"/>
          <w:sz w:val="21"/>
        </w:rPr>
        <w:t xml:space="preserve">The first post-quota pricing year. </w:t>
      </w:r>
      <w:r>
        <w:rPr>
          <w:color w:val="1C3A36"/>
          <w:sz w:val="21"/>
        </w:rPr>
        <w:t>FY2026 realised prices are the first clean read of what an unregulated Egyptian cement market clears at. Published estimates point to EGP 3,600–3,620 a tonne on about 1% demand growth.</w:t>
      </w:r>
    </w:p>
    <w:p>
      <w:pPr>
        <w:pStyle w:val="ListBullet"/>
        <w:spacing w:after="60"/>
      </w:pPr>
      <w:r>
        <w:rPr>
          <w:b/>
          <w:color w:val="1C3A36"/>
          <w:sz w:val="21"/>
        </w:rPr>
        <w:t xml:space="preserve">A dividend declaration. </w:t>
      </w:r>
      <w:r>
        <w:rPr>
          <w:color w:val="1C3A36"/>
          <w:sz w:val="21"/>
        </w:rPr>
        <w:t>The company has no dividend on record, yet the balance sheet arithmetic implies a substantial FY2025 distribution. A declared payout would resolve the largest single uncertainty in the equity bridge.</w:t>
      </w:r>
    </w:p>
    <w:p>
      <w:pPr>
        <w:pStyle w:val="ListBullet"/>
        <w:spacing w:after="60"/>
      </w:pPr>
      <w:r>
        <w:rPr>
          <w:b/>
          <w:color w:val="1C3A36"/>
          <w:sz w:val="21"/>
        </w:rPr>
        <w:t xml:space="preserve">Vicat's intentions for the float. </w:t>
      </w:r>
      <w:r>
        <w:rPr>
          <w:color w:val="1C3A36"/>
          <w:sz w:val="21"/>
        </w:rPr>
        <w:t>The 2025 mandatory offer at EGP 41.00 lapsed well below the market. Any renewed approach, or a move to delist, changes the minority shareholder's position entirely.</w:t>
      </w:r>
    </w:p>
    <w:p>
      <w:pPr>
        <w:pStyle w:val="ListBullet"/>
        <w:spacing w:after="60"/>
      </w:pPr>
      <w:r>
        <w:rPr>
          <w:b/>
          <w:color w:val="1C3A36"/>
          <w:sz w:val="21"/>
        </w:rPr>
        <w:t xml:space="preserve">The central bank's easing path. </w:t>
      </w:r>
      <w:r>
        <w:rPr>
          <w:color w:val="1C3A36"/>
          <w:sz w:val="21"/>
        </w:rPr>
        <w:t>A faster fall in Egyptian rates lifts the valuation through the discount rate but reduces the treasury income that currently flatters the earnings line. The two effects partly offset.</w:t>
      </w:r>
    </w:p>
    <w:p>
      <w:pPr>
        <w:pStyle w:val="ListBullet"/>
        <w:spacing w:after="60"/>
      </w:pPr>
      <w:r>
        <w:rPr>
          <w:b/>
          <w:color w:val="1C3A36"/>
          <w:sz w:val="21"/>
        </w:rPr>
        <w:t xml:space="preserve">Energy costs. </w:t>
      </w:r>
      <w:r>
        <w:rPr>
          <w:color w:val="1C3A36"/>
          <w:sz w:val="21"/>
        </w:rPr>
        <w:t>Egypt's phased subsidy reform raises the cash cost of clinker independently of the global fuel price, and cement is an energy-conversion business before it is anything else.</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too wide to support fine probability statements, and the honest way to use it is as a rough map of where the price could plausibly be, not as a calibrated forecast. Read against the fundamental work, three zones are worth naming.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2088"/>
        <w:gridCol w:w="4680"/>
      </w:tblGrid>
      <w:tr>
        <w:tc>
          <w:tcPr>
            <w:tcW w:type="dxa" w:w="2952"/>
            <w:shd w:val="clear" w:color="auto" w:fill="EAF0EE"/>
          </w:tcPr>
          <w:p>
            <w:pPr>
              <w:spacing w:after="20"/>
            </w:pPr>
            <w:r>
              <w:rPr>
                <w:b/>
                <w:color w:val="1C3A36"/>
                <w:sz w:val="18"/>
              </w:rPr>
              <w:t>Zone</w:t>
            </w:r>
          </w:p>
        </w:tc>
        <w:tc>
          <w:tcPr>
            <w:tcW w:type="dxa" w:w="2088"/>
            <w:shd w:val="clear" w:color="auto" w:fill="EAF0EE"/>
          </w:tcPr>
          <w:p>
            <w:pPr>
              <w:spacing w:after="20"/>
            </w:pPr>
            <w:r>
              <w:rPr>
                <w:b/>
                <w:color w:val="1C3A36"/>
                <w:sz w:val="18"/>
              </w:rPr>
              <w:t>Range (EGP)</w:t>
            </w:r>
          </w:p>
        </w:tc>
        <w:tc>
          <w:tcPr>
            <w:tcW w:type="dxa" w:w="4680"/>
            <w:shd w:val="clear" w:color="auto" w:fill="EAF0EE"/>
          </w:tcPr>
          <w:p>
            <w:pPr>
              <w:spacing w:after="20"/>
            </w:pPr>
            <w:r>
              <w:rPr>
                <w:b/>
                <w:color w:val="1C3A36"/>
                <w:sz w:val="18"/>
              </w:rPr>
              <w:t>What it would mean</w:t>
            </w:r>
          </w:p>
        </w:tc>
      </w:tr>
      <w:tr>
        <w:tc>
          <w:tcPr>
            <w:tcW w:type="dxa" w:w="2952"/>
          </w:tcPr>
          <w:p>
            <w:pPr>
              <w:spacing w:after="20"/>
            </w:pPr>
            <w:r>
              <w:rPr>
                <w:color w:val="1C3A36"/>
                <w:sz w:val="18"/>
              </w:rPr>
              <w:t>Below the earnings lenses</w:t>
            </w:r>
          </w:p>
        </w:tc>
        <w:tc>
          <w:tcPr>
            <w:tcW w:type="dxa" w:w="2088"/>
          </w:tcPr>
          <w:p>
            <w:pPr>
              <w:spacing w:after="20"/>
              <w:jc w:val="right"/>
            </w:pPr>
            <w:r>
              <w:rPr>
                <w:color w:val="1C3A36"/>
                <w:sz w:val="18"/>
              </w:rPr>
              <w:t>under 58.10</w:t>
            </w:r>
          </w:p>
        </w:tc>
        <w:tc>
          <w:tcPr>
            <w:tcW w:type="dxa" w:w="4680"/>
          </w:tcPr>
          <w:p>
            <w:pPr>
              <w:spacing w:after="20"/>
              <w:jc w:val="right"/>
            </w:pPr>
            <w:r>
              <w:rPr>
                <w:color w:val="1C3A36"/>
                <w:sz w:val="18"/>
              </w:rPr>
              <w:t>The market has come to agree that 2025 was a peak and that new supply compresses margins from here</w:t>
            </w:r>
          </w:p>
        </w:tc>
      </w:tr>
      <w:tr>
        <w:tc>
          <w:tcPr>
            <w:tcW w:type="dxa" w:w="2952"/>
          </w:tcPr>
          <w:p>
            <w:pPr>
              <w:spacing w:after="20"/>
            </w:pPr>
            <w:r>
              <w:rPr>
                <w:color w:val="1C3A36"/>
                <w:sz w:val="18"/>
              </w:rPr>
              <w:t>Between the earnings and asset lenses</w:t>
            </w:r>
          </w:p>
        </w:tc>
        <w:tc>
          <w:tcPr>
            <w:tcW w:type="dxa" w:w="2088"/>
          </w:tcPr>
          <w:p>
            <w:pPr>
              <w:spacing w:after="20"/>
              <w:jc w:val="right"/>
            </w:pPr>
            <w:r>
              <w:rPr>
                <w:color w:val="1C3A36"/>
                <w:sz w:val="18"/>
              </w:rPr>
              <w:t>58.10 – 87.37</w:t>
            </w:r>
          </w:p>
        </w:tc>
        <w:tc>
          <w:tcPr>
            <w:tcW w:type="dxa" w:w="4680"/>
          </w:tcPr>
          <w:p>
            <w:pPr>
              <w:spacing w:after="20"/>
              <w:jc w:val="right"/>
            </w:pPr>
            <w:r>
              <w:rPr>
                <w:color w:val="1C3A36"/>
                <w:sz w:val="18"/>
              </w:rPr>
              <w:t>Where the price sits today: the plant is valued above its cash flows but below its build cost</w:t>
            </w:r>
          </w:p>
        </w:tc>
      </w:tr>
      <w:tr>
        <w:tc>
          <w:tcPr>
            <w:tcW w:type="dxa" w:w="2952"/>
          </w:tcPr>
          <w:p>
            <w:pPr>
              <w:spacing w:after="20"/>
            </w:pPr>
            <w:r>
              <w:rPr>
                <w:color w:val="1C3A36"/>
                <w:sz w:val="18"/>
              </w:rPr>
              <w:t>Above the asset lens</w:t>
            </w:r>
          </w:p>
        </w:tc>
        <w:tc>
          <w:tcPr>
            <w:tcW w:type="dxa" w:w="2088"/>
          </w:tcPr>
          <w:p>
            <w:pPr>
              <w:spacing w:after="20"/>
              <w:jc w:val="right"/>
            </w:pPr>
            <w:r>
              <w:rPr>
                <w:color w:val="1C3A36"/>
                <w:sz w:val="18"/>
              </w:rPr>
              <w:t>over 87.37</w:t>
            </w:r>
          </w:p>
        </w:tc>
        <w:tc>
          <w:tcPr>
            <w:tcW w:type="dxa" w:w="4680"/>
          </w:tcPr>
          <w:p>
            <w:pPr>
              <w:spacing w:after="20"/>
              <w:jc w:val="right"/>
            </w:pPr>
            <w:r>
              <w:rPr>
                <w:color w:val="1C3A36"/>
                <w:sz w:val="18"/>
              </w:rPr>
              <w:t>The market is paying replacement cost or more for capacity in a market that has a structural surplus of it</w:t>
            </w:r>
          </w:p>
        </w:tc>
      </w:tr>
    </w:tbl>
    <w:p>
      <w:pPr>
        <w:spacing w:after="40"/>
      </w:pPr>
    </w:p>
    <w:p>
      <w:pPr>
        <w:spacing w:after="200" w:before="0"/>
      </w:pPr>
      <w:r>
        <w:rPr>
          <w:b w:val="0"/>
          <w:i/>
          <w:color w:val="6E7B77"/>
          <w:sz w:val="17"/>
        </w:rPr>
        <w:t>Table 17 — Zones read against the fundamental work rather than against the simulated distribution.</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audited statements could not be obtained. </w:t>
      </w:r>
      <w:r>
        <w:rPr>
          <w:color w:val="1C3A36"/>
          <w:sz w:val="21"/>
        </w:rPr>
        <w:t>Revenue and profit after tax are carried as disclosed through reporting of the company's exchange filings. Every line between them — EBITDA, depreciation, operating profit and treasury income — is DERIVED by closing the disclosed profit, and is labelled as derived in the financial statements appendix. The margin structure rests on a single disclosed EBITDA figure for FY2024.</w:t>
      </w:r>
    </w:p>
    <w:p>
      <w:pPr>
        <w:pStyle w:val="ListBullet"/>
        <w:spacing w:after="60"/>
      </w:pPr>
      <w:r>
        <w:rPr>
          <w:b/>
          <w:color w:val="1C3A36"/>
          <w:sz w:val="21"/>
        </w:rPr>
        <w:t xml:space="preserve">The balance sheet still does not fully reconcile. </w:t>
      </w:r>
      <w:r>
        <w:rPr>
          <w:color w:val="1C3A36"/>
          <w:sz w:val="21"/>
        </w:rPr>
        <w:t>Rolling FY2024 equity of EGP 4,775 million forward by FY2025 profit with no distribution gives EGP 7,065 million, against a reported figure of about EGP 5,240 million. The EGP 1,825 million difference implies a FY2025 distribution that no obtainable source reports. It is carried as a disclosed uncertainty rather than plugged, and it bears directly on the cash balance the valuation adds back.</w:t>
      </w:r>
    </w:p>
    <w:p>
      <w:pPr>
        <w:pStyle w:val="ListBullet"/>
        <w:spacing w:after="60"/>
      </w:pPr>
      <w:r>
        <w:rPr>
          <w:b/>
          <w:color w:val="1C3A36"/>
          <w:sz w:val="21"/>
        </w:rPr>
        <w:t xml:space="preserve">The cash balance is now reported, and sensitised. </w:t>
      </w:r>
      <w:r>
        <w:rPr>
          <w:color w:val="1C3A36"/>
          <w:sz w:val="21"/>
        </w:rPr>
        <w:t>An earlier draft inferred it from the treasury income the profit bridge implied, divided by a deposit yield, and then grew it by an undisclosed multiplier. It is now the reported FY2025 balance of EGP 3,850 million, rolled forward to the valuation date on the elapsed share of FY2026 free cash flow. It is 43% of fair equity value, so it carries its own sensitivity grid in section 1.9 rather than being asserted.</w:t>
      </w:r>
    </w:p>
    <w:p>
      <w:pPr>
        <w:pStyle w:val="ListBullet"/>
        <w:spacing w:after="60"/>
      </w:pPr>
      <w:r>
        <w:rPr>
          <w:b/>
          <w:color w:val="1C3A36"/>
          <w:sz w:val="21"/>
        </w:rPr>
        <w:t xml:space="preserve">The EBITDA margin is an output, and that changed the answer. </w:t>
      </w:r>
      <w:r>
        <w:rPr>
          <w:color w:val="1C3A36"/>
          <w:sz w:val="21"/>
        </w:rPr>
        <w:t>An earlier draft set the FY2026 EBITDA margin at 30.5% — above the FY2025 outturn it simultaneously described as a cyclical peak. Rebuilding the operating line from the cost stack puts FY2026 at 30.1% falling to 26.4%, and moved the weighted central materially lower.</w:t>
      </w:r>
    </w:p>
    <w:p>
      <w:pPr>
        <w:pStyle w:val="ListBullet"/>
        <w:spacing w:after="60"/>
      </w:pPr>
      <w:r>
        <w:rPr>
          <w:b/>
          <w:color w:val="1C3A36"/>
          <w:sz w:val="21"/>
        </w:rPr>
        <w:t xml:space="preserve">The fixed cost block is calibrated, not observed. </w:t>
      </w:r>
      <w:r>
        <w:rPr>
          <w:color w:val="1C3A36"/>
          <w:sz w:val="21"/>
        </w:rPr>
        <w:t>Variable costs are built from independent physical norms, but the fixed block — labour, maintenance, insurance, security and administration — is set at USD 14.6 per tonne of installed capacity, the level the FY2025 reconciliation implies against that variable stack. It sits inside the USD 10-20 industry band, but it is the one cost line the build does not independently evidence.</w:t>
      </w:r>
    </w:p>
    <w:p>
      <w:pPr>
        <w:pStyle w:val="ListBullet"/>
        <w:spacing w:after="60"/>
      </w:pPr>
      <w:r>
        <w:rPr>
          <w:b/>
          <w:color w:val="1C3A36"/>
          <w:sz w:val="21"/>
        </w:rPr>
        <w:t xml:space="preserve">Capital expenditure is a top-down assumption. </w:t>
      </w:r>
      <w:r>
        <w:rPr>
          <w:color w:val="1C3A36"/>
          <w:sz w:val="21"/>
        </w:rPr>
        <w:t>The company publishes no capital-expenditure figure, guidance or investment plan that could be retrieved. Capex is set at 4.5% to 5.0% of revenue as maintenance for a mature two-line plant plus decarbonisation spending, and is sensitised.</w:t>
      </w:r>
    </w:p>
    <w:p>
      <w:pPr>
        <w:pStyle w:val="ListBullet"/>
        <w:spacing w:after="60"/>
      </w:pPr>
      <w:r>
        <w:rPr>
          <w:b/>
          <w:color w:val="1C3A36"/>
          <w:sz w:val="21"/>
        </w:rPr>
        <w:t xml:space="preserve">The FY2024 disposal gain is estimated, not disclosed. </w:t>
      </w:r>
      <w:r>
        <w:rPr>
          <w:color w:val="1C3A36"/>
          <w:sz w:val="21"/>
        </w:rPr>
        <w:t>The EUR 30 million consideration and the completion date are reported, but the carrying value of the stake is not. It is estimated at EGP 100 million on the reasoning that a 1990s-vintage holding carried at historic cost in pre-devaluation pounds is small. A different carrying value shifts the split between the FY2024 disposal gain and FY2024 treasury income, but not the FY2025 or forecast figures.</w:t>
      </w:r>
    </w:p>
    <w:p>
      <w:pPr>
        <w:pStyle w:val="ListBullet"/>
        <w:spacing w:after="60"/>
      </w:pPr>
      <w:r>
        <w:rPr>
          <w:b/>
          <w:color w:val="1C3A36"/>
          <w:sz w:val="21"/>
        </w:rPr>
        <w:t xml:space="preserve">The price distribution is not calibrated for this security. </w:t>
      </w:r>
      <w:r>
        <w:rPr>
          <w:color w:val="1C3A36"/>
          <w:sz w:val="21"/>
        </w:rPr>
        <w:t>Measured over five years it scores worse than a random walk and is materially too wide. It is published with that stated, and it carries no weight in the fundamental valuation.</w:t>
      </w:r>
    </w:p>
    <w:p>
      <w:pPr>
        <w:pStyle w:val="ListBullet"/>
        <w:spacing w:after="60"/>
      </w:pPr>
      <w:r>
        <w:rPr>
          <w:b/>
          <w:color w:val="1C3A36"/>
          <w:sz w:val="21"/>
        </w:rPr>
        <w:t xml:space="preserve">Concentration of control. </w:t>
      </w:r>
      <w:r>
        <w:rPr>
          <w:color w:val="1C3A36"/>
          <w:sz w:val="21"/>
        </w:rPr>
        <w:t>Vicat holds 77.6%. A minority shareholder in an Egyptian company with a float of 22.4% has limited influence over dividend policy, related-party terms or the timing of any exit, and the shares trade thinly as a direct consequence.</w:t>
      </w:r>
    </w:p>
    <w:p>
      <w:pPr>
        <w:pStyle w:val="ListBullet"/>
        <w:spacing w:after="60"/>
      </w:pPr>
      <w:r>
        <w:rPr>
          <w:b/>
          <w:color w:val="1C3A36"/>
          <w:sz w:val="21"/>
        </w:rPr>
        <w:t xml:space="preserve">What would change our mind, upward. </w:t>
      </w:r>
      <w:r>
        <w:rPr>
          <w:color w:val="1C3A36"/>
          <w:sz w:val="21"/>
        </w:rPr>
        <w:t>A declared dividend confirming the cash is distributable; cancellation or material delay of the capacity-revival programme; realised prices holding above EGP 3,900 a tonne into 2027; or evidence that replacement cost in Egypt is materially above USD 130 per tonne.</w:t>
      </w:r>
    </w:p>
    <w:p>
      <w:pPr>
        <w:pStyle w:val="ListBullet"/>
        <w:spacing w:after="60"/>
      </w:pPr>
      <w:r>
        <w:rPr>
          <w:b/>
          <w:color w:val="1C3A36"/>
          <w:sz w:val="21"/>
        </w:rPr>
        <w:t xml:space="preserve">What would change our mind, downward. </w:t>
      </w:r>
      <w:r>
        <w:rPr>
          <w:color w:val="1C3A36"/>
          <w:sz w:val="21"/>
        </w:rPr>
        <w:t>Restarted capacity reaching the market faster than expected; realised prices falling in nominal terms rather than merely in real terms; a debt-funded expansion into the surplus; or confirmation that the cash balance is smaller than the profit bridge implies.</w:t>
      </w:r>
    </w:p>
    <w:p>
      <w:r>
        <w:br w:type="page"/>
      </w:r>
    </w:p>
    <w:p>
      <w:pPr>
        <w:spacing w:after="120" w:before="280"/>
      </w:pPr>
      <w:r>
        <w:rPr>
          <w:b/>
          <w:i w:val="0"/>
          <w:color w:val="1C3A36"/>
          <w:sz w:val="30"/>
        </w:rPr>
        <w:t>Appendix A  Financial statements</w:t>
      </w:r>
    </w:p>
    <w:p>
      <w:pPr>
        <w:spacing w:after="120" w:before="0"/>
      </w:pPr>
      <w:r>
        <w:rPr>
          <w:b w:val="0"/>
          <w:i w:val="0"/>
          <w:color w:val="1C3A36"/>
          <w:sz w:val="21"/>
        </w:rPr>
        <w:t>Three years of history and a five-year forecast. Figures shown in green in the companion model are disclosed; the remainder are derived and are marked here.</w:t>
      </w:r>
    </w:p>
    <w:p>
      <w:pPr>
        <w:spacing w:after="80" w:before="200"/>
      </w:pPr>
      <w:r>
        <w:rPr>
          <w:b/>
          <w:i w:val="0"/>
          <w:color w:val="1C3A36"/>
          <w:sz w:val="24"/>
        </w:rPr>
        <w:t>Income statement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Revenue  (disclosed)</w:t>
            </w:r>
          </w:p>
        </w:tc>
        <w:tc>
          <w:tcPr>
            <w:tcW w:type="dxa" w:w="864"/>
          </w:tcPr>
          <w:p>
            <w:pPr>
              <w:spacing w:after="20"/>
              <w:jc w:val="right"/>
            </w:pPr>
            <w:r>
              <w:rPr>
                <w:color w:val="1C3A36"/>
                <w:sz w:val="16"/>
              </w:rPr>
              <w:t>4,280</w:t>
            </w:r>
          </w:p>
        </w:tc>
        <w:tc>
          <w:tcPr>
            <w:tcW w:type="dxa" w:w="864"/>
          </w:tcPr>
          <w:p>
            <w:pPr>
              <w:spacing w:after="20"/>
              <w:jc w:val="right"/>
            </w:pPr>
            <w:r>
              <w:rPr>
                <w:color w:val="1C3A36"/>
                <w:sz w:val="16"/>
              </w:rPr>
              <w:t>6,420</w:t>
            </w:r>
          </w:p>
        </w:tc>
        <w:tc>
          <w:tcPr>
            <w:tcW w:type="dxa" w:w="864"/>
          </w:tcPr>
          <w:p>
            <w:pPr>
              <w:spacing w:after="20"/>
              <w:jc w:val="right"/>
            </w:pPr>
            <w:r>
              <w:rPr>
                <w:color w:val="1C3A36"/>
                <w:sz w:val="16"/>
              </w:rPr>
              <w:t>9,090</w:t>
            </w:r>
          </w:p>
        </w:tc>
        <w:tc>
          <w:tcPr>
            <w:tcW w:type="dxa" w:w="864"/>
          </w:tcPr>
          <w:p>
            <w:pPr>
              <w:spacing w:after="20"/>
              <w:jc w:val="right"/>
            </w:pPr>
            <w:r>
              <w:rPr>
                <w:color w:val="1C3A36"/>
                <w:sz w:val="16"/>
              </w:rPr>
              <w:t>9,676</w:t>
            </w:r>
          </w:p>
        </w:tc>
        <w:tc>
          <w:tcPr>
            <w:tcW w:type="dxa" w:w="864"/>
          </w:tcPr>
          <w:p>
            <w:pPr>
              <w:spacing w:after="20"/>
              <w:jc w:val="right"/>
            </w:pPr>
            <w:r>
              <w:rPr>
                <w:color w:val="1C3A36"/>
                <w:sz w:val="16"/>
              </w:rPr>
              <w:t>10,309</w:t>
            </w:r>
          </w:p>
        </w:tc>
        <w:tc>
          <w:tcPr>
            <w:tcW w:type="dxa" w:w="864"/>
          </w:tcPr>
          <w:p>
            <w:pPr>
              <w:spacing w:after="20"/>
              <w:jc w:val="right"/>
            </w:pPr>
            <w:r>
              <w:rPr>
                <w:color w:val="1C3A36"/>
                <w:sz w:val="16"/>
              </w:rPr>
              <w:t>11,026</w:t>
            </w:r>
          </w:p>
        </w:tc>
        <w:tc>
          <w:tcPr>
            <w:tcW w:type="dxa" w:w="864"/>
          </w:tcPr>
          <w:p>
            <w:pPr>
              <w:spacing w:after="20"/>
              <w:jc w:val="right"/>
            </w:pPr>
            <w:r>
              <w:rPr>
                <w:color w:val="1C3A36"/>
                <w:sz w:val="16"/>
              </w:rPr>
              <w:t>11,842</w:t>
            </w:r>
          </w:p>
        </w:tc>
        <w:tc>
          <w:tcPr>
            <w:tcW w:type="dxa" w:w="864"/>
          </w:tcPr>
          <w:p>
            <w:pPr>
              <w:spacing w:after="20"/>
              <w:jc w:val="right"/>
            </w:pPr>
            <w:r>
              <w:rPr>
                <w:color w:val="1C3A36"/>
                <w:sz w:val="16"/>
              </w:rPr>
              <w:t>12,669</w:t>
            </w:r>
          </w:p>
        </w:tc>
      </w:tr>
      <w:tr>
        <w:tc>
          <w:tcPr>
            <w:tcW w:type="dxa" w:w="2909"/>
          </w:tcPr>
          <w:p>
            <w:pPr>
              <w:spacing w:after="20"/>
            </w:pPr>
            <w:r>
              <w:rPr>
                <w:color w:val="1C3A36"/>
                <w:sz w:val="16"/>
              </w:rPr>
              <w:t>EBITDA  (derived)</w:t>
            </w:r>
          </w:p>
        </w:tc>
        <w:tc>
          <w:tcPr>
            <w:tcW w:type="dxa" w:w="864"/>
          </w:tcPr>
          <w:p>
            <w:pPr>
              <w:spacing w:after="20"/>
              <w:jc w:val="right"/>
            </w:pPr>
            <w:r>
              <w:rPr>
                <w:color w:val="1C3A36"/>
                <w:sz w:val="16"/>
              </w:rPr>
              <w:t>83</w:t>
            </w:r>
          </w:p>
        </w:tc>
        <w:tc>
          <w:tcPr>
            <w:tcW w:type="dxa" w:w="864"/>
          </w:tcPr>
          <w:p>
            <w:pPr>
              <w:spacing w:after="20"/>
              <w:jc w:val="right"/>
            </w:pPr>
            <w:r>
              <w:rPr>
                <w:color w:val="1C3A36"/>
                <w:sz w:val="16"/>
              </w:rPr>
              <w:t>1,590</w:t>
            </w:r>
          </w:p>
        </w:tc>
        <w:tc>
          <w:tcPr>
            <w:tcW w:type="dxa" w:w="864"/>
          </w:tcPr>
          <w:p>
            <w:pPr>
              <w:spacing w:after="20"/>
              <w:jc w:val="right"/>
            </w:pPr>
            <w:r>
              <w:rPr>
                <w:color w:val="1C3A36"/>
                <w:sz w:val="16"/>
              </w:rPr>
              <w:t>3,058</w:t>
            </w:r>
          </w:p>
        </w:tc>
        <w:tc>
          <w:tcPr>
            <w:tcW w:type="dxa" w:w="864"/>
          </w:tcPr>
          <w:p>
            <w:pPr>
              <w:spacing w:after="20"/>
              <w:jc w:val="right"/>
            </w:pPr>
            <w:r>
              <w:rPr>
                <w:color w:val="1C3A36"/>
                <w:sz w:val="16"/>
              </w:rPr>
              <w:t>2,916</w:t>
            </w:r>
          </w:p>
        </w:tc>
        <w:tc>
          <w:tcPr>
            <w:tcW w:type="dxa" w:w="864"/>
          </w:tcPr>
          <w:p>
            <w:pPr>
              <w:spacing w:after="20"/>
              <w:jc w:val="right"/>
            </w:pPr>
            <w:r>
              <w:rPr>
                <w:color w:val="1C3A36"/>
                <w:sz w:val="16"/>
              </w:rPr>
              <w:t>2,792</w:t>
            </w:r>
          </w:p>
        </w:tc>
        <w:tc>
          <w:tcPr>
            <w:tcW w:type="dxa" w:w="864"/>
          </w:tcPr>
          <w:p>
            <w:pPr>
              <w:spacing w:after="20"/>
              <w:jc w:val="right"/>
            </w:pPr>
            <w:r>
              <w:rPr>
                <w:color w:val="1C3A36"/>
                <w:sz w:val="16"/>
              </w:rPr>
              <w:t>2,865</w:t>
            </w:r>
          </w:p>
        </w:tc>
        <w:tc>
          <w:tcPr>
            <w:tcW w:type="dxa" w:w="864"/>
          </w:tcPr>
          <w:p>
            <w:pPr>
              <w:spacing w:after="20"/>
              <w:jc w:val="right"/>
            </w:pPr>
            <w:r>
              <w:rPr>
                <w:color w:val="1C3A36"/>
                <w:sz w:val="16"/>
              </w:rPr>
              <w:t>3,094</w:t>
            </w:r>
          </w:p>
        </w:tc>
        <w:tc>
          <w:tcPr>
            <w:tcW w:type="dxa" w:w="864"/>
          </w:tcPr>
          <w:p>
            <w:pPr>
              <w:spacing w:after="20"/>
              <w:jc w:val="right"/>
            </w:pPr>
            <w:r>
              <w:rPr>
                <w:color w:val="1C3A36"/>
                <w:sz w:val="16"/>
              </w:rPr>
              <w:t>3,348</w:t>
            </w:r>
          </w:p>
        </w:tc>
      </w:tr>
      <w:tr>
        <w:tc>
          <w:tcPr>
            <w:tcW w:type="dxa" w:w="2909"/>
          </w:tcPr>
          <w:p>
            <w:pPr>
              <w:spacing w:after="20"/>
            </w:pPr>
            <w:r>
              <w:rPr>
                <w:color w:val="1C3A36"/>
                <w:sz w:val="16"/>
              </w:rPr>
              <w:t>EBITDA margin</w:t>
            </w:r>
          </w:p>
        </w:tc>
        <w:tc>
          <w:tcPr>
            <w:tcW w:type="dxa" w:w="864"/>
          </w:tcPr>
          <w:p>
            <w:pPr>
              <w:spacing w:after="20"/>
              <w:jc w:val="right"/>
            </w:pPr>
            <w:r>
              <w:rPr>
                <w:color w:val="1C3A36"/>
                <w:sz w:val="16"/>
              </w:rPr>
              <w:t>1.9%</w:t>
            </w:r>
          </w:p>
        </w:tc>
        <w:tc>
          <w:tcPr>
            <w:tcW w:type="dxa" w:w="864"/>
          </w:tcPr>
          <w:p>
            <w:pPr>
              <w:spacing w:after="20"/>
              <w:jc w:val="right"/>
            </w:pPr>
            <w:r>
              <w:rPr>
                <w:color w:val="1C3A36"/>
                <w:sz w:val="16"/>
              </w:rPr>
              <w:t>24.8%</w:t>
            </w:r>
          </w:p>
        </w:tc>
        <w:tc>
          <w:tcPr>
            <w:tcW w:type="dxa" w:w="864"/>
          </w:tcPr>
          <w:p>
            <w:pPr>
              <w:spacing w:after="20"/>
              <w:jc w:val="right"/>
            </w:pPr>
            <w:r>
              <w:rPr>
                <w:color w:val="1C3A36"/>
                <w:sz w:val="16"/>
              </w:rPr>
              <w:t>33.6%</w:t>
            </w:r>
          </w:p>
        </w:tc>
        <w:tc>
          <w:tcPr>
            <w:tcW w:type="dxa" w:w="864"/>
          </w:tcPr>
          <w:p>
            <w:pPr>
              <w:spacing w:after="20"/>
              <w:jc w:val="right"/>
            </w:pPr>
            <w:r>
              <w:rPr>
                <w:color w:val="1C3A36"/>
                <w:sz w:val="16"/>
              </w:rPr>
              <w:t>30.1%</w:t>
            </w:r>
          </w:p>
        </w:tc>
        <w:tc>
          <w:tcPr>
            <w:tcW w:type="dxa" w:w="864"/>
          </w:tcPr>
          <w:p>
            <w:pPr>
              <w:spacing w:after="20"/>
              <w:jc w:val="right"/>
            </w:pPr>
            <w:r>
              <w:rPr>
                <w:color w:val="1C3A36"/>
                <w:sz w:val="16"/>
              </w:rPr>
              <w:t>27.1%</w:t>
            </w:r>
          </w:p>
        </w:tc>
        <w:tc>
          <w:tcPr>
            <w:tcW w:type="dxa" w:w="864"/>
          </w:tcPr>
          <w:p>
            <w:pPr>
              <w:spacing w:after="20"/>
              <w:jc w:val="right"/>
            </w:pPr>
            <w:r>
              <w:rPr>
                <w:color w:val="1C3A36"/>
                <w:sz w:val="16"/>
              </w:rPr>
              <w:t>26.0%</w:t>
            </w:r>
          </w:p>
        </w:tc>
        <w:tc>
          <w:tcPr>
            <w:tcW w:type="dxa" w:w="864"/>
          </w:tcPr>
          <w:p>
            <w:pPr>
              <w:spacing w:after="20"/>
              <w:jc w:val="right"/>
            </w:pPr>
            <w:r>
              <w:rPr>
                <w:color w:val="1C3A36"/>
                <w:sz w:val="16"/>
              </w:rPr>
              <w:t>26.1%</w:t>
            </w:r>
          </w:p>
        </w:tc>
        <w:tc>
          <w:tcPr>
            <w:tcW w:type="dxa" w:w="864"/>
          </w:tcPr>
          <w:p>
            <w:pPr>
              <w:spacing w:after="20"/>
              <w:jc w:val="right"/>
            </w:pPr>
            <w:r>
              <w:rPr>
                <w:color w:val="1C3A36"/>
                <w:sz w:val="16"/>
              </w:rPr>
              <w:t>26.4%</w:t>
            </w:r>
          </w:p>
        </w:tc>
      </w:tr>
      <w:tr>
        <w:tc>
          <w:tcPr>
            <w:tcW w:type="dxa" w:w="2909"/>
          </w:tcPr>
          <w:p>
            <w:pPr>
              <w:spacing w:after="20"/>
            </w:pPr>
            <w:r>
              <w:rPr>
                <w:color w:val="1C3A36"/>
                <w:sz w:val="16"/>
              </w:rPr>
              <w:t>Depreciation &amp; amortisation  (derived)</w:t>
            </w:r>
          </w:p>
        </w:tc>
        <w:tc>
          <w:tcPr>
            <w:tcW w:type="dxa" w:w="864"/>
          </w:tcPr>
          <w:p>
            <w:pPr>
              <w:spacing w:after="20"/>
              <w:jc w:val="right"/>
            </w:pPr>
            <w:r>
              <w:rPr>
                <w:color w:val="1C3A36"/>
                <w:sz w:val="16"/>
              </w:rPr>
              <w:t>402</w:t>
            </w:r>
          </w:p>
        </w:tc>
        <w:tc>
          <w:tcPr>
            <w:tcW w:type="dxa" w:w="864"/>
          </w:tcPr>
          <w:p>
            <w:pPr>
              <w:spacing w:after="20"/>
              <w:jc w:val="right"/>
            </w:pPr>
            <w:r>
              <w:rPr>
                <w:color w:val="1C3A36"/>
                <w:sz w:val="16"/>
              </w:rPr>
              <w:t>398</w:t>
            </w:r>
          </w:p>
        </w:tc>
        <w:tc>
          <w:tcPr>
            <w:tcW w:type="dxa" w:w="864"/>
          </w:tcPr>
          <w:p>
            <w:pPr>
              <w:spacing w:after="20"/>
              <w:jc w:val="right"/>
            </w:pPr>
            <w:r>
              <w:rPr>
                <w:color w:val="1C3A36"/>
                <w:sz w:val="16"/>
              </w:rPr>
              <w:t>418</w:t>
            </w:r>
          </w:p>
        </w:tc>
        <w:tc>
          <w:tcPr>
            <w:tcW w:type="dxa" w:w="864"/>
          </w:tcPr>
          <w:p>
            <w:pPr>
              <w:spacing w:after="20"/>
              <w:jc w:val="right"/>
            </w:pPr>
            <w:r>
              <w:rPr>
                <w:color w:val="1C3A36"/>
                <w:sz w:val="16"/>
              </w:rPr>
              <w:t>445</w:t>
            </w:r>
          </w:p>
        </w:tc>
        <w:tc>
          <w:tcPr>
            <w:tcW w:type="dxa" w:w="864"/>
          </w:tcPr>
          <w:p>
            <w:pPr>
              <w:spacing w:after="20"/>
              <w:jc w:val="right"/>
            </w:pPr>
            <w:r>
              <w:rPr>
                <w:color w:val="1C3A36"/>
                <w:sz w:val="16"/>
              </w:rPr>
              <w:t>464</w:t>
            </w:r>
          </w:p>
        </w:tc>
        <w:tc>
          <w:tcPr>
            <w:tcW w:type="dxa" w:w="864"/>
          </w:tcPr>
          <w:p>
            <w:pPr>
              <w:spacing w:after="20"/>
              <w:jc w:val="right"/>
            </w:pPr>
            <w:r>
              <w:rPr>
                <w:color w:val="1C3A36"/>
                <w:sz w:val="16"/>
              </w:rPr>
              <w:t>485</w:t>
            </w:r>
          </w:p>
        </w:tc>
        <w:tc>
          <w:tcPr>
            <w:tcW w:type="dxa" w:w="864"/>
          </w:tcPr>
          <w:p>
            <w:pPr>
              <w:spacing w:after="20"/>
              <w:jc w:val="right"/>
            </w:pPr>
            <w:r>
              <w:rPr>
                <w:color w:val="1C3A36"/>
                <w:sz w:val="16"/>
              </w:rPr>
              <w:t>509</w:t>
            </w:r>
          </w:p>
        </w:tc>
        <w:tc>
          <w:tcPr>
            <w:tcW w:type="dxa" w:w="864"/>
          </w:tcPr>
          <w:p>
            <w:pPr>
              <w:spacing w:after="20"/>
              <w:jc w:val="right"/>
            </w:pPr>
            <w:r>
              <w:rPr>
                <w:color w:val="1C3A36"/>
                <w:sz w:val="16"/>
              </w:rPr>
              <w:t>532</w:t>
            </w:r>
          </w:p>
        </w:tc>
      </w:tr>
      <w:tr>
        <w:tc>
          <w:tcPr>
            <w:tcW w:type="dxa" w:w="2909"/>
          </w:tcPr>
          <w:p>
            <w:pPr>
              <w:spacing w:after="20"/>
            </w:pPr>
            <w:r>
              <w:rPr>
                <w:color w:val="1C3A36"/>
                <w:sz w:val="16"/>
              </w:rPr>
              <w:t>EBIT  (derived)</w:t>
            </w:r>
          </w:p>
        </w:tc>
        <w:tc>
          <w:tcPr>
            <w:tcW w:type="dxa" w:w="864"/>
          </w:tcPr>
          <w:p>
            <w:pPr>
              <w:spacing w:after="20"/>
              <w:jc w:val="right"/>
            </w:pPr>
            <w:r>
              <w:rPr>
                <w:color w:val="1C3A36"/>
                <w:sz w:val="16"/>
              </w:rPr>
              <w:t>-319</w:t>
            </w:r>
          </w:p>
        </w:tc>
        <w:tc>
          <w:tcPr>
            <w:tcW w:type="dxa" w:w="864"/>
          </w:tcPr>
          <w:p>
            <w:pPr>
              <w:spacing w:after="20"/>
              <w:jc w:val="right"/>
            </w:pPr>
            <w:r>
              <w:rPr>
                <w:color w:val="1C3A36"/>
                <w:sz w:val="16"/>
              </w:rPr>
              <w:t>1,192</w:t>
            </w:r>
          </w:p>
        </w:tc>
        <w:tc>
          <w:tcPr>
            <w:tcW w:type="dxa" w:w="864"/>
          </w:tcPr>
          <w:p>
            <w:pPr>
              <w:spacing w:after="20"/>
              <w:jc w:val="right"/>
            </w:pPr>
            <w:r>
              <w:rPr>
                <w:color w:val="1C3A36"/>
                <w:sz w:val="16"/>
              </w:rPr>
              <w:t>2,640</w:t>
            </w:r>
          </w:p>
        </w:tc>
        <w:tc>
          <w:tcPr>
            <w:tcW w:type="dxa" w:w="864"/>
          </w:tcPr>
          <w:p>
            <w:pPr>
              <w:spacing w:after="20"/>
              <w:jc w:val="right"/>
            </w:pPr>
            <w:r>
              <w:rPr>
                <w:color w:val="1C3A36"/>
                <w:sz w:val="16"/>
              </w:rPr>
              <w:t>2,471</w:t>
            </w:r>
          </w:p>
        </w:tc>
        <w:tc>
          <w:tcPr>
            <w:tcW w:type="dxa" w:w="864"/>
          </w:tcPr>
          <w:p>
            <w:pPr>
              <w:spacing w:after="20"/>
              <w:jc w:val="right"/>
            </w:pPr>
            <w:r>
              <w:rPr>
                <w:color w:val="1C3A36"/>
                <w:sz w:val="16"/>
              </w:rPr>
              <w:t>2,328</w:t>
            </w:r>
          </w:p>
        </w:tc>
        <w:tc>
          <w:tcPr>
            <w:tcW w:type="dxa" w:w="864"/>
          </w:tcPr>
          <w:p>
            <w:pPr>
              <w:spacing w:after="20"/>
              <w:jc w:val="right"/>
            </w:pPr>
            <w:r>
              <w:rPr>
                <w:color w:val="1C3A36"/>
                <w:sz w:val="16"/>
              </w:rPr>
              <w:t>2,380</w:t>
            </w:r>
          </w:p>
        </w:tc>
        <w:tc>
          <w:tcPr>
            <w:tcW w:type="dxa" w:w="864"/>
          </w:tcPr>
          <w:p>
            <w:pPr>
              <w:spacing w:after="20"/>
              <w:jc w:val="right"/>
            </w:pPr>
            <w:r>
              <w:rPr>
                <w:color w:val="1C3A36"/>
                <w:sz w:val="16"/>
              </w:rPr>
              <w:t>2,585</w:t>
            </w:r>
          </w:p>
        </w:tc>
        <w:tc>
          <w:tcPr>
            <w:tcW w:type="dxa" w:w="864"/>
          </w:tcPr>
          <w:p>
            <w:pPr>
              <w:spacing w:after="20"/>
              <w:jc w:val="right"/>
            </w:pPr>
            <w:r>
              <w:rPr>
                <w:color w:val="1C3A36"/>
                <w:sz w:val="16"/>
              </w:rPr>
              <w:t>2,816</w:t>
            </w:r>
          </w:p>
        </w:tc>
      </w:tr>
      <w:tr>
        <w:tc>
          <w:tcPr>
            <w:tcW w:type="dxa" w:w="2909"/>
          </w:tcPr>
          <w:p>
            <w:pPr>
              <w:spacing w:after="20"/>
            </w:pPr>
            <w:r>
              <w:rPr>
                <w:color w:val="1C3A36"/>
                <w:sz w:val="16"/>
              </w:rPr>
              <w:t>Treasury income  (derived)</w:t>
            </w:r>
          </w:p>
        </w:tc>
        <w:tc>
          <w:tcPr>
            <w:tcW w:type="dxa" w:w="864"/>
          </w:tcPr>
          <w:p>
            <w:pPr>
              <w:spacing w:after="20"/>
              <w:jc w:val="right"/>
            </w:pPr>
            <w:r>
              <w:rPr>
                <w:color w:val="1C3A36"/>
                <w:sz w:val="16"/>
              </w:rPr>
              <w:t>198</w:t>
            </w:r>
          </w:p>
        </w:tc>
        <w:tc>
          <w:tcPr>
            <w:tcW w:type="dxa" w:w="864"/>
          </w:tcPr>
          <w:p>
            <w:pPr>
              <w:spacing w:after="20"/>
              <w:jc w:val="right"/>
            </w:pPr>
            <w:r>
              <w:rPr>
                <w:color w:val="1C3A36"/>
                <w:sz w:val="16"/>
              </w:rPr>
              <w:t>582</w:t>
            </w:r>
          </w:p>
        </w:tc>
        <w:tc>
          <w:tcPr>
            <w:tcW w:type="dxa" w:w="864"/>
          </w:tcPr>
          <w:p>
            <w:pPr>
              <w:spacing w:after="20"/>
              <w:jc w:val="right"/>
            </w:pPr>
            <w:r>
              <w:rPr>
                <w:color w:val="1C3A36"/>
                <w:sz w:val="16"/>
              </w:rPr>
              <w:t>728</w:t>
            </w:r>
          </w:p>
        </w:tc>
        <w:tc>
          <w:tcPr>
            <w:tcW w:type="dxa" w:w="864"/>
          </w:tcPr>
          <w:p>
            <w:pPr>
              <w:spacing w:after="20"/>
              <w:jc w:val="right"/>
            </w:pPr>
            <w:r>
              <w:rPr>
                <w:color w:val="1C3A36"/>
                <w:sz w:val="16"/>
              </w:rPr>
              <w:t>732</w:t>
            </w:r>
          </w:p>
        </w:tc>
        <w:tc>
          <w:tcPr>
            <w:tcW w:type="dxa" w:w="864"/>
          </w:tcPr>
          <w:p>
            <w:pPr>
              <w:spacing w:after="20"/>
              <w:jc w:val="right"/>
            </w:pPr>
            <w:r>
              <w:rPr>
                <w:color w:val="1C3A36"/>
                <w:sz w:val="16"/>
              </w:rPr>
              <w:t>809</w:t>
            </w:r>
          </w:p>
        </w:tc>
        <w:tc>
          <w:tcPr>
            <w:tcW w:type="dxa" w:w="864"/>
          </w:tcPr>
          <w:p>
            <w:pPr>
              <w:spacing w:after="20"/>
              <w:jc w:val="right"/>
            </w:pPr>
            <w:r>
              <w:rPr>
                <w:color w:val="1C3A36"/>
                <w:sz w:val="16"/>
              </w:rPr>
              <w:t>847</w:t>
            </w:r>
          </w:p>
        </w:tc>
        <w:tc>
          <w:tcPr>
            <w:tcW w:type="dxa" w:w="864"/>
          </w:tcPr>
          <w:p>
            <w:pPr>
              <w:spacing w:after="20"/>
              <w:jc w:val="right"/>
            </w:pPr>
            <w:r>
              <w:rPr>
                <w:color w:val="1C3A36"/>
                <w:sz w:val="16"/>
              </w:rPr>
              <w:t>885</w:t>
            </w:r>
          </w:p>
        </w:tc>
        <w:tc>
          <w:tcPr>
            <w:tcW w:type="dxa" w:w="864"/>
          </w:tcPr>
          <w:p>
            <w:pPr>
              <w:spacing w:after="20"/>
              <w:jc w:val="right"/>
            </w:pPr>
            <w:r>
              <w:rPr>
                <w:color w:val="1C3A36"/>
                <w:sz w:val="16"/>
              </w:rPr>
              <w:t>942</w:t>
            </w:r>
          </w:p>
        </w:tc>
      </w:tr>
      <w:tr>
        <w:tc>
          <w:tcPr>
            <w:tcW w:type="dxa" w:w="2909"/>
          </w:tcPr>
          <w:p>
            <w:pPr>
              <w:spacing w:after="20"/>
            </w:pPr>
            <w:r>
              <w:rPr>
                <w:color w:val="1C3A36"/>
                <w:sz w:val="16"/>
              </w:rPr>
              <w:t>Gain on disposal</w:t>
            </w:r>
          </w:p>
        </w:tc>
        <w:tc>
          <w:tcPr>
            <w:tcW w:type="dxa" w:w="864"/>
          </w:tcPr>
          <w:p>
            <w:pPr>
              <w:spacing w:after="20"/>
              <w:jc w:val="right"/>
            </w:pPr>
            <w:r>
              <w:rPr>
                <w:color w:val="1C3A36"/>
                <w:sz w:val="16"/>
              </w:rPr>
              <w:t>—</w:t>
            </w:r>
          </w:p>
        </w:tc>
        <w:tc>
          <w:tcPr>
            <w:tcW w:type="dxa" w:w="864"/>
          </w:tcPr>
          <w:p>
            <w:pPr>
              <w:spacing w:after="20"/>
              <w:jc w:val="right"/>
            </w:pPr>
            <w:r>
              <w:rPr>
                <w:color w:val="1C3A36"/>
                <w:sz w:val="16"/>
              </w:rPr>
              <w:t>1,502</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Profit after tax  (disclosed / forecast)</w:t>
            </w:r>
          </w:p>
        </w:tc>
        <w:tc>
          <w:tcPr>
            <w:tcW w:type="dxa" w:w="864"/>
          </w:tcPr>
          <w:p>
            <w:pPr>
              <w:spacing w:after="20"/>
              <w:jc w:val="right"/>
            </w:pPr>
            <w:r>
              <w:rPr>
                <w:color w:val="1C3A36"/>
                <w:sz w:val="16"/>
              </w:rPr>
              <w:t>-121</w:t>
            </w:r>
          </w:p>
        </w:tc>
        <w:tc>
          <w:tcPr>
            <w:tcW w:type="dxa" w:w="864"/>
          </w:tcPr>
          <w:p>
            <w:pPr>
              <w:spacing w:after="20"/>
              <w:jc w:val="right"/>
            </w:pPr>
            <w:r>
              <w:rPr>
                <w:color w:val="1C3A36"/>
                <w:sz w:val="16"/>
              </w:rPr>
              <w:t>3,070</w:t>
            </w:r>
          </w:p>
        </w:tc>
        <w:tc>
          <w:tcPr>
            <w:tcW w:type="dxa" w:w="864"/>
          </w:tcPr>
          <w:p>
            <w:pPr>
              <w:spacing w:after="20"/>
              <w:jc w:val="right"/>
            </w:pPr>
            <w:r>
              <w:rPr>
                <w:color w:val="1C3A36"/>
                <w:sz w:val="16"/>
              </w:rPr>
              <w:t>2,290</w:t>
            </w:r>
          </w:p>
        </w:tc>
        <w:tc>
          <w:tcPr>
            <w:tcW w:type="dxa" w:w="864"/>
          </w:tcPr>
          <w:p>
            <w:pPr>
              <w:spacing w:after="20"/>
              <w:jc w:val="right"/>
            </w:pPr>
            <w:r>
              <w:rPr>
                <w:color w:val="1C3A36"/>
                <w:sz w:val="16"/>
              </w:rPr>
              <w:t>2,482</w:t>
            </w:r>
          </w:p>
        </w:tc>
        <w:tc>
          <w:tcPr>
            <w:tcW w:type="dxa" w:w="864"/>
          </w:tcPr>
          <w:p>
            <w:pPr>
              <w:spacing w:after="20"/>
              <w:jc w:val="right"/>
            </w:pPr>
            <w:r>
              <w:rPr>
                <w:color w:val="1C3A36"/>
                <w:sz w:val="16"/>
              </w:rPr>
              <w:t>2,431</w:t>
            </w:r>
          </w:p>
        </w:tc>
        <w:tc>
          <w:tcPr>
            <w:tcW w:type="dxa" w:w="864"/>
          </w:tcPr>
          <w:p>
            <w:pPr>
              <w:spacing w:after="20"/>
              <w:jc w:val="right"/>
            </w:pPr>
            <w:r>
              <w:rPr>
                <w:color w:val="1C3A36"/>
                <w:sz w:val="16"/>
              </w:rPr>
              <w:t>2,501</w:t>
            </w:r>
          </w:p>
        </w:tc>
        <w:tc>
          <w:tcPr>
            <w:tcW w:type="dxa" w:w="864"/>
          </w:tcPr>
          <w:p>
            <w:pPr>
              <w:spacing w:after="20"/>
              <w:jc w:val="right"/>
            </w:pPr>
            <w:r>
              <w:rPr>
                <w:color w:val="1C3A36"/>
                <w:sz w:val="16"/>
              </w:rPr>
              <w:t>2,689</w:t>
            </w:r>
          </w:p>
        </w:tc>
        <w:tc>
          <w:tcPr>
            <w:tcW w:type="dxa" w:w="864"/>
          </w:tcPr>
          <w:p>
            <w:pPr>
              <w:spacing w:after="20"/>
              <w:jc w:val="right"/>
            </w:pPr>
            <w:r>
              <w:rPr>
                <w:color w:val="1C3A36"/>
                <w:sz w:val="16"/>
              </w:rPr>
              <w:t>2,912</w:t>
            </w:r>
          </w:p>
        </w:tc>
      </w:tr>
      <w:tr>
        <w:tc>
          <w:tcPr>
            <w:tcW w:type="dxa" w:w="2909"/>
          </w:tcPr>
          <w:p>
            <w:pPr>
              <w:spacing w:after="20"/>
            </w:pPr>
            <w:r>
              <w:rPr>
                <w:color w:val="1C3A36"/>
                <w:sz w:val="16"/>
              </w:rPr>
              <w:t>Earnings per share (EGP)</w:t>
            </w:r>
          </w:p>
        </w:tc>
        <w:tc>
          <w:tcPr>
            <w:tcW w:type="dxa" w:w="864"/>
          </w:tcPr>
          <w:p>
            <w:pPr>
              <w:spacing w:after="20"/>
              <w:jc w:val="right"/>
            </w:pPr>
            <w:r>
              <w:rPr>
                <w:color w:val="1C3A36"/>
                <w:sz w:val="16"/>
              </w:rPr>
              <w:t>-0.47</w:t>
            </w:r>
          </w:p>
        </w:tc>
        <w:tc>
          <w:tcPr>
            <w:tcW w:type="dxa" w:w="864"/>
          </w:tcPr>
          <w:p>
            <w:pPr>
              <w:spacing w:after="20"/>
              <w:jc w:val="right"/>
            </w:pPr>
            <w:r>
              <w:rPr>
                <w:color w:val="1C3A36"/>
                <w:sz w:val="16"/>
              </w:rPr>
              <w:t>11.77</w:t>
            </w:r>
          </w:p>
        </w:tc>
        <w:tc>
          <w:tcPr>
            <w:tcW w:type="dxa" w:w="864"/>
          </w:tcPr>
          <w:p>
            <w:pPr>
              <w:spacing w:after="20"/>
              <w:jc w:val="right"/>
            </w:pPr>
            <w:r>
              <w:rPr>
                <w:color w:val="1C3A36"/>
                <w:sz w:val="16"/>
              </w:rPr>
              <w:t>8.78</w:t>
            </w:r>
          </w:p>
        </w:tc>
        <w:tc>
          <w:tcPr>
            <w:tcW w:type="dxa" w:w="864"/>
          </w:tcPr>
          <w:p>
            <w:pPr>
              <w:spacing w:after="20"/>
              <w:jc w:val="right"/>
            </w:pPr>
            <w:r>
              <w:rPr>
                <w:color w:val="1C3A36"/>
                <w:sz w:val="16"/>
              </w:rPr>
              <w:t>9.52</w:t>
            </w:r>
          </w:p>
        </w:tc>
        <w:tc>
          <w:tcPr>
            <w:tcW w:type="dxa" w:w="864"/>
          </w:tcPr>
          <w:p>
            <w:pPr>
              <w:spacing w:after="20"/>
              <w:jc w:val="right"/>
            </w:pPr>
            <w:r>
              <w:rPr>
                <w:color w:val="1C3A36"/>
                <w:sz w:val="16"/>
              </w:rPr>
              <w:t>9.32</w:t>
            </w:r>
          </w:p>
        </w:tc>
        <w:tc>
          <w:tcPr>
            <w:tcW w:type="dxa" w:w="864"/>
          </w:tcPr>
          <w:p>
            <w:pPr>
              <w:spacing w:after="20"/>
              <w:jc w:val="right"/>
            </w:pPr>
            <w:r>
              <w:rPr>
                <w:color w:val="1C3A36"/>
                <w:sz w:val="16"/>
              </w:rPr>
              <w:t>9.59</w:t>
            </w:r>
          </w:p>
        </w:tc>
        <w:tc>
          <w:tcPr>
            <w:tcW w:type="dxa" w:w="864"/>
          </w:tcPr>
          <w:p>
            <w:pPr>
              <w:spacing w:after="20"/>
              <w:jc w:val="right"/>
            </w:pPr>
            <w:r>
              <w:rPr>
                <w:color w:val="1C3A36"/>
                <w:sz w:val="16"/>
              </w:rPr>
              <w:t>10.31</w:t>
            </w:r>
          </w:p>
        </w:tc>
        <w:tc>
          <w:tcPr>
            <w:tcW w:type="dxa" w:w="864"/>
          </w:tcPr>
          <w:p>
            <w:pPr>
              <w:spacing w:after="20"/>
              <w:jc w:val="right"/>
            </w:pPr>
            <w:r>
              <w:rPr>
                <w:color w:val="1C3A36"/>
                <w:sz w:val="16"/>
              </w:rPr>
              <w:t>11.16</w:t>
            </w:r>
          </w:p>
        </w:tc>
      </w:tr>
    </w:tbl>
    <w:p>
      <w:pPr>
        <w:spacing w:after="40"/>
      </w:pPr>
    </w:p>
    <w:p>
      <w:pPr>
        <w:spacing w:after="200" w:before="0"/>
      </w:pPr>
      <w:r>
        <w:rPr>
          <w:b w:val="0"/>
          <w:i/>
          <w:color w:val="6E7B77"/>
          <w:sz w:val="17"/>
        </w:rPr>
        <w:t>Table A1 — Income statement. FY2024 contains the disposal gain and is not a base year for normalisation.</w:t>
      </w:r>
    </w:p>
    <w:p>
      <w:pPr>
        <w:spacing w:after="80" w:before="200"/>
      </w:pPr>
      <w:r>
        <w:rPr>
          <w:b/>
          <w:i w:val="0"/>
          <w:color w:val="1C3A36"/>
          <w:sz w:val="24"/>
        </w:rPr>
        <w:t>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Cash and equivalents</w:t>
            </w:r>
          </w:p>
        </w:tc>
        <w:tc>
          <w:tcPr>
            <w:tcW w:type="dxa" w:w="864"/>
          </w:tcPr>
          <w:p>
            <w:pPr>
              <w:spacing w:after="20"/>
              <w:jc w:val="right"/>
            </w:pPr>
            <w:r>
              <w:rPr>
                <w:color w:val="1C3A36"/>
                <w:sz w:val="16"/>
              </w:rPr>
              <w:t>1,738</w:t>
            </w:r>
          </w:p>
        </w:tc>
        <w:tc>
          <w:tcPr>
            <w:tcW w:type="dxa" w:w="864"/>
          </w:tcPr>
          <w:p>
            <w:pPr>
              <w:spacing w:after="20"/>
              <w:jc w:val="right"/>
            </w:pPr>
            <w:r>
              <w:rPr>
                <w:color w:val="1C3A36"/>
                <w:sz w:val="16"/>
              </w:rPr>
              <w:t>4,967</w:t>
            </w:r>
          </w:p>
        </w:tc>
        <w:tc>
          <w:tcPr>
            <w:tcW w:type="dxa" w:w="864"/>
          </w:tcPr>
          <w:p>
            <w:pPr>
              <w:spacing w:after="20"/>
              <w:jc w:val="right"/>
            </w:pPr>
            <w:r>
              <w:rPr>
                <w:color w:val="1C3A36"/>
                <w:sz w:val="16"/>
              </w:rPr>
              <w:t>4,967</w:t>
            </w:r>
          </w:p>
        </w:tc>
        <w:tc>
          <w:tcPr>
            <w:tcW w:type="dxa" w:w="864"/>
          </w:tcPr>
          <w:p>
            <w:pPr>
              <w:spacing w:after="20"/>
              <w:jc w:val="right"/>
            </w:pPr>
            <w:r>
              <w:rPr>
                <w:color w:val="1C3A36"/>
                <w:sz w:val="16"/>
              </w:rPr>
              <w:t>4,757</w:t>
            </w:r>
          </w:p>
        </w:tc>
        <w:tc>
          <w:tcPr>
            <w:tcW w:type="dxa" w:w="864"/>
          </w:tcPr>
          <w:p>
            <w:pPr>
              <w:spacing w:after="20"/>
              <w:jc w:val="right"/>
            </w:pPr>
            <w:r>
              <w:rPr>
                <w:color w:val="1C3A36"/>
                <w:sz w:val="16"/>
              </w:rPr>
              <w:t>5,648</w:t>
            </w:r>
          </w:p>
        </w:tc>
        <w:tc>
          <w:tcPr>
            <w:tcW w:type="dxa" w:w="864"/>
          </w:tcPr>
          <w:p>
            <w:pPr>
              <w:spacing w:after="20"/>
              <w:jc w:val="right"/>
            </w:pPr>
            <w:r>
              <w:rPr>
                <w:color w:val="1C3A36"/>
                <w:sz w:val="16"/>
              </w:rPr>
              <w:t>6,558</w:t>
            </w:r>
          </w:p>
        </w:tc>
        <w:tc>
          <w:tcPr>
            <w:tcW w:type="dxa" w:w="864"/>
          </w:tcPr>
          <w:p>
            <w:pPr>
              <w:spacing w:after="20"/>
              <w:jc w:val="right"/>
            </w:pPr>
            <w:r>
              <w:rPr>
                <w:color w:val="1C3A36"/>
                <w:sz w:val="16"/>
              </w:rPr>
              <w:t>7,533</w:t>
            </w:r>
          </w:p>
        </w:tc>
        <w:tc>
          <w:tcPr>
            <w:tcW w:type="dxa" w:w="864"/>
          </w:tcPr>
          <w:p>
            <w:pPr>
              <w:spacing w:after="20"/>
              <w:jc w:val="right"/>
            </w:pPr>
            <w:r>
              <w:rPr>
                <w:color w:val="1C3A36"/>
                <w:sz w:val="16"/>
              </w:rPr>
              <w:t>8,593</w:t>
            </w:r>
          </w:p>
        </w:tc>
      </w:tr>
      <w:tr>
        <w:tc>
          <w:tcPr>
            <w:tcW w:type="dxa" w:w="2909"/>
          </w:tcPr>
          <w:p>
            <w:pPr>
              <w:spacing w:after="20"/>
            </w:pPr>
            <w:r>
              <w:rPr>
                <w:color w:val="1C3A36"/>
                <w:sz w:val="16"/>
              </w:rPr>
              <w:t>Gross debt</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c>
          <w:tcPr>
            <w:tcW w:type="dxa" w:w="864"/>
          </w:tcPr>
          <w:p>
            <w:pPr>
              <w:spacing w:after="20"/>
              <w:jc w:val="right"/>
            </w:pPr>
            <w:r>
              <w:rPr>
                <w:color w:val="1C3A36"/>
                <w:sz w:val="16"/>
              </w:rPr>
              <w:t>36.8</w:t>
            </w:r>
          </w:p>
        </w:tc>
      </w:tr>
      <w:tr>
        <w:tc>
          <w:tcPr>
            <w:tcW w:type="dxa" w:w="2909"/>
          </w:tcPr>
          <w:p>
            <w:pPr>
              <w:spacing w:after="20"/>
            </w:pPr>
            <w:r>
              <w:rPr>
                <w:color w:val="1C3A36"/>
                <w:sz w:val="16"/>
              </w:rPr>
              <w:t>Net cash</w:t>
            </w:r>
          </w:p>
        </w:tc>
        <w:tc>
          <w:tcPr>
            <w:tcW w:type="dxa" w:w="864"/>
          </w:tcPr>
          <w:p>
            <w:pPr>
              <w:spacing w:after="20"/>
              <w:jc w:val="right"/>
            </w:pPr>
            <w:r>
              <w:rPr>
                <w:color w:val="1C3A36"/>
                <w:sz w:val="16"/>
              </w:rPr>
              <w:t>1,701</w:t>
            </w:r>
          </w:p>
        </w:tc>
        <w:tc>
          <w:tcPr>
            <w:tcW w:type="dxa" w:w="864"/>
          </w:tcPr>
          <w:p>
            <w:pPr>
              <w:spacing w:after="20"/>
              <w:jc w:val="right"/>
            </w:pPr>
            <w:r>
              <w:rPr>
                <w:color w:val="1C3A36"/>
                <w:sz w:val="16"/>
              </w:rPr>
              <w:t>4,930</w:t>
            </w:r>
          </w:p>
        </w:tc>
        <w:tc>
          <w:tcPr>
            <w:tcW w:type="dxa" w:w="864"/>
          </w:tcPr>
          <w:p>
            <w:pPr>
              <w:spacing w:after="20"/>
              <w:jc w:val="right"/>
            </w:pPr>
            <w:r>
              <w:rPr>
                <w:color w:val="1C3A36"/>
                <w:sz w:val="16"/>
              </w:rPr>
              <w:t>4,930</w:t>
            </w:r>
          </w:p>
        </w:tc>
        <w:tc>
          <w:tcPr>
            <w:tcW w:type="dxa" w:w="864"/>
          </w:tcPr>
          <w:p>
            <w:pPr>
              <w:spacing w:after="20"/>
              <w:jc w:val="right"/>
            </w:pPr>
            <w:r>
              <w:rPr>
                <w:color w:val="1C3A36"/>
                <w:sz w:val="16"/>
              </w:rPr>
              <w:t>4,720</w:t>
            </w:r>
          </w:p>
        </w:tc>
        <w:tc>
          <w:tcPr>
            <w:tcW w:type="dxa" w:w="864"/>
          </w:tcPr>
          <w:p>
            <w:pPr>
              <w:spacing w:after="20"/>
              <w:jc w:val="right"/>
            </w:pPr>
            <w:r>
              <w:rPr>
                <w:color w:val="1C3A36"/>
                <w:sz w:val="16"/>
              </w:rPr>
              <w:t>5,611</w:t>
            </w:r>
          </w:p>
        </w:tc>
        <w:tc>
          <w:tcPr>
            <w:tcW w:type="dxa" w:w="864"/>
          </w:tcPr>
          <w:p>
            <w:pPr>
              <w:spacing w:after="20"/>
              <w:jc w:val="right"/>
            </w:pPr>
            <w:r>
              <w:rPr>
                <w:color w:val="1C3A36"/>
                <w:sz w:val="16"/>
              </w:rPr>
              <w:t>6,521</w:t>
            </w:r>
          </w:p>
        </w:tc>
        <w:tc>
          <w:tcPr>
            <w:tcW w:type="dxa" w:w="864"/>
          </w:tcPr>
          <w:p>
            <w:pPr>
              <w:spacing w:after="20"/>
              <w:jc w:val="right"/>
            </w:pPr>
            <w:r>
              <w:rPr>
                <w:color w:val="1C3A36"/>
                <w:sz w:val="16"/>
              </w:rPr>
              <w:t>7,496</w:t>
            </w:r>
          </w:p>
        </w:tc>
        <w:tc>
          <w:tcPr>
            <w:tcW w:type="dxa" w:w="864"/>
          </w:tcPr>
          <w:p>
            <w:pPr>
              <w:spacing w:after="20"/>
              <w:jc w:val="right"/>
            </w:pPr>
            <w:r>
              <w:rPr>
                <w:color w:val="1C3A36"/>
                <w:sz w:val="16"/>
              </w:rPr>
              <w:t>8,557</w:t>
            </w:r>
          </w:p>
        </w:tc>
      </w:tr>
      <w:tr>
        <w:tc>
          <w:tcPr>
            <w:tcW w:type="dxa" w:w="2909"/>
          </w:tcPr>
          <w:p>
            <w:pPr>
              <w:spacing w:after="20"/>
            </w:pPr>
            <w:r>
              <w:rPr>
                <w:color w:val="1C3A36"/>
                <w:sz w:val="16"/>
              </w:rPr>
              <w:t>Shareholders' equity</w:t>
            </w:r>
          </w:p>
        </w:tc>
        <w:tc>
          <w:tcPr>
            <w:tcW w:type="dxa" w:w="864"/>
          </w:tcPr>
          <w:p>
            <w:pPr>
              <w:spacing w:after="20"/>
              <w:jc w:val="right"/>
            </w:pPr>
            <w:r>
              <w:rPr>
                <w:color w:val="1C3A36"/>
                <w:sz w:val="16"/>
              </w:rPr>
              <w:t>1,705</w:t>
            </w:r>
          </w:p>
        </w:tc>
        <w:tc>
          <w:tcPr>
            <w:tcW w:type="dxa" w:w="864"/>
          </w:tcPr>
          <w:p>
            <w:pPr>
              <w:spacing w:after="20"/>
              <w:jc w:val="right"/>
            </w:pPr>
            <w:r>
              <w:rPr>
                <w:color w:val="1C3A36"/>
                <w:sz w:val="16"/>
              </w:rPr>
              <w:t>4,775</w:t>
            </w:r>
          </w:p>
        </w:tc>
        <w:tc>
          <w:tcPr>
            <w:tcW w:type="dxa" w:w="864"/>
          </w:tcPr>
          <w:p>
            <w:pPr>
              <w:spacing w:after="20"/>
              <w:jc w:val="right"/>
            </w:pPr>
            <w:r>
              <w:rPr>
                <w:color w:val="1C3A36"/>
                <w:sz w:val="16"/>
              </w:rPr>
              <w:t>5,240</w:t>
            </w:r>
          </w:p>
        </w:tc>
        <w:tc>
          <w:tcPr>
            <w:tcW w:type="dxa" w:w="864"/>
          </w:tcPr>
          <w:p>
            <w:pPr>
              <w:spacing w:after="20"/>
              <w:jc w:val="right"/>
            </w:pPr>
            <w:r>
              <w:rPr>
                <w:color w:val="1C3A36"/>
                <w:sz w:val="16"/>
              </w:rPr>
              <w:t>6,233</w:t>
            </w:r>
          </w:p>
        </w:tc>
        <w:tc>
          <w:tcPr>
            <w:tcW w:type="dxa" w:w="864"/>
          </w:tcPr>
          <w:p>
            <w:pPr>
              <w:spacing w:after="20"/>
              <w:jc w:val="right"/>
            </w:pPr>
            <w:r>
              <w:rPr>
                <w:color w:val="1C3A36"/>
                <w:sz w:val="16"/>
              </w:rPr>
              <w:t>7,205</w:t>
            </w:r>
          </w:p>
        </w:tc>
        <w:tc>
          <w:tcPr>
            <w:tcW w:type="dxa" w:w="864"/>
          </w:tcPr>
          <w:p>
            <w:pPr>
              <w:spacing w:after="20"/>
              <w:jc w:val="right"/>
            </w:pPr>
            <w:r>
              <w:rPr>
                <w:color w:val="1C3A36"/>
                <w:sz w:val="16"/>
              </w:rPr>
              <w:t>8,206</w:t>
            </w:r>
          </w:p>
        </w:tc>
        <w:tc>
          <w:tcPr>
            <w:tcW w:type="dxa" w:w="864"/>
          </w:tcPr>
          <w:p>
            <w:pPr>
              <w:spacing w:after="20"/>
              <w:jc w:val="right"/>
            </w:pPr>
            <w:r>
              <w:rPr>
                <w:color w:val="1C3A36"/>
                <w:sz w:val="16"/>
              </w:rPr>
              <w:t>9,281</w:t>
            </w:r>
          </w:p>
        </w:tc>
        <w:tc>
          <w:tcPr>
            <w:tcW w:type="dxa" w:w="864"/>
          </w:tcPr>
          <w:p>
            <w:pPr>
              <w:spacing w:after="20"/>
              <w:jc w:val="right"/>
            </w:pPr>
            <w:r>
              <w:rPr>
                <w:color w:val="1C3A36"/>
                <w:sz w:val="16"/>
              </w:rPr>
              <w:t>10,446</w:t>
            </w:r>
          </w:p>
        </w:tc>
      </w:tr>
      <w:tr>
        <w:tc>
          <w:tcPr>
            <w:tcW w:type="dxa" w:w="2909"/>
          </w:tcPr>
          <w:p>
            <w:pPr>
              <w:spacing w:after="20"/>
            </w:pPr>
            <w:r>
              <w:rPr>
                <w:color w:val="1C3A36"/>
                <w:sz w:val="16"/>
              </w:rPr>
              <w:t>Book value per share (EGP)</w:t>
            </w:r>
          </w:p>
        </w:tc>
        <w:tc>
          <w:tcPr>
            <w:tcW w:type="dxa" w:w="864"/>
          </w:tcPr>
          <w:p>
            <w:pPr>
              <w:spacing w:after="20"/>
              <w:jc w:val="right"/>
            </w:pPr>
            <w:r>
              <w:rPr>
                <w:color w:val="1C3A36"/>
                <w:sz w:val="16"/>
              </w:rPr>
              <w:t>6.54</w:t>
            </w:r>
          </w:p>
        </w:tc>
        <w:tc>
          <w:tcPr>
            <w:tcW w:type="dxa" w:w="864"/>
          </w:tcPr>
          <w:p>
            <w:pPr>
              <w:spacing w:after="20"/>
              <w:jc w:val="right"/>
            </w:pPr>
            <w:r>
              <w:rPr>
                <w:color w:val="1C3A36"/>
                <w:sz w:val="16"/>
              </w:rPr>
              <w:t>18.31</w:t>
            </w:r>
          </w:p>
        </w:tc>
        <w:tc>
          <w:tcPr>
            <w:tcW w:type="dxa" w:w="864"/>
          </w:tcPr>
          <w:p>
            <w:pPr>
              <w:spacing w:after="20"/>
              <w:jc w:val="right"/>
            </w:pPr>
            <w:r>
              <w:rPr>
                <w:color w:val="1C3A36"/>
                <w:sz w:val="16"/>
              </w:rPr>
              <w:t>23.60</w:t>
            </w:r>
          </w:p>
        </w:tc>
        <w:tc>
          <w:tcPr>
            <w:tcW w:type="dxa" w:w="864"/>
          </w:tcPr>
          <w:p>
            <w:pPr>
              <w:spacing w:after="20"/>
              <w:jc w:val="right"/>
            </w:pPr>
            <w:r>
              <w:rPr>
                <w:color w:val="1C3A36"/>
                <w:sz w:val="16"/>
              </w:rPr>
              <w:t>23.90</w:t>
            </w:r>
          </w:p>
        </w:tc>
        <w:tc>
          <w:tcPr>
            <w:tcW w:type="dxa" w:w="864"/>
          </w:tcPr>
          <w:p>
            <w:pPr>
              <w:spacing w:after="20"/>
              <w:jc w:val="right"/>
            </w:pPr>
            <w:r>
              <w:rPr>
                <w:color w:val="1C3A36"/>
                <w:sz w:val="16"/>
              </w:rPr>
              <w:t>27.63</w:t>
            </w:r>
          </w:p>
        </w:tc>
        <w:tc>
          <w:tcPr>
            <w:tcW w:type="dxa" w:w="864"/>
          </w:tcPr>
          <w:p>
            <w:pPr>
              <w:spacing w:after="20"/>
              <w:jc w:val="right"/>
            </w:pPr>
            <w:r>
              <w:rPr>
                <w:color w:val="1C3A36"/>
                <w:sz w:val="16"/>
              </w:rPr>
              <w:t>31.46</w:t>
            </w:r>
          </w:p>
        </w:tc>
        <w:tc>
          <w:tcPr>
            <w:tcW w:type="dxa" w:w="864"/>
          </w:tcPr>
          <w:p>
            <w:pPr>
              <w:spacing w:after="20"/>
              <w:jc w:val="right"/>
            </w:pPr>
            <w:r>
              <w:rPr>
                <w:color w:val="1C3A36"/>
                <w:sz w:val="16"/>
              </w:rPr>
              <w:t>35.59</w:t>
            </w:r>
          </w:p>
        </w:tc>
        <w:tc>
          <w:tcPr>
            <w:tcW w:type="dxa" w:w="864"/>
          </w:tcPr>
          <w:p>
            <w:pPr>
              <w:spacing w:after="20"/>
              <w:jc w:val="right"/>
            </w:pPr>
            <w:r>
              <w:rPr>
                <w:color w:val="1C3A36"/>
                <w:sz w:val="16"/>
              </w:rPr>
              <w:t>40.05</w:t>
            </w:r>
          </w:p>
        </w:tc>
      </w:tr>
    </w:tbl>
    <w:p>
      <w:pPr>
        <w:spacing w:after="40"/>
      </w:pPr>
    </w:p>
    <w:p>
      <w:pPr>
        <w:spacing w:after="200" w:before="0"/>
      </w:pPr>
      <w:r>
        <w:rPr>
          <w:b w:val="0"/>
          <w:i/>
          <w:color w:val="6E7B77"/>
          <w:sz w:val="17"/>
        </w:rPr>
        <w:t>Table A2 — Balance sheet. FY2024 is the disclosed column: total assets of EGP 6,385.9 million less total liabilities of EGP 1,610.9 million closes to equity of EGP 4,775.1 million exactly. FY2025 equity is rolled forward and does not reconcile to the reported figure; see section 7.</w:t>
      </w:r>
    </w:p>
    <w:p>
      <w:pPr>
        <w:spacing w:after="80" w:before="200"/>
      </w:pPr>
      <w:r>
        <w:rPr>
          <w:b/>
          <w:i w:val="0"/>
          <w:color w:val="1C3A36"/>
          <w:sz w:val="24"/>
        </w:rPr>
        <w:t>Cash flow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73"/>
        <w:gridCol w:w="1238"/>
        <w:gridCol w:w="1238"/>
        <w:gridCol w:w="1238"/>
        <w:gridCol w:w="1238"/>
        <w:gridCol w:w="1238"/>
      </w:tblGrid>
      <w:tr>
        <w:tc>
          <w:tcPr>
            <w:tcW w:type="dxa" w:w="3773"/>
            <w:shd w:val="clear" w:color="auto" w:fill="EAF0EE"/>
          </w:tcPr>
          <w:p>
            <w:pPr>
              <w:spacing w:after="20"/>
            </w:pPr>
            <w:r>
              <w:rPr>
                <w:b/>
                <w:color w:val="1C3A36"/>
                <w:sz w:val="18"/>
              </w:rPr>
            </w:r>
          </w:p>
        </w:tc>
        <w:tc>
          <w:tcPr>
            <w:tcW w:type="dxa" w:w="1238"/>
            <w:shd w:val="clear" w:color="auto" w:fill="EAF0EE"/>
          </w:tcPr>
          <w:p>
            <w:pPr>
              <w:spacing w:after="20"/>
            </w:pPr>
            <w:r>
              <w:rPr>
                <w:b/>
                <w:color w:val="1C3A36"/>
                <w:sz w:val="18"/>
              </w:rPr>
              <w:t>FY2026E</w:t>
            </w:r>
          </w:p>
        </w:tc>
        <w:tc>
          <w:tcPr>
            <w:tcW w:type="dxa" w:w="1238"/>
            <w:shd w:val="clear" w:color="auto" w:fill="EAF0EE"/>
          </w:tcPr>
          <w:p>
            <w:pPr>
              <w:spacing w:after="20"/>
            </w:pPr>
            <w:r>
              <w:rPr>
                <w:b/>
                <w:color w:val="1C3A36"/>
                <w:sz w:val="18"/>
              </w:rPr>
              <w:t>FY2027E</w:t>
            </w:r>
          </w:p>
        </w:tc>
        <w:tc>
          <w:tcPr>
            <w:tcW w:type="dxa" w:w="1238"/>
            <w:shd w:val="clear" w:color="auto" w:fill="EAF0EE"/>
          </w:tcPr>
          <w:p>
            <w:pPr>
              <w:spacing w:after="20"/>
            </w:pPr>
            <w:r>
              <w:rPr>
                <w:b/>
                <w:color w:val="1C3A36"/>
                <w:sz w:val="18"/>
              </w:rPr>
              <w:t>FY2028E</w:t>
            </w:r>
          </w:p>
        </w:tc>
        <w:tc>
          <w:tcPr>
            <w:tcW w:type="dxa" w:w="1238"/>
            <w:shd w:val="clear" w:color="auto" w:fill="EAF0EE"/>
          </w:tcPr>
          <w:p>
            <w:pPr>
              <w:spacing w:after="20"/>
            </w:pPr>
            <w:r>
              <w:rPr>
                <w:b/>
                <w:color w:val="1C3A36"/>
                <w:sz w:val="18"/>
              </w:rPr>
              <w:t>FY2029E</w:t>
            </w:r>
          </w:p>
        </w:tc>
        <w:tc>
          <w:tcPr>
            <w:tcW w:type="dxa" w:w="1238"/>
            <w:shd w:val="clear" w:color="auto" w:fill="EAF0EE"/>
          </w:tcPr>
          <w:p>
            <w:pPr>
              <w:spacing w:after="20"/>
            </w:pPr>
            <w:r>
              <w:rPr>
                <w:b/>
                <w:color w:val="1C3A36"/>
                <w:sz w:val="18"/>
              </w:rPr>
              <w:t>FY2030E</w:t>
            </w:r>
          </w:p>
        </w:tc>
      </w:tr>
      <w:tr>
        <w:tc>
          <w:tcPr>
            <w:tcW w:type="dxa" w:w="3773"/>
          </w:tcPr>
          <w:p>
            <w:pPr>
              <w:spacing w:after="20"/>
            </w:pPr>
            <w:r>
              <w:rPr>
                <w:color w:val="1C3A36"/>
                <w:sz w:val="18"/>
              </w:rPr>
              <w:t>NOPAT</w:t>
            </w:r>
          </w:p>
        </w:tc>
        <w:tc>
          <w:tcPr>
            <w:tcW w:type="dxa" w:w="1238"/>
          </w:tcPr>
          <w:p>
            <w:pPr>
              <w:spacing w:after="20"/>
              <w:jc w:val="right"/>
            </w:pPr>
            <w:r>
              <w:rPr>
                <w:color w:val="1C3A36"/>
                <w:sz w:val="18"/>
              </w:rPr>
              <w:t>1,915</w:t>
            </w:r>
          </w:p>
        </w:tc>
        <w:tc>
          <w:tcPr>
            <w:tcW w:type="dxa" w:w="1238"/>
          </w:tcPr>
          <w:p>
            <w:pPr>
              <w:spacing w:after="20"/>
              <w:jc w:val="right"/>
            </w:pPr>
            <w:r>
              <w:rPr>
                <w:color w:val="1C3A36"/>
                <w:sz w:val="18"/>
              </w:rPr>
              <w:t>1,804</w:t>
            </w:r>
          </w:p>
        </w:tc>
        <w:tc>
          <w:tcPr>
            <w:tcW w:type="dxa" w:w="1238"/>
          </w:tcPr>
          <w:p>
            <w:pPr>
              <w:spacing w:after="20"/>
              <w:jc w:val="right"/>
            </w:pPr>
            <w:r>
              <w:rPr>
                <w:color w:val="1C3A36"/>
                <w:sz w:val="18"/>
              </w:rPr>
              <w:t>1,844</w:t>
            </w:r>
          </w:p>
        </w:tc>
        <w:tc>
          <w:tcPr>
            <w:tcW w:type="dxa" w:w="1238"/>
          </w:tcPr>
          <w:p>
            <w:pPr>
              <w:spacing w:after="20"/>
              <w:jc w:val="right"/>
            </w:pPr>
            <w:r>
              <w:rPr>
                <w:color w:val="1C3A36"/>
                <w:sz w:val="18"/>
              </w:rPr>
              <w:t>2,003</w:t>
            </w:r>
          </w:p>
        </w:tc>
        <w:tc>
          <w:tcPr>
            <w:tcW w:type="dxa" w:w="1238"/>
          </w:tcPr>
          <w:p>
            <w:pPr>
              <w:spacing w:after="20"/>
              <w:jc w:val="right"/>
            </w:pPr>
            <w:r>
              <w:rPr>
                <w:color w:val="1C3A36"/>
                <w:sz w:val="18"/>
              </w:rPr>
              <w:t>2,182</w:t>
            </w:r>
          </w:p>
        </w:tc>
      </w:tr>
      <w:tr>
        <w:tc>
          <w:tcPr>
            <w:tcW w:type="dxa" w:w="3773"/>
          </w:tcPr>
          <w:p>
            <w:pPr>
              <w:spacing w:after="20"/>
            </w:pPr>
            <w:r>
              <w:rPr>
                <w:color w:val="1C3A36"/>
                <w:sz w:val="18"/>
              </w:rPr>
              <w:t>Plus depreciation &amp; amortisation</w:t>
            </w:r>
          </w:p>
        </w:tc>
        <w:tc>
          <w:tcPr>
            <w:tcW w:type="dxa" w:w="1238"/>
          </w:tcPr>
          <w:p>
            <w:pPr>
              <w:spacing w:after="20"/>
              <w:jc w:val="right"/>
            </w:pPr>
            <w:r>
              <w:rPr>
                <w:color w:val="1C3A36"/>
                <w:sz w:val="18"/>
              </w:rPr>
              <w:t>445</w:t>
            </w:r>
          </w:p>
        </w:tc>
        <w:tc>
          <w:tcPr>
            <w:tcW w:type="dxa" w:w="1238"/>
          </w:tcPr>
          <w:p>
            <w:pPr>
              <w:spacing w:after="20"/>
              <w:jc w:val="right"/>
            </w:pPr>
            <w:r>
              <w:rPr>
                <w:color w:val="1C3A36"/>
                <w:sz w:val="18"/>
              </w:rPr>
              <w:t>464</w:t>
            </w:r>
          </w:p>
        </w:tc>
        <w:tc>
          <w:tcPr>
            <w:tcW w:type="dxa" w:w="1238"/>
          </w:tcPr>
          <w:p>
            <w:pPr>
              <w:spacing w:after="20"/>
              <w:jc w:val="right"/>
            </w:pPr>
            <w:r>
              <w:rPr>
                <w:color w:val="1C3A36"/>
                <w:sz w:val="18"/>
              </w:rPr>
              <w:t>485</w:t>
            </w:r>
          </w:p>
        </w:tc>
        <w:tc>
          <w:tcPr>
            <w:tcW w:type="dxa" w:w="1238"/>
          </w:tcPr>
          <w:p>
            <w:pPr>
              <w:spacing w:after="20"/>
              <w:jc w:val="right"/>
            </w:pPr>
            <w:r>
              <w:rPr>
                <w:color w:val="1C3A36"/>
                <w:sz w:val="18"/>
              </w:rPr>
              <w:t>509</w:t>
            </w:r>
          </w:p>
        </w:tc>
        <w:tc>
          <w:tcPr>
            <w:tcW w:type="dxa" w:w="1238"/>
          </w:tcPr>
          <w:p>
            <w:pPr>
              <w:spacing w:after="20"/>
              <w:jc w:val="right"/>
            </w:pPr>
            <w:r>
              <w:rPr>
                <w:color w:val="1C3A36"/>
                <w:sz w:val="18"/>
              </w:rPr>
              <w:t>532</w:t>
            </w:r>
          </w:p>
        </w:tc>
      </w:tr>
      <w:tr>
        <w:tc>
          <w:tcPr>
            <w:tcW w:type="dxa" w:w="3773"/>
          </w:tcPr>
          <w:p>
            <w:pPr>
              <w:spacing w:after="20"/>
            </w:pPr>
            <w:r>
              <w:rPr>
                <w:color w:val="1C3A36"/>
                <w:sz w:val="18"/>
              </w:rPr>
              <w:t>Less capital expenditure</w:t>
            </w:r>
          </w:p>
        </w:tc>
        <w:tc>
          <w:tcPr>
            <w:tcW w:type="dxa" w:w="1238"/>
          </w:tcPr>
          <w:p>
            <w:pPr>
              <w:spacing w:after="20"/>
              <w:jc w:val="right"/>
            </w:pPr>
            <w:r>
              <w:rPr>
                <w:color w:val="1C3A36"/>
                <w:sz w:val="18"/>
              </w:rPr>
              <w:t>-484</w:t>
            </w:r>
          </w:p>
        </w:tc>
        <w:tc>
          <w:tcPr>
            <w:tcW w:type="dxa" w:w="1238"/>
          </w:tcPr>
          <w:p>
            <w:pPr>
              <w:spacing w:after="20"/>
              <w:jc w:val="right"/>
            </w:pPr>
            <w:r>
              <w:rPr>
                <w:color w:val="1C3A36"/>
                <w:sz w:val="18"/>
              </w:rPr>
              <w:t>-495</w:t>
            </w:r>
          </w:p>
        </w:tc>
        <w:tc>
          <w:tcPr>
            <w:tcW w:type="dxa" w:w="1238"/>
          </w:tcPr>
          <w:p>
            <w:pPr>
              <w:spacing w:after="20"/>
              <w:jc w:val="right"/>
            </w:pPr>
            <w:r>
              <w:rPr>
                <w:color w:val="1C3A36"/>
                <w:sz w:val="18"/>
              </w:rPr>
              <w:t>-518</w:t>
            </w:r>
          </w:p>
        </w:tc>
        <w:tc>
          <w:tcPr>
            <w:tcW w:type="dxa" w:w="1238"/>
          </w:tcPr>
          <w:p>
            <w:pPr>
              <w:spacing w:after="20"/>
              <w:jc w:val="right"/>
            </w:pPr>
            <w:r>
              <w:rPr>
                <w:color w:val="1C3A36"/>
                <w:sz w:val="18"/>
              </w:rPr>
              <w:t>-545</w:t>
            </w:r>
          </w:p>
        </w:tc>
        <w:tc>
          <w:tcPr>
            <w:tcW w:type="dxa" w:w="1238"/>
          </w:tcPr>
          <w:p>
            <w:pPr>
              <w:spacing w:after="20"/>
              <w:jc w:val="right"/>
            </w:pPr>
            <w:r>
              <w:rPr>
                <w:color w:val="1C3A36"/>
                <w:sz w:val="18"/>
              </w:rPr>
              <w:t>-570</w:t>
            </w:r>
          </w:p>
        </w:tc>
      </w:tr>
      <w:tr>
        <w:tc>
          <w:tcPr>
            <w:tcW w:type="dxa" w:w="3773"/>
          </w:tcPr>
          <w:p>
            <w:pPr>
              <w:spacing w:after="20"/>
            </w:pPr>
            <w:r>
              <w:rPr>
                <w:color w:val="1C3A36"/>
                <w:sz w:val="18"/>
              </w:rPr>
              <w:t>Less change in working capital</w:t>
            </w:r>
          </w:p>
        </w:tc>
        <w:tc>
          <w:tcPr>
            <w:tcW w:type="dxa" w:w="1238"/>
          </w:tcPr>
          <w:p>
            <w:pPr>
              <w:spacing w:after="20"/>
              <w:jc w:val="right"/>
            </w:pPr>
            <w:r>
              <w:rPr>
                <w:color w:val="1C3A36"/>
                <w:sz w:val="18"/>
              </w:rPr>
              <w:t>-47</w:t>
            </w:r>
          </w:p>
        </w:tc>
        <w:tc>
          <w:tcPr>
            <w:tcW w:type="dxa" w:w="1238"/>
          </w:tcPr>
          <w:p>
            <w:pPr>
              <w:spacing w:after="20"/>
              <w:jc w:val="right"/>
            </w:pPr>
            <w:r>
              <w:rPr>
                <w:color w:val="1C3A36"/>
                <w:sz w:val="18"/>
              </w:rPr>
              <w:t>-51</w:t>
            </w:r>
          </w:p>
        </w:tc>
        <w:tc>
          <w:tcPr>
            <w:tcW w:type="dxa" w:w="1238"/>
          </w:tcPr>
          <w:p>
            <w:pPr>
              <w:spacing w:after="20"/>
              <w:jc w:val="right"/>
            </w:pPr>
            <w:r>
              <w:rPr>
                <w:color w:val="1C3A36"/>
                <w:sz w:val="18"/>
              </w:rPr>
              <w:t>-57</w:t>
            </w:r>
          </w:p>
        </w:tc>
        <w:tc>
          <w:tcPr>
            <w:tcW w:type="dxa" w:w="1238"/>
          </w:tcPr>
          <w:p>
            <w:pPr>
              <w:spacing w:after="20"/>
              <w:jc w:val="right"/>
            </w:pPr>
            <w:r>
              <w:rPr>
                <w:color w:val="1C3A36"/>
                <w:sz w:val="18"/>
              </w:rPr>
              <w:t>-65</w:t>
            </w:r>
          </w:p>
        </w:tc>
        <w:tc>
          <w:tcPr>
            <w:tcW w:type="dxa" w:w="1238"/>
          </w:tcPr>
          <w:p>
            <w:pPr>
              <w:spacing w:after="20"/>
              <w:jc w:val="right"/>
            </w:pPr>
            <w:r>
              <w:rPr>
                <w:color w:val="1C3A36"/>
                <w:sz w:val="18"/>
              </w:rPr>
              <w:t>-66</w:t>
            </w:r>
          </w:p>
        </w:tc>
      </w:tr>
      <w:tr>
        <w:tc>
          <w:tcPr>
            <w:tcW w:type="dxa" w:w="3773"/>
            <w:shd w:val="clear" w:color="auto" w:fill="F6F1E6"/>
          </w:tcPr>
          <w:p>
            <w:pPr>
              <w:spacing w:after="20"/>
            </w:pPr>
            <w:r>
              <w:rPr>
                <w:b/>
                <w:color w:val="1C3A36"/>
                <w:sz w:val="18"/>
              </w:rPr>
              <w:t>Free cash flow to the firm</w:t>
            </w:r>
          </w:p>
        </w:tc>
        <w:tc>
          <w:tcPr>
            <w:tcW w:type="dxa" w:w="1238"/>
            <w:shd w:val="clear" w:color="auto" w:fill="F6F1E6"/>
          </w:tcPr>
          <w:p>
            <w:pPr>
              <w:spacing w:after="20"/>
              <w:jc w:val="right"/>
            </w:pPr>
            <w:r>
              <w:rPr>
                <w:b/>
                <w:color w:val="1C3A36"/>
                <w:sz w:val="18"/>
              </w:rPr>
              <w:t>799</w:t>
            </w:r>
          </w:p>
        </w:tc>
        <w:tc>
          <w:tcPr>
            <w:tcW w:type="dxa" w:w="1238"/>
            <w:shd w:val="clear" w:color="auto" w:fill="F6F1E6"/>
          </w:tcPr>
          <w:p>
            <w:pPr>
              <w:spacing w:after="20"/>
              <w:jc w:val="right"/>
            </w:pPr>
            <w:r>
              <w:rPr>
                <w:b/>
                <w:color w:val="1C3A36"/>
                <w:sz w:val="18"/>
              </w:rPr>
              <w:t>1,804</w:t>
            </w:r>
          </w:p>
        </w:tc>
        <w:tc>
          <w:tcPr>
            <w:tcW w:type="dxa" w:w="1238"/>
            <w:shd w:val="clear" w:color="auto" w:fill="F6F1E6"/>
          </w:tcPr>
          <w:p>
            <w:pPr>
              <w:spacing w:after="20"/>
              <w:jc w:val="right"/>
            </w:pPr>
            <w:r>
              <w:rPr>
                <w:b/>
                <w:color w:val="1C3A36"/>
                <w:sz w:val="18"/>
              </w:rPr>
              <w:t>1,415</w:t>
            </w:r>
          </w:p>
        </w:tc>
        <w:tc>
          <w:tcPr>
            <w:tcW w:type="dxa" w:w="1238"/>
            <w:shd w:val="clear" w:color="auto" w:fill="F6F1E6"/>
          </w:tcPr>
          <w:p>
            <w:pPr>
              <w:spacing w:after="20"/>
              <w:jc w:val="right"/>
            </w:pPr>
            <w:r>
              <w:rPr>
                <w:b/>
                <w:color w:val="1C3A36"/>
                <w:sz w:val="18"/>
              </w:rPr>
              <w:t>297</w:t>
            </w:r>
          </w:p>
        </w:tc>
        <w:tc>
          <w:tcPr>
            <w:tcW w:type="dxa" w:w="1238"/>
            <w:shd w:val="clear" w:color="auto" w:fill="F6F1E6"/>
          </w:tcPr>
          <w:p>
            <w:pPr>
              <w:spacing w:after="20"/>
              <w:jc w:val="right"/>
            </w:pPr>
            <w:r>
              <w:rPr>
                <w:b/>
                <w:color w:val="1C3A36"/>
                <w:sz w:val="18"/>
              </w:rPr>
              <w:t>261</w:t>
            </w:r>
          </w:p>
        </w:tc>
      </w:tr>
      <w:tr>
        <w:tc>
          <w:tcPr>
            <w:tcW w:type="dxa" w:w="3773"/>
          </w:tcPr>
          <w:p>
            <w:pPr>
              <w:spacing w:after="20"/>
            </w:pPr>
            <w:r>
              <w:rPr>
                <w:color w:val="1C3A36"/>
                <w:sz w:val="18"/>
              </w:rPr>
              <w:t>Dividends paid</w:t>
            </w:r>
          </w:p>
        </w:tc>
        <w:tc>
          <w:tcPr>
            <w:tcW w:type="dxa" w:w="1238"/>
          </w:tcPr>
          <w:p>
            <w:pPr>
              <w:spacing w:after="20"/>
              <w:jc w:val="right"/>
            </w:pPr>
            <w:r>
              <w:rPr>
                <w:color w:val="1C3A36"/>
                <w:sz w:val="18"/>
              </w:rPr>
              <w:t>-1,489</w:t>
            </w:r>
          </w:p>
        </w:tc>
        <w:tc>
          <w:tcPr>
            <w:tcW w:type="dxa" w:w="1238"/>
          </w:tcPr>
          <w:p>
            <w:pPr>
              <w:spacing w:after="20"/>
              <w:jc w:val="right"/>
            </w:pPr>
            <w:r>
              <w:rPr>
                <w:color w:val="1C3A36"/>
                <w:sz w:val="18"/>
              </w:rPr>
              <w:t>-1,459</w:t>
            </w:r>
          </w:p>
        </w:tc>
        <w:tc>
          <w:tcPr>
            <w:tcW w:type="dxa" w:w="1238"/>
          </w:tcPr>
          <w:p>
            <w:pPr>
              <w:spacing w:after="20"/>
              <w:jc w:val="right"/>
            </w:pPr>
            <w:r>
              <w:rPr>
                <w:color w:val="1C3A36"/>
                <w:sz w:val="18"/>
              </w:rPr>
              <w:t>-1,500</w:t>
            </w:r>
          </w:p>
        </w:tc>
        <w:tc>
          <w:tcPr>
            <w:tcW w:type="dxa" w:w="1238"/>
          </w:tcPr>
          <w:p>
            <w:pPr>
              <w:spacing w:after="20"/>
              <w:jc w:val="right"/>
            </w:pPr>
            <w:r>
              <w:rPr>
                <w:color w:val="1C3A36"/>
                <w:sz w:val="18"/>
              </w:rPr>
              <w:t>-1,614</w:t>
            </w:r>
          </w:p>
        </w:tc>
        <w:tc>
          <w:tcPr>
            <w:tcW w:type="dxa" w:w="1238"/>
          </w:tcPr>
          <w:p>
            <w:pPr>
              <w:spacing w:after="20"/>
              <w:jc w:val="right"/>
            </w:pPr>
            <w:r>
              <w:rPr>
                <w:color w:val="1C3A36"/>
                <w:sz w:val="18"/>
              </w:rPr>
              <w:t>-1,747</w:t>
            </w:r>
          </w:p>
        </w:tc>
      </w:tr>
    </w:tbl>
    <w:p>
      <w:pPr>
        <w:spacing w:after="40"/>
      </w:pPr>
    </w:p>
    <w:p>
      <w:pPr>
        <w:spacing w:after="200" w:before="0"/>
      </w:pPr>
      <w:r>
        <w:rPr>
          <w:b w:val="0"/>
          <w:i/>
          <w:color w:val="6E7B77"/>
          <w:sz w:val="17"/>
        </w:rPr>
        <w:t>Table A3 — Cash flow, linked line for line to the valuation waterfall.</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Misr Beni Suef — FY2025 net sales (EGP mn)</w:t>
            </w:r>
          </w:p>
        </w:tc>
        <w:tc>
          <w:tcPr>
            <w:tcW w:type="dxa" w:w="3312"/>
          </w:tcPr>
          <w:p>
            <w:pPr>
              <w:spacing w:after="20"/>
              <w:jc w:val="right"/>
            </w:pPr>
            <w:r>
              <w:rPr>
                <w:color w:val="1C3A36"/>
                <w:sz w:val="18"/>
              </w:rPr>
              <w:t>5,700</w:t>
            </w:r>
          </w:p>
        </w:tc>
      </w:tr>
      <w:tr>
        <w:tc>
          <w:tcPr>
            <w:tcW w:type="dxa" w:w="6408"/>
          </w:tcPr>
          <w:p>
            <w:pPr>
              <w:spacing w:after="20"/>
            </w:pPr>
            <w:r>
              <w:rPr>
                <w:color w:val="1C3A36"/>
                <w:sz w:val="18"/>
              </w:rPr>
              <w:t>Misr Beni Suef — FY2025 attributable profit (EGP mn)</w:t>
            </w:r>
          </w:p>
        </w:tc>
        <w:tc>
          <w:tcPr>
            <w:tcW w:type="dxa" w:w="3312"/>
          </w:tcPr>
          <w:p>
            <w:pPr>
              <w:spacing w:after="20"/>
              <w:jc w:val="right"/>
            </w:pPr>
            <w:r>
              <w:rPr>
                <w:color w:val="1C3A36"/>
                <w:sz w:val="18"/>
              </w:rPr>
              <w:t>3,946</w:t>
            </w:r>
          </w:p>
        </w:tc>
      </w:tr>
      <w:tr>
        <w:tc>
          <w:tcPr>
            <w:tcW w:type="dxa" w:w="6408"/>
          </w:tcPr>
          <w:p>
            <w:pPr>
              <w:spacing w:after="20"/>
            </w:pPr>
            <w:r>
              <w:rPr>
                <w:color w:val="1C3A36"/>
                <w:sz w:val="18"/>
              </w:rPr>
              <w:t>Misr Beni Suef — earnings per share (EGP)</w:t>
            </w:r>
          </w:p>
        </w:tc>
        <w:tc>
          <w:tcPr>
            <w:tcW w:type="dxa" w:w="3312"/>
          </w:tcPr>
          <w:p>
            <w:pPr>
              <w:spacing w:after="20"/>
              <w:jc w:val="right"/>
            </w:pPr>
            <w:r>
              <w:rPr>
                <w:color w:val="1C3A36"/>
                <w:sz w:val="18"/>
              </w:rPr>
              <w:t>61.25</w:t>
            </w:r>
          </w:p>
        </w:tc>
      </w:tr>
      <w:tr>
        <w:tc>
          <w:tcPr>
            <w:tcW w:type="dxa" w:w="6408"/>
          </w:tcPr>
          <w:p>
            <w:pPr>
              <w:spacing w:after="20"/>
            </w:pPr>
            <w:r>
              <w:rPr>
                <w:color w:val="1C3A36"/>
                <w:sz w:val="18"/>
              </w:rPr>
              <w:t>Misr Beni Suef — market capitalisation (EGP mn)</w:t>
            </w:r>
          </w:p>
        </w:tc>
        <w:tc>
          <w:tcPr>
            <w:tcW w:type="dxa" w:w="3312"/>
          </w:tcPr>
          <w:p>
            <w:pPr>
              <w:spacing w:after="20"/>
              <w:jc w:val="right"/>
            </w:pPr>
            <w:r>
              <w:rPr>
                <w:color w:val="1C3A36"/>
                <w:sz w:val="18"/>
              </w:rPr>
              <w:t>13,730</w:t>
            </w:r>
          </w:p>
        </w:tc>
      </w:tr>
      <w:tr>
        <w:tc>
          <w:tcPr>
            <w:tcW w:type="dxa" w:w="6408"/>
          </w:tcPr>
          <w:p>
            <w:pPr>
              <w:spacing w:after="20"/>
            </w:pPr>
            <w:r>
              <w:rPr>
                <w:color w:val="1C3A36"/>
                <w:sz w:val="18"/>
              </w:rPr>
              <w:t>Misr Beni Suef — trailing price/earnings</w:t>
            </w:r>
          </w:p>
        </w:tc>
        <w:tc>
          <w:tcPr>
            <w:tcW w:type="dxa" w:w="3312"/>
          </w:tcPr>
          <w:p>
            <w:pPr>
              <w:spacing w:after="20"/>
              <w:jc w:val="right"/>
            </w:pPr>
            <w:r>
              <w:rPr>
                <w:color w:val="1C3A36"/>
                <w:sz w:val="18"/>
              </w:rPr>
              <w:t>3.48x</w:t>
            </w:r>
          </w:p>
        </w:tc>
      </w:tr>
      <w:tr>
        <w:tc>
          <w:tcPr>
            <w:tcW w:type="dxa" w:w="6408"/>
          </w:tcPr>
          <w:p>
            <w:pPr>
              <w:spacing w:after="20"/>
            </w:pPr>
            <w:r>
              <w:rPr>
                <w:color w:val="1C3A36"/>
                <w:sz w:val="18"/>
              </w:rPr>
              <w:t>Misr Beni Suef — EV/EBITDA</w:t>
            </w:r>
          </w:p>
        </w:tc>
        <w:tc>
          <w:tcPr>
            <w:tcW w:type="dxa" w:w="3312"/>
          </w:tcPr>
          <w:p>
            <w:pPr>
              <w:spacing w:after="20"/>
              <w:jc w:val="right"/>
            </w:pPr>
            <w:r>
              <w:rPr>
                <w:color w:val="1C3A36"/>
                <w:sz w:val="18"/>
              </w:rPr>
              <w:t>5.03x</w:t>
            </w:r>
          </w:p>
        </w:tc>
      </w:tr>
      <w:tr>
        <w:tc>
          <w:tcPr>
            <w:tcW w:type="dxa" w:w="6408"/>
          </w:tcPr>
          <w:p>
            <w:pPr>
              <w:spacing w:after="20"/>
            </w:pPr>
            <w:r>
              <w:rPr>
                <w:color w:val="1C3A36"/>
                <w:sz w:val="18"/>
              </w:rPr>
              <w:t>Arabian Cement — FY2025 consolidated profit (EGP mn)</w:t>
            </w:r>
          </w:p>
        </w:tc>
        <w:tc>
          <w:tcPr>
            <w:tcW w:type="dxa" w:w="3312"/>
          </w:tcPr>
          <w:p>
            <w:pPr>
              <w:spacing w:after="20"/>
              <w:jc w:val="right"/>
            </w:pPr>
            <w:r>
              <w:rPr>
                <w:color w:val="1C3A36"/>
                <w:sz w:val="18"/>
              </w:rPr>
              <w:t>3,600</w:t>
            </w:r>
          </w:p>
        </w:tc>
      </w:tr>
    </w:tbl>
    <w:p>
      <w:pPr>
        <w:spacing w:after="40"/>
      </w:pPr>
    </w:p>
    <w:p>
      <w:pPr>
        <w:spacing w:after="200" w:before="0"/>
      </w:pPr>
      <w:r>
        <w:rPr>
          <w:b w:val="0"/>
          <w:i/>
          <w:color w:val="6E7B77"/>
          <w:sz w:val="17"/>
        </w:rPr>
        <w:t>Table B1 — The named Egyptian listed comparators.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Million tonnes a year</w:t>
            </w:r>
          </w:p>
        </w:tc>
      </w:tr>
      <w:tr>
        <w:tc>
          <w:tcPr>
            <w:tcW w:type="dxa" w:w="6408"/>
          </w:tcPr>
          <w:p>
            <w:pPr>
              <w:spacing w:after="20"/>
            </w:pPr>
            <w:r>
              <w:rPr>
                <w:color w:val="1C3A36"/>
                <w:sz w:val="18"/>
              </w:rPr>
              <w:t>Egyptian nameplate capacity</w:t>
            </w:r>
          </w:p>
        </w:tc>
        <w:tc>
          <w:tcPr>
            <w:tcW w:type="dxa" w:w="3312"/>
          </w:tcPr>
          <w:p>
            <w:pPr>
              <w:spacing w:after="20"/>
              <w:jc w:val="right"/>
            </w:pPr>
            <w:r>
              <w:rPr>
                <w:color w:val="1C3A36"/>
                <w:sz w:val="18"/>
              </w:rPr>
              <w:t>76.0</w:t>
            </w:r>
          </w:p>
        </w:tc>
      </w:tr>
      <w:tr>
        <w:tc>
          <w:tcPr>
            <w:tcW w:type="dxa" w:w="6408"/>
          </w:tcPr>
          <w:p>
            <w:pPr>
              <w:spacing w:after="20"/>
            </w:pPr>
            <w:r>
              <w:rPr>
                <w:color w:val="1C3A36"/>
                <w:sz w:val="18"/>
              </w:rPr>
              <w:t>Production, 2025</w:t>
            </w:r>
          </w:p>
        </w:tc>
        <w:tc>
          <w:tcPr>
            <w:tcW w:type="dxa" w:w="3312"/>
          </w:tcPr>
          <w:p>
            <w:pPr>
              <w:spacing w:after="20"/>
              <w:jc w:val="right"/>
            </w:pPr>
            <w:r>
              <w:rPr>
                <w:color w:val="1C3A36"/>
                <w:sz w:val="18"/>
              </w:rPr>
              <w:t>65.0</w:t>
            </w:r>
          </w:p>
        </w:tc>
      </w:tr>
      <w:tr>
        <w:tc>
          <w:tcPr>
            <w:tcW w:type="dxa" w:w="6408"/>
          </w:tcPr>
          <w:p>
            <w:pPr>
              <w:spacing w:after="20"/>
            </w:pPr>
            <w:r>
              <w:rPr>
                <w:color w:val="1C3A36"/>
                <w:sz w:val="18"/>
              </w:rPr>
              <w:t>Domestic consumption, 2025</w:t>
            </w:r>
          </w:p>
        </w:tc>
        <w:tc>
          <w:tcPr>
            <w:tcW w:type="dxa" w:w="3312"/>
          </w:tcPr>
          <w:p>
            <w:pPr>
              <w:spacing w:after="20"/>
              <w:jc w:val="right"/>
            </w:pPr>
            <w:r>
              <w:rPr>
                <w:color w:val="1C3A36"/>
                <w:sz w:val="18"/>
              </w:rPr>
              <w:t>54.0</w:t>
            </w:r>
          </w:p>
        </w:tc>
      </w:tr>
      <w:tr>
        <w:tc>
          <w:tcPr>
            <w:tcW w:type="dxa" w:w="6408"/>
          </w:tcPr>
          <w:p>
            <w:pPr>
              <w:spacing w:after="20"/>
            </w:pPr>
            <w:r>
              <w:rPr>
                <w:color w:val="1C3A36"/>
                <w:sz w:val="18"/>
              </w:rPr>
              <w:t>Exports, 2025</w:t>
            </w:r>
          </w:p>
        </w:tc>
        <w:tc>
          <w:tcPr>
            <w:tcW w:type="dxa" w:w="3312"/>
          </w:tcPr>
          <w:p>
            <w:pPr>
              <w:spacing w:after="20"/>
              <w:jc w:val="right"/>
            </w:pPr>
            <w:r>
              <w:rPr>
                <w:color w:val="1C3A36"/>
                <w:sz w:val="18"/>
              </w:rPr>
              <w:t>18.5</w:t>
            </w:r>
          </w:p>
        </w:tc>
      </w:tr>
      <w:tr>
        <w:tc>
          <w:tcPr>
            <w:tcW w:type="dxa" w:w="6408"/>
          </w:tcPr>
          <w:p>
            <w:pPr>
              <w:spacing w:after="20"/>
            </w:pPr>
            <w:r>
              <w:rPr>
                <w:color w:val="1C3A36"/>
                <w:sz w:val="18"/>
              </w:rPr>
              <w:t>Dormant capacity under revival from 2H-2026</w:t>
            </w:r>
          </w:p>
        </w:tc>
        <w:tc>
          <w:tcPr>
            <w:tcW w:type="dxa" w:w="3312"/>
          </w:tcPr>
          <w:p>
            <w:pPr>
              <w:spacing w:after="20"/>
              <w:jc w:val="right"/>
            </w:pPr>
            <w:r>
              <w:rPr>
                <w:color w:val="1C3A36"/>
                <w:sz w:val="18"/>
              </w:rPr>
              <w:t>12.6</w:t>
            </w:r>
          </w:p>
        </w:tc>
      </w:tr>
      <w:tr>
        <w:tc>
          <w:tcPr>
            <w:tcW w:type="dxa" w:w="6408"/>
          </w:tcPr>
          <w:p>
            <w:pPr>
              <w:spacing w:after="20"/>
            </w:pPr>
            <w:r>
              <w:rPr>
                <w:color w:val="1C3A36"/>
                <w:sz w:val="18"/>
              </w:rPr>
              <w:t>Sinai Cement capacity</w:t>
            </w:r>
          </w:p>
        </w:tc>
        <w:tc>
          <w:tcPr>
            <w:tcW w:type="dxa" w:w="3312"/>
          </w:tcPr>
          <w:p>
            <w:pPr>
              <w:spacing w:after="20"/>
              <w:jc w:val="right"/>
            </w:pPr>
            <w:r>
              <w:rPr>
                <w:color w:val="1C3A36"/>
                <w:sz w:val="18"/>
              </w:rPr>
              <w:t>3.8</w:t>
            </w:r>
          </w:p>
        </w:tc>
      </w:tr>
      <w:tr>
        <w:tc>
          <w:tcPr>
            <w:tcW w:type="dxa" w:w="6408"/>
          </w:tcPr>
          <w:p>
            <w:pPr>
              <w:spacing w:after="20"/>
            </w:pPr>
            <w:r>
              <w:rPr>
                <w:color w:val="1C3A36"/>
                <w:sz w:val="18"/>
              </w:rPr>
              <w:t>Sinai Cement share of Egyptian capacity</w:t>
            </w:r>
          </w:p>
        </w:tc>
        <w:tc>
          <w:tcPr>
            <w:tcW w:type="dxa" w:w="3312"/>
          </w:tcPr>
          <w:p>
            <w:pPr>
              <w:spacing w:after="20"/>
              <w:jc w:val="right"/>
            </w:pPr>
            <w:r>
              <w:rPr>
                <w:color w:val="1C3A36"/>
                <w:sz w:val="18"/>
              </w:rPr>
              <w:t>5.0%</w:t>
            </w:r>
          </w:p>
        </w:tc>
      </w:tr>
      <w:tr>
        <w:tc>
          <w:tcPr>
            <w:tcW w:type="dxa" w:w="6408"/>
          </w:tcPr>
          <w:p>
            <w:pPr>
              <w:spacing w:after="20"/>
            </w:pPr>
            <w:r>
              <w:rPr>
                <w:color w:val="1C3A36"/>
                <w:sz w:val="18"/>
              </w:rPr>
              <w:t>Revival capacity as a share of consumption</w:t>
            </w:r>
          </w:p>
        </w:tc>
        <w:tc>
          <w:tcPr>
            <w:tcW w:type="dxa" w:w="3312"/>
          </w:tcPr>
          <w:p>
            <w:pPr>
              <w:spacing w:after="20"/>
              <w:jc w:val="right"/>
            </w:pPr>
            <w:r>
              <w:rPr>
                <w:color w:val="1C3A36"/>
                <w:sz w:val="18"/>
              </w:rPr>
              <w:t>23.3%</w:t>
            </w:r>
          </w:p>
        </w:tc>
      </w:tr>
    </w:tbl>
    <w:p>
      <w:pPr>
        <w:spacing w:after="40"/>
      </w:pPr>
    </w:p>
    <w:p>
      <w:pPr>
        <w:spacing w:after="200" w:before="0"/>
      </w:pPr>
      <w:r>
        <w:rPr>
          <w:b w:val="0"/>
          <w:i/>
          <w:color w:val="6E7B77"/>
          <w:sz w:val="17"/>
        </w:rPr>
        <w:t>Table B2 — Sector structure. The surplus between capacity and consumption is the sector case in one number.</w:t>
      </w:r>
    </w:p>
    <w:p>
      <w:pPr>
        <w:spacing w:after="80" w:before="200"/>
      </w:pPr>
      <w:r>
        <w:rPr>
          <w:b/>
          <w:i w:val="0"/>
          <w:color w:val="1C3A36"/>
          <w:sz w:val="24"/>
        </w:rPr>
        <w:t>Principal risks</w:t>
      </w:r>
    </w:p>
    <w:p>
      <w:pPr>
        <w:pStyle w:val="ListBullet"/>
        <w:spacing w:after="60"/>
      </w:pPr>
      <w:r>
        <w:rPr>
          <w:b/>
          <w:color w:val="1C3A36"/>
          <w:sz w:val="21"/>
        </w:rPr>
        <w:t xml:space="preserve">Supply. </w:t>
      </w:r>
      <w:r>
        <w:rPr>
          <w:color w:val="1C3A36"/>
          <w:sz w:val="21"/>
        </w:rPr>
        <w:t>A structural surplus of capacity over domestic consumption, with a large block of dormant capacity able to restart cheaply.</w:t>
      </w:r>
    </w:p>
    <w:p>
      <w:pPr>
        <w:pStyle w:val="ListBullet"/>
        <w:spacing w:after="60"/>
      </w:pPr>
      <w:r>
        <w:rPr>
          <w:b/>
          <w:color w:val="1C3A36"/>
          <w:sz w:val="21"/>
        </w:rPr>
        <w:t xml:space="preserve">Concentration. </w:t>
      </w:r>
      <w:r>
        <w:rPr>
          <w:color w:val="1C3A36"/>
          <w:sz w:val="21"/>
        </w:rPr>
        <w:t>One plant, one country, one product. There is no diversification anywhere in this business.</w:t>
      </w:r>
    </w:p>
    <w:p>
      <w:pPr>
        <w:pStyle w:val="ListBullet"/>
        <w:spacing w:after="60"/>
      </w:pPr>
      <w:r>
        <w:rPr>
          <w:b/>
          <w:color w:val="1C3A36"/>
          <w:sz w:val="21"/>
        </w:rPr>
        <w:t xml:space="preserve">Location. </w:t>
      </w:r>
      <w:r>
        <w:rPr>
          <w:color w:val="1C3A36"/>
          <w:sz w:val="21"/>
        </w:rPr>
        <w:t>North Sinai carries a security and logistics profile that most Egyptian industrial assets do not, and the plant is distant from the main demand centres.</w:t>
      </w:r>
    </w:p>
    <w:p>
      <w:pPr>
        <w:pStyle w:val="ListBullet"/>
        <w:spacing w:after="60"/>
      </w:pPr>
      <w:r>
        <w:rPr>
          <w:b/>
          <w:color w:val="1C3A36"/>
          <w:sz w:val="21"/>
        </w:rPr>
        <w:t xml:space="preserve">Energy. </w:t>
      </w:r>
      <w:r>
        <w:rPr>
          <w:color w:val="1C3A36"/>
          <w:sz w:val="21"/>
        </w:rPr>
        <w:t>Phased subsidy reform raises the cash cost of production independently of global fuel prices.</w:t>
      </w:r>
    </w:p>
    <w:p>
      <w:pPr>
        <w:pStyle w:val="ListBullet"/>
        <w:spacing w:after="60"/>
      </w:pPr>
      <w:r>
        <w:rPr>
          <w:b/>
          <w:color w:val="1C3A36"/>
          <w:sz w:val="21"/>
        </w:rPr>
        <w:t xml:space="preserve">Currency. </w:t>
      </w:r>
      <w:r>
        <w:rPr>
          <w:color w:val="1C3A36"/>
          <w:sz w:val="21"/>
        </w:rPr>
        <w:t>Revenue and costs are overwhelmingly in Egyptian pounds, but equipment, spares and any future capacity are priced in hard currency.</w:t>
      </w:r>
    </w:p>
    <w:p>
      <w:pPr>
        <w:pStyle w:val="ListBullet"/>
        <w:spacing w:after="60"/>
      </w:pPr>
      <w:r>
        <w:rPr>
          <w:b/>
          <w:color w:val="1C3A36"/>
          <w:sz w:val="21"/>
        </w:rPr>
        <w:t xml:space="preserve">Minority position. </w:t>
      </w:r>
      <w:r>
        <w:rPr>
          <w:color w:val="1C3A36"/>
          <w:sz w:val="21"/>
        </w:rPr>
        <w:t>A 22.4% float under a 77.6% controlling shareholder, in a security that does not trade on nearly a third of sessions.</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76.49 to EGP 98.26, central EGP 87.37 (+10.6% against the market price of EGP 79.00).</w:t>
      </w:r>
    </w:p>
    <w:p>
      <w:pPr>
        <w:spacing w:after="120" w:before="0"/>
      </w:pPr>
      <w:r>
        <w:rPr>
          <w:b w:val="0"/>
          <w:i w:val="0"/>
          <w:color w:val="1C3A36"/>
          <w:sz w:val="21"/>
        </w:rPr>
        <w:t>Values the plant, not the earnings stream. A 3.8Mt grey-cement plant costs about USD 130 per annual tonne to build; nobody pays replacement cost for capacity in a market carrying 76Mt against 54Mt of consumption. The market pays USD 83/t.</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restarting a mothballed line costs a fraction of building one, which is why this lens is a ceiling and not a floor — and why it now carries 8% of the weight rather than 15%.</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52.44 to EGP 63.77, central EGP 58.10 (-26.5% against the market price of EGP 79.00).</w:t>
      </w:r>
    </w:p>
    <w:p>
      <w:pPr>
        <w:spacing w:after="120" w:before="0"/>
      </w:pPr>
      <w:r>
        <w:rPr>
          <w:b w:val="0"/>
          <w:i w:val="0"/>
          <w:color w:val="1C3A36"/>
          <w:sz w:val="21"/>
        </w:rPr>
        <w:t>Refuses to capitalise a peak, and now refuses it on BOTH legs: the margin is normalised to 27.8% and the revenue base is cut 8% because FY2025 embeds the post-quota price spike.</w:t>
      </w:r>
    </w:p>
    <w:p>
      <w:pPr>
        <w:spacing w:after="120" w:before="0"/>
      </w:pPr>
      <w:r>
        <w:rPr>
          <w:b/>
          <w:i w:val="0"/>
          <w:color w:val="896F36"/>
          <w:sz w:val="21"/>
        </w:rPr>
        <w:t xml:space="preserve">What would prove this wrong: </w:t>
      </w:r>
      <w:r>
        <w:rPr>
          <w:b w:val="0"/>
          <w:i w:val="0"/>
          <w:color w:val="1C3A36"/>
          <w:sz w:val="21"/>
        </w:rPr>
        <w:t>Two consecutive years of realised prices above EGP 3,900/t WITH the revival proceeding would prove the mid-cycle base too low.</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34.39 to EGP 43.50, central EGP 37.93 (-52.0% against the market price of EGP 79.00).</w:t>
      </w:r>
    </w:p>
    <w:p>
      <w:pPr>
        <w:spacing w:after="120" w:before="0"/>
      </w:pPr>
      <w:r>
        <w:rPr>
          <w:b w:val="0"/>
          <w:i w:val="0"/>
          <w:color w:val="1C3A36"/>
          <w:sz w:val="21"/>
        </w:rPr>
        <w:t>Starts from the balance sheet. Net cash of EGP 4.9bn is 24% of the market capitalisation and 43% of fair equity value. Terminal return on capital of 9.3% sits below the 19.0% cost of capital, so growth destroys value and the right policy is to harvest and distribute.</w:t>
      </w:r>
    </w:p>
    <w:p>
      <w:pPr>
        <w:spacing w:after="120" w:before="0"/>
      </w:pPr>
      <w:r>
        <w:rPr>
          <w:b/>
          <w:i w:val="0"/>
          <w:color w:val="896F36"/>
          <w:sz w:val="21"/>
        </w:rPr>
        <w:t xml:space="preserve">What would prove this wrong: </w:t>
      </w:r>
      <w:r>
        <w:rPr>
          <w:b w:val="0"/>
          <w:i w:val="0"/>
          <w:color w:val="1C3A36"/>
          <w:sz w:val="21"/>
        </w:rPr>
        <w:t>The lens rests on the cash being distributable. Vicat holds 77.6% and a minority cannot force a dividend. If none is declared on FY2026 profits, or the cash funds expansion into a glut, it is worth less than face.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76.49</w:t>
            </w:r>
          </w:p>
        </w:tc>
        <w:tc>
          <w:tcPr>
            <w:tcW w:type="dxa" w:w="1656"/>
          </w:tcPr>
          <w:p>
            <w:pPr>
              <w:spacing w:after="20"/>
              <w:jc w:val="right"/>
            </w:pPr>
            <w:r>
              <w:rPr>
                <w:color w:val="1C3A36"/>
                <w:sz w:val="18"/>
              </w:rPr>
              <w:t>87.37</w:t>
            </w:r>
          </w:p>
        </w:tc>
        <w:tc>
          <w:tcPr>
            <w:tcW w:type="dxa" w:w="1469"/>
          </w:tcPr>
          <w:p>
            <w:pPr>
              <w:spacing w:after="20"/>
              <w:jc w:val="right"/>
            </w:pPr>
            <w:r>
              <w:rPr>
                <w:color w:val="1C3A36"/>
                <w:sz w:val="18"/>
              </w:rPr>
              <w:t>98.26</w:t>
            </w:r>
          </w:p>
        </w:tc>
        <w:tc>
          <w:tcPr>
            <w:tcW w:type="dxa" w:w="1354"/>
          </w:tcPr>
          <w:p>
            <w:pPr>
              <w:spacing w:after="20"/>
              <w:jc w:val="right"/>
            </w:pPr>
            <w:r>
              <w:rPr>
                <w:color w:val="1C3A36"/>
                <w:sz w:val="18"/>
              </w:rPr>
              <w:t>+10.6%</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52.44</w:t>
            </w:r>
          </w:p>
        </w:tc>
        <w:tc>
          <w:tcPr>
            <w:tcW w:type="dxa" w:w="1656"/>
          </w:tcPr>
          <w:p>
            <w:pPr>
              <w:spacing w:after="20"/>
              <w:jc w:val="right"/>
            </w:pPr>
            <w:r>
              <w:rPr>
                <w:color w:val="1C3A36"/>
                <w:sz w:val="18"/>
              </w:rPr>
              <w:t>58.10</w:t>
            </w:r>
          </w:p>
        </w:tc>
        <w:tc>
          <w:tcPr>
            <w:tcW w:type="dxa" w:w="1469"/>
          </w:tcPr>
          <w:p>
            <w:pPr>
              <w:spacing w:after="20"/>
              <w:jc w:val="right"/>
            </w:pPr>
            <w:r>
              <w:rPr>
                <w:color w:val="1C3A36"/>
                <w:sz w:val="18"/>
              </w:rPr>
              <w:t>63.77</w:t>
            </w:r>
          </w:p>
        </w:tc>
        <w:tc>
          <w:tcPr>
            <w:tcW w:type="dxa" w:w="1354"/>
          </w:tcPr>
          <w:p>
            <w:pPr>
              <w:spacing w:after="20"/>
              <w:jc w:val="right"/>
            </w:pPr>
            <w:r>
              <w:rPr>
                <w:color w:val="1C3A36"/>
                <w:sz w:val="18"/>
              </w:rPr>
              <w:t>-26.5%</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34.39</w:t>
            </w:r>
          </w:p>
        </w:tc>
        <w:tc>
          <w:tcPr>
            <w:tcW w:type="dxa" w:w="1656"/>
          </w:tcPr>
          <w:p>
            <w:pPr>
              <w:spacing w:after="20"/>
              <w:jc w:val="right"/>
            </w:pPr>
            <w:r>
              <w:rPr>
                <w:color w:val="1C3A36"/>
                <w:sz w:val="18"/>
              </w:rPr>
              <w:t>37.93</w:t>
            </w:r>
          </w:p>
        </w:tc>
        <w:tc>
          <w:tcPr>
            <w:tcW w:type="dxa" w:w="1469"/>
          </w:tcPr>
          <w:p>
            <w:pPr>
              <w:spacing w:after="20"/>
              <w:jc w:val="right"/>
            </w:pPr>
            <w:r>
              <w:rPr>
                <w:color w:val="1C3A36"/>
                <w:sz w:val="18"/>
              </w:rPr>
              <w:t>43.50</w:t>
            </w:r>
          </w:p>
        </w:tc>
        <w:tc>
          <w:tcPr>
            <w:tcW w:type="dxa" w:w="1354"/>
          </w:tcPr>
          <w:p>
            <w:pPr>
              <w:spacing w:after="20"/>
              <w:jc w:val="right"/>
            </w:pPr>
            <w:r>
              <w:rPr>
                <w:color w:val="1C3A36"/>
                <w:sz w:val="18"/>
              </w:rPr>
              <w:t>-52.0%</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58.10</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-26.5%</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