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2 September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5"/>
        <w:gridCol w:w="1814"/>
        <w:gridCol w:w="2041"/>
        <w:gridCol w:w="3062"/>
      </w:tblGrid>
      <w:tr>
        <w:trPr>
          <w:tblHeader w:val="true"/>
        </w:trP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rPr>
          <w:cantSplit/>
        </w:trP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rPr>
          <w:cantSplit/>
        </w:trP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rPr>
          <w:cantSplit/>
        </w:trP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rPr>
          <w:cantSplit/>
        </w:trPr>
        <w:tc>
          <w:tcPr>
            <w:tcW w:type="dxa" w:w="2494"/>
          </w:tcPr>
          <w:p>
            <w:r/>
            <w:r>
              <w:rPr>
                <w:color w:val="1A1D21"/>
                <w:sz w:val="17"/>
              </w:rPr>
              <w:t>Consolidated financial statements (reviewed)</w:t>
            </w:r>
          </w:p>
        </w:tc>
        <w:tc>
          <w:tcPr>
            <w:tcW w:type="dxa" w:w="1814"/>
          </w:tcPr>
          <w:p>
            <w:r/>
            <w:r>
              <w:rPr>
                <w:color w:val="1A1D21"/>
                <w:sz w:val="17"/>
              </w:rPr>
              <w:t>1Q2026 — 31 March 2026</w:t>
            </w:r>
          </w:p>
        </w:tc>
        <w:tc>
          <w:tcPr>
            <w:tcW w:type="dxa" w:w="2041"/>
          </w:tcPr>
          <w:p>
            <w:r/>
            <w:r>
              <w:rPr>
                <w:color w:val="1A1D21"/>
                <w:sz w:val="17"/>
              </w:rPr>
              <w:t>Palm Hills Developments</w:t>
            </w:r>
          </w:p>
        </w:tc>
        <w:tc>
          <w:tcPr>
            <w:tcW w:type="dxa" w:w="3061"/>
          </w:tcPr>
          <w:p>
            <w:r/>
            <w:r>
              <w:rPr>
                <w:color w:val="1A1D21"/>
                <w:sz w:val="17"/>
              </w:rPr>
              <w:t>the most recent reported quarter, and the balance sheet the bridge, the book value and the borrowings stand on (a scan; figures read off the rendered pages and held to the statement's own subtotals)</w:t>
            </w:r>
          </w:p>
        </w:tc>
      </w:tr>
      <w:tr>
        <w:trPr>
          <w:cantSplit/>
        </w:trP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rPr>
          <w:cantSplit/>
        </w:trP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rPr>
          <w:cantSplit/>
        </w:trP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rPr>
          <w:cantSplit/>
        </w:trP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rPr>
          <w:cantSplit/>
        </w:trP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rPr>
          <w:cantSplit/>
        </w:trP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balance sheet, 31 March 2026 (reviewed)</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accounts receivable 1q26</w:t>
            </w:r>
          </w:p>
        </w:tc>
        <w:tc>
          <w:tcPr>
            <w:tcW w:type="dxa" w:w="1191"/>
          </w:tcPr>
          <w:p>
            <w:pPr>
              <w:jc w:val="right"/>
            </w:pPr>
            <w:r/>
            <w:r>
              <w:rPr>
                <w:color w:val="1A1D21"/>
                <w:sz w:val="15"/>
              </w:rPr>
              <w:t>30,481.0103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 pmts investments 1q26</w:t>
            </w:r>
          </w:p>
        </w:tc>
        <w:tc>
          <w:tcPr>
            <w:tcW w:type="dxa" w:w="1191"/>
          </w:tcPr>
          <w:p>
            <w:pPr>
              <w:jc w:val="right"/>
            </w:pPr>
            <w:r/>
            <w:r>
              <w:rPr>
                <w:color w:val="1A1D21"/>
                <w:sz w:val="15"/>
              </w:rPr>
              <w:t>26.8649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advances customers 1q26</w:t>
            </w:r>
          </w:p>
        </w:tc>
        <w:tc>
          <w:tcPr>
            <w:tcW w:type="dxa" w:w="1191"/>
          </w:tcPr>
          <w:p>
            <w:pPr>
              <w:jc w:val="right"/>
            </w:pPr>
            <w:r/>
            <w:r>
              <w:rPr>
                <w:color w:val="1A1D21"/>
                <w:sz w:val="15"/>
              </w:rPr>
              <w:t>72,867.8316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banks credit balances 1q26</w:t>
            </w:r>
          </w:p>
        </w:tc>
        <w:tc>
          <w:tcPr>
            <w:tcW w:type="dxa" w:w="1191"/>
          </w:tcPr>
          <w:p>
            <w:pPr>
              <w:jc w:val="right"/>
            </w:pPr>
            <w:r/>
            <w:r>
              <w:rPr>
                <w:color w:val="1A1D21"/>
                <w:sz w:val="15"/>
              </w:rPr>
              <w:t>1,205.9107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cash 1q26</w:t>
            </w:r>
          </w:p>
        </w:tc>
        <w:tc>
          <w:tcPr>
            <w:tcW w:type="dxa" w:w="1191"/>
          </w:tcPr>
          <w:p>
            <w:pPr>
              <w:jc w:val="right"/>
            </w:pPr>
            <w:r/>
            <w:r>
              <w:rPr>
                <w:color w:val="1A1D21"/>
                <w:sz w:val="15"/>
              </w:rPr>
              <w:t>9,125.1282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checks undelivered 1q26</w:t>
            </w:r>
          </w:p>
        </w:tc>
        <w:tc>
          <w:tcPr>
            <w:tcW w:type="dxa" w:w="1191"/>
          </w:tcPr>
          <w:p>
            <w:pPr>
              <w:jc w:val="right"/>
            </w:pPr>
            <w:r/>
            <w:r>
              <w:rPr>
                <w:color w:val="1A1D21"/>
                <w:sz w:val="15"/>
              </w:rPr>
              <w:t>2,230.7542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 facilities 1q26</w:t>
            </w:r>
          </w:p>
        </w:tc>
        <w:tc>
          <w:tcPr>
            <w:tcW w:type="dxa" w:w="1191"/>
          </w:tcPr>
          <w:p>
            <w:pPr>
              <w:jc w:val="right"/>
            </w:pPr>
            <w:r/>
            <w:r>
              <w:rPr>
                <w:color w:val="1A1D21"/>
                <w:sz w:val="15"/>
              </w:rPr>
              <w:t>11,938.7072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creditors other 1q26</w:t>
            </w:r>
          </w:p>
        </w:tc>
        <w:tc>
          <w:tcPr>
            <w:tcW w:type="dxa" w:w="1191"/>
          </w:tcPr>
          <w:p>
            <w:pPr>
              <w:jc w:val="right"/>
            </w:pPr>
            <w:r/>
            <w:r>
              <w:rPr>
                <w:color w:val="1A1D21"/>
                <w:sz w:val="15"/>
              </w:rPr>
              <w:t>4,650.0674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current portion st loans 1q26</w:t>
            </w:r>
          </w:p>
        </w:tc>
        <w:tc>
          <w:tcPr>
            <w:tcW w:type="dxa" w:w="1191"/>
          </w:tcPr>
          <w:p>
            <w:pPr>
              <w:jc w:val="right"/>
            </w:pPr>
            <w:r/>
            <w:r>
              <w:rPr>
                <w:color w:val="1A1D21"/>
                <w:sz w:val="15"/>
              </w:rPr>
              <w:t>686.9303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debtors other 1q26</w:t>
            </w:r>
          </w:p>
        </w:tc>
        <w:tc>
          <w:tcPr>
            <w:tcW w:type="dxa" w:w="1191"/>
          </w:tcPr>
          <w:p>
            <w:pPr>
              <w:jc w:val="right"/>
            </w:pPr>
            <w:r/>
            <w:r>
              <w:rPr>
                <w:color w:val="1A1D21"/>
                <w:sz w:val="15"/>
              </w:rPr>
              <w:t>13,969.6259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revenue 1q26</w:t>
            </w:r>
          </w:p>
        </w:tc>
        <w:tc>
          <w:tcPr>
            <w:tcW w:type="dxa" w:w="1191"/>
          </w:tcPr>
          <w:p>
            <w:pPr>
              <w:jc w:val="right"/>
            </w:pPr>
            <w:r/>
            <w:r>
              <w:rPr>
                <w:color w:val="1A1D21"/>
                <w:sz w:val="15"/>
              </w:rPr>
              <w:t>345.8485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asset 1q26</w:t>
            </w:r>
          </w:p>
        </w:tc>
        <w:tc>
          <w:tcPr>
            <w:tcW w:type="dxa" w:w="1191"/>
          </w:tcPr>
          <w:p>
            <w:pPr>
              <w:jc w:val="right"/>
            </w:pPr>
            <w:r/>
            <w:r>
              <w:rPr>
                <w:color w:val="1A1D21"/>
                <w:sz w:val="15"/>
              </w:rPr>
              <w:t>101.5389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deferred tax liab 1q26</w:t>
            </w:r>
          </w:p>
        </w:tc>
        <w:tc>
          <w:tcPr>
            <w:tcW w:type="dxa" w:w="1191"/>
          </w:tcPr>
          <w:p>
            <w:pPr>
              <w:jc w:val="right"/>
            </w:pPr>
            <w:r/>
            <w:r>
              <w:rPr>
                <w:color w:val="1A1D21"/>
                <w:sz w:val="15"/>
              </w:rPr>
              <w:t>41.7101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from related 1q26</w:t>
            </w:r>
          </w:p>
        </w:tc>
        <w:tc>
          <w:tcPr>
            <w:tcW w:type="dxa" w:w="1191"/>
          </w:tcPr>
          <w:p>
            <w:pPr>
              <w:jc w:val="right"/>
            </w:pPr>
            <w:r/>
            <w:r>
              <w:rPr>
                <w:color w:val="1A1D21"/>
                <w:sz w:val="15"/>
              </w:rPr>
              <w:t>341.6759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due to related 1q26</w:t>
            </w:r>
          </w:p>
        </w:tc>
        <w:tc>
          <w:tcPr>
            <w:tcW w:type="dxa" w:w="1191"/>
          </w:tcPr>
          <w:p>
            <w:pPr>
              <w:jc w:val="right"/>
            </w:pPr>
            <w:r/>
            <w:r>
              <w:rPr>
                <w:color w:val="1A1D21"/>
                <w:sz w:val="15"/>
              </w:rPr>
              <w:t>29.9197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equity parent 1q26</w:t>
            </w:r>
          </w:p>
        </w:tc>
        <w:tc>
          <w:tcPr>
            <w:tcW w:type="dxa" w:w="1191"/>
          </w:tcPr>
          <w:p>
            <w:pPr>
              <w:jc w:val="right"/>
            </w:pPr>
            <w:r/>
            <w:r>
              <w:rPr>
                <w:color w:val="1A1D21"/>
                <w:sz w:val="15"/>
              </w:rPr>
              <w:t>18,955.743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fin inv amortised 1q26</w:t>
            </w:r>
          </w:p>
        </w:tc>
        <w:tc>
          <w:tcPr>
            <w:tcW w:type="dxa" w:w="1191"/>
          </w:tcPr>
          <w:p>
            <w:pPr>
              <w:jc w:val="right"/>
            </w:pPr>
            <w:r/>
            <w:r>
              <w:rPr>
                <w:color w:val="1A1D21"/>
                <w:sz w:val="15"/>
              </w:rPr>
              <w:t>11,369.1828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fixed assets 1q26</w:t>
            </w:r>
          </w:p>
        </w:tc>
        <w:tc>
          <w:tcPr>
            <w:tcW w:type="dxa" w:w="1191"/>
          </w:tcPr>
          <w:p>
            <w:pPr>
              <w:jc w:val="right"/>
            </w:pPr>
            <w:r/>
            <w:r>
              <w:rPr>
                <w:color w:val="1A1D21"/>
                <w:sz w:val="15"/>
              </w:rPr>
              <w:t>4,529.1936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income tax payable 1q26</w:t>
            </w:r>
          </w:p>
        </w:tc>
        <w:tc>
          <w:tcPr>
            <w:tcW w:type="dxa" w:w="1191"/>
          </w:tcPr>
          <w:p>
            <w:pPr>
              <w:jc w:val="right"/>
            </w:pPr>
            <w:r/>
            <w:r>
              <w:rPr>
                <w:color w:val="1A1D21"/>
                <w:sz w:val="15"/>
              </w:rPr>
              <w:t>2,319.1549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 fair value 1q26</w:t>
            </w:r>
          </w:p>
        </w:tc>
        <w:tc>
          <w:tcPr>
            <w:tcW w:type="dxa" w:w="1191"/>
          </w:tcPr>
          <w:p>
            <w:pPr>
              <w:jc w:val="right"/>
            </w:pPr>
            <w:r/>
            <w:r>
              <w:rPr>
                <w:color w:val="1A1D21"/>
                <w:sz w:val="15"/>
              </w:rPr>
              <w:t>182.0325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 property 1q26</w:t>
            </w:r>
          </w:p>
        </w:tc>
        <w:tc>
          <w:tcPr>
            <w:tcW w:type="dxa" w:w="1191"/>
          </w:tcPr>
          <w:p>
            <w:pPr>
              <w:jc w:val="right"/>
            </w:pPr>
            <w:r/>
            <w:r>
              <w:rPr>
                <w:color w:val="1A1D21"/>
                <w:sz w:val="15"/>
              </w:rPr>
              <w:t>1,020.4749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assoc 1q26</w:t>
            </w:r>
          </w:p>
        </w:tc>
        <w:tc>
          <w:tcPr>
            <w:tcW w:type="dxa" w:w="1191"/>
          </w:tcPr>
          <w:p>
            <w:pPr>
              <w:jc w:val="right"/>
            </w:pPr>
            <w:r/>
            <w:r>
              <w:rPr>
                <w:color w:val="1A1D21"/>
                <w:sz w:val="15"/>
              </w:rPr>
              <w:t>3,838.6972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investments purchase liab 1q26</w:t>
            </w:r>
          </w:p>
        </w:tc>
        <w:tc>
          <w:tcPr>
            <w:tcW w:type="dxa" w:w="1191"/>
          </w:tcPr>
          <w:p>
            <w:pPr>
              <w:jc w:val="right"/>
            </w:pPr>
            <w:r/>
            <w:r>
              <w:rPr>
                <w:color w:val="1A1D21"/>
                <w:sz w:val="15"/>
              </w:rPr>
              <w:t>20.7176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lt 1q26</w:t>
            </w:r>
          </w:p>
        </w:tc>
        <w:tc>
          <w:tcPr>
            <w:tcW w:type="dxa" w:w="1191"/>
          </w:tcPr>
          <w:p>
            <w:pPr>
              <w:jc w:val="right"/>
            </w:pPr>
            <w:r/>
            <w:r>
              <w:rPr>
                <w:color w:val="1A1D21"/>
                <w:sz w:val="15"/>
              </w:rPr>
              <w:t>3,509.7351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joint shares st 1q26</w:t>
            </w:r>
          </w:p>
        </w:tc>
        <w:tc>
          <w:tcPr>
            <w:tcW w:type="dxa" w:w="1191"/>
          </w:tcPr>
          <w:p>
            <w:pPr>
              <w:jc w:val="right"/>
            </w:pPr>
            <w:r/>
            <w:r>
              <w:rPr>
                <w:color w:val="1A1D21"/>
                <w:sz w:val="15"/>
              </w:rPr>
              <w:t>2,765.6798</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lt 1q26</w:t>
            </w:r>
          </w:p>
        </w:tc>
        <w:tc>
          <w:tcPr>
            <w:tcW w:type="dxa" w:w="1191"/>
          </w:tcPr>
          <w:p>
            <w:pPr>
              <w:jc w:val="right"/>
            </w:pPr>
            <w:r/>
            <w:r>
              <w:rPr>
                <w:color w:val="1A1D21"/>
                <w:sz w:val="15"/>
              </w:rPr>
              <w:t>47.1347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land purchase liab st 1q26</w:t>
            </w:r>
          </w:p>
        </w:tc>
        <w:tc>
          <w:tcPr>
            <w:tcW w:type="dxa" w:w="1191"/>
          </w:tcPr>
          <w:p>
            <w:pPr>
              <w:jc w:val="right"/>
            </w:pPr>
            <w:r/>
            <w:r>
              <w:rPr>
                <w:color w:val="1A1D21"/>
                <w:sz w:val="15"/>
              </w:rPr>
              <w:t>29.6125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lt 1q26</w:t>
            </w:r>
          </w:p>
        </w:tc>
        <w:tc>
          <w:tcPr>
            <w:tcW w:type="dxa" w:w="1191"/>
          </w:tcPr>
          <w:p>
            <w:pPr>
              <w:jc w:val="right"/>
            </w:pPr>
            <w:r/>
            <w:r>
              <w:rPr>
                <w:color w:val="1A1D21"/>
                <w:sz w:val="15"/>
              </w:rPr>
              <w:t>104.4625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lease liabilities st 1q26</w:t>
            </w:r>
          </w:p>
        </w:tc>
        <w:tc>
          <w:tcPr>
            <w:tcW w:type="dxa" w:w="1191"/>
          </w:tcPr>
          <w:p>
            <w:pPr>
              <w:jc w:val="right"/>
            </w:pPr>
            <w:r/>
            <w:r>
              <w:rPr>
                <w:color w:val="1A1D21"/>
                <w:sz w:val="15"/>
              </w:rPr>
              <w:t>63.9459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loans long term 1q26</w:t>
            </w:r>
          </w:p>
        </w:tc>
        <w:tc>
          <w:tcPr>
            <w:tcW w:type="dxa" w:w="1191"/>
          </w:tcPr>
          <w:p>
            <w:pPr>
              <w:jc w:val="right"/>
            </w:pPr>
            <w:r/>
            <w:r>
              <w:rPr>
                <w:color w:val="1A1D21"/>
                <w:sz w:val="15"/>
              </w:rPr>
              <w:t>10,198.9596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nci equity 1q26</w:t>
            </w:r>
          </w:p>
        </w:tc>
        <w:tc>
          <w:tcPr>
            <w:tcW w:type="dxa" w:w="1191"/>
          </w:tcPr>
          <w:p>
            <w:pPr>
              <w:jc w:val="right"/>
            </w:pPr>
            <w:r/>
            <w:r>
              <w:rPr>
                <w:color w:val="1A1D21"/>
                <w:sz w:val="15"/>
              </w:rPr>
              <w:t>1,432.6705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net profit 3m 1q26</w:t>
            </w:r>
          </w:p>
        </w:tc>
        <w:tc>
          <w:tcPr>
            <w:tcW w:type="dxa" w:w="1191"/>
          </w:tcPr>
          <w:p>
            <w:pPr>
              <w:jc w:val="right"/>
            </w:pPr>
            <w:r/>
            <w:r>
              <w:rPr>
                <w:color w:val="1A1D21"/>
                <w:sz w:val="15"/>
              </w:rPr>
              <w:t>1,205.2531</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long term 1q26</w:t>
            </w:r>
          </w:p>
        </w:tc>
        <w:tc>
          <w:tcPr>
            <w:tcW w:type="dxa" w:w="1191"/>
          </w:tcPr>
          <w:p>
            <w:pPr>
              <w:jc w:val="right"/>
            </w:pPr>
            <w:r/>
            <w:r>
              <w:rPr>
                <w:color w:val="1A1D21"/>
                <w:sz w:val="15"/>
              </w:rPr>
              <w:t>4,752.4615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payable short term 1q26</w:t>
            </w:r>
          </w:p>
        </w:tc>
        <w:tc>
          <w:tcPr>
            <w:tcW w:type="dxa" w:w="1191"/>
          </w:tcPr>
          <w:p>
            <w:pPr>
              <w:jc w:val="right"/>
            </w:pPr>
            <w:r/>
            <w:r>
              <w:rPr>
                <w:color w:val="1A1D21"/>
                <w:sz w:val="15"/>
              </w:rPr>
              <w:t>3,418.4693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1q26</w:t>
            </w:r>
          </w:p>
        </w:tc>
        <w:tc>
          <w:tcPr>
            <w:tcW w:type="dxa" w:w="1191"/>
          </w:tcPr>
          <w:p>
            <w:pPr>
              <w:jc w:val="right"/>
            </w:pPr>
            <w:r/>
            <w:r>
              <w:rPr>
                <w:color w:val="1A1D21"/>
                <w:sz w:val="15"/>
              </w:rPr>
              <w:t>51,821.9996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lt undel 1q26</w:t>
            </w:r>
          </w:p>
        </w:tc>
        <w:tc>
          <w:tcPr>
            <w:tcW w:type="dxa" w:w="1191"/>
          </w:tcPr>
          <w:p>
            <w:pPr>
              <w:jc w:val="right"/>
            </w:pPr>
            <w:r/>
            <w:r>
              <w:rPr>
                <w:color w:val="1A1D21"/>
                <w:sz w:val="15"/>
              </w:rPr>
              <w:t>1,365.9325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1q26</w:t>
            </w:r>
          </w:p>
        </w:tc>
        <w:tc>
          <w:tcPr>
            <w:tcW w:type="dxa" w:w="1191"/>
          </w:tcPr>
          <w:p>
            <w:pPr>
              <w:jc w:val="right"/>
            </w:pPr>
            <w:r/>
            <w:r>
              <w:rPr>
                <w:color w:val="1A1D21"/>
                <w:sz w:val="15"/>
              </w:rPr>
              <w:t>16,923.4195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notes recv st undel 1q26</w:t>
            </w:r>
          </w:p>
        </w:tc>
        <w:tc>
          <w:tcPr>
            <w:tcW w:type="dxa" w:w="1191"/>
          </w:tcPr>
          <w:p>
            <w:pPr>
              <w:jc w:val="right"/>
            </w:pPr>
            <w:r/>
            <w:r>
              <w:rPr>
                <w:color w:val="1A1D21"/>
                <w:sz w:val="15"/>
              </w:rPr>
              <w:t>864.8217</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projects under construction 1q26</w:t>
            </w:r>
          </w:p>
        </w:tc>
        <w:tc>
          <w:tcPr>
            <w:tcW w:type="dxa" w:w="1191"/>
          </w:tcPr>
          <w:p>
            <w:pPr>
              <w:jc w:val="right"/>
            </w:pPr>
            <w:r/>
            <w:r>
              <w:rPr>
                <w:color w:val="1A1D21"/>
                <w:sz w:val="15"/>
              </w:rPr>
              <w:t>199.4029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provisions 1q26</w:t>
            </w:r>
          </w:p>
        </w:tc>
        <w:tc>
          <w:tcPr>
            <w:tcW w:type="dxa" w:w="1191"/>
          </w:tcPr>
          <w:p>
            <w:pPr>
              <w:jc w:val="right"/>
            </w:pPr>
            <w:r/>
            <w:r>
              <w:rPr>
                <w:color w:val="1A1D21"/>
                <w:sz w:val="15"/>
              </w:rPr>
              <w:t>179.5402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residents association lt 1q26</w:t>
            </w:r>
          </w:p>
        </w:tc>
        <w:tc>
          <w:tcPr>
            <w:tcW w:type="dxa" w:w="1191"/>
          </w:tcPr>
          <w:p>
            <w:pPr>
              <w:jc w:val="right"/>
            </w:pPr>
            <w:r/>
            <w:r>
              <w:rPr>
                <w:color w:val="1A1D21"/>
                <w:sz w:val="15"/>
              </w:rPr>
              <w:t>30,842.9585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right of use assets 1q26</w:t>
            </w:r>
          </w:p>
        </w:tc>
        <w:tc>
          <w:tcPr>
            <w:tcW w:type="dxa" w:w="1191"/>
          </w:tcPr>
          <w:p>
            <w:pPr>
              <w:jc w:val="right"/>
            </w:pPr>
            <w:r/>
            <w:r>
              <w:rPr>
                <w:color w:val="1A1D21"/>
                <w:sz w:val="15"/>
              </w:rPr>
              <w:t>176.6313</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subordinated loan assoc 1q26</w:t>
            </w:r>
          </w:p>
        </w:tc>
        <w:tc>
          <w:tcPr>
            <w:tcW w:type="dxa" w:w="1191"/>
          </w:tcPr>
          <w:p>
            <w:pPr>
              <w:jc w:val="right"/>
            </w:pPr>
            <w:r/>
            <w:r>
              <w:rPr>
                <w:color w:val="1A1D21"/>
                <w:sz w:val="15"/>
              </w:rPr>
              <w:t>34.3335</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1q26</w:t>
            </w:r>
          </w:p>
        </w:tc>
        <w:tc>
          <w:tcPr>
            <w:tcW w:type="dxa" w:w="1191"/>
          </w:tcPr>
          <w:p>
            <w:pPr>
              <w:jc w:val="right"/>
            </w:pPr>
            <w:r/>
            <w:r>
              <w:rPr>
                <w:color w:val="1A1D21"/>
                <w:sz w:val="15"/>
              </w:rPr>
              <w:t>5,340.0902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suppliers advances 1q26</w:t>
            </w:r>
          </w:p>
        </w:tc>
        <w:tc>
          <w:tcPr>
            <w:tcW w:type="dxa" w:w="1191"/>
          </w:tcPr>
          <w:p>
            <w:pPr>
              <w:jc w:val="right"/>
            </w:pPr>
            <w:r/>
            <w:r>
              <w:rPr>
                <w:color w:val="1A1D21"/>
                <w:sz w:val="15"/>
              </w:rPr>
              <w:t>10,269.246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assets 1q26</w:t>
            </w:r>
          </w:p>
        </w:tc>
        <w:tc>
          <w:tcPr>
            <w:tcW w:type="dxa" w:w="1191"/>
          </w:tcPr>
          <w:p>
            <w:pPr>
              <w:jc w:val="right"/>
            </w:pPr>
            <w:r/>
            <w:r>
              <w:rPr>
                <w:color w:val="1A1D21"/>
                <w:sz w:val="15"/>
              </w:rPr>
              <w:t>177,979.0154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assets 1q26</w:t>
            </w:r>
          </w:p>
        </w:tc>
        <w:tc>
          <w:tcPr>
            <w:tcW w:type="dxa" w:w="1191"/>
          </w:tcPr>
          <w:p>
            <w:pPr>
              <w:jc w:val="right"/>
            </w:pPr>
            <w:r/>
            <w:r>
              <w:rPr>
                <w:color w:val="1A1D21"/>
                <w:sz w:val="15"/>
              </w:rPr>
              <w:t>114,863.9462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current liabs 1q26</w:t>
            </w:r>
          </w:p>
        </w:tc>
        <w:tc>
          <w:tcPr>
            <w:tcW w:type="dxa" w:w="1191"/>
          </w:tcPr>
          <w:p>
            <w:pPr>
              <w:jc w:val="right"/>
            </w:pPr>
            <w:r/>
            <w:r>
              <w:rPr>
                <w:color w:val="1A1D21"/>
                <w:sz w:val="15"/>
              </w:rPr>
              <w:t>108,093.1799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equity 1q26</w:t>
            </w:r>
          </w:p>
        </w:tc>
        <w:tc>
          <w:tcPr>
            <w:tcW w:type="dxa" w:w="1191"/>
          </w:tcPr>
          <w:p>
            <w:pPr>
              <w:jc w:val="right"/>
            </w:pPr>
            <w:r/>
            <w:r>
              <w:rPr>
                <w:color w:val="1A1D21"/>
                <w:sz w:val="15"/>
              </w:rPr>
              <w:t>20,388.4136</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liabilities 1q26</w:t>
            </w:r>
          </w:p>
        </w:tc>
        <w:tc>
          <w:tcPr>
            <w:tcW w:type="dxa" w:w="1191"/>
          </w:tcPr>
          <w:p>
            <w:pPr>
              <w:jc w:val="right"/>
            </w:pPr>
            <w:r/>
            <w:r>
              <w:rPr>
                <w:color w:val="1A1D21"/>
                <w:sz w:val="15"/>
              </w:rPr>
              <w:t>157,590.6019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assets 1q26</w:t>
            </w:r>
          </w:p>
        </w:tc>
        <w:tc>
          <w:tcPr>
            <w:tcW w:type="dxa" w:w="1191"/>
          </w:tcPr>
          <w:p>
            <w:pPr>
              <w:jc w:val="right"/>
            </w:pPr>
            <w:r/>
            <w:r>
              <w:rPr>
                <w:color w:val="1A1D21"/>
                <w:sz w:val="15"/>
              </w:rPr>
              <w:t>63,115.0692</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total noncurrent liabs 1q26</w:t>
            </w:r>
          </w:p>
        </w:tc>
        <w:tc>
          <w:tcPr>
            <w:tcW w:type="dxa" w:w="1191"/>
          </w:tcPr>
          <w:p>
            <w:pPr>
              <w:jc w:val="right"/>
            </w:pPr>
            <w:r/>
            <w:r>
              <w:rPr>
                <w:color w:val="1A1D21"/>
                <w:sz w:val="15"/>
              </w:rPr>
              <w:t>49,497.4219</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r>
        <w:trPr>
          <w:cantSplit/>
        </w:trPr>
        <w:tc>
          <w:tcPr>
            <w:tcW w:type="dxa" w:w="1814"/>
          </w:tcPr>
          <w:p>
            <w:r/>
            <w:r>
              <w:rPr>
                <w:color w:val="1A1D21"/>
                <w:sz w:val="15"/>
              </w:rPr>
              <w:t>work in progress 1q26</w:t>
            </w:r>
          </w:p>
        </w:tc>
        <w:tc>
          <w:tcPr>
            <w:tcW w:type="dxa" w:w="1191"/>
          </w:tcPr>
          <w:p>
            <w:pPr>
              <w:jc w:val="right"/>
            </w:pPr>
            <w:r/>
            <w:r>
              <w:rPr>
                <w:color w:val="1A1D21"/>
                <w:sz w:val="15"/>
              </w:rPr>
              <w:t>21,337.8034</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consolidated financial statements for the three months ended 31 March 2026 (limited review report attached), page 4 'CONSOLIDATED FINANCIAL POSITION', downloaded 01-Sep-2026 from the company's own</w:t>
            </w:r>
          </w:p>
        </w:tc>
      </w:tr>
    </w:tbl>
    <w:p>
      <w:pPr>
        <w:spacing w:after="80"/>
      </w:pPr>
      <w:r>
        <w:rPr>
          <w:b w:val="0"/>
          <w:i w:val="0"/>
          <w:color w:val="1A1D21"/>
          <w:sz w:val="8"/>
        </w:rPr>
      </w:r>
    </w:p>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rPr>
          <w:cantSplit/>
        </w:trP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rPr>
          <w:cantSplit/>
        </w:trP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spacing w:after="80"/>
      </w:pPr>
      <w:r>
        <w:rPr>
          <w:b w:val="0"/>
          <w:i w:val="0"/>
          <w:color w:val="1A1D21"/>
          <w:sz w:val="8"/>
        </w:rPr>
      </w:r>
    </w:p>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rPr>
          <w:cantSplit/>
        </w:trP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rPr>
          <w:cantSplit/>
        </w:trP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rPr>
          <w:cantSplit/>
        </w:trP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rPr>
          <w:cantSplit/>
        </w:trP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spacing w:after="80"/>
      </w:pPr>
      <w:r>
        <w:rPr>
          <w:b w:val="0"/>
          <w:i w:val="0"/>
          <w:color w:val="1A1D21"/>
          <w:sz w:val="8"/>
        </w:rPr>
      </w:r>
    </w:p>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rPr>
          <w:cantSplit/>
        </w:trP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rPr>
          <w:cantSplit/>
        </w:trP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rPr>
          <w:cantSplit/>
        </w:trP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rPr>
          <w:cantSplit/>
        </w:trP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rPr>
          <w:cantSplit/>
        </w:trP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rPr>
          <w:cantSplit/>
        </w:trP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rPr>
          <w:cantSplit/>
        </w:trP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rPr>
          <w:cantSplit/>
        </w:trPr>
        <w:tc>
          <w:tcPr>
            <w:tcW w:type="dxa" w:w="1814"/>
          </w:tcPr>
          <w:p>
            <w:r/>
            <w:r>
              <w:rPr>
                <w:color w:val="1A1D21"/>
                <w:sz w:val="15"/>
              </w:rPr>
              <w:t>revenue 1q26 yoy</w:t>
            </w:r>
          </w:p>
        </w:tc>
        <w:tc>
          <w:tcPr>
            <w:tcW w:type="dxa" w:w="1191"/>
          </w:tcPr>
          <w:p>
            <w:pPr>
              <w:jc w:val="right"/>
            </w:pPr>
            <w:r/>
            <w:r>
              <w:rPr>
                <w:color w:val="1A1D21"/>
                <w:sz w:val="15"/>
              </w:rPr>
              <w:t>0.11</w:t>
            </w:r>
          </w:p>
        </w:tc>
        <w:tc>
          <w:tcPr>
            <w:tcW w:type="dxa" w:w="907"/>
          </w:tcPr>
          <w:p>
            <w:r/>
            <w:r>
              <w:rPr>
                <w:color w:val="1A1D21"/>
                <w:sz w:val="15"/>
              </w:rPr>
              <w:t>YoY</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"Revenue reached EGP 9.3 billion in 1Q2026, up 11% YoY"</w:t>
            </w:r>
          </w:p>
        </w:tc>
      </w:tr>
      <w:tr>
        <w:trPr>
          <w:cantSplit/>
        </w:trP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rPr>
          <w:cantSplit/>
        </w:trP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rPr>
          <w:cantSplit/>
        </w:trP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spacing w:after="80"/>
      </w:pPr>
      <w:r>
        <w:rPr>
          <w:b w:val="0"/>
          <w:i w:val="0"/>
          <w:color w:val="1A1D21"/>
          <w:sz w:val="8"/>
        </w:rPr>
      </w:r>
    </w:p>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814"/>
        <w:gridCol w:w="1191"/>
        <w:gridCol w:w="907"/>
        <w:gridCol w:w="1077"/>
        <w:gridCol w:w="794"/>
        <w:gridCol w:w="3629"/>
      </w:tblGrid>
      <w:tr>
        <w:trPr>
          <w:tblHeader w:val="true"/>
        </w:trP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rPr>
          <w:cantSplit/>
        </w:trP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rPr>
          <w:cantSplit/>
        </w:trPr>
        <w:tc>
          <w:tcPr>
            <w:tcW w:type="dxa" w:w="1814"/>
          </w:tcPr>
          <w:p>
            <w:r/>
            <w:r>
              <w:rPr>
                <w:color w:val="1A1D21"/>
                <w:sz w:val="15"/>
              </w:rPr>
              <w:t>spot</w:t>
            </w:r>
          </w:p>
        </w:tc>
        <w:tc>
          <w:tcPr>
            <w:tcW w:type="dxa" w:w="1191"/>
          </w:tcPr>
          <w:p>
            <w:pPr>
              <w:jc w:val="right"/>
            </w:pPr>
            <w:r/>
            <w:r>
              <w:rPr>
                <w:color w:val="1A1D21"/>
                <w:sz w:val="15"/>
              </w:rPr>
              <w:t>14.4</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Egyptian Exchange closing price for PHDC, 3 September 2026. The previous edition was struck on the 23 August close of 15.20; [R-GAP-01 AMENDED] delivers no study against a stale price</w:t>
            </w:r>
          </w:p>
        </w:tc>
      </w:tr>
    </w:tbl>
    <w:p>
      <w:pPr>
        <w:spacing w:after="80"/>
      </w:pPr>
      <w:r>
        <w:rPr>
          <w:b w:val="0"/>
          <w:i w:val="0"/>
          <w:color w:val="1A1D21"/>
          <w:sz w:val="8"/>
        </w:rPr>
      </w:r>
    </w:p>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1928"/>
        <w:gridCol w:w="3742"/>
        <w:gridCol w:w="3629"/>
      </w:tblGrid>
      <w:tr>
        <w:trPr>
          <w:tblHeader w:val="true"/>
        </w:trP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rPr>
          <w:cantSplit/>
        </w:trPr>
        <w:tc>
          <w:tcPr>
            <w:tcW w:type="dxa" w:w="1928"/>
          </w:tcPr>
          <w:p>
            <w:r/>
            <w:r>
              <w:rPr>
                <w:color w:val="1A1D21"/>
                <w:sz w:val="17"/>
              </w:rPr>
              <w:t>Discount rate</w:t>
            </w:r>
          </w:p>
        </w:tc>
        <w:tc>
          <w:tcPr>
            <w:tcW w:type="dxa" w:w="3742"/>
          </w:tcPr>
          <w:p>
            <w:r/>
            <w:r>
              <w:rPr>
                <w:color w:val="1A1D21"/>
                <w:sz w:val="17"/>
              </w:rPr>
              <w:t>Cost of capital rebuilt bottom-up at 26.10% on the rating basis and 25.11% on the swap basis, replacing the 11 June 2026 edition's 18%; unchanged in this edition.</w:t>
            </w:r>
          </w:p>
        </w:tc>
        <w:tc>
          <w:tcPr>
            <w:tcW w:type="dxa" w:w="3628"/>
          </w:tcPr>
          <w:p>
            <w:r/>
            <w:r>
              <w:rPr>
                <w:color w:val="1A1D21"/>
                <w:sz w:val="17"/>
              </w:rPr>
              <w:t>A sustained fall in the Egyptian sovereign yield, or evidence that the company borrows materially below sovereign plus 250 basis points.</w:t>
            </w:r>
          </w:p>
        </w:tc>
      </w:tr>
      <w:tr>
        <w:trPr>
          <w:cantSplit/>
        </w:trP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rPr>
          <w:cantSplit/>
        </w:trP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rPr>
          <w:cantSplit/>
        </w:trP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rPr>
          <w:cantSplit/>
        </w:trPr>
        <w:tc>
          <w:tcPr>
            <w:tcW w:type="dxa" w:w="1928"/>
          </w:tcPr>
          <w:p>
            <w:r/>
            <w:r>
              <w:rPr>
                <w:color w:val="1A1D21"/>
                <w:sz w:val="17"/>
              </w:rPr>
              <w:t>Per-project economics are not used</w:t>
            </w:r>
          </w:p>
        </w:tc>
        <w:tc>
          <w:tcPr>
            <w:tcW w:type="dxa" w:w="3742"/>
          </w:tcPr>
          <w:p>
            <w:r/>
            <w:r>
              <w:rPr>
                <w:color w:val="1A1D21"/>
                <w:sz w:val="17"/>
              </w:rPr>
              <w:t>The 11 June 2026 edition's project price and cost table is not disclosed by the company and is not reused.</w:t>
            </w:r>
          </w:p>
        </w:tc>
        <w:tc>
          <w:tcPr>
            <w:tcW w:type="dxa" w:w="3628"/>
          </w:tcPr>
          <w:p>
            <w:r/>
            <w:r>
              <w:rPr>
                <w:color w:val="1A1D21"/>
                <w:sz w:val="17"/>
              </w:rPr>
              <w:t>Project-level disclosure of unit mix, area, price and cost.</w:t>
            </w:r>
          </w:p>
        </w:tc>
      </w:tr>
      <w:tr>
        <w:trPr>
          <w:cantSplit/>
        </w:trPr>
        <w:tc>
          <w:tcPr>
            <w:tcW w:type="dxa" w:w="1928"/>
          </w:tcPr>
          <w:p>
            <w:r/>
            <w:r>
              <w:rPr>
                <w:color w:val="1A1D21"/>
                <w:sz w:val="17"/>
              </w:rPr>
              <w:t>The bridge stands on the latest disclosed balance sheet</w:t>
            </w:r>
          </w:p>
        </w:tc>
        <w:tc>
          <w:tcPr>
            <w:tcW w:type="dxa" w:w="3742"/>
          </w:tcPr>
          <w:p>
            <w:r/>
            <w:r>
              <w:rPr>
                <w:color w:val="1A1D21"/>
                <w:sz w:val="17"/>
              </w:rPr>
              <w:t>Net debt, associates, investment property and book equity are taken from the reviewed statement of 31 March 2026 (net debt EGP 23,244.7 million against 24,133.2 million at 31 December 2025); the projected statements keep the audited full year 2025 as their base.</w:t>
            </w:r>
          </w:p>
        </w:tc>
        <w:tc>
          <w:tcPr>
            <w:tcW w:type="dxa" w:w="3628"/>
          </w:tcPr>
          <w:p>
            <w:r/>
            <w:r>
              <w:rPr>
                <w:color w:val="1A1D21"/>
                <w:sz w:val="17"/>
              </w:rPr>
              <w:t>A later balance sheet — the half-year 2026 statements, once published.</w:t>
            </w:r>
          </w:p>
        </w:tc>
      </w:tr>
      <w:tr>
        <w:trPr>
          <w:cantSplit/>
        </w:trPr>
        <w:tc>
          <w:tcPr>
            <w:tcW w:type="dxa" w:w="1928"/>
          </w:tcPr>
          <w:p>
            <w:r/>
            <w:r>
              <w:rPr>
                <w:color w:val="1A1D21"/>
                <w:sz w:val="17"/>
              </w:rPr>
              <w:t>Minority interests deducted at their share of value</w:t>
            </w:r>
          </w:p>
        </w:tc>
        <w:tc>
          <w:tcPr>
            <w:tcW w:type="dxa" w:w="3742"/>
          </w:tcPr>
          <w:p>
            <w:r/>
            <w:r>
              <w:rPr>
                <w:color w:val="1A1D21"/>
                <w:sz w:val="17"/>
              </w:rPr>
              <w:t>The cash-flow model capitalises all of the subsidiaries' cash flow, so the minority's claim comes out at its share of the resulting value, proxied by its filed share of 2025 profit after tax (4.68%), applied to equity value. At book it would be EGP 1,432.7 million (7.0% of equity); on the three-year mean profit share, 5.94%. Both are shown as reference.</w:t>
            </w:r>
          </w:p>
        </w:tc>
        <w:tc>
          <w:tcPr>
            <w:tcW w:type="dxa" w:w="3628"/>
          </w:tcPr>
          <w:p>
            <w:r/>
            <w:r>
              <w:rPr>
                <w:color w:val="1A1D21"/>
                <w:sz w:val="17"/>
              </w:rPr>
              <w:t>Disclosure of the subsidiaries that carry the minority with their own economics, which would let the minority be valued directly.</w:t>
            </w:r>
          </w:p>
        </w:tc>
      </w:tr>
      <w:tr>
        <w:trPr>
          <w:cantSplit/>
        </w:trPr>
        <w:tc>
          <w:tcPr>
            <w:tcW w:type="dxa" w:w="1928"/>
          </w:tcPr>
          <w:p>
            <w:r/>
            <w:r>
              <w:rPr>
                <w:color w:val="1A1D21"/>
                <w:sz w:val="17"/>
              </w:rPr>
              <w:t>Normalised earnings capitalised at cost of equity less growth</w:t>
            </w:r>
          </w:p>
        </w:tc>
        <w:tc>
          <w:tcPr>
            <w:tcW w:type="dxa" w:w="3742"/>
          </w:tcPr>
          <w:p>
            <w:r/>
            <w:r>
              <w:rPr>
                <w:color w:val="1A1D21"/>
                <w:sz w:val="17"/>
              </w:rPr>
              <w:t>Earnings power is E divided by (cost of equity less the 7.0% terminal growth the cash-flow model carries), not E divided by the cost of equity alone: in a currency whose discount rate embeds Egyptian inflation, zero nominal growth is a perpetual real decline.</w:t>
            </w:r>
          </w:p>
        </w:tc>
        <w:tc>
          <w:tcPr>
            <w:tcW w:type="dxa" w:w="3628"/>
          </w:tcPr>
          <w:p>
            <w:r/>
            <w:r>
              <w:rPr>
                <w:color w:val="1A1D21"/>
                <w:sz w:val="17"/>
              </w:rPr>
              <w:t>Evidence that the company's real earnings are in secular decline, which would make the zero-growth form the right one.</w:t>
            </w:r>
          </w:p>
        </w:tc>
      </w:tr>
      <w:tr>
        <w:trPr>
          <w:cantSplit/>
        </w:trP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spacing w:after="80"/>
      </w:pPr>
      <w:r>
        <w:rPr>
          <w:b w:val="0"/>
          <w:i w:val="0"/>
          <w:color w:val="1A1D21"/>
          <w:sz w:val="8"/>
        </w:rPr>
      </w:r>
    </w:p>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3175"/>
        <w:gridCol w:w="6124"/>
      </w:tblGrid>
      <w:tr>
        <w:trPr>
          <w:tblHeader w:val="true"/>
        </w:trPr>
        <w:tc>
          <w:tcPr>
            <w:tcW w:type="dxa" w:w="3175"/>
          </w:tcPr>
          <w:p>
            <w:r/>
            <w:r>
              <w:rPr>
                <w:b/>
                <w:color w:val="5B6570"/>
                <w:sz w:val="17"/>
              </w:rPr>
              <w:t>Attempt</w:t>
            </w:r>
          </w:p>
        </w:tc>
        <w:tc>
          <w:tcPr>
            <w:tcW w:type="dxa" w:w="6123"/>
          </w:tcPr>
          <w:p>
            <w:r/>
            <w:r>
              <w:rPr>
                <w:b/>
                <w:color w:val="5B6570"/>
                <w:sz w:val="17"/>
              </w:rPr>
              <w:t>Why it was rejected</w:t>
            </w:r>
          </w:p>
        </w:tc>
      </w:tr>
      <w:tr>
        <w:trPr>
          <w:cantSplit/>
        </w:trP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rPr>
          <w:cantSplit/>
        </w:trP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rPr>
          <w:cantSplit/>
        </w:trP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rPr>
          <w:cantSplit/>
        </w:trP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rPr>
          <w:cantSplit/>
        </w:trP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spacing w:after="80"/>
      </w:pPr>
      <w:r>
        <w:rPr>
          <w:b w:val="0"/>
          <w:i w:val="0"/>
          <w:color w:val="1A1D21"/>
          <w:sz w:val="8"/>
        </w:rPr>
      </w:r>
    </w:p>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041"/>
        <w:gridCol w:w="2608"/>
        <w:gridCol w:w="2608"/>
        <w:gridCol w:w="2041"/>
      </w:tblGrid>
      <w:tr>
        <w:trPr>
          <w:tblHeader w:val="true"/>
        </w:trP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rPr>
          <w:cantSplit/>
        </w:trP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rPr>
          <w:cantSplit/>
        </w:trP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rPr>
          <w:cantSplit/>
        </w:trP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rPr>
          <w:cantSplit/>
        </w:trP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spacing w:after="80"/>
      </w:pPr>
      <w:r>
        <w:rPr>
          <w:b w:val="0"/>
          <w:i w:val="0"/>
          <w:color w:val="1A1D21"/>
          <w:sz w:val="8"/>
        </w:rPr>
      </w:r>
    </w:p>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2268"/>
        <w:gridCol w:w="7031"/>
      </w:tblGrid>
      <w:tr>
        <w:trPr>
          <w:tblHeader w:val="true"/>
        </w:trPr>
        <w:tc>
          <w:tcPr>
            <w:tcW w:type="dxa" w:w="2268"/>
          </w:tcPr>
          <w:p>
            <w:r/>
            <w:r>
              <w:rPr>
                <w:b/>
                <w:color w:val="5B6570"/>
                <w:sz w:val="17"/>
              </w:rPr>
              <w:t>Gap</w:t>
            </w:r>
          </w:p>
        </w:tc>
        <w:tc>
          <w:tcPr>
            <w:tcW w:type="dxa" w:w="7030"/>
          </w:tcPr>
          <w:p>
            <w:r/>
            <w:r>
              <w:rPr>
                <w:b/>
                <w:color w:val="5B6570"/>
                <w:sz w:val="17"/>
              </w:rPr>
              <w:t>Statement</w:t>
            </w:r>
          </w:p>
        </w:tc>
      </w:tr>
      <w:tr>
        <w:trPr>
          <w:cantSplit/>
        </w:trPr>
        <w:tc>
          <w:tcPr>
            <w:tcW w:type="dxa" w:w="2268"/>
          </w:tcPr>
          <w:p>
            <w:r/>
            <w:r>
              <w:rPr>
                <w:color w:val="1A1D21"/>
                <w:sz w:val="17"/>
              </w:rPr>
              <w:t>Cash Flow Statement Detail</w:t>
            </w:r>
          </w:p>
        </w:tc>
        <w:tc>
          <w:tcPr>
            <w:tcW w:type="dxa" w:w="7030"/>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 Closed by: the full FY2025 cash-flow statement.</w:t>
            </w:r>
          </w:p>
        </w:tc>
      </w:tr>
      <w:tr>
        <w:trPr>
          <w:cantSplit/>
        </w:trP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rPr>
          <w:cantSplit/>
        </w:trP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rPr>
          <w:cantSplit/>
        </w:trP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rPr>
          <w:cantSplit/>
        </w:trP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rPr>
          <w:cantSplit/>
        </w:trP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p>
      <w:pPr>
        <w:spacing w:after="80"/>
      </w:pPr>
      <w:r>
        <w:rPr>
          <w:b w:val="0"/>
          <w:i w:val="0"/>
          <w:color w:val="1A1D21"/>
          <w:sz w:val="8"/>
        </w:rPr>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