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August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950"/>
          </w:tcPr>
          <w:p>
            <w:pPr>
              <w:spacing w:after="20"/>
              <w:jc w:val="right"/>
            </w:pPr>
            <w:r>
              <w:rPr>
                <w:color w:val="1C3A36"/>
                <w:sz w:val="14"/>
              </w:rPr>
              <w:t>2024-12-31</w:t>
            </w:r>
          </w:p>
        </w:tc>
        <w:tc>
          <w:tcPr>
            <w:tcW w:type="dxa" w:w="4810"/>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0.629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Own-stock first-tier regression: weekly logarithmic returns of the company's own shares against an equal-weighted composite of 36 Egyptian listed names built from the full covered price library, five-year window. R-squared 0.235, n = 257, standard error 0.071, 90% confidence interval [0.51, 0.75]. Clears every usability test on every limb and is not weak-instrument flagged. A beta well below one is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0.125</w:t>
            </w:r>
          </w:p>
        </w:tc>
        <w:tc>
          <w:tcPr>
            <w:tcW w:type="dxa" w:w="950"/>
          </w:tcPr>
          <w:p>
            <w:pPr>
              <w:spacing w:after="20"/>
              <w:jc w:val="right"/>
            </w:pPr>
            <w:r>
              <w:rPr>
                <w:color w:val="1C3A36"/>
                <w:sz w:val="14"/>
              </w:rPr>
              <w:t>2026-09-03</w:t>
            </w:r>
          </w:p>
        </w:tc>
        <w:tc>
          <w:tcPr>
            <w:tcW w:type="dxa" w:w="4810"/>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0.629 is a weekly regression of this company's own returns against an equal-weighted composite of 36 Egyptian listed names, over 5 years and 257 weekly observations, with an R-squared of 0.235 and a standard error of 0.071. The composite is equal-weighted across the following constituents, and both the constituent list and the weekly return series are supplied alongside this document so the coefficient can be re-estimated rather than taken on trust:</w:t>
      </w:r>
    </w:p>
    <w:p>
      <w:pPr>
        <w:spacing w:after="120" w:before="0"/>
      </w:pPr>
      <w:r>
        <w:rPr>
          <w:b w:val="0"/>
          <w:i w:val="0"/>
          <w:color w:val="1C3A36"/>
          <w:sz w:val="21"/>
        </w:rPr>
        <w:t>ABUK, ADIB, AMOC, ARCC, BTFH, CCAP, CLHO, COMI, DSCW, EFID, EFIH, EGAL, ELEC, EMFD, ETEL, FWRY, GBCO, HELI, HRHO, ISPH, JUFO, KABO, LCSW, OCDI, OIH, ORAS, ORHD, ORWE, PHAR, PHDC, PRDC, RAYA, RMDA, SCEM, SWDY, TMGH.</w:t>
      </w:r>
    </w:p>
    <w:p>
      <w:pPr>
        <w:spacing w:after="120" w:before="0"/>
      </w:pPr>
      <w:r>
        <w:rPr>
          <w:b w:val="0"/>
          <w:i w:val="0"/>
          <w:color w:val="1C3A36"/>
          <w:sz w:val="21"/>
        </w:rPr>
        <w:t>THE SUBJECT IS IN ITS OWN INDEX, and publishing the list makes that visible, so it is priced here rather than left for a reader to notice. An equal-weighted composite of 36 names gives this company a weight of about 2.8% in the very index it is being regressed against, which biases the coefficient toward one. That is how a real local index behaves and it is the construction used, but the regression was also re-run with the subject removed from the composite: the coefficient falls from 0.6295 to 0.5652, with an R-squared of 0.192 and a standard error of 0.0726. Carried through the whole model, the ex-subject coefficient would RAISE the two fundamental centres to EGP 65.04 and EGP 72.86 from EGP 36.64 and EGP 54.24. The study carries the in-index coefficient because it is the more conservative of the two and because it is what a local-index construction actually produces; the alternative and its price are stated here so the choice is visible rather than silent.</w:t>
      </w:r>
    </w:p>
    <w:p>
      <w:pPr>
        <w:spacing w:after="120" w:before="0"/>
      </w:pPr>
      <w:r>
        <w:rPr>
          <w:b w:val="0"/>
          <w:i w:val="0"/>
          <w:color w:val="1C3A36"/>
          <w:sz w:val="21"/>
        </w:rPr>
        <w:t>Two statistics a reader can check without the series at all. The standard error implied by the reported coefficient, R-squared and sample size is 0.07112, against the 0.07112 reported — they agree, so the three statistics are mutually consistent rather than separately asserted. And the standard error is well below the coefficient, which is the usability test this study applies before a regression beta is used at all.</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763"/>
        <w:gridCol w:w="763"/>
        <w:gridCol w:w="763"/>
        <w:gridCol w:w="763"/>
        <w:gridCol w:w="763"/>
        <w:gridCol w:w="763"/>
        <w:gridCol w:w="763"/>
        <w:gridCol w:w="763"/>
        <w:gridCol w:w="763"/>
        <w:gridCol w:w="763"/>
      </w:tblGrid>
      <w:tr>
        <w:tc>
          <w:tcPr>
            <w:tcW w:type="dxa" w:w="1944"/>
            <w:shd w:val="clear" w:color="auto" w:fill="EAF0EE"/>
          </w:tcPr>
          <w:p>
            <w:pPr>
              <w:spacing w:after="20"/>
            </w:pPr>
            <w:r>
              <w:rPr>
                <w:b/>
                <w:color w:val="1C3A36"/>
                <w:sz w:val="15"/>
              </w:rPr>
              <w:t>Window set</w:t>
            </w:r>
          </w:p>
        </w:tc>
        <w:tc>
          <w:tcPr>
            <w:tcW w:type="dxa" w:w="763"/>
            <w:shd w:val="clear" w:color="auto" w:fill="EAF0EE"/>
          </w:tcPr>
          <w:p>
            <w:pPr>
              <w:spacing w:after="20"/>
            </w:pPr>
            <w:r>
              <w:rPr>
                <w:b/>
                <w:color w:val="1C3A36"/>
                <w:sz w:val="15"/>
              </w:rPr>
              <w:t>0-10%</w:t>
            </w:r>
          </w:p>
        </w:tc>
        <w:tc>
          <w:tcPr>
            <w:tcW w:type="dxa" w:w="763"/>
            <w:shd w:val="clear" w:color="auto" w:fill="EAF0EE"/>
          </w:tcPr>
          <w:p>
            <w:pPr>
              <w:spacing w:after="20"/>
            </w:pPr>
            <w:r>
              <w:rPr>
                <w:b/>
                <w:color w:val="1C3A36"/>
                <w:sz w:val="15"/>
              </w:rPr>
              <w:t>10-20%</w:t>
            </w:r>
          </w:p>
        </w:tc>
        <w:tc>
          <w:tcPr>
            <w:tcW w:type="dxa" w:w="763"/>
            <w:shd w:val="clear" w:color="auto" w:fill="EAF0EE"/>
          </w:tcPr>
          <w:p>
            <w:pPr>
              <w:spacing w:after="20"/>
            </w:pPr>
            <w:r>
              <w:rPr>
                <w:b/>
                <w:color w:val="1C3A36"/>
                <w:sz w:val="15"/>
              </w:rPr>
              <w:t>20-30%</w:t>
            </w:r>
          </w:p>
        </w:tc>
        <w:tc>
          <w:tcPr>
            <w:tcW w:type="dxa" w:w="763"/>
            <w:shd w:val="clear" w:color="auto" w:fill="EAF0EE"/>
          </w:tcPr>
          <w:p>
            <w:pPr>
              <w:spacing w:after="20"/>
            </w:pPr>
            <w:r>
              <w:rPr>
                <w:b/>
                <w:color w:val="1C3A36"/>
                <w:sz w:val="15"/>
              </w:rPr>
              <w:t>30-40%</w:t>
            </w:r>
          </w:p>
        </w:tc>
        <w:tc>
          <w:tcPr>
            <w:tcW w:type="dxa" w:w="763"/>
            <w:shd w:val="clear" w:color="auto" w:fill="EAF0EE"/>
          </w:tcPr>
          <w:p>
            <w:pPr>
              <w:spacing w:after="20"/>
            </w:pPr>
            <w:r>
              <w:rPr>
                <w:b/>
                <w:color w:val="1C3A36"/>
                <w:sz w:val="15"/>
              </w:rPr>
              <w:t>40-50%</w:t>
            </w:r>
          </w:p>
        </w:tc>
        <w:tc>
          <w:tcPr>
            <w:tcW w:type="dxa" w:w="763"/>
            <w:shd w:val="clear" w:color="auto" w:fill="EAF0EE"/>
          </w:tcPr>
          <w:p>
            <w:pPr>
              <w:spacing w:after="20"/>
            </w:pPr>
            <w:r>
              <w:rPr>
                <w:b/>
                <w:color w:val="1C3A36"/>
                <w:sz w:val="15"/>
              </w:rPr>
              <w:t>50-60%</w:t>
            </w:r>
          </w:p>
        </w:tc>
        <w:tc>
          <w:tcPr>
            <w:tcW w:type="dxa" w:w="763"/>
            <w:shd w:val="clear" w:color="auto" w:fill="EAF0EE"/>
          </w:tcPr>
          <w:p>
            <w:pPr>
              <w:spacing w:after="20"/>
            </w:pPr>
            <w:r>
              <w:rPr>
                <w:b/>
                <w:color w:val="1C3A36"/>
                <w:sz w:val="15"/>
              </w:rPr>
              <w:t>60-70%</w:t>
            </w:r>
          </w:p>
        </w:tc>
        <w:tc>
          <w:tcPr>
            <w:tcW w:type="dxa" w:w="763"/>
            <w:shd w:val="clear" w:color="auto" w:fill="EAF0EE"/>
          </w:tcPr>
          <w:p>
            <w:pPr>
              <w:spacing w:after="20"/>
            </w:pPr>
            <w:r>
              <w:rPr>
                <w:b/>
                <w:color w:val="1C3A36"/>
                <w:sz w:val="15"/>
              </w:rPr>
              <w:t>70-80%</w:t>
            </w:r>
          </w:p>
        </w:tc>
        <w:tc>
          <w:tcPr>
            <w:tcW w:type="dxa" w:w="763"/>
            <w:shd w:val="clear" w:color="auto" w:fill="EAF0EE"/>
          </w:tcPr>
          <w:p>
            <w:pPr>
              <w:spacing w:after="20"/>
            </w:pPr>
            <w:r>
              <w:rPr>
                <w:b/>
                <w:color w:val="1C3A36"/>
                <w:sz w:val="15"/>
              </w:rPr>
              <w:t>80-90%</w:t>
            </w:r>
          </w:p>
        </w:tc>
        <w:tc>
          <w:tcPr>
            <w:tcW w:type="dxa" w:w="763"/>
            <w:shd w:val="clear" w:color="auto" w:fill="EAF0EE"/>
          </w:tcPr>
          <w:p>
            <w:pPr>
              <w:spacing w:after="20"/>
            </w:pPr>
            <w:r>
              <w:rPr>
                <w:b/>
                <w:color w:val="1C3A36"/>
                <w:sz w:val="15"/>
              </w:rPr>
              <w:t>90-100%</w:t>
            </w:r>
          </w:p>
        </w:tc>
      </w:tr>
      <w:tr>
        <w:tc>
          <w:tcPr>
            <w:tcW w:type="dxa" w:w="1944"/>
          </w:tcPr>
          <w:p>
            <w:pPr>
              <w:spacing w:after="20"/>
            </w:pPr>
            <w:r>
              <w:rPr>
                <w:color w:val="1C3A36"/>
                <w:sz w:val="15"/>
              </w:rPr>
              <w:t>Last five years</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r>
        <w:tc>
          <w:tcPr>
            <w:tcW w:type="dxa" w:w="1944"/>
          </w:tcPr>
          <w:p>
            <w:pPr>
              <w:spacing w:after="20"/>
            </w:pPr>
            <w:r>
              <w:rPr>
                <w:color w:val="1C3A36"/>
                <w:sz w:val="15"/>
              </w:rPr>
              <w:t>Full history</w:t>
            </w:r>
          </w:p>
        </w:tc>
        <w:tc>
          <w:tcPr>
            <w:tcW w:type="dxa" w:w="763"/>
          </w:tcPr>
          <w:p>
            <w:pPr>
              <w:spacing w:after="20"/>
              <w:jc w:val="right"/>
            </w:pPr>
            <w:r>
              <w:rPr>
                <w:color w:val="1C3A36"/>
                <w:sz w:val="15"/>
              </w:rPr>
              <w:t>3</w:t>
            </w:r>
          </w:p>
        </w:tc>
        <w:tc>
          <w:tcPr>
            <w:tcW w:type="dxa" w:w="763"/>
          </w:tcPr>
          <w:p>
            <w:pPr>
              <w:spacing w:after="20"/>
              <w:jc w:val="right"/>
            </w:pPr>
            <w:r>
              <w:rPr>
                <w:color w:val="1C3A36"/>
                <w:sz w:val="15"/>
              </w:rPr>
              <w:t>5</w:t>
            </w:r>
          </w:p>
        </w:tc>
        <w:tc>
          <w:tcPr>
            <w:tcW w:type="dxa" w:w="763"/>
          </w:tcPr>
          <w:p>
            <w:pPr>
              <w:spacing w:after="20"/>
              <w:jc w:val="right"/>
            </w:pPr>
            <w:r>
              <w:rPr>
                <w:color w:val="1C3A36"/>
                <w:sz w:val="15"/>
              </w:rPr>
              <w:t>6</w:t>
            </w:r>
          </w:p>
        </w:tc>
        <w:tc>
          <w:tcPr>
            <w:tcW w:type="dxa" w:w="763"/>
          </w:tcPr>
          <w:p>
            <w:pPr>
              <w:spacing w:after="20"/>
              <w:jc w:val="right"/>
            </w:pPr>
            <w:r>
              <w:rPr>
                <w:color w:val="1C3A36"/>
                <w:sz w:val="15"/>
              </w:rPr>
              <w:t>5</w:t>
            </w:r>
          </w:p>
        </w:tc>
        <w:tc>
          <w:tcPr>
            <w:tcW w:type="dxa" w:w="763"/>
          </w:tcPr>
          <w:p>
            <w:pPr>
              <w:spacing w:after="20"/>
              <w:jc w:val="right"/>
            </w:pPr>
            <w:r>
              <w:rPr>
                <w:color w:val="1C3A36"/>
                <w:sz w:val="15"/>
              </w:rPr>
              <w:t>10</w:t>
            </w:r>
          </w:p>
        </w:tc>
        <w:tc>
          <w:tcPr>
            <w:tcW w:type="dxa" w:w="763"/>
          </w:tcPr>
          <w:p>
            <w:pPr>
              <w:spacing w:after="20"/>
              <w:jc w:val="right"/>
            </w:pPr>
            <w:r>
              <w:rPr>
                <w:color w:val="1C3A36"/>
                <w:sz w:val="15"/>
              </w:rPr>
              <w:t>5</w:t>
            </w:r>
          </w:p>
        </w:tc>
        <w:tc>
          <w:tcPr>
            <w:tcW w:type="dxa" w:w="763"/>
          </w:tcPr>
          <w:p>
            <w:pPr>
              <w:spacing w:after="20"/>
              <w:jc w:val="right"/>
            </w:pPr>
            <w:r>
              <w:rPr>
                <w:color w:val="1C3A36"/>
                <w:sz w:val="15"/>
              </w:rPr>
              <w:t>7</w:t>
            </w:r>
          </w:p>
        </w:tc>
        <w:tc>
          <w:tcPr>
            <w:tcW w:type="dxa" w:w="763"/>
          </w:tcPr>
          <w:p>
            <w:pPr>
              <w:spacing w:after="20"/>
              <w:jc w:val="right"/>
            </w:pPr>
            <w:r>
              <w:rPr>
                <w:color w:val="1C3A36"/>
                <w:sz w:val="15"/>
              </w:rPr>
              <w:t>4</w:t>
            </w:r>
          </w:p>
        </w:tc>
        <w:tc>
          <w:tcPr>
            <w:tcW w:type="dxa" w:w="763"/>
          </w:tcPr>
          <w:p>
            <w:pPr>
              <w:spacing w:after="20"/>
              <w:jc w:val="right"/>
            </w:pPr>
            <w:r>
              <w:rPr>
                <w:color w:val="1C3A36"/>
                <w:sz w:val="15"/>
              </w:rPr>
              <w:t>10</w:t>
            </w:r>
          </w:p>
        </w:tc>
        <w:tc>
          <w:tcPr>
            <w:tcW w:type="dxa" w:w="763"/>
          </w:tcPr>
          <w:p>
            <w:pPr>
              <w:spacing w:after="20"/>
              <w:jc w:val="right"/>
            </w:pPr>
            <w:r>
              <w:rPr>
                <w:color w:val="1C3A36"/>
                <w:sz w:val="15"/>
              </w:rPr>
              <w:t>1</w:t>
            </w:r>
          </w:p>
        </w:tc>
      </w:tr>
      <w:tr>
        <w:tc>
          <w:tcPr>
            <w:tcW w:type="dxa" w:w="1944"/>
          </w:tcPr>
          <w:p>
            <w:pPr>
              <w:spacing w:after="20"/>
            </w:pPr>
            <w:r>
              <w:rPr>
                <w:color w:val="1C3A36"/>
                <w:sz w:val="15"/>
              </w:rPr>
              <w:t>Post-break</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2</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