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5.02 a share if the capital programme is carried through and EGP 9.13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4.29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5.02 and stopping it gives EGP 9.13 — a difference of EGP 4.11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16.9%, terminal growth 7.0%</w:t>
            </w:r>
          </w:p>
        </w:tc>
        <w:tc>
          <w:tcPr>
            <w:tcW w:type="dxa" w:w="1512"/>
          </w:tcPr>
          <w:p>
            <w:pPr>
              <w:spacing w:after="20"/>
              <w:jc w:val="right"/>
            </w:pPr>
            <w:r>
              <w:rPr>
                <w:color w:val="1C3A36"/>
                <w:sz w:val="15"/>
              </w:rPr>
              <w:t>1.51 to 5.14</w:t>
            </w:r>
          </w:p>
        </w:tc>
        <w:tc>
          <w:tcPr>
            <w:tcW w:type="dxa" w:w="1008"/>
          </w:tcPr>
          <w:p>
            <w:pPr>
              <w:spacing w:after="20"/>
              <w:jc w:val="right"/>
            </w:pPr>
            <w:r>
              <w:rPr>
                <w:color w:val="1C3A36"/>
                <w:sz w:val="15"/>
              </w:rPr>
              <w:t>5.02</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6.13 to 9.20</w:t>
            </w:r>
          </w:p>
        </w:tc>
        <w:tc>
          <w:tcPr>
            <w:tcW w:type="dxa" w:w="1008"/>
          </w:tcPr>
          <w:p>
            <w:pPr>
              <w:spacing w:after="20"/>
              <w:jc w:val="right"/>
            </w:pPr>
            <w:r>
              <w:rPr>
                <w:color w:val="1C3A36"/>
                <w:sz w:val="15"/>
              </w:rPr>
              <w:t>9.13</w:t>
            </w:r>
          </w:p>
        </w:tc>
        <w:tc>
          <w:tcPr>
            <w:tcW w:type="dxa" w:w="936"/>
          </w:tcPr>
          <w:p>
            <w:pPr>
              <w:spacing w:after="20"/>
              <w:jc w:val="right"/>
            </w:pPr>
            <w:r>
              <w:rPr>
                <w:color w:val="1C3A36"/>
                <w:sz w:val="15"/>
              </w:rPr>
              <w:t>-37%</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29.1%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5.02 with the capital programme carried through — the company's own stated plan — and EGP 9.13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4.29 to 15.99</w:t>
            </w:r>
          </w:p>
        </w:tc>
        <w:tc>
          <w:tcPr>
            <w:tcW w:type="dxa" w:w="1008"/>
            <w:shd w:val="clear" w:color="auto" w:fill="F6F1E6"/>
          </w:tcPr>
          <w:p>
            <w:pPr>
              <w:spacing w:after="20"/>
              <w:jc w:val="right"/>
            </w:pPr>
            <w:r>
              <w:rPr>
                <w:b/>
                <w:color w:val="1C3A36"/>
                <w:sz w:val="15"/>
              </w:rPr>
              <w:t>5.02</w:t>
            </w:r>
          </w:p>
        </w:tc>
        <w:tc>
          <w:tcPr>
            <w:tcW w:type="dxa" w:w="936"/>
            <w:shd w:val="clear" w:color="auto" w:fill="F6F1E6"/>
          </w:tcPr>
          <w:p>
            <w:pPr>
              <w:spacing w:after="20"/>
              <w:jc w:val="right"/>
            </w:pPr>
            <w:r>
              <w:rPr>
                <w:b/>
                <w:color w:val="1C3A36"/>
                <w:sz w:val="15"/>
              </w:rPr>
              <w:t>-65%</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(8.0006) or half the rate (6.5115)</w:t>
            </w:r>
          </w:p>
        </w:tc>
        <w:tc>
          <w:tcPr>
            <w:tcW w:type="dxa" w:w="1512"/>
          </w:tcPr>
          <w:p>
            <w:pPr>
              <w:spacing w:after="20"/>
              <w:jc w:val="right"/>
            </w:pPr>
            <w:r>
              <w:rPr>
                <w:color w:val="1C3A36"/>
                <w:sz w:val="15"/>
              </w:rPr>
              <w:t>—</w:t>
            </w:r>
          </w:p>
        </w:tc>
        <w:tc>
          <w:tcPr>
            <w:tcW w:type="dxa" w:w="1008"/>
          </w:tcPr>
          <w:p>
            <w:pPr>
              <w:spacing w:after="20"/>
              <w:jc w:val="right"/>
            </w:pPr>
            <w:r>
              <w:rPr>
                <w:color w:val="1C3A36"/>
                <w:sz w:val="15"/>
              </w:rPr>
              <w:t>8.00</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The new complex's granulated ammonium nitrate priced at a typed US$280/t, the weakest-sourced input in a 304-input register</w:t>
            </w:r>
          </w:p>
        </w:tc>
        <w:tc>
          <w:tcPr>
            <w:tcW w:type="dxa" w:w="3960"/>
          </w:tcPr>
          <w:p>
            <w:pPr>
              <w:spacing w:after="20"/>
            </w:pPr>
            <w:r>
              <w:rPr>
                <w:color w:val="1C3A36"/>
                <w:sz w:val="15"/>
              </w:rPr>
              <w:t>Priced at the SAME PRODUCT'S OWN DISCLOSED REALISED PRICE — EGP 20,000/t from note 20, which is US$408.16/t at this model's FY2024/25 rate of 49.00 (5.5970)</w:t>
            </w:r>
          </w:p>
        </w:tc>
        <w:tc>
          <w:tcPr>
            <w:tcW w:type="dxa" w:w="1512"/>
          </w:tcPr>
          <w:p>
            <w:pPr>
              <w:spacing w:after="20"/>
              <w:jc w:val="right"/>
            </w:pPr>
            <w:r>
              <w:rPr>
                <w:color w:val="1C3A36"/>
                <w:sz w:val="15"/>
              </w:rPr>
              <w:t>—</w:t>
            </w:r>
          </w:p>
        </w:tc>
        <w:tc>
          <w:tcPr>
            <w:tcW w:type="dxa" w:w="1008"/>
          </w:tcPr>
          <w:p>
            <w:pPr>
              <w:spacing w:after="20"/>
              <w:jc w:val="right"/>
            </w:pPr>
            <w:r>
              <w:rPr>
                <w:color w:val="1C3A36"/>
                <w:sz w:val="15"/>
              </w:rPr>
              <w:t>5.60</w:t>
            </w:r>
          </w:p>
        </w:tc>
        <w:tc>
          <w:tcPr>
            <w:tcW w:type="dxa" w:w="936"/>
          </w:tcPr>
          <w:p>
            <w:pPr>
              <w:spacing w:after="20"/>
              <w:jc w:val="right"/>
            </w:pPr>
            <w:r>
              <w:rPr>
                <w:color w:val="1C3A36"/>
                <w:sz w:val="15"/>
              </w:rPr>
              <w:t>-61%</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104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3.10</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2.98</w:t>
            </w:r>
          </w:p>
        </w:tc>
        <w:tc>
          <w:tcPr>
            <w:tcW w:type="dxa" w:w="936"/>
          </w:tcPr>
          <w:p>
            <w:pPr>
              <w:spacing w:after="20"/>
              <w:jc w:val="right"/>
            </w:pPr>
            <w:r>
              <w:rPr>
                <w:color w:val="1C3A36"/>
                <w:sz w:val="15"/>
              </w:rPr>
              <w:t>-79%</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3.55</w:t>
            </w:r>
          </w:p>
        </w:tc>
        <w:tc>
          <w:tcPr>
            <w:tcW w:type="dxa" w:w="936"/>
          </w:tcPr>
          <w:p>
            <w:pPr>
              <w:spacing w:after="20"/>
              <w:jc w:val="right"/>
            </w:pPr>
            <w:r>
              <w:rPr>
                <w:color w:val="1C3A36"/>
                <w:sz w:val="15"/>
              </w:rPr>
              <w:t>-75%</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5.90</w:t>
            </w:r>
          </w:p>
        </w:tc>
        <w:tc>
          <w:tcPr>
            <w:tcW w:type="dxa" w:w="936"/>
          </w:tcPr>
          <w:p>
            <w:pPr>
              <w:spacing w:after="20"/>
              <w:jc w:val="right"/>
            </w:pPr>
            <w:r>
              <w:rPr>
                <w:color w:val="1C3A36"/>
                <w:sz w:val="15"/>
              </w:rPr>
              <w:t>-59%</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2.02</w:t>
            </w:r>
          </w:p>
        </w:tc>
        <w:tc>
          <w:tcPr>
            <w:tcW w:type="dxa" w:w="936"/>
          </w:tcPr>
          <w:p>
            <w:pPr>
              <w:spacing w:after="20"/>
              <w:jc w:val="right"/>
            </w:pPr>
            <w:r>
              <w:rPr>
                <w:color w:val="1C3A36"/>
                <w:sz w:val="15"/>
              </w:rPr>
              <w:t>-86%</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5.52</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4.10</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2.40</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5.96</w:t>
            </w:r>
          </w:p>
        </w:tc>
        <w:tc>
          <w:tcPr>
            <w:tcW w:type="dxa" w:w="936"/>
          </w:tcPr>
          <w:p>
            <w:pPr>
              <w:spacing w:after="20"/>
              <w:jc w:val="right"/>
            </w:pPr>
            <w:r>
              <w:rPr>
                <w:color w:val="1C3A36"/>
                <w:sz w:val="15"/>
              </w:rPr>
              <w:t>-59%</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4.82</w:t>
            </w:r>
          </w:p>
        </w:tc>
        <w:tc>
          <w:tcPr>
            <w:tcW w:type="dxa" w:w="936"/>
          </w:tcPr>
          <w:p>
            <w:pPr>
              <w:spacing w:after="20"/>
              <w:jc w:val="right"/>
            </w:pPr>
            <w:r>
              <w:rPr>
                <w:color w:val="1C3A36"/>
                <w:sz w:val="15"/>
              </w:rPr>
              <w:t>-67%</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76.4%</w:t>
            </w:r>
          </w:p>
        </w:tc>
        <w:tc>
          <w:tcPr>
            <w:tcW w:type="dxa" w:w="2736"/>
          </w:tcPr>
          <w:p>
            <w:pPr>
              <w:spacing w:after="20"/>
              <w:jc w:val="right"/>
            </w:pPr>
            <w:r>
              <w:rPr>
                <w:color w:val="1C3A36"/>
                <w:sz w:val="17"/>
              </w:rPr>
              <w:t>54.8%</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3,881 million on the carried-through case, so the terminal block carries 76.4%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3.00 a share. The narrowest is terminal growth, worth EGP 2.04.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25.63%</w:t>
            </w:r>
          </w:p>
        </w:tc>
        <w:tc>
          <w:tcPr>
            <w:tcW w:type="dxa" w:w="1426"/>
          </w:tcPr>
          <w:p>
            <w:pPr>
              <w:spacing w:after="20"/>
              <w:jc w:val="right"/>
            </w:pPr>
            <w:r>
              <w:rPr>
                <w:color w:val="1C3A36"/>
                <w:sz w:val="16"/>
              </w:rPr>
              <w:t>23.42%</w:t>
            </w:r>
          </w:p>
        </w:tc>
        <w:tc>
          <w:tcPr>
            <w:tcW w:type="dxa" w:w="1426"/>
          </w:tcPr>
          <w:p>
            <w:pPr>
              <w:spacing w:after="20"/>
              <w:jc w:val="right"/>
            </w:pPr>
            <w:r>
              <w:rPr>
                <w:color w:val="1C3A36"/>
                <w:sz w:val="16"/>
              </w:rPr>
              <w:t>21.58%</w:t>
            </w:r>
          </w:p>
        </w:tc>
        <w:tc>
          <w:tcPr>
            <w:tcW w:type="dxa" w:w="1426"/>
          </w:tcPr>
          <w:p>
            <w:pPr>
              <w:spacing w:after="20"/>
              <w:jc w:val="right"/>
            </w:pPr>
            <w:r>
              <w:rPr>
                <w:color w:val="1C3A36"/>
                <w:sz w:val="16"/>
              </w:rPr>
              <w:t>20.09%</w:t>
            </w:r>
          </w:p>
        </w:tc>
        <w:tc>
          <w:tcPr>
            <w:tcW w:type="dxa" w:w="1426"/>
          </w:tcPr>
          <w:p>
            <w:pPr>
              <w:spacing w:after="20"/>
              <w:jc w:val="right"/>
            </w:pPr>
            <w:r>
              <w:rPr>
                <w:color w:val="1C3A36"/>
                <w:sz w:val="16"/>
              </w:rPr>
              <w:t>18.82%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0.7960</w:t>
            </w:r>
          </w:p>
        </w:tc>
        <w:tc>
          <w:tcPr>
            <w:tcW w:type="dxa" w:w="1426"/>
          </w:tcPr>
          <w:p>
            <w:pPr>
              <w:spacing w:after="20"/>
              <w:jc w:val="right"/>
            </w:pPr>
            <w:r>
              <w:rPr>
                <w:color w:val="1C3A36"/>
                <w:sz w:val="16"/>
              </w:rPr>
              <w:t>0.6449</w:t>
            </w:r>
          </w:p>
        </w:tc>
        <w:tc>
          <w:tcPr>
            <w:tcW w:type="dxa" w:w="1426"/>
          </w:tcPr>
          <w:p>
            <w:pPr>
              <w:spacing w:after="20"/>
              <w:jc w:val="right"/>
            </w:pPr>
            <w:r>
              <w:rPr>
                <w:color w:val="1C3A36"/>
                <w:sz w:val="16"/>
              </w:rPr>
              <w:t>0.5305</w:t>
            </w:r>
          </w:p>
        </w:tc>
        <w:tc>
          <w:tcPr>
            <w:tcW w:type="dxa" w:w="1426"/>
          </w:tcPr>
          <w:p>
            <w:pPr>
              <w:spacing w:after="20"/>
              <w:jc w:val="right"/>
            </w:pPr>
            <w:r>
              <w:rPr>
                <w:color w:val="1C3A36"/>
                <w:sz w:val="16"/>
              </w:rPr>
              <w:t>0.4417</w:t>
            </w:r>
          </w:p>
        </w:tc>
        <w:tc>
          <w:tcPr>
            <w:tcW w:type="dxa" w:w="1426"/>
          </w:tcPr>
          <w:p>
            <w:pPr>
              <w:spacing w:after="20"/>
              <w:jc w:val="right"/>
            </w:pPr>
            <w:r>
              <w:rPr>
                <w:color w:val="1C3A36"/>
                <w:sz w:val="16"/>
              </w:rPr>
              <w:t>0.3718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1,583</w:t>
            </w:r>
          </w:p>
        </w:tc>
        <w:tc>
          <w:tcPr>
            <w:tcW w:type="dxa" w:w="1426"/>
            <w:shd w:val="clear" w:color="auto" w:fill="F6F1E6"/>
          </w:tcPr>
          <w:p>
            <w:pPr>
              <w:spacing w:after="20"/>
              <w:jc w:val="right"/>
            </w:pPr>
            <w:r>
              <w:rPr>
                <w:b/>
                <w:color w:val="1C3A36"/>
                <w:sz w:val="16"/>
              </w:rPr>
              <w:t>515</w:t>
            </w:r>
          </w:p>
        </w:tc>
        <w:tc>
          <w:tcPr>
            <w:tcW w:type="dxa" w:w="1426"/>
            <w:shd w:val="clear" w:color="auto" w:fill="F6F1E6"/>
          </w:tcPr>
          <w:p>
            <w:pPr>
              <w:spacing w:after="20"/>
              <w:jc w:val="right"/>
            </w:pPr>
            <w:r>
              <w:rPr>
                <w:b/>
                <w:color w:val="1C3A36"/>
                <w:sz w:val="16"/>
              </w:rPr>
              <w:t>464</w:t>
            </w:r>
          </w:p>
        </w:tc>
        <w:tc>
          <w:tcPr>
            <w:tcW w:type="dxa" w:w="1426"/>
            <w:shd w:val="clear" w:color="auto" w:fill="F6F1E6"/>
          </w:tcPr>
          <w:p>
            <w:pPr>
              <w:spacing w:after="20"/>
              <w:jc w:val="right"/>
            </w:pPr>
            <w:r>
              <w:rPr>
                <w:b/>
                <w:color w:val="1C3A36"/>
                <w:sz w:val="16"/>
              </w:rPr>
              <w:t>531</w:t>
            </w:r>
          </w:p>
        </w:tc>
        <w:tc>
          <w:tcPr>
            <w:tcW w:type="dxa" w:w="1426"/>
            <w:shd w:val="clear" w:color="auto" w:fill="F6F1E6"/>
          </w:tcPr>
          <w:p>
            <w:pPr>
              <w:spacing w:after="20"/>
              <w:jc w:val="right"/>
            </w:pPr>
            <w:r>
              <w:rPr>
                <w:b/>
                <w:color w:val="1C3A36"/>
                <w:sz w:val="16"/>
              </w:rPr>
              <w:t>789</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3,881</w:t>
            </w:r>
          </w:p>
        </w:tc>
        <w:tc>
          <w:tcPr>
            <w:tcW w:type="dxa" w:w="2808"/>
          </w:tcPr>
          <w:p>
            <w:pPr>
              <w:spacing w:after="20"/>
              <w:jc w:val="right"/>
            </w:pPr>
            <w:r>
              <w:rPr>
                <w:color w:val="1C3A36"/>
                <w:sz w:val="17"/>
              </w:rPr>
              <w:t>11,126</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12,590</w:t>
            </w:r>
          </w:p>
        </w:tc>
        <w:tc>
          <w:tcPr>
            <w:tcW w:type="dxa" w:w="2808"/>
          </w:tcPr>
          <w:p>
            <w:pPr>
              <w:spacing w:after="20"/>
              <w:jc w:val="right"/>
            </w:pPr>
            <w:r>
              <w:rPr>
                <w:color w:val="1C3A36"/>
                <w:sz w:val="17"/>
              </w:rPr>
              <w:t>13,504</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16,472</w:t>
            </w:r>
          </w:p>
        </w:tc>
        <w:tc>
          <w:tcPr>
            <w:tcW w:type="dxa" w:w="2808"/>
            <w:shd w:val="clear" w:color="auto" w:fill="F6F1E6"/>
          </w:tcPr>
          <w:p>
            <w:pPr>
              <w:spacing w:after="20"/>
              <w:jc w:val="right"/>
            </w:pPr>
            <w:r>
              <w:rPr>
                <w:b/>
                <w:color w:val="1C3A36"/>
                <w:sz w:val="17"/>
              </w:rPr>
              <w:t>24,630</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76.4%</w:t>
            </w:r>
          </w:p>
        </w:tc>
        <w:tc>
          <w:tcPr>
            <w:tcW w:type="dxa" w:w="2808"/>
            <w:shd w:val="clear" w:color="auto" w:fill="F6F1E6"/>
          </w:tcPr>
          <w:p>
            <w:pPr>
              <w:spacing w:after="20"/>
              <w:jc w:val="right"/>
            </w:pPr>
            <w:r>
              <w:rPr>
                <w:b/>
                <w:color w:val="1C3A36"/>
                <w:sz w:val="17"/>
              </w:rPr>
              <w:t>54.8%</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9,977</w:t>
            </w:r>
          </w:p>
        </w:tc>
        <w:tc>
          <w:tcPr>
            <w:tcW w:type="dxa" w:w="2808"/>
            <w:shd w:val="clear" w:color="auto" w:fill="F6F1E6"/>
          </w:tcPr>
          <w:p>
            <w:pPr>
              <w:spacing w:after="20"/>
              <w:jc w:val="right"/>
            </w:pPr>
            <w:r>
              <w:rPr>
                <w:b/>
                <w:color w:val="1C3A36"/>
                <w:sz w:val="17"/>
              </w:rPr>
              <w:t>18,135</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5.02</w:t>
            </w:r>
          </w:p>
        </w:tc>
        <w:tc>
          <w:tcPr>
            <w:tcW w:type="dxa" w:w="2808"/>
            <w:shd w:val="clear" w:color="auto" w:fill="F6F1E6"/>
          </w:tcPr>
          <w:p>
            <w:pPr>
              <w:spacing w:after="20"/>
              <w:jc w:val="right"/>
            </w:pPr>
            <w:r>
              <w:rPr>
                <w:b/>
                <w:color w:val="1C3A36"/>
                <w:sz w:val="17"/>
              </w:rPr>
              <w:t>9.13</w:t>
            </w:r>
          </w:p>
        </w:tc>
      </w:tr>
    </w:tbl>
    <w:p>
      <w:pPr>
        <w:spacing w:after="40"/>
      </w:pPr>
    </w:p>
    <w:p>
      <w:pPr>
        <w:spacing w:after="200" w:before="0"/>
      </w:pPr>
      <w:r>
        <w:rPr>
          <w:b w:val="0"/>
          <w:i/>
          <w:color w:val="6E7B77"/>
          <w:sz w:val="17"/>
        </w:rPr>
        <w:t>Table 5.  Net debt of EGP 10,032 million stands against an enterprise value of EGP 16,472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8.29</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5.02</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8.29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16,472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29.08%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29.08%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3.4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4.29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5.02 a share with the capital programme carried through, 65% below the traded price, and EGP 9.13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29.08%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5.02 a share. Stopped, EGP 9.13. The difference, EGP 4.11 a share or EGP 8,158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16.9%</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0.92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1.020</w:t>
            </w:r>
          </w:p>
        </w:tc>
        <w:tc>
          <w:tcPr>
            <w:tcW w:type="dxa" w:w="1512"/>
          </w:tcPr>
          <w:p>
            <w:pPr>
              <w:spacing w:after="20"/>
              <w:jc w:val="right"/>
            </w:pPr>
            <w:r>
              <w:rPr>
                <w:color w:val="1C3A36"/>
                <w:sz w:val="17"/>
              </w:rPr>
              <w:t>1.020</w:t>
            </w:r>
          </w:p>
        </w:tc>
        <w:tc>
          <w:tcPr>
            <w:tcW w:type="dxa" w:w="4248"/>
          </w:tcPr>
          <w:p>
            <w:pPr>
              <w:spacing w:after="20"/>
            </w:pPr>
            <w:r>
              <w:rPr>
                <w:color w:val="1C3A36"/>
                <w:sz w:val="17"/>
              </w:rPr>
              <w:t>Own-stock weekly regression, 256 observations, R-squared 0.248,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30.65%</w:t>
            </w:r>
          </w:p>
        </w:tc>
        <w:tc>
          <w:tcPr>
            <w:tcW w:type="dxa" w:w="1512"/>
            <w:shd w:val="clear" w:color="auto" w:fill="F6F1E6"/>
          </w:tcPr>
          <w:p>
            <w:pPr>
              <w:spacing w:after="20"/>
              <w:jc w:val="right"/>
            </w:pPr>
            <w:r>
              <w:rPr>
                <w:b/>
                <w:color w:val="1C3A36"/>
                <w:sz w:val="17"/>
              </w:rPr>
              <w:t>29.08%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26.66%</w:t>
            </w:r>
          </w:p>
        </w:tc>
        <w:tc>
          <w:tcPr>
            <w:tcW w:type="dxa" w:w="1512"/>
            <w:shd w:val="clear" w:color="auto" w:fill="F6F1E6"/>
          </w:tcPr>
          <w:p>
            <w:pPr>
              <w:spacing w:after="20"/>
              <w:jc w:val="right"/>
            </w:pPr>
            <w:r>
              <w:rPr>
                <w:b/>
                <w:color w:val="1C3A36"/>
                <w:sz w:val="17"/>
              </w:rPr>
              <w:t>25.63%</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104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3.55 a share on the carried-through cash-flow lens against EGP 5.02, a difference of EGP -1.47.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16.88%.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5.02</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(8.0006) or half the rate (6.5115)</w:t>
            </w:r>
          </w:p>
        </w:tc>
        <w:tc>
          <w:tcPr>
            <w:tcW w:type="dxa" w:w="950"/>
          </w:tcPr>
          <w:p>
            <w:pPr>
              <w:spacing w:after="20"/>
              <w:jc w:val="right"/>
            </w:pPr>
            <w:r>
              <w:rPr>
                <w:color w:val="1C3A36"/>
                <w:sz w:val="15"/>
              </w:rPr>
              <w:t>8.00</w:t>
            </w:r>
          </w:p>
        </w:tc>
        <w:tc>
          <w:tcPr>
            <w:tcW w:type="dxa" w:w="950"/>
          </w:tcPr>
          <w:p>
            <w:pPr>
              <w:spacing w:after="20"/>
              <w:jc w:val="right"/>
            </w:pPr>
            <w:r>
              <w:rPr>
                <w:color w:val="1C3A36"/>
                <w:sz w:val="15"/>
              </w:rPr>
              <w:t>+2.98</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a typed US$280/t, the weakest-sourced input in a 304-input register</w:t>
            </w:r>
          </w:p>
        </w:tc>
        <w:tc>
          <w:tcPr>
            <w:tcW w:type="dxa" w:w="2563"/>
          </w:tcPr>
          <w:p>
            <w:pPr>
              <w:spacing w:after="20"/>
            </w:pPr>
            <w:r>
              <w:rPr>
                <w:color w:val="1C3A36"/>
                <w:sz w:val="15"/>
              </w:rPr>
              <w:t>Priced at the SAME PRODUCT'S OWN DISCLOSED REALISED PRICE — EGP 20,000/t from note 20, which is US$408.16/t at this model's FY2024/25 rate of 49.00 (5.5970)</w:t>
            </w:r>
          </w:p>
        </w:tc>
        <w:tc>
          <w:tcPr>
            <w:tcW w:type="dxa" w:w="950"/>
          </w:tcPr>
          <w:p>
            <w:pPr>
              <w:spacing w:after="20"/>
              <w:jc w:val="right"/>
            </w:pPr>
            <w:r>
              <w:rPr>
                <w:color w:val="1C3A36"/>
                <w:sz w:val="15"/>
              </w:rPr>
              <w:t>5.60</w:t>
            </w:r>
          </w:p>
        </w:tc>
        <w:tc>
          <w:tcPr>
            <w:tcW w:type="dxa" w:w="950"/>
          </w:tcPr>
          <w:p>
            <w:pPr>
              <w:spacing w:after="20"/>
              <w:jc w:val="right"/>
            </w:pPr>
            <w:r>
              <w:rPr>
                <w:color w:val="1C3A36"/>
                <w:sz w:val="15"/>
              </w:rPr>
              <w:t>+0.57</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104 basis points higher</w:t>
            </w:r>
          </w:p>
        </w:tc>
        <w:tc>
          <w:tcPr>
            <w:tcW w:type="dxa" w:w="950"/>
          </w:tcPr>
          <w:p>
            <w:pPr>
              <w:spacing w:after="20"/>
              <w:jc w:val="right"/>
            </w:pPr>
            <w:r>
              <w:rPr>
                <w:color w:val="1C3A36"/>
                <w:sz w:val="15"/>
              </w:rPr>
              <w:t>3.10</w:t>
            </w:r>
          </w:p>
        </w:tc>
        <w:tc>
          <w:tcPr>
            <w:tcW w:type="dxa" w:w="950"/>
          </w:tcPr>
          <w:p>
            <w:pPr>
              <w:spacing w:after="20"/>
              <w:jc w:val="right"/>
            </w:pPr>
            <w:r>
              <w:rPr>
                <w:color w:val="1C3A36"/>
                <w:sz w:val="15"/>
              </w:rPr>
              <w:t>-1.92</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1.48</w:t>
            </w:r>
          </w:p>
        </w:tc>
        <w:tc>
          <w:tcPr>
            <w:tcW w:type="dxa" w:w="950"/>
          </w:tcPr>
          <w:p>
            <w:pPr>
              <w:spacing w:after="20"/>
              <w:jc w:val="right"/>
            </w:pPr>
            <w:r>
              <w:rPr>
                <w:color w:val="1C3A36"/>
                <w:sz w:val="15"/>
              </w:rPr>
              <w:t>-3.54</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2.98</w:t>
            </w:r>
          </w:p>
        </w:tc>
        <w:tc>
          <w:tcPr>
            <w:tcW w:type="dxa" w:w="950"/>
          </w:tcPr>
          <w:p>
            <w:pPr>
              <w:spacing w:after="20"/>
              <w:jc w:val="right"/>
            </w:pPr>
            <w:r>
              <w:rPr>
                <w:color w:val="1C3A36"/>
                <w:sz w:val="15"/>
              </w:rPr>
              <w:t>-2.04</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3.55</w:t>
            </w:r>
          </w:p>
        </w:tc>
        <w:tc>
          <w:tcPr>
            <w:tcW w:type="dxa" w:w="950"/>
          </w:tcPr>
          <w:p>
            <w:pPr>
              <w:spacing w:after="20"/>
              <w:jc w:val="right"/>
            </w:pPr>
            <w:r>
              <w:rPr>
                <w:color w:val="1C3A36"/>
                <w:sz w:val="15"/>
              </w:rPr>
              <w:t>-1.47</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5.90</w:t>
            </w:r>
          </w:p>
        </w:tc>
        <w:tc>
          <w:tcPr>
            <w:tcW w:type="dxa" w:w="950"/>
          </w:tcPr>
          <w:p>
            <w:pPr>
              <w:spacing w:after="20"/>
              <w:jc w:val="right"/>
            </w:pPr>
            <w:r>
              <w:rPr>
                <w:color w:val="1C3A36"/>
                <w:sz w:val="15"/>
              </w:rPr>
              <w:t>+0.88</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2.02</w:t>
            </w:r>
          </w:p>
        </w:tc>
        <w:tc>
          <w:tcPr>
            <w:tcW w:type="dxa" w:w="950"/>
          </w:tcPr>
          <w:p>
            <w:pPr>
              <w:spacing w:after="20"/>
              <w:jc w:val="right"/>
            </w:pPr>
            <w:r>
              <w:rPr>
                <w:color w:val="1C3A36"/>
                <w:sz w:val="15"/>
              </w:rPr>
              <w:t>-3.00</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5.52</w:t>
            </w:r>
          </w:p>
        </w:tc>
        <w:tc>
          <w:tcPr>
            <w:tcW w:type="dxa" w:w="950"/>
          </w:tcPr>
          <w:p>
            <w:pPr>
              <w:spacing w:after="20"/>
              <w:jc w:val="right"/>
            </w:pPr>
            <w:r>
              <w:rPr>
                <w:color w:val="1C3A36"/>
                <w:sz w:val="15"/>
              </w:rPr>
              <w:t>+0.50</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4.10</w:t>
            </w:r>
          </w:p>
        </w:tc>
        <w:tc>
          <w:tcPr>
            <w:tcW w:type="dxa" w:w="950"/>
          </w:tcPr>
          <w:p>
            <w:pPr>
              <w:spacing w:after="20"/>
              <w:jc w:val="right"/>
            </w:pPr>
            <w:r>
              <w:rPr>
                <w:color w:val="1C3A36"/>
                <w:sz w:val="15"/>
              </w:rPr>
              <w:t>-0.92</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2.40</w:t>
            </w:r>
          </w:p>
        </w:tc>
        <w:tc>
          <w:tcPr>
            <w:tcW w:type="dxa" w:w="950"/>
          </w:tcPr>
          <w:p>
            <w:pPr>
              <w:spacing w:after="20"/>
              <w:jc w:val="right"/>
            </w:pPr>
            <w:r>
              <w:rPr>
                <w:color w:val="1C3A36"/>
                <w:sz w:val="15"/>
              </w:rPr>
              <w:t>-2.62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5.96</w:t>
            </w:r>
          </w:p>
        </w:tc>
        <w:tc>
          <w:tcPr>
            <w:tcW w:type="dxa" w:w="950"/>
          </w:tcPr>
          <w:p>
            <w:pPr>
              <w:spacing w:after="20"/>
              <w:jc w:val="right"/>
            </w:pPr>
            <w:r>
              <w:rPr>
                <w:color w:val="1C3A36"/>
                <w:sz w:val="15"/>
              </w:rPr>
              <w:t>+0.93</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4.82</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glide (-3.54) and gas (-3.00);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-2.62</w:t>
            </w:r>
          </w:p>
        </w:tc>
        <w:tc>
          <w:tcPr>
            <w:tcW w:type="dxa" w:w="1483"/>
          </w:tcPr>
          <w:p>
            <w:pPr>
              <w:spacing w:after="20"/>
              <w:jc w:val="right"/>
            </w:pPr>
            <w:r>
              <w:rPr>
                <w:color w:val="1C3A36"/>
                <w:sz w:val="17"/>
              </w:rPr>
              <w:t>-0.35</w:t>
            </w:r>
          </w:p>
        </w:tc>
        <w:tc>
          <w:tcPr>
            <w:tcW w:type="dxa" w:w="1483"/>
          </w:tcPr>
          <w:p>
            <w:pPr>
              <w:spacing w:after="20"/>
              <w:jc w:val="right"/>
            </w:pPr>
            <w:r>
              <w:rPr>
                <w:color w:val="1C3A36"/>
                <w:sz w:val="17"/>
              </w:rPr>
              <w:t>1.92</w:t>
            </w:r>
          </w:p>
        </w:tc>
        <w:tc>
          <w:tcPr>
            <w:tcW w:type="dxa" w:w="1483"/>
          </w:tcPr>
          <w:p>
            <w:pPr>
              <w:spacing w:after="20"/>
              <w:jc w:val="right"/>
            </w:pPr>
            <w:r>
              <w:rPr>
                <w:color w:val="1C3A36"/>
                <w:sz w:val="17"/>
              </w:rPr>
              <w:t>4.19</w:t>
            </w:r>
          </w:p>
        </w:tc>
        <w:tc>
          <w:tcPr>
            <w:tcW w:type="dxa" w:w="1483"/>
          </w:tcPr>
          <w:p>
            <w:pPr>
              <w:spacing w:after="20"/>
              <w:jc w:val="right"/>
            </w:pPr>
            <w:r>
              <w:rPr>
                <w:color w:val="1C3A36"/>
                <w:sz w:val="17"/>
              </w:rPr>
              <w:t>6.47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1.43</w:t>
            </w:r>
          </w:p>
        </w:tc>
        <w:tc>
          <w:tcPr>
            <w:tcW w:type="dxa" w:w="1483"/>
          </w:tcPr>
          <w:p>
            <w:pPr>
              <w:spacing w:after="20"/>
              <w:jc w:val="right"/>
            </w:pPr>
            <w:r>
              <w:rPr>
                <w:color w:val="1C3A36"/>
                <w:sz w:val="17"/>
              </w:rPr>
              <w:t>3.52</w:t>
            </w:r>
          </w:p>
        </w:tc>
        <w:tc>
          <w:tcPr>
            <w:tcW w:type="dxa" w:w="1483"/>
          </w:tcPr>
          <w:p>
            <w:pPr>
              <w:spacing w:after="20"/>
              <w:jc w:val="right"/>
            </w:pPr>
            <w:r>
              <w:rPr>
                <w:color w:val="1C3A36"/>
                <w:sz w:val="17"/>
              </w:rPr>
              <w:t>5.60</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-2.86</w:t>
            </w:r>
          </w:p>
        </w:tc>
        <w:tc>
          <w:tcPr>
            <w:tcW w:type="dxa" w:w="1483"/>
          </w:tcPr>
          <w:p>
            <w:pPr>
              <w:spacing w:after="20"/>
              <w:jc w:val="right"/>
            </w:pPr>
            <w:r>
              <w:rPr>
                <w:color w:val="1C3A36"/>
                <w:sz w:val="17"/>
              </w:rPr>
              <w:t>-0.95</w:t>
            </w:r>
          </w:p>
        </w:tc>
        <w:tc>
          <w:tcPr>
            <w:tcW w:type="dxa" w:w="1483"/>
          </w:tcPr>
          <w:p>
            <w:pPr>
              <w:spacing w:after="20"/>
              <w:jc w:val="right"/>
            </w:pPr>
            <w:r>
              <w:rPr>
                <w:color w:val="1C3A36"/>
                <w:sz w:val="17"/>
              </w:rPr>
              <w:t>0.96</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4.79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-2.93</w:t>
            </w:r>
          </w:p>
        </w:tc>
        <w:tc>
          <w:tcPr>
            <w:tcW w:type="dxa" w:w="1483"/>
          </w:tcPr>
          <w:p>
            <w:pPr>
              <w:spacing w:after="20"/>
              <w:jc w:val="right"/>
            </w:pPr>
            <w:r>
              <w:rPr>
                <w:color w:val="1C3A36"/>
                <w:sz w:val="17"/>
              </w:rPr>
              <w:t>-1.13</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2.46</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2.06</w:t>
            </w:r>
          </w:p>
        </w:tc>
        <w:tc>
          <w:tcPr>
            <w:tcW w:type="dxa" w:w="1483"/>
          </w:tcPr>
          <w:p>
            <w:pPr>
              <w:spacing w:after="20"/>
              <w:jc w:val="right"/>
            </w:pPr>
            <w:r>
              <w:rPr>
                <w:color w:val="1C3A36"/>
                <w:sz w:val="17"/>
              </w:rPr>
              <w:t>3.74</w:t>
            </w:r>
          </w:p>
        </w:tc>
      </w:tr>
    </w:tbl>
    <w:p>
      <w:pPr>
        <w:spacing w:after="40"/>
      </w:pPr>
    </w:p>
    <w:p>
      <w:pPr>
        <w:spacing w:after="200" w:before="0"/>
      </w:pPr>
      <w:r>
        <w:rPr>
          <w:b w:val="0"/>
          <w:i/>
          <w:color w:val="6E7B77"/>
          <w:sz w:val="17"/>
        </w:rPr>
        <w:t>Table 19.  The highest cell in the grid is EGP 6.47,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-2.86 to 4.79</w:t>
            </w:r>
          </w:p>
        </w:tc>
        <w:tc>
          <w:tcPr>
            <w:tcW w:type="dxa" w:w="1152"/>
            <w:shd w:val="clear" w:color="auto" w:fill="F6F1E6"/>
          </w:tcPr>
          <w:p>
            <w:pPr>
              <w:spacing w:after="20"/>
              <w:jc w:val="right"/>
            </w:pPr>
            <w:r>
              <w:rPr>
                <w:b/>
                <w:color w:val="1C3A36"/>
                <w:sz w:val="16"/>
              </w:rPr>
              <w:t>7.65</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5.02 to 9.13</w:t>
            </w:r>
          </w:p>
        </w:tc>
        <w:tc>
          <w:tcPr>
            <w:tcW w:type="dxa" w:w="1152"/>
          </w:tcPr>
          <w:p>
            <w:pPr>
              <w:spacing w:after="20"/>
              <w:jc w:val="right"/>
            </w:pPr>
            <w:r>
              <w:rPr>
                <w:color w:val="1C3A36"/>
                <w:sz w:val="16"/>
              </w:rPr>
              <w:t>4.11</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2.02 to 5.02</w:t>
            </w:r>
          </w:p>
        </w:tc>
        <w:tc>
          <w:tcPr>
            <w:tcW w:type="dxa" w:w="1152"/>
          </w:tcPr>
          <w:p>
            <w:pPr>
              <w:spacing w:after="20"/>
              <w:jc w:val="right"/>
            </w:pPr>
            <w:r>
              <w:rPr>
                <w:color w:val="1C3A36"/>
                <w:sz w:val="16"/>
              </w:rPr>
              <w:t>3.00</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2.98 to 5.02</w:t>
            </w:r>
          </w:p>
        </w:tc>
        <w:tc>
          <w:tcPr>
            <w:tcW w:type="dxa" w:w="1152"/>
          </w:tcPr>
          <w:p>
            <w:pPr>
              <w:spacing w:after="20"/>
              <w:jc w:val="right"/>
            </w:pPr>
            <w:r>
              <w:rPr>
                <w:color w:val="1C3A36"/>
                <w:sz w:val="16"/>
              </w:rPr>
              <w:t>2.04</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3.10 to 5.02</w:t>
            </w:r>
          </w:p>
        </w:tc>
        <w:tc>
          <w:tcPr>
            <w:tcW w:type="dxa" w:w="1152"/>
          </w:tcPr>
          <w:p>
            <w:pPr>
              <w:spacing w:after="20"/>
              <w:jc w:val="right"/>
            </w:pPr>
            <w:r>
              <w:rPr>
                <w:color w:val="1C3A36"/>
                <w:sz w:val="16"/>
              </w:rPr>
              <w:t>1.92</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0.37 to 1.92</w:t>
            </w:r>
          </w:p>
        </w:tc>
        <w:tc>
          <w:tcPr>
            <w:tcW w:type="dxa" w:w="1152"/>
          </w:tcPr>
          <w:p>
            <w:pPr>
              <w:spacing w:after="20"/>
              <w:jc w:val="right"/>
            </w:pPr>
            <w:r>
              <w:rPr>
                <w:color w:val="1C3A36"/>
                <w:sz w:val="16"/>
              </w:rPr>
              <w:t>1.55</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3.55 to 5.02</w:t>
            </w:r>
          </w:p>
        </w:tc>
        <w:tc>
          <w:tcPr>
            <w:tcW w:type="dxa" w:w="1152"/>
          </w:tcPr>
          <w:p>
            <w:pPr>
              <w:spacing w:after="20"/>
              <w:jc w:val="right"/>
            </w:pPr>
            <w:r>
              <w:rPr>
                <w:color w:val="1C3A36"/>
                <w:sz w:val="16"/>
              </w:rPr>
              <w:t>1.47</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4.10 to 5.02</w:t>
            </w:r>
          </w:p>
        </w:tc>
        <w:tc>
          <w:tcPr>
            <w:tcW w:type="dxa" w:w="1152"/>
          </w:tcPr>
          <w:p>
            <w:pPr>
              <w:spacing w:after="20"/>
              <w:jc w:val="right"/>
            </w:pPr>
            <w:r>
              <w:rPr>
                <w:color w:val="1C3A36"/>
                <w:sz w:val="16"/>
              </w:rPr>
              <w:t>0.92</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1.020 against the lower bound of its own ninety-per-cent interval, 0.717</w:t>
            </w:r>
          </w:p>
        </w:tc>
        <w:tc>
          <w:tcPr>
            <w:tcW w:type="dxa" w:w="2160"/>
          </w:tcPr>
          <w:p>
            <w:pPr>
              <w:spacing w:after="20"/>
              <w:jc w:val="right"/>
            </w:pPr>
            <w:r>
              <w:rPr>
                <w:color w:val="1C3A36"/>
                <w:sz w:val="16"/>
              </w:rPr>
              <w:t>5.02 to 5.90</w:t>
            </w:r>
          </w:p>
        </w:tc>
        <w:tc>
          <w:tcPr>
            <w:tcW w:type="dxa" w:w="1152"/>
          </w:tcPr>
          <w:p>
            <w:pPr>
              <w:spacing w:after="20"/>
              <w:jc w:val="right"/>
            </w:pPr>
            <w:r>
              <w:rPr>
                <w:color w:val="1C3A36"/>
                <w:sz w:val="16"/>
              </w:rPr>
              <w:t>0.88</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5.02 to 5.52</w:t>
            </w:r>
          </w:p>
        </w:tc>
        <w:tc>
          <w:tcPr>
            <w:tcW w:type="dxa" w:w="1152"/>
          </w:tcPr>
          <w:p>
            <w:pPr>
              <w:spacing w:after="20"/>
              <w:jc w:val="right"/>
            </w:pPr>
            <w:r>
              <w:rPr>
                <w:color w:val="1C3A36"/>
                <w:sz w:val="16"/>
              </w:rPr>
              <w:t>0.50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1.020, from 256 weekly observations over 4.9 years of the share against the published EGX30 index — the index of the exchange the share is listed on, as of 2026-09-08 — on the exchange's own Sunday-to-Thursday week. The regression explains 24.8% of the variation with a standard error of 0.191, so all three conditions of the usability test are met and the estimate is adopted rather than defaulted; the Blume-adjusted cross-check is 1.013. The interval is wide, 0.71 to 1.33 at ninety per cent, because the share is thinly traded, and the lower bound is priced with the other contested constructions in section 1.8 rather than argued away: at 0.72 the answer is EGP 5.90 instead of EGP 5.02.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5.02</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9.13</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4.11</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29.08%)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29.1%,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3.00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0.35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2.62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76.4% of enterprise value on the carried-through case and 54.8% on the stopped case. The explicit years are a construction window: free cash flow to the firm is positive in 5 of the five years and negative in the other 0, and their present value is EGP 3,881 million against a terminal block of EGP 12,590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305</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20,010</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15,056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14,773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15,452</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11,292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5.68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5.83 a share.</w:t>
      </w:r>
    </w:p>
    <w:p>
      <w:pPr>
        <w:spacing w:after="120" w:before="0"/>
      </w:pPr>
      <w:r>
        <w:rPr>
          <w:b w:val="0"/>
          <w:i w:val="0"/>
          <w:color w:val="1C3A36"/>
          <w:sz w:val="19"/>
        </w:rPr>
        <w:t>On both sides of the contested judgement.  With the programme carried through the claim is worth EGP 5.68 a share (EGP 0.00 to 5.83 across the volatility range); with the programme stopped the enterprise value rises to EGP 28,168 million and the same claim is worth EGP 8.69 (EGP 8.62 to 8.81).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20,010m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4.56 a share, and at 60% over seven years EGP 6.49.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4.56</w:t>
            </w:r>
          </w:p>
        </w:tc>
        <w:tc>
          <w:tcPr>
            <w:tcW w:type="dxa" w:w="1541"/>
          </w:tcPr>
          <w:p>
            <w:pPr>
              <w:spacing w:after="20"/>
              <w:jc w:val="right"/>
            </w:pPr>
            <w:r>
              <w:rPr>
                <w:color w:val="1C3A36"/>
                <w:sz w:val="17"/>
              </w:rPr>
              <w:t>4.60</w:t>
            </w:r>
          </w:p>
        </w:tc>
        <w:tc>
          <w:tcPr>
            <w:tcW w:type="dxa" w:w="1541"/>
          </w:tcPr>
          <w:p>
            <w:pPr>
              <w:spacing w:after="20"/>
              <w:jc w:val="right"/>
            </w:pPr>
            <w:r>
              <w:rPr>
                <w:color w:val="1C3A36"/>
                <w:sz w:val="17"/>
              </w:rPr>
              <w:t>4.73</w:t>
            </w:r>
          </w:p>
        </w:tc>
        <w:tc>
          <w:tcPr>
            <w:tcW w:type="dxa" w:w="1541"/>
          </w:tcPr>
          <w:p>
            <w:pPr>
              <w:spacing w:after="20"/>
              <w:jc w:val="right"/>
            </w:pPr>
            <w:r>
              <w:rPr>
                <w:color w:val="1C3A36"/>
                <w:sz w:val="17"/>
              </w:rPr>
              <w:t>4.90</w:t>
            </w:r>
          </w:p>
        </w:tc>
        <w:tc>
          <w:tcPr>
            <w:tcW w:type="dxa" w:w="1541"/>
          </w:tcPr>
          <w:p>
            <w:pPr>
              <w:spacing w:after="20"/>
              <w:jc w:val="right"/>
            </w:pPr>
            <w:r>
              <w:rPr>
                <w:color w:val="1C3A36"/>
                <w:sz w:val="17"/>
              </w:rPr>
              <w:t>5.00</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5.55</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5.68</w:t>
            </w:r>
          </w:p>
        </w:tc>
        <w:tc>
          <w:tcPr>
            <w:tcW w:type="dxa" w:w="1541"/>
          </w:tcPr>
          <w:p>
            <w:pPr>
              <w:spacing w:after="20"/>
              <w:jc w:val="right"/>
            </w:pPr>
            <w:r>
              <w:rPr>
                <w:color w:val="1C3A36"/>
                <w:sz w:val="17"/>
              </w:rPr>
              <w:t>5.83</w:t>
            </w:r>
          </w:p>
        </w:tc>
        <w:tc>
          <w:tcPr>
            <w:tcW w:type="dxa" w:w="1541"/>
          </w:tcPr>
          <w:p>
            <w:pPr>
              <w:spacing w:after="20"/>
              <w:jc w:val="right"/>
            </w:pPr>
            <w:r>
              <w:rPr>
                <w:color w:val="1C3A36"/>
                <w:sz w:val="17"/>
              </w:rPr>
              <w:t>5.92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6.20</w:t>
            </w:r>
          </w:p>
        </w:tc>
        <w:tc>
          <w:tcPr>
            <w:tcW w:type="dxa" w:w="1541"/>
          </w:tcPr>
          <w:p>
            <w:pPr>
              <w:spacing w:after="20"/>
              <w:jc w:val="right"/>
            </w:pPr>
            <w:r>
              <w:rPr>
                <w:color w:val="1C3A36"/>
                <w:sz w:val="17"/>
              </w:rPr>
              <w:t>6.23</w:t>
            </w:r>
          </w:p>
        </w:tc>
        <w:tc>
          <w:tcPr>
            <w:tcW w:type="dxa" w:w="1541"/>
          </w:tcPr>
          <w:p>
            <w:pPr>
              <w:spacing w:after="20"/>
              <w:jc w:val="right"/>
            </w:pPr>
            <w:r>
              <w:rPr>
                <w:color w:val="1C3A36"/>
                <w:sz w:val="17"/>
              </w:rPr>
              <w:t>6.30</w:t>
            </w:r>
          </w:p>
        </w:tc>
        <w:tc>
          <w:tcPr>
            <w:tcW w:type="dxa" w:w="1541"/>
          </w:tcPr>
          <w:p>
            <w:pPr>
              <w:spacing w:after="20"/>
              <w:jc w:val="right"/>
            </w:pPr>
            <w:r>
              <w:rPr>
                <w:color w:val="1C3A36"/>
                <w:sz w:val="17"/>
              </w:rPr>
              <w:t>6.42</w:t>
            </w:r>
          </w:p>
        </w:tc>
        <w:tc>
          <w:tcPr>
            <w:tcW w:type="dxa" w:w="1541"/>
          </w:tcPr>
          <w:p>
            <w:pPr>
              <w:spacing w:after="20"/>
              <w:jc w:val="right"/>
            </w:pPr>
            <w:r>
              <w:rPr>
                <w:color w:val="1C3A36"/>
                <w:sz w:val="17"/>
              </w:rPr>
              <w:t>6.49</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5.58 a share, at 55% EGP 5.83.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-3.06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-2.02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-5.02</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-9.39</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