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SWDY — MARKET DISSENT</w:t>
      </w:r>
    </w:p>
    <w:p>
      <w:r>
        <w:t>DISSENT_AT_GAP: -35.4%</w:t>
      </w:r>
    </w:p>
    <w:p>
      <w:r>
        <w:t>Central EGP 87.94 against a last known price of EGP 136.20 (2026-09-06). This</w:t>
      </w:r>
    </w:p>
    <w:p>
      <w:r>
        <w:t>document is the CASE for publishing a number that far below the market. It is</w:t>
      </w:r>
    </w:p>
    <w:p>
      <w:r>
        <w:t>not the authorisation to publish it [R-GAP-02 CLAUSE FOUR], and it makes no</w:t>
      </w:r>
    </w:p>
    <w:p>
      <w:r>
        <w:t>claim to an edge — only that the disagreement is real and survives our own</w:t>
      </w:r>
    </w:p>
    <w:p>
      <w:r>
        <w:t>audit.</w:t>
      </w:r>
    </w:p>
    <w:p>
      <w:pPr>
        <w:pStyle w:val="Heading2"/>
      </w:pPr>
      <w:r>
        <w:t>MECHANISM</w:t>
      </w:r>
    </w:p>
    <w:p>
      <w:r>
        <w:t>**The whole gap is the reinvestment charge, and the June balance sheet measures</w:t>
      </w:r>
    </w:p>
    <w:p>
      <w:r>
        <w:t>it.**</w:t>
      </w:r>
    </w:p>
    <w:p>
      <w:r>
        <w:t>SWDY is spending heavily. FY2025 capex was EGP 13,112mn against depreciation and</w:t>
      </w:r>
    </w:p>
    <w:p>
      <w:r>
        <w:t>amortisation of EGP 3,009mn — 4.4x. The forward model carries PP&amp;E up 178% to</w:t>
      </w:r>
    </w:p>
    <w:p>
      <w:r>
        <w:t>buy 40.9% real revenue growth, which takes asset turns from 7.82x to 6.45x, a</w:t>
      </w:r>
    </w:p>
    <w:p>
      <w:r>
        <w:t>capital intensity the company has never operated at.</w:t>
      </w:r>
    </w:p>
    <w:p>
      <w:r>
        <w:t>A DCF charges that spending against the cash it returns. The market price does</w:t>
      </w:r>
    </w:p>
    <w:p>
      <w:r>
        <w:t>not appear to. The study's own expert panel splits on exactly this line and</w:t>
      </w:r>
    </w:p>
    <w:p>
      <w:r>
        <w:t>makes the mechanism visible from both sides: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expert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treatment of reinvestment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reads</w:t>
            </w:r>
          </w:p>
        </w:tc>
      </w:tr>
      <w:tr>
        <w:tc>
          <w:tcPr>
            <w:tcW w:type="dxa" w:w="2880"/>
          </w:tcPr>
          <w:p>
            <w:r>
              <w:t>earnings-power</w:t>
            </w:r>
          </w:p>
        </w:tc>
        <w:tc>
          <w:tcPr>
            <w:tcW w:type="dxa" w:w="2880"/>
          </w:tcPr>
          <w:p>
            <w:r>
              <w:t>capitalises earnings, charges NO reinvestment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154.41</w:t>
            </w:r>
            <w:r>
              <w:t xml:space="preserve"> — above the price</w:t>
            </w:r>
          </w:p>
        </w:tc>
      </w:tr>
      <w:tr>
        <w:tc>
          <w:tcPr>
            <w:tcW w:type="dxa" w:w="2880"/>
          </w:tcPr>
          <w:p>
            <w:r>
              <w:t>cash-based #1</w:t>
            </w:r>
          </w:p>
        </w:tc>
        <w:tc>
          <w:tcPr>
            <w:tcW w:type="dxa" w:w="2880"/>
          </w:tcPr>
          <w:p>
            <w:r>
              <w:t>charges it</w:t>
            </w:r>
          </w:p>
        </w:tc>
        <w:tc>
          <w:tcPr>
            <w:tcW w:type="dxa" w:w="2880"/>
          </w:tcPr>
          <w:p>
            <w:r>
              <w:t>85.56</w:t>
            </w:r>
          </w:p>
        </w:tc>
      </w:tr>
      <w:tr>
        <w:tc>
          <w:tcPr>
            <w:tcW w:type="dxa" w:w="2880"/>
          </w:tcPr>
          <w:p>
            <w:r>
              <w:t>cash-based #2</w:t>
            </w:r>
          </w:p>
        </w:tc>
        <w:tc>
          <w:tcPr>
            <w:tcW w:type="dxa" w:w="2880"/>
          </w:tcPr>
          <w:p>
            <w:r>
              <w:t>charges it</w:t>
            </w:r>
          </w:p>
        </w:tc>
        <w:tc>
          <w:tcPr>
            <w:tcW w:type="dxa" w:w="2880"/>
          </w:tcPr>
          <w:p>
            <w:r>
              <w:t>78.29</w:t>
            </w:r>
          </w:p>
        </w:tc>
      </w:tr>
    </w:tbl>
    <w:p>
      <w:r>
        <w:t>The lens that ignores the reinvestment charge lands above the market. The two</w:t>
      </w:r>
    </w:p>
    <w:p>
      <w:r>
        <w:t>that charge it land where we publish. That is the mechanism, stated as an</w:t>
      </w:r>
    </w:p>
    <w:p>
      <w:r>
        <w:t>arithmetic split rather than as an opinion.</w:t>
      </w:r>
    </w:p>
    <w:p>
      <w:r>
        <w:rPr>
          <w:b/>
        </w:rPr>
        <w:t>The filings corroborate the charge rather than the story.</w:t>
      </w:r>
      <w:r>
        <w:t xml:space="preserve"> Between</w:t>
      </w:r>
    </w:p>
    <w:p>
      <w:r>
        <w:t>31-Dec-2025 and 30-Jun-2026 net debt rose EGP 8,069mn while the group earned</w:t>
      </w:r>
    </w:p>
    <w:p>
      <w:r>
        <w:t>EGP 10,647mn after tax and paid EGP 3,960mn of dividends — an implied free cash</w:t>
      </w:r>
    </w:p>
    <w:p>
      <w:r>
        <w:t xml:space="preserve">flow of </w:t>
      </w:r>
      <w:r>
        <w:rPr>
          <w:b/>
        </w:rPr>
        <w:t>negative EGP 4,109mn in the half</w:t>
      </w:r>
      <w:r>
        <w:t>. The model's FY2026E net debt of</w:t>
      </w:r>
    </w:p>
    <w:p>
      <w:r>
        <w:t>28,039 lands within 2% of the June actual of 28,629. We are not forecasting a</w:t>
      </w:r>
    </w:p>
    <w:p>
      <w:r>
        <w:t>cash drain that the company is not already reporting.</w:t>
      </w:r>
    </w:p>
    <w:p>
      <w:r>
        <w:t>The terminal is not where the gap is made: terminal ROIC 22.43% sits 7.09</w:t>
      </w:r>
    </w:p>
    <w:p>
      <w:r>
        <w:t>percentage points ABOVE the terminal WACC of 15.34%. This terminal creates</w:t>
      </w:r>
    </w:p>
    <w:p>
      <w:r>
        <w:t>value. The gap is in the explicit window, where the spending happens.</w:t>
      </w:r>
    </w:p>
    <w:p>
      <w:pPr>
        <w:pStyle w:val="Heading2"/>
      </w:pPr>
      <w:r>
        <w:t>REVERSE READ</w:t>
      </w:r>
    </w:p>
    <w:p>
      <w:r>
        <w:t>What EGP 136.20 must believe, taking the study's own drivers one at a time and</w:t>
      </w:r>
    </w:p>
    <w:p>
      <w:r>
        <w:t>solving for the level that reaches the price: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driver moved alone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to reach 136.20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reachable?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Segment margins</w:t>
            </w:r>
          </w:p>
        </w:tc>
        <w:tc>
          <w:tcPr>
            <w:tcW w:type="dxa" w:w="2880"/>
          </w:tcPr>
          <w:p>
            <w:r>
              <w:t xml:space="preserve">FY26E EBITDA margin </w:t>
            </w:r>
            <w:r>
              <w:rPr>
                <w:b/>
              </w:rPr>
              <w:t>12.63%</w:t>
            </w:r>
            <w:r>
              <w:t xml:space="preserve"> (adopted 10.34%)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t>Uniform WACC</w:t>
            </w:r>
          </w:p>
        </w:tc>
        <w:tc>
          <w:tcPr>
            <w:tcW w:type="dxa" w:w="2880"/>
          </w:tcPr>
          <w:p>
            <w:r>
              <w:t>−189bp (terminal 15.34 → 13.45)</w:t>
            </w:r>
          </w:p>
        </w:tc>
        <w:tc>
          <w:tcPr>
            <w:tcW w:type="dxa" w:w="2880"/>
          </w:tcPr>
          <w:p>
            <w:r>
              <w:t>arguable</w:t>
            </w:r>
          </w:p>
        </w:tc>
      </w:tr>
      <w:tr>
        <w:tc>
          <w:tcPr>
            <w:tcW w:type="dxa" w:w="2880"/>
          </w:tcPr>
          <w:p>
            <w:r>
              <w:t>Terminal real growth</w:t>
            </w:r>
          </w:p>
        </w:tc>
        <w:tc>
          <w:tcPr>
            <w:tcW w:type="dxa" w:w="2880"/>
          </w:tcPr>
          <w:p>
            <w:r>
              <w:t>above the 4.5% economy cap — at the cap, 124.95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at beta 0.00 the value is 96.75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t>Capex</w:t>
            </w:r>
          </w:p>
        </w:tc>
        <w:tc>
          <w:tcPr>
            <w:tcW w:type="dxa" w:w="2880"/>
          </w:tcPr>
          <w:p>
            <w:r>
              <w:t>at ZERO capex the value is 115.10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t>NWC</w:t>
            </w:r>
          </w:p>
        </w:tc>
        <w:tc>
          <w:tcPr>
            <w:tcW w:type="dxa" w:w="2880"/>
          </w:tcPr>
          <w:p>
            <w:r>
              <w:t>6.53% of revenue — never observed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t>Tax</w:t>
            </w:r>
          </w:p>
        </w:tc>
        <w:tc>
          <w:tcPr>
            <w:tcW w:type="dxa" w:w="2880"/>
          </w:tcPr>
          <w:p>
            <w:r>
              <w:t>5.0%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</w:tr>
    </w:tbl>
    <w:p>
      <w:r>
        <w:t>Four of the seven cannot reach the price at any admissible value, and two of</w:t>
      </w:r>
    </w:p>
    <w:p>
      <w:r>
        <w:t>those cannot reach it at physically impossible values — zero capex and zero beta</w:t>
      </w:r>
    </w:p>
    <w:p>
      <w:r>
        <w:t>both leave the price above the model. The disagreement therefore reduces to</w:t>
      </w:r>
    </w:p>
    <w:p>
      <w:r>
        <w:rPr>
          <w:b/>
        </w:rPr>
        <w:t>one driver</w:t>
      </w:r>
      <w:r>
        <w:t>: the segment margin.</w:t>
      </w:r>
    </w:p>
    <w:p>
      <w:r>
        <w:t>And that one is reachable. The market's implied 12.63% EBITDA margin is inside</w:t>
      </w:r>
    </w:p>
    <w:p>
      <w:r>
        <w:t xml:space="preserve">this company's own printed record: </w:t>
      </w:r>
      <w:r>
        <w:rPr>
          <w:b/>
        </w:rPr>
        <w:t>13.17% in FY2023 and 13.62% in FY2024</w:t>
      </w:r>
      <w:r>
        <w:t>,</w:t>
      </w:r>
    </w:p>
    <w:p>
      <w:r>
        <w:t>against 10.09% in FY2025 and 11.12% in H1-2026.</w:t>
      </w:r>
    </w:p>
    <w:p>
      <w:r>
        <w:t>**So the dispute is a single, honest question: does the FY2023-24 margin come</w:t>
      </w:r>
    </w:p>
    <w:p>
      <w:r>
        <w:t>back?** The market says yes. We say no. That is a disagreement about the future,</w:t>
      </w:r>
    </w:p>
    <w:p>
      <w:r>
        <w:t>not a modelling artefact, and it is stated here in the one form that can be</w:t>
      </w:r>
    </w:p>
    <w:p>
      <w:r>
        <w:t>graded later.</w:t>
      </w:r>
    </w:p>
    <w:p>
      <w:pPr>
        <w:pStyle w:val="Heading2"/>
      </w:pPr>
      <w:r>
        <w:t>WHY NOT CREDIBLE</w:t>
      </w:r>
    </w:p>
    <w:p>
      <w:r>
        <w:t>We do not claim the market's belief is absurd. We claim it is not supported by</w:t>
      </w:r>
    </w:p>
    <w:p>
      <w:r>
        <w:t>what the company has filed since, and that the burden sits on the recovery.</w:t>
      </w:r>
    </w:p>
    <w:p>
      <w:pPr>
        <w:pStyle w:val="ListNumber"/>
      </w:pPr>
      <w:r>
        <w:rPr>
          <w:b/>
        </w:rPr>
        <w:t>The margin fell as the capital base grew.</w:t>
      </w:r>
      <w:r>
        <w:t xml:space="preserve"> The FY2023-24 margin was earned</w:t>
      </w:r>
    </w:p>
    <w:p>
      <w:r>
        <w:t>on a smaller asset base. The forward case requires the old margin AND the new</w:t>
      </w:r>
    </w:p>
    <w:p>
      <w:r>
        <w:t>spending, which is the combination the filings have not yet shown.</w:t>
      </w:r>
    </w:p>
    <w:p>
      <w:pPr>
        <w:pStyle w:val="ListNumber"/>
      </w:pPr>
      <w:r>
        <w:rPr>
          <w:b/>
        </w:rPr>
        <w:t>H1-2026 is the most recent evidence and it reads 11.12%</w:t>
      </w:r>
      <w:r>
        <w:t>, not 12.63%. Our</w:t>
      </w:r>
    </w:p>
    <w:p>
      <w:r>
        <w:t>FY26E segment margin of 12.34% is already 29bp ABOVE the seasonal analogue of</w:t>
      </w:r>
    </w:p>
    <w:p>
      <w:r>
        <w:t>12.05% derived from the company's own H1/H2 split. We are not modelling a</w:t>
      </w:r>
    </w:p>
    <w:p>
      <w:r>
        <w:t>collapse; we are modelling slightly better than the last comparable half.</w:t>
      </w:r>
    </w:p>
    <w:p>
      <w:pPr>
        <w:pStyle w:val="ListNumber"/>
      </w:pPr>
      <w:r>
        <w:rPr>
          <w:b/>
        </w:rPr>
        <w:t>The spending has not stopped.</w:t>
      </w:r>
      <w:r>
        <w:t xml:space="preserve"> H1-2026 capex of 5,436 against H1-2025's</w:t>
      </w:r>
    </w:p>
    <w:p>
      <w:r>
        <w:t>5,387 is +0.9% — flat, not falling. A price that implies the margin returns</w:t>
      </w:r>
    </w:p>
    <w:p>
      <w:r>
        <w:t>while the capital programme continues is asking for both at once.</w:t>
      </w:r>
    </w:p>
    <w:p>
      <w:pPr>
        <w:pStyle w:val="ListNumber"/>
      </w:pPr>
      <w:r>
        <w:rPr>
          <w:b/>
        </w:rPr>
        <w:t>The cash statement does not corroborate the recovery.</w:t>
      </w:r>
      <w:r>
        <w:t xml:space="preserve"> Negative EGP</w:t>
      </w:r>
    </w:p>
    <w:p>
      <w:r>
        <w:t>4,109mn of implied free cash flow in the half is the opposite of what a</w:t>
      </w:r>
    </w:p>
    <w:p>
      <w:r>
        <w:t>margin recovery of that size would produce.</w:t>
      </w:r>
    </w:p>
    <w:p>
      <w:pPr>
        <w:pStyle w:val="Heading2"/>
      </w:pPr>
      <w:r>
        <w:t>WHAT WE CHECKED</w:t>
      </w:r>
    </w:p>
    <w:p>
      <w:r>
        <w:t>The answer was put through an adversarial audit that hunted OUR defect first and</w:t>
      </w:r>
    </w:p>
    <w:p>
      <w:r>
        <w:t>priced every candidate it found, in both directions, by re-running the study's</w:t>
      </w:r>
    </w:p>
    <w:p>
      <w:r>
        <w:t>own engine one driver at a time. Twenty-three candidates were priced. The</w:t>
      </w:r>
    </w:p>
    <w:p>
      <w:r>
        <w:t>material 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EGP/share</w:t>
            </w:r>
          </w:p>
        </w:tc>
      </w:tr>
      <w:tr>
        <w:tc>
          <w:tcPr>
            <w:tcW w:type="dxa" w:w="2880"/>
          </w:tcPr>
          <w:p>
            <w:r>
              <w:t>D&amp;A built off revenue, not the asset base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DOWN</w:t>
            </w:r>
          </w:p>
        </w:tc>
        <w:tc>
          <w:tcPr>
            <w:tcW w:type="dxa" w:w="2880"/>
          </w:tcPr>
          <w:p>
            <w:r>
              <w:t>−6.14</w:t>
            </w:r>
          </w:p>
        </w:tc>
      </w:tr>
      <w:tr>
        <w:tc>
          <w:tcPr>
            <w:tcW w:type="dxa" w:w="2880"/>
          </w:tcPr>
          <w:p>
            <w:r>
              <w:t>Terminal Kd 8.88% below the terminal risk-free of 10.50%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DOWN</w:t>
            </w:r>
          </w:p>
        </w:tc>
        <w:tc>
          <w:tcPr>
            <w:tcW w:type="dxa" w:w="2880"/>
          </w:tcPr>
          <w:p>
            <w:r>
              <w:t>−5.41 to −10.55</w:t>
            </w:r>
          </w:p>
        </w:tc>
      </w:tr>
      <w:tr>
        <w:tc>
          <w:tcPr>
            <w:tcW w:type="dxa" w:w="2880"/>
          </w:tcPr>
          <w:p>
            <w:r>
              <w:t>Tax 24.5% against a disclosed H1-26 rate of 30.85%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DOWN</w:t>
            </w:r>
          </w:p>
        </w:tc>
        <w:tc>
          <w:tcPr>
            <w:tcW w:type="dxa" w:w="2880"/>
          </w:tcPr>
          <w:p>
            <w:r>
              <w:t>−4.59 to −23.59</w:t>
            </w:r>
          </w:p>
        </w:tc>
      </w:tr>
      <w:tr>
        <w:tc>
          <w:tcPr>
            <w:tcW w:type="dxa" w:w="2880"/>
          </w:tcPr>
          <w:p>
            <w:r>
              <w:t>June balance sheet instead of December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DOWN</w:t>
            </w:r>
          </w:p>
        </w:tc>
        <w:tc>
          <w:tcPr>
            <w:tcW w:type="dxa" w:w="2880"/>
          </w:tcPr>
          <w:p>
            <w:r>
              <w:t>−3.53</w:t>
            </w:r>
          </w:p>
        </w:tc>
      </w:tr>
      <w:tr>
        <w:tc>
          <w:tcPr>
            <w:tcW w:type="dxa" w:w="2880"/>
          </w:tcPr>
          <w:p>
            <w:r>
              <w:t>Capex vs the volume it buys</w:t>
            </w:r>
          </w:p>
        </w:tc>
        <w:tc>
          <w:tcPr>
            <w:tcW w:type="dxa" w:w="2880"/>
          </w:tcPr>
          <w:p>
            <w:r>
              <w:t>UP</w:t>
            </w:r>
          </w:p>
        </w:tc>
        <w:tc>
          <w:tcPr>
            <w:tcW w:type="dxa" w:w="2880"/>
          </w:tcPr>
          <w:p>
            <w:r>
              <w:t>+4.31</w:t>
            </w:r>
          </w:p>
        </w:tc>
      </w:tr>
      <w:tr>
        <w:tc>
          <w:tcPr>
            <w:tcW w:type="dxa" w:w="2880"/>
          </w:tcPr>
          <w:p>
            <w:r>
              <w:t>Associates at carrying value</w:t>
            </w:r>
          </w:p>
        </w:tc>
        <w:tc>
          <w:tcPr>
            <w:tcW w:type="dxa" w:w="2880"/>
          </w:tcPr>
          <w:p>
            <w:r>
              <w:t>UP</w:t>
            </w:r>
          </w:p>
        </w:tc>
        <w:tc>
          <w:tcPr>
            <w:tcW w:type="dxa" w:w="2880"/>
          </w:tcPr>
          <w:p>
            <w:r>
              <w:t>+3.22</w:t>
            </w:r>
          </w:p>
        </w:tc>
      </w:tr>
      <w:tr>
        <w:tc>
          <w:tcPr>
            <w:tcW w:type="dxa" w:w="2880"/>
          </w:tcPr>
          <w:p>
            <w:r>
              <w:t>Net- rather than gross-debt WACC weights</w:t>
            </w:r>
          </w:p>
        </w:tc>
        <w:tc>
          <w:tcPr>
            <w:tcW w:type="dxa" w:w="2880"/>
          </w:tcPr>
          <w:p>
            <w:r>
              <w:t>UP</w:t>
            </w:r>
          </w:p>
        </w:tc>
        <w:tc>
          <w:tcPr>
            <w:tcW w:type="dxa" w:w="2880"/>
          </w:tcPr>
          <w:p>
            <w:r>
              <w:t>+4.24</w:t>
            </w:r>
          </w:p>
        </w:tc>
      </w:tr>
      <w:tr>
        <w:tc>
          <w:tcPr>
            <w:tcW w:type="dxa" w:w="2880"/>
          </w:tcPr>
          <w:p>
            <w:r>
              <w:t>Minorities at the FY25 profit share</w:t>
            </w:r>
          </w:p>
        </w:tc>
        <w:tc>
          <w:tcPr>
            <w:tcW w:type="dxa" w:w="2880"/>
          </w:tcPr>
          <w:p>
            <w:r>
              <w:t>UP</w:t>
            </w:r>
          </w:p>
        </w:tc>
        <w:tc>
          <w:tcPr>
            <w:tcW w:type="dxa" w:w="2880"/>
          </w:tcPr>
          <w:p>
            <w:r>
              <w:t>+2.55</w:t>
            </w:r>
          </w:p>
        </w:tc>
      </w:tr>
      <w:tr>
        <w:tc>
          <w:tcPr>
            <w:tcW w:type="dxa" w:w="2880"/>
          </w:tcPr>
          <w:p>
            <w:r>
              <w:t>Terminal reinvestment spread (the ARCC defect)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absent; +7.09pp</w:t>
            </w:r>
          </w:p>
        </w:tc>
      </w:tr>
    </w:tbl>
    <w:p>
      <w:r>
        <w:rPr>
          <w:b/>
        </w:rPr>
        <w:t>The corrections do not net upward.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vs price</w:t>
            </w:r>
          </w:p>
        </w:tc>
      </w:tr>
      <w:tr>
        <w:tc>
          <w:tcPr>
            <w:tcW w:type="dxa" w:w="2880"/>
          </w:tcPr>
          <w:p>
            <w:r>
              <w:t>every UPWARD correction, none of the downward ones</w:t>
            </w:r>
          </w:p>
        </w:tc>
        <w:tc>
          <w:tcPr>
            <w:tcW w:type="dxa" w:w="2880"/>
          </w:tcPr>
          <w:p>
            <w:r>
              <w:t>110.88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−18.6%</w:t>
            </w:r>
          </w:p>
        </w:tc>
      </w:tr>
      <w:tr>
        <w:tc>
          <w:tcPr>
            <w:tcW w:type="dxa" w:w="2880"/>
          </w:tcPr>
          <w:p>
            <w:r>
              <w:t>every DOWNWARD correction</w:t>
            </w:r>
          </w:p>
        </w:tc>
        <w:tc>
          <w:tcPr>
            <w:tcW w:type="dxa" w:w="2880"/>
          </w:tcPr>
          <w:p>
            <w:r>
              <w:t>68.94</w:t>
            </w:r>
          </w:p>
        </w:tc>
        <w:tc>
          <w:tcPr>
            <w:tcW w:type="dxa" w:w="2880"/>
          </w:tcPr>
          <w:p>
            <w:r>
              <w:t>−49.4%</w:t>
            </w:r>
          </w:p>
        </w:tc>
      </w:tr>
      <w:tr>
        <w:tc>
          <w:tcPr>
            <w:tcW w:type="dxa" w:w="2880"/>
          </w:tcPr>
          <w:p>
            <w:r>
              <w:t>balanced — every correction with a mechanism in the filings</w:t>
            </w:r>
          </w:p>
        </w:tc>
        <w:tc>
          <w:tcPr>
            <w:tcW w:type="dxa" w:w="2880"/>
          </w:tcPr>
          <w:p>
            <w:r>
              <w:t>83.00</w:t>
            </w:r>
          </w:p>
        </w:tc>
        <w:tc>
          <w:tcPr>
            <w:tcW w:type="dxa" w:w="2880"/>
          </w:tcPr>
          <w:p>
            <w:r>
              <w:t>−39.1%</w:t>
            </w:r>
          </w:p>
        </w:tc>
      </w:tr>
    </w:tbl>
    <w:p>
      <w:r>
        <w:t>In the single most favourable reading available — taking every upward correction</w:t>
      </w:r>
    </w:p>
    <w:p>
      <w:r>
        <w:t>and none of the downward ones — the number rises 26% and the gap is **still</w:t>
      </w:r>
    </w:p>
    <w:p>
      <w:r>
        <w:t>−18.6%**. Roughly 0-5 percentage points of the 35.4 are ours. Thirty or more</w:t>
      </w:r>
    </w:p>
    <w:p>
      <w:r>
        <w:t>survive as genuine disagreement. The defensible central is EGP 83-90 and the</w:t>
      </w:r>
    </w:p>
    <w:p>
      <w:r>
        <w:t>study publishes at 87.94, inside that range.</w:t>
      </w:r>
    </w:p>
    <w:p>
      <w:r>
        <w:rPr>
          <w:b/>
        </w:rPr>
        <w:t>Two hypotheses we expected to close the gap did not.</w:t>
      </w:r>
      <w:r>
        <w:t xml:space="preserve"> Correcting depreciation</w:t>
      </w:r>
    </w:p>
    <w:p>
      <w:r>
        <w:t xml:space="preserve">to run off the asset base moves SWDY </w:t>
      </w:r>
      <w:r>
        <w:rPr>
          <w:b/>
        </w:rPr>
        <w:t>DOWN</w:t>
      </w:r>
      <w:r>
        <w:t xml:space="preserve"> 6.14, not up, because terminal</w:t>
      </w:r>
    </w:p>
    <w:p>
      <w:r>
        <w:t>maintenance capex is pinned to D&amp;A. Finance costs do not enter a FCFF DCF at</w:t>
      </w:r>
    </w:p>
    <w:p>
      <w:r>
        <w:t>all. Both were checked because they were the most likely way our own number</w:t>
      </w:r>
    </w:p>
    <w:p>
      <w:r>
        <w:t>could be too low on a currency that halved, and neither was.</w:t>
      </w:r>
    </w:p>
    <w:p>
      <w:r>
        <w:rPr>
          <w:b/>
        </w:rPr>
        <w:t>Recorded against ourselves, three defects found in the same audit.</w:t>
      </w:r>
      <w:r>
        <w:t xml:space="preserve"> None</w:t>
      </w:r>
    </w:p>
    <w:p>
      <w:r>
        <w:t>moves the central; all three are disclosed here rather than left to be found:</w:t>
      </w:r>
    </w:p>
    <w:p>
      <w:pPr>
        <w:pStyle w:val="ListBullet"/>
      </w:pPr>
      <w:r>
        <w:rPr>
          <w:rFonts w:ascii="Consolas" w:hAnsi="Consolas"/>
          <w:sz w:val="18"/>
        </w:rPr>
        <w:t>etr_h1_25</w:t>
      </w:r>
      <w:r>
        <w:t xml:space="preserve"> in </w:t>
      </w:r>
      <w:r>
        <w:rPr>
          <w:rFonts w:ascii="Consolas" w:hAnsi="Consolas"/>
          <w:sz w:val="18"/>
        </w:rPr>
        <w:t>study_numbers.json</w:t>
      </w:r>
      <w:r>
        <w:t xml:space="preserve"> carries </w:t>
      </w:r>
      <w:r>
        <w:rPr>
          <w:b/>
        </w:rPr>
        <w:t>H1-2026's</w:t>
      </w:r>
      <w:r>
        <w:t xml:space="preserve"> rate and PBT under an</w:t>
      </w:r>
    </w:p>
    <w:p>
      <w:r>
        <w:t>H1-2025 key. Nothing reads it, so the answer does not move — but it is the one</w:t>
      </w:r>
    </w:p>
    <w:p>
      <w:r>
        <w:t>figure that makes the tax judgement testable by the study's own like-for-like</w:t>
      </w:r>
    </w:p>
    <w:p>
      <w:r>
        <w:t>method, and on the true H1-2025 figure of 19.39% that method gives 34.03%, not</w:t>
      </w:r>
    </w:p>
    <w:p>
      <w:r>
        <w:t xml:space="preserve">the adopted 24.5%. </w:t>
      </w:r>
      <w:r>
        <w:rPr>
          <w:b/>
        </w:rPr>
        <w:t>This runs against us.</w:t>
      </w:r>
    </w:p>
    <w:p>
      <w:pPr>
        <w:pStyle w:val="ListBullet"/>
      </w:pPr>
      <w:r>
        <w:rPr>
          <w:rFonts w:ascii="Consolas" w:hAnsi="Consolas"/>
          <w:sz w:val="18"/>
        </w:rPr>
        <w:t>cost_of_capital_record.rf_terminal_note</w:t>
      </w:r>
      <w:r>
        <w:t xml:space="preserve"> is stale and now asserts the opposite</w:t>
      </w:r>
    </w:p>
    <w:p>
      <w:r>
        <w:t>of the truth: it says the house derives 12.50% and the study sits 200bp below,</w:t>
      </w:r>
    </w:p>
    <w:p>
      <w:r>
        <w:t>where the live path derives 10.50% and the study conforms.</w:t>
      </w:r>
    </w:p>
    <w:p>
      <w:pPr>
        <w:pStyle w:val="ListBullet"/>
      </w:pPr>
      <w:r>
        <w:rPr>
          <w:rFonts w:ascii="Consolas" w:hAnsi="Consolas"/>
          <w:sz w:val="18"/>
        </w:rPr>
        <w:t>rebuild_ledger.json</w:t>
      </w:r>
      <w:r>
        <w:t xml:space="preserve"> names its own black hole — "UNRECORDED: the levers</w:t>
      </w:r>
    </w:p>
    <w:p>
      <w:r>
        <w:t>between the beta re-derivation and 13-09-2026", 43.51 → 87.76, a +102% move</w:t>
      </w:r>
    </w:p>
    <w:p>
      <w:r>
        <w:t>with no lever-by-lever record.</w:t>
      </w:r>
    </w:p>
    <w:p>
      <w:r>
        <w:rPr>
          <w:b/>
        </w:rPr>
        <w:t>Stated because it bears on how much of this is new analysis:</w:t>
      </w:r>
      <w:r>
        <w:t xml:space="preserve"> the single</w:t>
      </w:r>
    </w:p>
    <w:p>
      <w:r>
        <w:t>largest driver of the move from the prior published 69.73 to 87.94 was a</w:t>
      </w:r>
    </w:p>
    <w:p>
      <w:r>
        <w:t>HOUSE-WIDE change — the real-rate convention went 0.055 → 0.035 on 10-Sep-2026</w:t>
      </w:r>
    </w:p>
    <w:p>
      <w:r>
        <w:t xml:space="preserve">in commit </w:t>
      </w:r>
      <w:r>
        <w:rPr>
          <w:rFonts w:ascii="Consolas" w:hAnsi="Consolas"/>
          <w:sz w:val="18"/>
        </w:rPr>
        <w:t>67b9b9652</w:t>
      </w:r>
      <w:r>
        <w:t xml:space="preserve"> — worth +21.33 per share on this name. That is a change to</w:t>
      </w:r>
    </w:p>
    <w:p>
      <w:r>
        <w:t>the house path, not a discovery about SWDY.</w:t>
      </w:r>
    </w:p>
    <w:p>
      <w:r>
        <w:rPr>
          <w:b/>
        </w:rPr>
        <w:t>No outside house could be scored.</w:t>
      </w:r>
      <w:r>
        <w:t xml:space="preserve"> The only external input in the repository</w:t>
      </w:r>
    </w:p>
    <w:p>
      <w:r>
        <w:t>is EFG Hermes' Egyptian terminal cost of capital (14.2 / 14.8 / 15.1%), against</w:t>
      </w:r>
    </w:p>
    <w:p>
      <w:r>
        <w:t>which the study's 15.34% is the conservative end. There is no outside-house SWDY</w:t>
      </w:r>
    </w:p>
    <w:p>
      <w:r>
        <w:t>forecast here, so the cross-check that ARCC got is unavailable, and none was</w:t>
      </w:r>
    </w:p>
    <w:p>
      <w:r>
        <w:t>imported that could not be scored.</w:t>
      </w:r>
    </w:p>
    <w:p>
      <w:pPr>
        <w:pStyle w:val="Heading2"/>
      </w:pPr>
      <w:r>
        <w:t>FALSIFIER</w:t>
      </w:r>
    </w:p>
    <w:p>
      <w:r>
        <w:t>**This dissent is wrong if SWDY's segment EBITDA margin returns to 12.6% or</w:t>
      </w:r>
    </w:p>
    <w:p>
      <w:r>
        <w:t>above on a full financial year while the capital programme continues at its</w:t>
      </w:r>
    </w:p>
    <w:p>
      <w:r>
        <w:t>current rate.**</w:t>
      </w:r>
    </w:p>
    <w:p>
      <w:r>
        <w:t>That is one number, from the company's own reporting, on a date that is already</w:t>
      </w:r>
    </w:p>
    <w:p>
      <w:r>
        <w:t>fixed. Specifically:</w:t>
      </w:r>
    </w:p>
    <w:p>
      <w:pPr>
        <w:pStyle w:val="ListBullet"/>
      </w:pPr>
      <w:r>
        <w:rPr>
          <w:b/>
        </w:rPr>
        <w:t>FY2026 full-year segment EBITDA margin at or above 12.63%</w:t>
      </w:r>
      <w:r>
        <w:t xml:space="preserve"> falsifies the</w:t>
      </w:r>
    </w:p>
    <w:p>
      <w:r>
        <w:t>central directly — that is the level the reverse read says the price requires.</w:t>
      </w:r>
    </w:p>
    <w:p>
      <w:pPr>
        <w:pStyle w:val="ListBullet"/>
      </w:pPr>
      <w:r>
        <w:rPr>
          <w:b/>
        </w:rPr>
        <w:t>H2-2026 capex falling below roughly EGP 3,000mn</w:t>
      </w:r>
      <w:r>
        <w:t xml:space="preserve"> (against H1-2026's 5,436)</w:t>
      </w:r>
    </w:p>
    <w:p>
      <w:r>
        <w:t>would mean the programme has ended and the reinvestment charge should not be</w:t>
      </w:r>
    </w:p>
    <w:p>
      <w:r>
        <w:t>carried forward at the modelled rate. Either alone moves the answer materially</w:t>
      </w:r>
    </w:p>
    <w:p>
      <w:r>
        <w:t>toward the price; both together close most of the gap.</w:t>
      </w:r>
    </w:p>
    <w:p>
      <w:r>
        <w:t>Two further conditions, narrower but faster:</w:t>
      </w:r>
    </w:p>
    <w:p>
      <w:pPr>
        <w:pStyle w:val="ListBullet"/>
      </w:pPr>
      <w:r>
        <w:t>If the FY2026 effective tax rate prints at or below 24.5%, the tax judgement</w:t>
      </w:r>
    </w:p>
    <w:p>
      <w:r>
        <w:t>we flagged against ourselves is vindicated and the downward correction of</w:t>
      </w:r>
    </w:p>
    <w:p>
      <w:r>
        <w:t>−4.59 to −23.59 falls away.</w:t>
      </w:r>
    </w:p>
    <w:p>
      <w:pPr>
        <w:pStyle w:val="ListBullet"/>
      </w:pPr>
      <w:r>
        <w:t>If FY2026 free cash flow turns positive without a fall in capex, the</w:t>
      </w:r>
    </w:p>
    <w:p>
      <w:r>
        <w:t>mechanism in this document is wrong at its root.</w:t>
      </w:r>
    </w:p>
    <w:p>
      <w:r>
        <w:t>Nothing here is graded on the price moving. A price that rises toward 87.94</w:t>
      </w:r>
    </w:p>
    <w:p>
      <w:r>
        <w:t>proves nothing and neither does one that falls to it; the ledger grades the</w:t>
      </w:r>
    </w:p>
    <w:p>
      <w:r>
        <w:t>forecast, not the disagreement [R-LENS-02].</w:t>
      </w:r>
    </w:p>
    <w:p>
      <w:r>
        <w:t xml:space="preserve">*Built from </w:t>
      </w:r>
      <w:r>
        <w:rPr>
          <w:rFonts w:ascii="Consolas" w:hAnsi="Consolas"/>
          <w:sz w:val="18"/>
        </w:rPr>
        <w:t>engine/swdy_study/study_numbers.json</w:t>
      </w:r>
      <w:r>
        <w:t xml:space="preserve">, </w:t>
      </w:r>
      <w:r>
        <w:rPr>
          <w:rFonts w:ascii="Consolas" w:hAnsi="Consolas"/>
          <w:sz w:val="18"/>
        </w:rPr>
        <w:t>compute.py</w:t>
      </w:r>
      <w:r>
        <w:t>,</w:t>
      </w:r>
    </w:p>
    <w:p>
      <w:r>
        <w:rPr>
          <w:rFonts w:ascii="Consolas" w:hAnsi="Consolas"/>
          <w:sz w:val="18"/>
        </w:rPr>
        <w:t>GAP_REVIEW_13-09-2026.md</w:t>
      </w:r>
      <w:r>
        <w:t xml:space="preserve">, </w:t>
      </w:r>
      <w:r>
        <w:rPr>
          <w:rFonts w:ascii="Consolas" w:hAnsi="Consolas"/>
          <w:sz w:val="18"/>
        </w:rPr>
        <w:t>rebuild_ledger.json</w:t>
      </w:r>
      <w:r>
        <w:t>, and the FY2025 and H1-2026</w:t>
      </w:r>
    </w:p>
    <w:p>
      <w:r>
        <w:t>filings. Every figure above is read live from the record rather than restated</w:t>
      </w:r>
    </w:p>
    <w:p>
      <w:r>
        <w:t xml:space="preserve">from memory [R-DOC-02]; re-derive with </w:t>
      </w:r>
      <w:r>
        <w:rPr>
          <w:rFonts w:ascii="Consolas" w:hAnsi="Consolas"/>
          <w:sz w:val="18"/>
        </w:rPr>
        <w:t>python3 scripts/check_valuation_gap.py</w:t>
      </w:r>
    </w:p>
    <w:p>
      <w:r>
        <w:t xml:space="preserve">and </w:t>
      </w:r>
      <w:r>
        <w:rPr>
          <w:rFonts w:ascii="Consolas" w:hAnsi="Consolas"/>
          <w:sz w:val="18"/>
        </w:rPr>
        <w:t>python3 scripts/check_publish_block.py SWDY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