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07-09-2026   ·   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41.35 with MNT-Halan at the value GB Corp’s own reviewed balance sheet carries it at (+43%), and EGP 52.35 with MNT-Halan at the price of the June-2026 funding round (+81%).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28.7 bn and GB Capital at the value its own disclosed return supports — and they come to 91% of the entire traded market capitalisation before a single pound of associate value. What the price leaves for the associates is EGP 2.8 bn, against EGP 16.2 bn carried on the reviewed balance sheet. On GB Corp’s stated holding that values MNT-Halan as a whole at about US$117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31.28% against this study’s 22.88% on the round-price branch — a stretch — but only 25.71%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41.35</w:t>
            </w:r>
          </w:p>
        </w:tc>
        <w:tc>
          <w:tcPr>
            <w:tcW w:type="dxa" w:w="1656"/>
          </w:tcPr>
          <w:p>
            <w:pPr>
              <w:spacing w:after="20"/>
              <w:jc w:val="right"/>
            </w:pPr>
            <w:r>
              <w:rPr>
                <w:color w:val="1C3A36"/>
                <w:sz w:val="17"/>
              </w:rPr>
              <w:t>+43%</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52.35</w:t>
            </w:r>
          </w:p>
        </w:tc>
        <w:tc>
          <w:tcPr>
            <w:tcW w:type="dxa" w:w="1656"/>
          </w:tcPr>
          <w:p>
            <w:pPr>
              <w:spacing w:after="20"/>
              <w:jc w:val="right"/>
            </w:pPr>
            <w:r>
              <w:rPr>
                <w:color w:val="1C3A36"/>
                <w:sz w:val="17"/>
              </w:rPr>
              <w:t>+81%</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52.07</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7.89–52.07</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41.35 on one of GB Corp’s own disclosures about its associate and EGP 52.35 on the other, +43% and +81% against the price; the cross-checks sit either side of the price, the earnings multiple at EGP 19.29 and the disclosed book floor at EGP 30.82 — and the shares trade BELOW their own book. The three experts span EGP 7.89 to 52.07,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18.73% that justifies 0.26×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26,998</w:t>
            </w:r>
          </w:p>
        </w:tc>
        <w:tc>
          <w:tcPr>
            <w:tcW w:type="dxa" w:w="1656"/>
          </w:tcPr>
          <w:p>
            <w:pPr>
              <w:spacing w:after="20"/>
              <w:jc w:val="right"/>
            </w:pPr>
            <w:r>
              <w:rPr>
                <w:color w:val="1C3A36"/>
                <w:sz w:val="18"/>
              </w:rPr>
              <w:t>26,998</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1,656</w:t>
            </w:r>
          </w:p>
        </w:tc>
        <w:tc>
          <w:tcPr>
            <w:tcW w:type="dxa" w:w="1656"/>
          </w:tcPr>
          <w:p>
            <w:pPr>
              <w:spacing w:after="20"/>
              <w:jc w:val="right"/>
            </w:pPr>
            <w:r>
              <w:rPr>
                <w:color w:val="1C3A36"/>
                <w:sz w:val="18"/>
              </w:rPr>
              <w:t>1,656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44,884</w:t>
            </w:r>
          </w:p>
        </w:tc>
        <w:tc>
          <w:tcPr>
            <w:tcW w:type="dxa" w:w="1656"/>
            <w:shd w:val="clear" w:color="auto" w:fill="F6F1E6"/>
          </w:tcPr>
          <w:p>
            <w:pPr>
              <w:spacing w:after="20"/>
              <w:jc w:val="right"/>
            </w:pPr>
            <w:r>
              <w:rPr>
                <w:b/>
                <w:color w:val="1C3A36"/>
                <w:sz w:val="18"/>
              </w:rPr>
              <w:t>56,821</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41.35</w:t>
            </w:r>
          </w:p>
        </w:tc>
        <w:tc>
          <w:tcPr>
            <w:tcW w:type="dxa" w:w="1656"/>
            <w:shd w:val="clear" w:color="auto" w:fill="F6F1E6"/>
          </w:tcPr>
          <w:p>
            <w:pPr>
              <w:spacing w:after="20"/>
              <w:jc w:val="right"/>
            </w:pPr>
            <w:r>
              <w:rPr>
                <w:b/>
                <w:color w:val="1C3A36"/>
                <w:sz w:val="18"/>
              </w:rPr>
              <w:t>52.35</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+43%</w:t>
            </w:r>
          </w:p>
        </w:tc>
        <w:tc>
          <w:tcPr>
            <w:tcW w:type="dxa" w:w="1656"/>
          </w:tcPr>
          <w:p>
            <w:pPr>
              <w:spacing w:after="20"/>
              <w:jc w:val="right"/>
            </w:pPr>
            <w:r>
              <w:rPr>
                <w:color w:val="1C3A36"/>
                <w:sz w:val="18"/>
              </w:rPr>
              <w:t>+81%</w:t>
            </w:r>
          </w:p>
        </w:tc>
      </w:tr>
    </w:tbl>
    <w:p>
      <w:pPr>
        <w:spacing w:after="40"/>
      </w:pPr>
    </w:p>
    <w:p>
      <w:pPr>
        <w:spacing w:after="120" w:before="0"/>
      </w:pPr>
      <w:r>
        <w:rPr>
          <w:b/>
          <w:i w:val="0"/>
          <w:color w:val="1C3A36"/>
          <w:sz w:val="21"/>
        </w:rPr>
        <w:t>Two answers, EGP 41.35 and 52.35 per share</w:t>
      </w:r>
      <w:r>
        <w:rPr>
          <w:b w:val="0"/>
          <w:i w:val="0"/>
          <w:color w:val="1C3A36"/>
          <w:sz w:val="21"/>
        </w:rPr>
        <w:t>, and no number between them. The gap between the branches is EGP 11.9 bn, 21.0%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1.52%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35%</w:t>
            </w:r>
          </w:p>
        </w:tc>
        <w:tc>
          <w:tcPr>
            <w:tcW w:type="dxa" w:w="2808"/>
          </w:tcPr>
          <w:p>
            <w:pPr>
              <w:spacing w:after="20"/>
              <w:jc w:val="right"/>
            </w:pPr>
            <w:r>
              <w:rPr>
                <w:color w:val="1C3A36"/>
                <w:sz w:val="18"/>
              </w:rPr>
              <w:t>49%</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2,805</w:t>
            </w:r>
          </w:p>
        </w:tc>
        <w:tc>
          <w:tcPr>
            <w:tcW w:type="dxa" w:w="2808"/>
          </w:tcPr>
          <w:p>
            <w:pPr>
              <w:spacing w:after="20"/>
              <w:jc w:val="right"/>
            </w:pPr>
            <w:r>
              <w:rPr>
                <w:color w:val="1C3A36"/>
                <w:sz w:val="18"/>
              </w:rPr>
              <w:t>2,805</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82.7%</w:t>
            </w:r>
          </w:p>
        </w:tc>
        <w:tc>
          <w:tcPr>
            <w:tcW w:type="dxa" w:w="2808"/>
          </w:tcPr>
          <w:p>
            <w:pPr>
              <w:spacing w:after="20"/>
              <w:jc w:val="right"/>
            </w:pPr>
            <w:r>
              <w:rPr>
                <w:color w:val="1C3A36"/>
                <w:sz w:val="18"/>
              </w:rPr>
              <w:t>90.0%</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2,308</w:t>
            </w:r>
          </w:p>
        </w:tc>
        <w:tc>
          <w:tcPr>
            <w:tcW w:type="dxa" w:w="2808"/>
          </w:tcPr>
          <w:p>
            <w:pPr>
              <w:spacing w:after="20"/>
              <w:jc w:val="right"/>
            </w:pPr>
            <w:r>
              <w:rPr>
                <w:color w:val="1C3A36"/>
                <w:sz w:val="18"/>
              </w:rPr>
              <w:t>2,308</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2,308</w:t>
            </w:r>
          </w:p>
        </w:tc>
        <w:tc>
          <w:tcPr>
            <w:tcW w:type="dxa" w:w="2304"/>
          </w:tcPr>
          <w:p>
            <w:pPr>
              <w:spacing w:after="20"/>
              <w:jc w:val="right"/>
            </w:pPr>
            <w:r>
              <w:rPr>
                <w:color w:val="1C3A36"/>
                <w:sz w:val="17"/>
              </w:rPr>
              <w:t>117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33.23</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39.60</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41.35</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45.97</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52.35</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22.88% in the first forecast year to a norm-built terminal of 14.18%.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0.814</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0.579</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0.440</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666</w:t>
            </w:r>
          </w:p>
        </w:tc>
        <w:tc>
          <w:tcPr>
            <w:tcW w:type="dxa" w:w="1440"/>
          </w:tcPr>
          <w:p>
            <w:pPr>
              <w:spacing w:after="20"/>
              <w:jc w:val="right"/>
            </w:pPr>
            <w:r>
              <w:rPr>
                <w:color w:val="1C3A36"/>
                <w:sz w:val="17"/>
              </w:rPr>
              <w:t>1,717</w:t>
            </w:r>
          </w:p>
        </w:tc>
        <w:tc>
          <w:tcPr>
            <w:tcW w:type="dxa" w:w="1440"/>
          </w:tcPr>
          <w:p>
            <w:pPr>
              <w:spacing w:after="20"/>
              <w:jc w:val="right"/>
            </w:pPr>
            <w:r>
              <w:rPr>
                <w:color w:val="1C3A36"/>
                <w:sz w:val="17"/>
              </w:rPr>
              <w:t>2,042</w:t>
            </w:r>
          </w:p>
        </w:tc>
        <w:tc>
          <w:tcPr>
            <w:tcW w:type="dxa" w:w="1440"/>
          </w:tcPr>
          <w:p>
            <w:pPr>
              <w:spacing w:after="20"/>
              <w:jc w:val="right"/>
            </w:pPr>
            <w:r>
              <w:rPr>
                <w:color w:val="1C3A36"/>
                <w:sz w:val="17"/>
              </w:rPr>
              <w:t>2,367</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6,915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80,285</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35,297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42,212</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84%</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26,998</w:t>
            </w:r>
          </w:p>
        </w:tc>
      </w:tr>
    </w:tbl>
    <w:p>
      <w:pPr>
        <w:spacing w:after="40"/>
      </w:pPr>
    </w:p>
    <w:p>
      <w:pPr>
        <w:spacing w:after="120" w:before="0"/>
      </w:pPr>
      <w:r>
        <w:rPr>
          <w:b w:val="0"/>
          <w:i w:val="0"/>
          <w:color w:val="1C3A36"/>
          <w:sz w:val="21"/>
        </w:rPr>
        <w:t>Two honesty notes. First, 84%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41.35</w:t>
            </w:r>
          </w:p>
        </w:tc>
        <w:tc>
          <w:tcPr>
            <w:tcW w:type="dxa" w:w="1944"/>
          </w:tcPr>
          <w:p>
            <w:pPr>
              <w:spacing w:after="20"/>
              <w:jc w:val="right"/>
            </w:pPr>
            <w:r>
              <w:rPr>
                <w:color w:val="1C3A36"/>
                <w:sz w:val="18"/>
              </w:rPr>
              <w:t>+43%</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52.35</w:t>
            </w:r>
          </w:p>
        </w:tc>
        <w:tc>
          <w:tcPr>
            <w:tcW w:type="dxa" w:w="1944"/>
          </w:tcPr>
          <w:p>
            <w:pPr>
              <w:spacing w:after="20"/>
              <w:jc w:val="right"/>
            </w:pPr>
            <w:r>
              <w:rPr>
                <w:color w:val="1C3A36"/>
                <w:sz w:val="18"/>
              </w:rPr>
              <w:t>+81%</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52.35</w:t>
            </w:r>
          </w:p>
        </w:tc>
        <w:tc>
          <w:tcPr>
            <w:tcW w:type="dxa" w:w="1944"/>
            <w:shd w:val="clear" w:color="auto" w:fill="F6F1E6"/>
          </w:tcPr>
          <w:p>
            <w:pPr>
              <w:spacing w:after="20"/>
              <w:jc w:val="right"/>
            </w:pPr>
            <w:r>
              <w:rPr>
                <w:b/>
                <w:color w:val="1C3A36"/>
                <w:sz w:val="18"/>
              </w:rPr>
              <w:t>-33% to +81%</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41.35 on one of the company’s disclosures and EGP 52.35 on the other</w:t>
      </w:r>
      <w:r>
        <w:rPr>
          <w:b w:val="0"/>
          <w:i w:val="0"/>
          <w:color w:val="1C3A36"/>
          <w:sz w:val="21"/>
        </w:rPr>
        <w:t>, +43% and +81%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21.0% of the higher answer, and this study does not choose between them. What the traded price implies for that line is EGP 2,805 mn for ALL the associates together — a discount of 82.7% to the reviewed carrying value and 90.0%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22.88% to 14.18% against terminal growth of 7.00%, a terminal real spread of 7.18%.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31.28% against this study’s 22.88% on the round-price branch — 8.4 points, a stretch on a leg worth less than half the sum of the parts — but only 25.71% on the carrying-value branch, 2.8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22.88%</w:t>
            </w:r>
          </w:p>
        </w:tc>
        <w:tc>
          <w:tcPr>
            <w:tcW w:type="dxa" w:w="4320"/>
          </w:tcPr>
          <w:p>
            <w:pPr>
              <w:spacing w:after="20"/>
              <w:jc w:val="right"/>
            </w:pPr>
            <w:r>
              <w:rPr>
                <w:color w:val="1C3A36"/>
                <w:sz w:val="17"/>
              </w:rPr>
              <w:t>23.33%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14.18%</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20.9%</w:t>
            </w:r>
          </w:p>
        </w:tc>
        <w:tc>
          <w:tcPr>
            <w:tcW w:type="dxa" w:w="1224"/>
            <w:shd w:val="clear" w:color="auto" w:fill="EAF0EE"/>
          </w:tcPr>
          <w:p>
            <w:pPr>
              <w:spacing w:after="20"/>
            </w:pPr>
            <w:r>
              <w:rPr>
                <w:b/>
                <w:color w:val="1C3A36"/>
                <w:sz w:val="17"/>
              </w:rPr>
              <w:t>21.9%</w:t>
            </w:r>
          </w:p>
        </w:tc>
        <w:tc>
          <w:tcPr>
            <w:tcW w:type="dxa" w:w="1224"/>
            <w:shd w:val="clear" w:color="auto" w:fill="EAF0EE"/>
          </w:tcPr>
          <w:p>
            <w:pPr>
              <w:spacing w:after="20"/>
            </w:pPr>
            <w:r>
              <w:rPr>
                <w:b/>
                <w:color w:val="1C3A36"/>
                <w:sz w:val="17"/>
              </w:rPr>
              <w:t>22.9%</w:t>
            </w:r>
          </w:p>
        </w:tc>
        <w:tc>
          <w:tcPr>
            <w:tcW w:type="dxa" w:w="1224"/>
            <w:shd w:val="clear" w:color="auto" w:fill="EAF0EE"/>
          </w:tcPr>
          <w:p>
            <w:pPr>
              <w:spacing w:after="20"/>
            </w:pPr>
            <w:r>
              <w:rPr>
                <w:b/>
                <w:color w:val="1C3A36"/>
                <w:sz w:val="17"/>
              </w:rPr>
              <w:t>23.9%</w:t>
            </w:r>
          </w:p>
        </w:tc>
        <w:tc>
          <w:tcPr>
            <w:tcW w:type="dxa" w:w="1224"/>
            <w:shd w:val="clear" w:color="auto" w:fill="EAF0EE"/>
          </w:tcPr>
          <w:p>
            <w:pPr>
              <w:spacing w:after="20"/>
            </w:pPr>
            <w:r>
              <w:rPr>
                <w:b/>
                <w:color w:val="1C3A36"/>
                <w:sz w:val="17"/>
              </w:rPr>
              <w:t>24.9%</w:t>
            </w:r>
          </w:p>
        </w:tc>
      </w:tr>
      <w:tr>
        <w:tc>
          <w:tcPr>
            <w:tcW w:type="dxa" w:w="3384"/>
          </w:tcPr>
          <w:p>
            <w:pPr>
              <w:spacing w:after="20"/>
            </w:pPr>
            <w:r>
              <w:rPr>
                <w:b/>
                <w:color w:val="1C3A36"/>
                <w:sz w:val="17"/>
              </w:rPr>
              <w:t>6,918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40.3</w:t>
            </w:r>
          </w:p>
        </w:tc>
        <w:tc>
          <w:tcPr>
            <w:tcW w:type="dxa" w:w="1224"/>
          </w:tcPr>
          <w:p>
            <w:pPr>
              <w:spacing w:after="20"/>
              <w:jc w:val="right"/>
            </w:pPr>
            <w:r>
              <w:rPr>
                <w:color w:val="1C3A36"/>
                <w:sz w:val="17"/>
              </w:rPr>
              <w:t>33.2</w:t>
            </w:r>
          </w:p>
        </w:tc>
        <w:tc>
          <w:tcPr>
            <w:tcW w:type="dxa" w:w="1224"/>
          </w:tcPr>
          <w:p>
            <w:pPr>
              <w:spacing w:after="20"/>
              <w:jc w:val="right"/>
            </w:pPr>
            <w:r>
              <w:rPr>
                <w:color w:val="1C3A36"/>
                <w:sz w:val="17"/>
              </w:rPr>
              <w:t>27.9</w:t>
            </w:r>
          </w:p>
        </w:tc>
        <w:tc>
          <w:tcPr>
            <w:tcW w:type="dxa" w:w="1224"/>
          </w:tcPr>
          <w:p>
            <w:pPr>
              <w:spacing w:after="20"/>
              <w:jc w:val="right"/>
            </w:pPr>
            <w:r>
              <w:rPr>
                <w:color w:val="1C3A36"/>
                <w:sz w:val="17"/>
              </w:rPr>
              <w:t>23.7</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46.7</w:t>
            </w:r>
          </w:p>
        </w:tc>
        <w:tc>
          <w:tcPr>
            <w:tcW w:type="dxa" w:w="1224"/>
          </w:tcPr>
          <w:p>
            <w:pPr>
              <w:spacing w:after="20"/>
              <w:jc w:val="right"/>
            </w:pPr>
            <w:r>
              <w:rPr>
                <w:color w:val="1C3A36"/>
                <w:sz w:val="17"/>
              </w:rPr>
              <w:t>39.6</w:t>
            </w:r>
          </w:p>
        </w:tc>
        <w:tc>
          <w:tcPr>
            <w:tcW w:type="dxa" w:w="1224"/>
          </w:tcPr>
          <w:p>
            <w:pPr>
              <w:spacing w:after="20"/>
              <w:jc w:val="right"/>
            </w:pPr>
            <w:r>
              <w:rPr>
                <w:color w:val="1C3A36"/>
                <w:sz w:val="17"/>
              </w:rPr>
              <w:t>34.2</w:t>
            </w:r>
          </w:p>
        </w:tc>
        <w:tc>
          <w:tcPr>
            <w:tcW w:type="dxa" w:w="1224"/>
          </w:tcPr>
          <w:p>
            <w:pPr>
              <w:spacing w:after="20"/>
              <w:jc w:val="right"/>
            </w:pPr>
            <w:r>
              <w:rPr>
                <w:color w:val="1C3A36"/>
                <w:sz w:val="17"/>
              </w:rPr>
              <w:t>30.1</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58.4</w:t>
            </w:r>
          </w:p>
        </w:tc>
        <w:tc>
          <w:tcPr>
            <w:tcW w:type="dxa" w:w="1224"/>
          </w:tcPr>
          <w:p>
            <w:pPr>
              <w:spacing w:after="20"/>
              <w:jc w:val="right"/>
            </w:pPr>
            <w:r>
              <w:rPr>
                <w:color w:val="1C3A36"/>
                <w:sz w:val="17"/>
              </w:rPr>
              <w:t>48.5</w:t>
            </w:r>
          </w:p>
        </w:tc>
        <w:tc>
          <w:tcPr>
            <w:tcW w:type="dxa" w:w="1224"/>
          </w:tcPr>
          <w:p>
            <w:pPr>
              <w:spacing w:after="20"/>
              <w:jc w:val="right"/>
            </w:pPr>
            <w:r>
              <w:rPr>
                <w:color w:val="1C3A36"/>
                <w:sz w:val="17"/>
              </w:rPr>
              <w:t>41.3</w:t>
            </w:r>
          </w:p>
        </w:tc>
        <w:tc>
          <w:tcPr>
            <w:tcW w:type="dxa" w:w="1224"/>
          </w:tcPr>
          <w:p>
            <w:pPr>
              <w:spacing w:after="20"/>
              <w:jc w:val="right"/>
            </w:pPr>
            <w:r>
              <w:rPr>
                <w:color w:val="1C3A36"/>
                <w:sz w:val="17"/>
              </w:rPr>
              <w:t>36.0</w:t>
            </w:r>
          </w:p>
        </w:tc>
        <w:tc>
          <w:tcPr>
            <w:tcW w:type="dxa" w:w="1224"/>
          </w:tcPr>
          <w:p>
            <w:pPr>
              <w:spacing w:after="20"/>
              <w:jc w:val="right"/>
            </w:pPr>
            <w:r>
              <w:rPr>
                <w:color w:val="1C3A36"/>
                <w:sz w:val="17"/>
              </w:rPr>
              <w:t>31.8</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63.0</w:t>
            </w:r>
          </w:p>
        </w:tc>
        <w:tc>
          <w:tcPr>
            <w:tcW w:type="dxa" w:w="1224"/>
          </w:tcPr>
          <w:p>
            <w:pPr>
              <w:spacing w:after="20"/>
              <w:jc w:val="right"/>
            </w:pPr>
            <w:r>
              <w:rPr>
                <w:color w:val="1C3A36"/>
                <w:sz w:val="17"/>
              </w:rPr>
              <w:t>53.1</w:t>
            </w:r>
          </w:p>
        </w:tc>
        <w:tc>
          <w:tcPr>
            <w:tcW w:type="dxa" w:w="1224"/>
          </w:tcPr>
          <w:p>
            <w:pPr>
              <w:spacing w:after="20"/>
              <w:jc w:val="right"/>
            </w:pPr>
            <w:r>
              <w:rPr>
                <w:color w:val="1C3A36"/>
                <w:sz w:val="17"/>
              </w:rPr>
              <w:t>46.0</w:t>
            </w:r>
          </w:p>
        </w:tc>
        <w:tc>
          <w:tcPr>
            <w:tcW w:type="dxa" w:w="1224"/>
          </w:tcPr>
          <w:p>
            <w:pPr>
              <w:spacing w:after="20"/>
              <w:jc w:val="right"/>
            </w:pPr>
            <w:r>
              <w:rPr>
                <w:color w:val="1C3A36"/>
                <w:sz w:val="17"/>
              </w:rPr>
              <w:t>40.6</w:t>
            </w:r>
          </w:p>
        </w:tc>
        <w:tc>
          <w:tcPr>
            <w:tcW w:type="dxa" w:w="1224"/>
          </w:tcPr>
          <w:p>
            <w:pPr>
              <w:spacing w:after="20"/>
              <w:jc w:val="right"/>
            </w:pPr>
            <w:r>
              <w:rPr>
                <w:color w:val="1C3A36"/>
                <w:sz w:val="17"/>
              </w:rPr>
              <w:t>36.4</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69.4</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52.3</w:t>
            </w:r>
          </w:p>
        </w:tc>
        <w:tc>
          <w:tcPr>
            <w:tcW w:type="dxa" w:w="1224"/>
          </w:tcPr>
          <w:p>
            <w:pPr>
              <w:spacing w:after="20"/>
              <w:jc w:val="right"/>
            </w:pPr>
            <w:r>
              <w:rPr>
                <w:color w:val="1C3A36"/>
                <w:sz w:val="17"/>
              </w:rPr>
              <w:t>47.0</w:t>
            </w:r>
          </w:p>
        </w:tc>
        <w:tc>
          <w:tcPr>
            <w:tcW w:type="dxa" w:w="1224"/>
          </w:tcPr>
          <w:p>
            <w:pPr>
              <w:spacing w:after="20"/>
              <w:jc w:val="right"/>
            </w:pPr>
            <w:r>
              <w:rPr>
                <w:color w:val="1C3A36"/>
                <w:sz w:val="17"/>
              </w:rPr>
              <w:t>42.8</w:t>
            </w:r>
          </w:p>
        </w:tc>
      </w:tr>
    </w:tbl>
    <w:p>
      <w:pPr>
        <w:spacing w:after="40"/>
      </w:pPr>
    </w:p>
    <w:p>
      <w:pPr>
        <w:spacing w:after="200" w:before="0"/>
      </w:pPr>
      <w:r>
        <w:rPr>
          <w:b w:val="0"/>
          <w:i/>
          <w:color w:val="6E7B77"/>
          <w:sz w:val="17"/>
        </w:rPr>
        <w:t>Sum-of-the-parts fair value, EGP per share, spanning EGP 23.7 to 69.4 across the grid. The two rows marked ‡ are the study’s two published branches; the centre column is the model’s own first-year cost of capital of 22.88%.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20.9%</w:t>
            </w:r>
          </w:p>
        </w:tc>
        <w:tc>
          <w:tcPr>
            <w:tcW w:type="dxa" w:w="1368"/>
          </w:tcPr>
          <w:p>
            <w:pPr>
              <w:spacing w:after="20"/>
              <w:jc w:val="right"/>
            </w:pPr>
            <w:r>
              <w:rPr>
                <w:color w:val="1C3A36"/>
                <w:sz w:val="18"/>
              </w:rPr>
              <w:t>55.0</w:t>
            </w:r>
          </w:p>
        </w:tc>
        <w:tc>
          <w:tcPr>
            <w:tcW w:type="dxa" w:w="1368"/>
          </w:tcPr>
          <w:p>
            <w:pPr>
              <w:spacing w:after="20"/>
              <w:jc w:val="right"/>
            </w:pPr>
            <w:r>
              <w:rPr>
                <w:color w:val="1C3A36"/>
                <w:sz w:val="18"/>
              </w:rPr>
              <w:t>61.0</w:t>
            </w:r>
          </w:p>
        </w:tc>
        <w:tc>
          <w:tcPr>
            <w:tcW w:type="dxa" w:w="1368"/>
          </w:tcPr>
          <w:p>
            <w:pPr>
              <w:spacing w:after="20"/>
              <w:jc w:val="right"/>
            </w:pPr>
            <w:r>
              <w:rPr>
                <w:color w:val="1C3A36"/>
                <w:sz w:val="18"/>
              </w:rPr>
              <w:t>69.4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21.9%</w:t>
            </w:r>
          </w:p>
        </w:tc>
        <w:tc>
          <w:tcPr>
            <w:tcW w:type="dxa" w:w="1368"/>
          </w:tcPr>
          <w:p>
            <w:pPr>
              <w:spacing w:after="20"/>
              <w:jc w:val="right"/>
            </w:pPr>
            <w:r>
              <w:rPr>
                <w:color w:val="1C3A36"/>
                <w:sz w:val="18"/>
              </w:rPr>
              <w:t>49.3</w:t>
            </w:r>
          </w:p>
        </w:tc>
        <w:tc>
          <w:tcPr>
            <w:tcW w:type="dxa" w:w="1368"/>
          </w:tcPr>
          <w:p>
            <w:pPr>
              <w:spacing w:after="20"/>
              <w:jc w:val="right"/>
            </w:pPr>
            <w:r>
              <w:rPr>
                <w:color w:val="1C3A36"/>
                <w:sz w:val="18"/>
              </w:rPr>
              <w:t>53.7</w:t>
            </w:r>
          </w:p>
        </w:tc>
        <w:tc>
          <w:tcPr>
            <w:tcW w:type="dxa" w:w="1368"/>
          </w:tcPr>
          <w:p>
            <w:pPr>
              <w:spacing w:after="20"/>
              <w:jc w:val="right"/>
            </w:pPr>
            <w:r>
              <w:rPr>
                <w:color w:val="1C3A36"/>
                <w:sz w:val="18"/>
              </w:rPr>
              <w:t>59.5</w:t>
            </w:r>
          </w:p>
        </w:tc>
        <w:tc>
          <w:tcPr>
            <w:tcW w:type="dxa" w:w="1368"/>
          </w:tcPr>
          <w:p>
            <w:pPr>
              <w:spacing w:after="20"/>
              <w:jc w:val="right"/>
            </w:pPr>
            <w:r>
              <w:rPr>
                <w:color w:val="1C3A36"/>
                <w:sz w:val="18"/>
              </w:rPr>
              <w:t>67.5</w:t>
            </w:r>
          </w:p>
        </w:tc>
        <w:tc>
          <w:tcPr>
            <w:tcW w:type="dxa" w:w="1368"/>
          </w:tcPr>
          <w:p>
            <w:pPr>
              <w:spacing w:after="20"/>
              <w:jc w:val="right"/>
            </w:pPr>
            <w:r>
              <w:rPr>
                <w:color w:val="1C3A36"/>
                <w:sz w:val="18"/>
              </w:rPr>
              <w:t>n.m.</w:t>
            </w:r>
          </w:p>
        </w:tc>
      </w:tr>
      <w:tr>
        <w:tc>
          <w:tcPr>
            <w:tcW w:type="dxa" w:w="2736"/>
          </w:tcPr>
          <w:p>
            <w:pPr>
              <w:spacing w:after="20"/>
            </w:pPr>
            <w:r>
              <w:rPr>
                <w:b/>
                <w:color w:val="1C3A36"/>
                <w:sz w:val="18"/>
              </w:rPr>
              <w:t>22.9%</w:t>
            </w:r>
          </w:p>
        </w:tc>
        <w:tc>
          <w:tcPr>
            <w:tcW w:type="dxa" w:w="1368"/>
          </w:tcPr>
          <w:p>
            <w:pPr>
              <w:spacing w:after="20"/>
              <w:jc w:val="right"/>
            </w:pPr>
            <w:r>
              <w:rPr>
                <w:color w:val="1C3A36"/>
                <w:sz w:val="18"/>
              </w:rPr>
              <w:t>44.8</w:t>
            </w:r>
          </w:p>
        </w:tc>
        <w:tc>
          <w:tcPr>
            <w:tcW w:type="dxa" w:w="1368"/>
          </w:tcPr>
          <w:p>
            <w:pPr>
              <w:spacing w:after="20"/>
              <w:jc w:val="right"/>
            </w:pPr>
            <w:r>
              <w:rPr>
                <w:color w:val="1C3A36"/>
                <w:sz w:val="18"/>
              </w:rPr>
              <w:t>48.1</w:t>
            </w:r>
          </w:p>
        </w:tc>
        <w:tc>
          <w:tcPr>
            <w:tcW w:type="dxa" w:w="1368"/>
          </w:tcPr>
          <w:p>
            <w:pPr>
              <w:spacing w:after="20"/>
              <w:jc w:val="right"/>
            </w:pPr>
            <w:r>
              <w:rPr>
                <w:color w:val="1C3A36"/>
                <w:sz w:val="18"/>
              </w:rPr>
              <w:t>52.3</w:t>
            </w:r>
          </w:p>
        </w:tc>
        <w:tc>
          <w:tcPr>
            <w:tcW w:type="dxa" w:w="1368"/>
          </w:tcPr>
          <w:p>
            <w:pPr>
              <w:spacing w:after="20"/>
              <w:jc w:val="right"/>
            </w:pPr>
            <w:r>
              <w:rPr>
                <w:color w:val="1C3A36"/>
                <w:sz w:val="18"/>
              </w:rPr>
              <w:t>58.0</w:t>
            </w:r>
          </w:p>
        </w:tc>
        <w:tc>
          <w:tcPr>
            <w:tcW w:type="dxa" w:w="1368"/>
          </w:tcPr>
          <w:p>
            <w:pPr>
              <w:spacing w:after="20"/>
              <w:jc w:val="right"/>
            </w:pPr>
            <w:r>
              <w:rPr>
                <w:color w:val="1C3A36"/>
                <w:sz w:val="18"/>
              </w:rPr>
              <w:t>65.8</w:t>
            </w:r>
          </w:p>
        </w:tc>
      </w:tr>
      <w:tr>
        <w:tc>
          <w:tcPr>
            <w:tcW w:type="dxa" w:w="2736"/>
          </w:tcPr>
          <w:p>
            <w:pPr>
              <w:spacing w:after="20"/>
            </w:pPr>
            <w:r>
              <w:rPr>
                <w:b/>
                <w:color w:val="1C3A36"/>
                <w:sz w:val="18"/>
              </w:rPr>
              <w:t>23.9%</w:t>
            </w:r>
          </w:p>
        </w:tc>
        <w:tc>
          <w:tcPr>
            <w:tcW w:type="dxa" w:w="1368"/>
          </w:tcPr>
          <w:p>
            <w:pPr>
              <w:spacing w:after="20"/>
              <w:jc w:val="right"/>
            </w:pPr>
            <w:r>
              <w:rPr>
                <w:color w:val="1C3A36"/>
                <w:sz w:val="18"/>
              </w:rPr>
              <w:t>41.2</w:t>
            </w:r>
          </w:p>
        </w:tc>
        <w:tc>
          <w:tcPr>
            <w:tcW w:type="dxa" w:w="1368"/>
          </w:tcPr>
          <w:p>
            <w:pPr>
              <w:spacing w:after="20"/>
              <w:jc w:val="right"/>
            </w:pPr>
            <w:r>
              <w:rPr>
                <w:color w:val="1C3A36"/>
                <w:sz w:val="18"/>
              </w:rPr>
              <w:t>43.8</w:t>
            </w:r>
          </w:p>
        </w:tc>
        <w:tc>
          <w:tcPr>
            <w:tcW w:type="dxa" w:w="1368"/>
          </w:tcPr>
          <w:p>
            <w:pPr>
              <w:spacing w:after="20"/>
              <w:jc w:val="right"/>
            </w:pPr>
            <w:r>
              <w:rPr>
                <w:color w:val="1C3A36"/>
                <w:sz w:val="18"/>
              </w:rPr>
              <w:t>47.0</w:t>
            </w:r>
          </w:p>
        </w:tc>
        <w:tc>
          <w:tcPr>
            <w:tcW w:type="dxa" w:w="1368"/>
          </w:tcPr>
          <w:p>
            <w:pPr>
              <w:spacing w:after="20"/>
              <w:jc w:val="right"/>
            </w:pPr>
            <w:r>
              <w:rPr>
                <w:color w:val="1C3A36"/>
                <w:sz w:val="18"/>
              </w:rPr>
              <w:t>51.1</w:t>
            </w:r>
          </w:p>
        </w:tc>
        <w:tc>
          <w:tcPr>
            <w:tcW w:type="dxa" w:w="1368"/>
          </w:tcPr>
          <w:p>
            <w:pPr>
              <w:spacing w:after="20"/>
              <w:jc w:val="right"/>
            </w:pPr>
            <w:r>
              <w:rPr>
                <w:color w:val="1C3A36"/>
                <w:sz w:val="18"/>
              </w:rPr>
              <w:t>56.5</w:t>
            </w:r>
          </w:p>
        </w:tc>
      </w:tr>
      <w:tr>
        <w:tc>
          <w:tcPr>
            <w:tcW w:type="dxa" w:w="2736"/>
          </w:tcPr>
          <w:p>
            <w:pPr>
              <w:spacing w:after="20"/>
            </w:pPr>
            <w:r>
              <w:rPr>
                <w:b/>
                <w:color w:val="1C3A36"/>
                <w:sz w:val="18"/>
              </w:rPr>
              <w:t>24.9%</w:t>
            </w:r>
          </w:p>
        </w:tc>
        <w:tc>
          <w:tcPr>
            <w:tcW w:type="dxa" w:w="1368"/>
          </w:tcPr>
          <w:p>
            <w:pPr>
              <w:spacing w:after="20"/>
              <w:jc w:val="right"/>
            </w:pPr>
            <w:r>
              <w:rPr>
                <w:color w:val="1C3A36"/>
                <w:sz w:val="18"/>
              </w:rPr>
              <w:t>38.3</w:t>
            </w:r>
          </w:p>
        </w:tc>
        <w:tc>
          <w:tcPr>
            <w:tcW w:type="dxa" w:w="1368"/>
          </w:tcPr>
          <w:p>
            <w:pPr>
              <w:spacing w:after="20"/>
              <w:jc w:val="right"/>
            </w:pPr>
            <w:r>
              <w:rPr>
                <w:color w:val="1C3A36"/>
                <w:sz w:val="18"/>
              </w:rPr>
              <w:t>40.3</w:t>
            </w:r>
          </w:p>
        </w:tc>
        <w:tc>
          <w:tcPr>
            <w:tcW w:type="dxa" w:w="1368"/>
          </w:tcPr>
          <w:p>
            <w:pPr>
              <w:spacing w:after="20"/>
              <w:jc w:val="right"/>
            </w:pPr>
            <w:r>
              <w:rPr>
                <w:color w:val="1C3A36"/>
                <w:sz w:val="18"/>
              </w:rPr>
              <w:t>42.8</w:t>
            </w:r>
          </w:p>
        </w:tc>
        <w:tc>
          <w:tcPr>
            <w:tcW w:type="dxa" w:w="1368"/>
          </w:tcPr>
          <w:p>
            <w:pPr>
              <w:spacing w:after="20"/>
              <w:jc w:val="right"/>
            </w:pPr>
            <w:r>
              <w:rPr>
                <w:color w:val="1C3A36"/>
                <w:sz w:val="18"/>
              </w:rPr>
              <w:t>45.9</w:t>
            </w:r>
          </w:p>
        </w:tc>
        <w:tc>
          <w:tcPr>
            <w:tcW w:type="dxa" w:w="1368"/>
          </w:tcPr>
          <w:p>
            <w:pPr>
              <w:spacing w:after="20"/>
              <w:jc w:val="right"/>
            </w:pPr>
            <w:r>
              <w:rPr>
                <w:color w:val="1C3A36"/>
                <w:sz w:val="18"/>
              </w:rPr>
              <w:t>49.9</w:t>
            </w:r>
          </w:p>
        </w:tc>
      </w:tr>
    </w:tbl>
    <w:p>
      <w:pPr>
        <w:spacing w:after="40"/>
      </w:pPr>
    </w:p>
    <w:p>
      <w:pPr>
        <w:spacing w:after="200" w:before="0"/>
      </w:pPr>
      <w:r>
        <w:rPr>
          <w:b w:val="0"/>
          <w:i/>
          <w:color w:val="6E7B77"/>
          <w:sz w:val="17"/>
        </w:rPr>
        <w:t>Sum-of-the-parts fair value on the round-price branch, EGP per share. The centre cell, 22.9% against 7.0%, is EGP 52.3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the lower branch (EGP 41.35) sits inside the cone’s upper tail and the higher (EGP 52.35) above it entirely.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41.35 and 52.35 — +43% and +81%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41.35 (+43%)</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52.35 (+81%)</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2.8 bn. Strip the associate leg out and what remains — the auto business and the lender — is 91%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52.35,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41.35 and 52.35,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84% of the auto leg’s enterprise value is terminal value, at a terminal spread of 7.18%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31.28% on the round-price branch against this study’s 22.88%, and 25.71%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0.26× its operating equity because a reviewed return of 10.10% against a terminal cost of equity of 18.73% supports that and no more. On the FY2025 full-year return of 14.71% the same arithmetic gives EGP 4,117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11.00 a share between the two published branches, 21.0%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64.5% of the lower branch. Holding the first forecast year flat across the window gives EGP 25.13 against EGP 41.35</w:t>
            </w:r>
          </w:p>
        </w:tc>
      </w:tr>
      <w:tr>
        <w:tc>
          <w:tcPr>
            <w:tcW w:type="dxa" w:w="2520"/>
          </w:tcPr>
          <w:p>
            <w:pPr>
              <w:spacing w:after="20"/>
            </w:pPr>
            <w:r>
              <w:rPr>
                <w:b/>
                <w:color w:val="1C3A36"/>
                <w:sz w:val="16"/>
              </w:rPr>
              <w:t>Capital expenditure stays where the company has been spending it</w:t>
            </w:r>
          </w:p>
        </w:tc>
        <w:tc>
          <w:tcPr>
            <w:tcW w:type="dxa" w:w="3960"/>
          </w:tcPr>
          <w:p>
            <w:pPr>
              <w:spacing w:after="20"/>
              <w:jc w:val="right"/>
            </w:pPr>
            <w:r>
              <w:rPr>
                <w:color w:val="1C3A36"/>
                <w:sz w:val="16"/>
              </w:rPr>
              <w:t>The forward ladder falls to a third of the intensity GB Corp filed for FY2025, and its first year is the figure management guided rather than one this study built</w:t>
            </w:r>
          </w:p>
        </w:tc>
        <w:tc>
          <w:tcPr>
            <w:tcW w:type="dxa" w:w="3744"/>
          </w:tcPr>
          <w:p>
            <w:pPr>
              <w:spacing w:after="20"/>
              <w:jc w:val="right"/>
            </w:pPr>
            <w:r>
              <w:rPr>
                <w:color w:val="1C3A36"/>
                <w:sz w:val="16"/>
              </w:rPr>
              <w:t>PRICED: 23.9% of the lower branch. Spending on at the FY2025 filed amount, flat and therefore falling in real terms, gives EGP 33.38 against EGP 41.35</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6.8% on the premium basis and 6.5%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5.2% between the reviewed half and the full prior year — EGP 4,117 mn against EGP 1,656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3.2%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84%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26,998</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61,432</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(4,915)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56,518</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52.07</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46.20 per share; at half, to EGP 40.34.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52.07, on a range of EGP 27.10 to 87.19 — the widest in the room, and driven by the discount debate rather than by an unconfirmed stake. HE IS FALSIFIED BY a real secondary transaction in the associate’s shares at a materially different price, or by a second closing repricing the round. The traded price leaves EGP 2,805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22.88%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3.91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16.6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52.07</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7.89 to 52.07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07-09-2026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