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59</w:t>
            </w:r>
          </w:p>
        </w:tc>
        <w:tc>
          <w:tcPr>
            <w:tcW w:type="dxa" w:w="1066"/>
          </w:tcPr>
          <w:p>
            <w:pPr>
              <w:spacing w:after="20"/>
            </w:pPr>
            <w:r>
              <w:rPr>
                <w:color w:val="1C3A36"/>
                <w:sz w:val="14"/>
              </w:rPr>
              <w:t>Market</w:t>
            </w:r>
          </w:p>
        </w:tc>
        <w:tc>
          <w:tcPr>
            <w:tcW w:type="dxa" w:w="7171"/>
          </w:tcPr>
          <w:p>
            <w:pPr>
              <w:spacing w:after="20"/>
            </w:pPr>
            <w:r>
              <w:rPr>
                <w:color w:val="1C3A36"/>
                <w:sz w:val="14"/>
              </w:rPr>
              <w:t>Closing price 06-Aug-2026 from the supplied EGX daily series (open 58.40, high 59.90, low 58.25)</w:t>
            </w:r>
          </w:p>
        </w:tc>
        <w:tc>
          <w:tcPr>
            <w:tcW w:type="dxa" w:w="1210"/>
          </w:tcPr>
          <w:p>
            <w:pPr>
              <w:spacing w:after="20"/>
            </w:pPr>
            <w:r>
              <w:rPr>
                <w:color w:val="1C3A36"/>
                <w:sz w:val="14"/>
              </w:rPr>
              <w:t>2026-08-06</w:t>
            </w:r>
          </w:p>
        </w:tc>
      </w:tr>
      <w:tr>
        <w:tc>
          <w:tcPr>
            <w:tcW w:type="dxa" w:w="432"/>
          </w:tcPr>
          <w:p>
            <w:pPr>
              <w:spacing w:after="20"/>
            </w:pPr>
            <w:r>
              <w:rPr>
                <w:color w:val="1C3A36"/>
                <w:sz w:val="14"/>
              </w:rPr>
              <w:t>2</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assets under construction, note 13: alternative-fuel system for production line 2 EGP 240.235mn, new steel cement silo for line 1 EGP 146.239mn</w:t>
            </w:r>
          </w:p>
        </w:tc>
        <w:tc>
          <w:tcPr>
            <w:tcW w:type="dxa" w:w="1210"/>
          </w:tcPr>
          <w:p>
            <w:pPr>
              <w:spacing w:after="20"/>
            </w:pPr>
            <w:r>
              <w:rPr>
                <w:color w:val="1C3A36"/>
                <w:sz w:val="14"/>
              </w:rPr>
              <w:t>2025-12-31</w:t>
            </w:r>
          </w:p>
        </w:tc>
      </w:tr>
      <w:tr>
        <w:tc>
          <w:tcPr>
            <w:tcW w:type="dxa" w:w="432"/>
          </w:tcPr>
          <w:p>
            <w:pPr>
              <w:spacing w:after="20"/>
            </w:pPr>
            <w:r>
              <w:rPr>
                <w:color w:val="1C3A36"/>
                <w:sz w:val="14"/>
              </w:rPr>
              <w:t>3</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32"/>
          </w:tcPr>
          <w:p>
            <w:pPr>
              <w:spacing w:after="20"/>
            </w:pPr>
            <w:r>
              <w:rPr>
                <w:color w:val="1C3A36"/>
                <w:sz w:val="14"/>
              </w:rPr>
              <w:t>4</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32"/>
          </w:tcPr>
          <w:p>
            <w:pPr>
              <w:spacing w:after="20"/>
            </w:pPr>
            <w:r>
              <w:rPr>
                <w:color w:val="1C3A36"/>
                <w:sz w:val="14"/>
              </w:rPr>
              <w:t>5</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32"/>
          </w:tcPr>
          <w:p>
            <w:pPr>
              <w:spacing w:after="20"/>
            </w:pPr>
            <w:r>
              <w:rPr>
                <w:color w:val="1C3A36"/>
                <w:sz w:val="14"/>
              </w:rPr>
              <w:t>6</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32"/>
          </w:tcPr>
          <w:p>
            <w:pPr>
              <w:spacing w:after="20"/>
            </w:pPr>
            <w:r>
              <w:rPr>
                <w:color w:val="1C3A36"/>
                <w:sz w:val="14"/>
              </w:rPr>
              <w:t>7</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32"/>
          </w:tcPr>
          <w:p>
            <w:pPr>
              <w:spacing w:after="20"/>
            </w:pPr>
            <w:r>
              <w:rPr>
                <w:color w:val="1C3A36"/>
                <w:sz w:val="14"/>
              </w:rPr>
              <w:t>8</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32"/>
          </w:tcPr>
          <w:p>
            <w:pPr>
              <w:spacing w:after="20"/>
            </w:pPr>
            <w:r>
              <w:rPr>
                <w:color w:val="1C3A36"/>
                <w:sz w:val="14"/>
              </w:rPr>
              <w:t>9</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32"/>
          </w:tcPr>
          <w:p>
            <w:pPr>
              <w:spacing w:after="20"/>
            </w:pPr>
            <w:r>
              <w:rPr>
                <w:color w:val="1C3A36"/>
                <w:sz w:val="14"/>
              </w:rPr>
              <w:t>10</w:t>
            </w:r>
          </w:p>
        </w:tc>
        <w:tc>
          <w:tcPr>
            <w:tcW w:type="dxa" w:w="2448"/>
          </w:tcPr>
          <w:p>
            <w:pPr>
              <w:spacing w:after="20"/>
            </w:pPr>
            <w:r>
              <w:rPr>
                <w:color w:val="1C3A36"/>
                <w:sz w:val="14"/>
              </w:rPr>
              <w:t>capex_usd_t_cap</w:t>
            </w:r>
          </w:p>
        </w:tc>
        <w:tc>
          <w:tcPr>
            <w:tcW w:type="dxa" w:w="1325"/>
          </w:tcPr>
          <w:p>
            <w:pPr>
              <w:spacing w:after="20"/>
            </w:pPr>
            <w:r>
              <w:rPr>
                <w:color w:val="1C3A36"/>
                <w:sz w:val="14"/>
              </w:rPr>
              <w:t>3.23</w:t>
            </w:r>
          </w:p>
        </w:tc>
        <w:tc>
          <w:tcPr>
            <w:tcW w:type="dxa" w:w="1066"/>
          </w:tcPr>
          <w:p>
            <w:pPr>
              <w:spacing w:after="20"/>
            </w:pPr>
            <w:r>
              <w:rPr>
                <w:color w:val="1C3A36"/>
                <w:sz w:val="14"/>
              </w:rPr>
              <w:t>Company</w:t>
            </w:r>
          </w:p>
        </w:tc>
        <w:tc>
          <w:tcPr>
            <w:tcW w:type="dxa" w:w="7171"/>
          </w:tcPr>
          <w:p>
            <w:pPr>
              <w:spacing w:after="20"/>
            </w:pPr>
            <w:r>
              <w:rPr>
                <w:color w:val="1C3A36"/>
                <w:sz w:val="14"/>
              </w:rPr>
              <w:t>Maintenance capital expenditure in US dollars per tonne of installed capacity, SET AT THE MOST RECENT FULL YEAR'S TOTAL CAPITAL SPENDING PER TONNE — EGP 796.471mn on 5.0Mt at USD/EGP 49.26. REVISION 4 CORRECTS THE REASONING BEHIND THIS INPUT, WHICH WAS BACKWARDS. Revision 3 observed that FY2024 (USD 3.70/t) and FY2025 (USD 3.23/t) 'both carry the alternative-fuel and silo programmes' and then set maintenance at USD 4.00 — the MIDDLE of a band it had just said was inflated by growth spending, and above both observed years. If both observations INCLUDE growth capital, they are an UPPER BOUND on maintenance, so the maintenance level belongs at or below them, not above. The H1-2026 cash-flow statement settles the direction: it splits the spend into payments for property, plant and equipment of EGP 102.893mn and payments for ASSETS UNDER CONSTRUCTION of EGP 505.540mn, so 83% of six months' capital spending is the growth programme and the sustaining line is running near USD 0.8/t annualised. That is a deferral rather than a sustainable rate, so the input is NOT cut to it; it is set at the most recent full year's TOTAL, which remains an upper bound on maintenance and is still above the industry sustaining norm of about USD 3/t. Worth EGP 1.77 a share against revision 3's figure, and the whole range is published as a sensitivity</w:t>
            </w:r>
          </w:p>
        </w:tc>
        <w:tc>
          <w:tcPr>
            <w:tcW w:type="dxa" w:w="1210"/>
          </w:tcPr>
          <w:p>
            <w:pPr>
              <w:spacing w:after="20"/>
            </w:pPr>
            <w:r>
              <w:rPr>
                <w:color w:val="1C3A36"/>
                <w:sz w:val="14"/>
              </w:rPr>
              <w:t>2025-12-31</w:t>
            </w:r>
          </w:p>
        </w:tc>
      </w:tr>
      <w:tr>
        <w:tc>
          <w:tcPr>
            <w:tcW w:type="dxa" w:w="432"/>
          </w:tcPr>
          <w:p>
            <w:pPr>
              <w:spacing w:after="20"/>
            </w:pPr>
            <w:r>
              <w:rPr>
                <w:color w:val="1C3A36"/>
                <w:sz w:val="14"/>
              </w:rPr>
              <w:t>11</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32"/>
          </w:tcPr>
          <w:p>
            <w:pPr>
              <w:spacing w:after="20"/>
            </w:pPr>
            <w:r>
              <w:rPr>
                <w:color w:val="1C3A36"/>
                <w:sz w:val="14"/>
              </w:rPr>
              <w:t>12</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32"/>
          </w:tcPr>
          <w:p>
            <w:pPr>
              <w:spacing w:after="20"/>
            </w:pPr>
            <w:r>
              <w:rPr>
                <w:color w:val="1C3A36"/>
                <w:sz w:val="14"/>
              </w:rPr>
              <w:t>13</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14</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32"/>
          </w:tcPr>
          <w:p>
            <w:pPr>
              <w:spacing w:after="20"/>
            </w:pPr>
            <w:r>
              <w:rPr>
                <w:color w:val="1C3A36"/>
                <w:sz w:val="14"/>
              </w:rPr>
              <w:t>15</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16</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32"/>
          </w:tcPr>
          <w:p>
            <w:pPr>
              <w:spacing w:after="20"/>
            </w:pPr>
            <w:r>
              <w:rPr>
                <w:color w:val="1C3A36"/>
                <w:sz w:val="14"/>
              </w:rPr>
              <w:t>17</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71"/>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32"/>
          </w:tcPr>
          <w:p>
            <w:pPr>
              <w:spacing w:after="20"/>
            </w:pPr>
            <w:r>
              <w:rPr>
                <w:color w:val="1C3A36"/>
                <w:sz w:val="14"/>
              </w:rPr>
              <w:t>18</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71"/>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32"/>
          </w:tcPr>
          <w:p>
            <w:pPr>
              <w:spacing w:after="20"/>
            </w:pPr>
            <w:r>
              <w:rPr>
                <w:color w:val="1C3A36"/>
                <w:sz w:val="14"/>
              </w:rPr>
              <w:t>19</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32"/>
          </w:tcPr>
          <w:p>
            <w:pPr>
              <w:spacing w:after="20"/>
            </w:pPr>
            <w:r>
              <w:rPr>
                <w:color w:val="1C3A36"/>
                <w:sz w:val="14"/>
              </w:rPr>
              <w:t>20</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71"/>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32"/>
          </w:tcPr>
          <w:p>
            <w:pPr>
              <w:spacing w:after="20"/>
            </w:pPr>
            <w:r>
              <w:rPr>
                <w:color w:val="1C3A36"/>
                <w:sz w:val="14"/>
              </w:rPr>
              <w:t>21</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32"/>
          </w:tcPr>
          <w:p>
            <w:pPr>
              <w:spacing w:after="20"/>
            </w:pPr>
            <w:r>
              <w:rPr>
                <w:color w:val="1C3A36"/>
                <w:sz w:val="14"/>
              </w:rPr>
              <w:t>22</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23</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24</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32"/>
          </w:tcPr>
          <w:p>
            <w:pPr>
              <w:spacing w:after="20"/>
            </w:pPr>
            <w:r>
              <w:rPr>
                <w:color w:val="1C3A36"/>
                <w:sz w:val="14"/>
              </w:rPr>
              <w:t>25</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32"/>
          </w:tcPr>
          <w:p>
            <w:pPr>
              <w:spacing w:after="20"/>
            </w:pPr>
            <w:r>
              <w:rPr>
                <w:color w:val="1C3A36"/>
                <w:sz w:val="14"/>
              </w:rPr>
              <w:t>26</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32"/>
          </w:tcPr>
          <w:p>
            <w:pPr>
              <w:spacing w:after="20"/>
            </w:pPr>
            <w:r>
              <w:rPr>
                <w:color w:val="1C3A36"/>
                <w:sz w:val="14"/>
              </w:rPr>
              <w:t>27</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28</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32"/>
          </w:tcPr>
          <w:p>
            <w:pPr>
              <w:spacing w:after="20"/>
            </w:pPr>
            <w:r>
              <w:rPr>
                <w:color w:val="1C3A36"/>
                <w:sz w:val="14"/>
              </w:rPr>
              <w:t>29</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32"/>
          </w:tcPr>
          <w:p>
            <w:pPr>
              <w:spacing w:after="20"/>
            </w:pPr>
            <w:r>
              <w:rPr>
                <w:color w:val="1C3A36"/>
                <w:sz w:val="14"/>
              </w:rPr>
              <w:t>30</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32"/>
          </w:tcPr>
          <w:p>
            <w:pPr>
              <w:spacing w:after="20"/>
            </w:pPr>
            <w:r>
              <w:rPr>
                <w:color w:val="1C3A36"/>
                <w:sz w:val="14"/>
              </w:rPr>
              <w:t>31</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32"/>
          </w:tcPr>
          <w:p>
            <w:pPr>
              <w:spacing w:after="20"/>
            </w:pPr>
            <w:r>
              <w:rPr>
                <w:color w:val="1C3A36"/>
                <w:sz w:val="14"/>
              </w:rPr>
              <w:t>32</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32"/>
          </w:tcPr>
          <w:p>
            <w:pPr>
              <w:spacing w:after="20"/>
            </w:pPr>
            <w:r>
              <w:rPr>
                <w:color w:val="1C3A36"/>
                <w:sz w:val="14"/>
              </w:rPr>
              <w:t>33</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32"/>
          </w:tcPr>
          <w:p>
            <w:pPr>
              <w:spacing w:after="20"/>
            </w:pPr>
            <w:r>
              <w:rPr>
                <w:color w:val="1C3A36"/>
                <w:sz w:val="14"/>
              </w:rPr>
              <w:t>34</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32"/>
          </w:tcPr>
          <w:p>
            <w:pPr>
              <w:spacing w:after="20"/>
            </w:pPr>
            <w:r>
              <w:rPr>
                <w:color w:val="1C3A36"/>
                <w:sz w:val="14"/>
              </w:rPr>
              <w:t>35</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32"/>
          </w:tcPr>
          <w:p>
            <w:pPr>
              <w:spacing w:after="20"/>
            </w:pPr>
            <w:r>
              <w:rPr>
                <w:color w:val="1C3A36"/>
                <w:sz w:val="14"/>
              </w:rPr>
              <w:t>36</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32"/>
          </w:tcPr>
          <w:p>
            <w:pPr>
              <w:spacing w:after="20"/>
            </w:pPr>
            <w:r>
              <w:rPr>
                <w:color w:val="1C3A36"/>
                <w:sz w:val="14"/>
              </w:rPr>
              <w:t>37</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32"/>
          </w:tcPr>
          <w:p>
            <w:pPr>
              <w:spacing w:after="20"/>
            </w:pPr>
            <w:r>
              <w:rPr>
                <w:color w:val="1C3A36"/>
                <w:sz w:val="14"/>
              </w:rPr>
              <w:t>38</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32"/>
          </w:tcPr>
          <w:p>
            <w:pPr>
              <w:spacing w:after="20"/>
            </w:pPr>
            <w:r>
              <w:rPr>
                <w:color w:val="1C3A36"/>
                <w:sz w:val="14"/>
              </w:rPr>
              <w:t>39</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32"/>
          </w:tcPr>
          <w:p>
            <w:pPr>
              <w:spacing w:after="20"/>
            </w:pPr>
            <w:r>
              <w:rPr>
                <w:color w:val="1C3A36"/>
                <w:sz w:val="14"/>
              </w:rPr>
              <w:t>40</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32"/>
          </w:tcPr>
          <w:p>
            <w:pPr>
              <w:spacing w:after="20"/>
            </w:pPr>
            <w:r>
              <w:rPr>
                <w:color w:val="1C3A36"/>
                <w:sz w:val="14"/>
              </w:rPr>
              <w:t>41</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32"/>
          </w:tcPr>
          <w:p>
            <w:pPr>
              <w:spacing w:after="20"/>
            </w:pPr>
            <w:r>
              <w:rPr>
                <w:color w:val="1C3A36"/>
                <w:sz w:val="14"/>
              </w:rPr>
              <w:t>42</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32"/>
          </w:tcPr>
          <w:p>
            <w:pPr>
              <w:spacing w:after="20"/>
            </w:pPr>
            <w:r>
              <w:rPr>
                <w:color w:val="1C3A36"/>
                <w:sz w:val="14"/>
              </w:rPr>
              <w:t>43</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32"/>
          </w:tcPr>
          <w:p>
            <w:pPr>
              <w:spacing w:after="20"/>
            </w:pPr>
            <w:r>
              <w:rPr>
                <w:color w:val="1C3A36"/>
                <w:sz w:val="14"/>
              </w:rPr>
              <w:t>44</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32"/>
          </w:tcPr>
          <w:p>
            <w:pPr>
              <w:spacing w:after="20"/>
            </w:pPr>
            <w:r>
              <w:rPr>
                <w:color w:val="1C3A36"/>
                <w:sz w:val="14"/>
              </w:rPr>
              <w:t>45</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32"/>
          </w:tcPr>
          <w:p>
            <w:pPr>
              <w:spacing w:after="20"/>
            </w:pPr>
            <w:r>
              <w:rPr>
                <w:color w:val="1C3A36"/>
                <w:sz w:val="14"/>
              </w:rPr>
              <w:t>46</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32"/>
          </w:tcPr>
          <w:p>
            <w:pPr>
              <w:spacing w:after="20"/>
            </w:pPr>
            <w:r>
              <w:rPr>
                <w:color w:val="1C3A36"/>
                <w:sz w:val="14"/>
              </w:rPr>
              <w:t>47</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32"/>
          </w:tcPr>
          <w:p>
            <w:pPr>
              <w:spacing w:after="20"/>
            </w:pPr>
            <w:r>
              <w:rPr>
                <w:color w:val="1C3A36"/>
                <w:sz w:val="14"/>
              </w:rPr>
              <w:t>48</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49</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32"/>
          </w:tcPr>
          <w:p>
            <w:pPr>
              <w:spacing w:after="20"/>
            </w:pPr>
            <w:r>
              <w:rPr>
                <w:color w:val="1C3A36"/>
                <w:sz w:val="14"/>
              </w:rPr>
              <w:t>50</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32"/>
          </w:tcPr>
          <w:p>
            <w:pPr>
              <w:spacing w:after="20"/>
            </w:pPr>
            <w:r>
              <w:rPr>
                <w:color w:val="1C3A36"/>
                <w:sz w:val="14"/>
              </w:rPr>
              <w:t>51</w:t>
            </w:r>
          </w:p>
        </w:tc>
        <w:tc>
          <w:tcPr>
            <w:tcW w:type="dxa" w:w="2448"/>
          </w:tcPr>
          <w:p>
            <w:pPr>
              <w:spacing w:after="20"/>
            </w:pPr>
            <w:r>
              <w:rPr>
                <w:color w:val="1C3A36"/>
                <w:sz w:val="14"/>
              </w:rPr>
              <w:t>egy_cons_mt</w:t>
            </w:r>
          </w:p>
        </w:tc>
        <w:tc>
          <w:tcPr>
            <w:tcW w:type="dxa" w:w="1325"/>
          </w:tcPr>
          <w:p>
            <w:pPr>
              <w:spacing w:after="20"/>
            </w:pPr>
            <w:r>
              <w:rPr>
                <w:color w:val="1C3A36"/>
                <w:sz w:val="14"/>
              </w:rPr>
              <w:t>53.9</w:t>
            </w:r>
          </w:p>
        </w:tc>
        <w:tc>
          <w:tcPr>
            <w:tcW w:type="dxa" w:w="1066"/>
          </w:tcPr>
          <w:p>
            <w:pPr>
              <w:spacing w:after="20"/>
            </w:pPr>
            <w:r>
              <w:rPr>
                <w:color w:val="1C3A36"/>
                <w:sz w:val="14"/>
              </w:rPr>
              <w:t>Company</w:t>
            </w:r>
          </w:p>
        </w:tc>
        <w:tc>
          <w:tcPr>
            <w:tcW w:type="dxa" w:w="7171"/>
          </w:tcPr>
          <w:p>
            <w:pPr>
              <w:spacing w:after="20"/>
            </w:pPr>
            <w:r>
              <w:rPr>
                <w:color w:val="1C3A36"/>
                <w:sz w:val="14"/>
              </w:rPr>
              <w:t>Egyptian domestic cement sales 2025. FY2025 Investor Presentation, Arabian Cement Company S.A.E., investor relations library, page 5 (sales volumes and production indicators) page 12 gives 53.9Mt, against the 54.0 previously carried on trade estimate</w:t>
            </w:r>
          </w:p>
        </w:tc>
        <w:tc>
          <w:tcPr>
            <w:tcW w:type="dxa" w:w="1210"/>
          </w:tcPr>
          <w:p>
            <w:pPr>
              <w:spacing w:after="20"/>
            </w:pPr>
            <w:r>
              <w:rPr>
                <w:color w:val="1C3A36"/>
                <w:sz w:val="14"/>
              </w:rPr>
              <w:t>2026-03-01</w:t>
            </w:r>
          </w:p>
        </w:tc>
      </w:tr>
      <w:tr>
        <w:tc>
          <w:tcPr>
            <w:tcW w:type="dxa" w:w="432"/>
          </w:tcPr>
          <w:p>
            <w:pPr>
              <w:spacing w:after="20"/>
            </w:pPr>
            <w:r>
              <w:rPr>
                <w:color w:val="1C3A36"/>
                <w:sz w:val="14"/>
              </w:rPr>
              <w:t>52</w:t>
            </w:r>
          </w:p>
        </w:tc>
        <w:tc>
          <w:tcPr>
            <w:tcW w:type="dxa" w:w="2448"/>
          </w:tcPr>
          <w:p>
            <w:pPr>
              <w:spacing w:after="20"/>
            </w:pPr>
            <w:r>
              <w:rPr>
                <w:color w:val="1C3A36"/>
                <w:sz w:val="14"/>
              </w:rPr>
              <w:t>egy_exports_mt</w:t>
            </w:r>
          </w:p>
        </w:tc>
        <w:tc>
          <w:tcPr>
            <w:tcW w:type="dxa" w:w="1325"/>
          </w:tcPr>
          <w:p>
            <w:pPr>
              <w:spacing w:after="20"/>
            </w:pPr>
            <w:r>
              <w:rPr>
                <w:color w:val="1C3A36"/>
                <w:sz w:val="14"/>
              </w:rPr>
              <w:t>18.6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export sales 2025. FY2025 Investor Presentation, Arabian Cement Company S.A.E., investor relations library, page 5 (sales volumes and production indicators) page 12. The two products are reported together, which is why the earlier balance failed: it set a cement-plus-clinker export figure against a cement-only production figure</w:t>
            </w:r>
          </w:p>
        </w:tc>
        <w:tc>
          <w:tcPr>
            <w:tcW w:type="dxa" w:w="1210"/>
          </w:tcPr>
          <w:p>
            <w:pPr>
              <w:spacing w:after="20"/>
            </w:pPr>
            <w:r>
              <w:rPr>
                <w:color w:val="1C3A36"/>
                <w:sz w:val="14"/>
              </w:rPr>
              <w:t>2026-03-01</w:t>
            </w:r>
          </w:p>
        </w:tc>
      </w:tr>
      <w:tr>
        <w:tc>
          <w:tcPr>
            <w:tcW w:type="dxa" w:w="432"/>
          </w:tcPr>
          <w:p>
            <w:pPr>
              <w:spacing w:after="20"/>
            </w:pPr>
            <w:r>
              <w:rPr>
                <w:color w:val="1C3A36"/>
                <w:sz w:val="14"/>
              </w:rPr>
              <w:t>53</w:t>
            </w:r>
          </w:p>
        </w:tc>
        <w:tc>
          <w:tcPr>
            <w:tcW w:type="dxa" w:w="2448"/>
          </w:tcPr>
          <w:p>
            <w:pPr>
              <w:spacing w:after="20"/>
            </w:pPr>
            <w:r>
              <w:rPr>
                <w:color w:val="1C3A36"/>
                <w:sz w:val="14"/>
              </w:rPr>
              <w:t>egy_prod_mt</w:t>
            </w:r>
          </w:p>
        </w:tc>
        <w:tc>
          <w:tcPr>
            <w:tcW w:type="dxa" w:w="1325"/>
          </w:tcPr>
          <w:p>
            <w:pPr>
              <w:spacing w:after="20"/>
            </w:pPr>
            <w:r>
              <w:rPr>
                <w:color w:val="1C3A36"/>
                <w:sz w:val="14"/>
              </w:rPr>
              <w:t>72.6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SALES 2025 — local plus export. FY2025 Investor Presentation, Arabian Cement Company S.A.E., investor relations library, page 5 (sales volumes and production indicators) page 12 gives local 53.9Mt and exports 18.6Mt, total 72.6Mt. Revisions 1 to 4 carried 65.0Mt as 'production' against exports of 18.5Mt and consumption of 54Mt, a balance that does not close: 65 less 54 is 11Mt, not 18.5. One reviewer caught the gap and the disclosure now closes it. This changes the sector picture materially — see the utilisation note</w:t>
            </w:r>
          </w:p>
        </w:tc>
        <w:tc>
          <w:tcPr>
            <w:tcW w:type="dxa" w:w="1210"/>
          </w:tcPr>
          <w:p>
            <w:pPr>
              <w:spacing w:after="20"/>
            </w:pPr>
            <w:r>
              <w:rPr>
                <w:color w:val="1C3A36"/>
                <w:sz w:val="14"/>
              </w:rPr>
              <w:t>2026-03-01</w:t>
            </w:r>
          </w:p>
        </w:tc>
      </w:tr>
      <w:tr>
        <w:tc>
          <w:tcPr>
            <w:tcW w:type="dxa" w:w="432"/>
          </w:tcPr>
          <w:p>
            <w:pPr>
              <w:spacing w:after="20"/>
            </w:pPr>
            <w:r>
              <w:rPr>
                <w:color w:val="1C3A36"/>
                <w:sz w:val="14"/>
              </w:rPr>
              <w:t>54</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32"/>
          </w:tcPr>
          <w:p>
            <w:pPr>
              <w:spacing w:after="20"/>
            </w:pPr>
            <w:r>
              <w:rPr>
                <w:color w:val="1C3A36"/>
                <w:sz w:val="14"/>
              </w:rPr>
              <w:t>55</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32"/>
          </w:tcPr>
          <w:p>
            <w:pPr>
              <w:spacing w:after="20"/>
            </w:pPr>
            <w:r>
              <w:rPr>
                <w:color w:val="1C3A36"/>
                <w:sz w:val="14"/>
              </w:rPr>
              <w:t>56</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32"/>
          </w:tcPr>
          <w:p>
            <w:pPr>
              <w:spacing w:after="20"/>
            </w:pPr>
            <w:r>
              <w:rPr>
                <w:color w:val="1C3A36"/>
                <w:sz w:val="14"/>
              </w:rPr>
              <w:t>57</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32"/>
          </w:tcPr>
          <w:p>
            <w:pPr>
              <w:spacing w:after="20"/>
            </w:pPr>
            <w:r>
              <w:rPr>
                <w:color w:val="1C3A36"/>
                <w:sz w:val="14"/>
              </w:rPr>
              <w:t>58</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32"/>
          </w:tcPr>
          <w:p>
            <w:pPr>
              <w:spacing w:after="20"/>
            </w:pPr>
            <w:r>
              <w:rPr>
                <w:color w:val="1C3A36"/>
                <w:sz w:val="14"/>
              </w:rPr>
              <w:t>59</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32"/>
          </w:tcPr>
          <w:p>
            <w:pPr>
              <w:spacing w:after="20"/>
            </w:pPr>
            <w:r>
              <w:rPr>
                <w:color w:val="1C3A36"/>
                <w:sz w:val="14"/>
              </w:rPr>
              <w:t>60</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61</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32"/>
          </w:tcPr>
          <w:p>
            <w:pPr>
              <w:spacing w:after="20"/>
            </w:pPr>
            <w:r>
              <w:rPr>
                <w:color w:val="1C3A36"/>
                <w:sz w:val="14"/>
              </w:rPr>
              <w:t>62</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32"/>
          </w:tcPr>
          <w:p>
            <w:pPr>
              <w:spacing w:after="20"/>
            </w:pPr>
            <w:r>
              <w:rPr>
                <w:color w:val="1C3A36"/>
                <w:sz w:val="14"/>
              </w:rPr>
              <w:t>63</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32"/>
          </w:tcPr>
          <w:p>
            <w:pPr>
              <w:spacing w:after="20"/>
            </w:pPr>
            <w:r>
              <w:rPr>
                <w:color w:val="1C3A36"/>
                <w:sz w:val="14"/>
              </w:rPr>
              <w:t>64</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65</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32"/>
          </w:tcPr>
          <w:p>
            <w:pPr>
              <w:spacing w:after="20"/>
            </w:pPr>
            <w:r>
              <w:rPr>
                <w:color w:val="1C3A36"/>
                <w:sz w:val="14"/>
              </w:rPr>
              <w:t>66</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32"/>
          </w:tcPr>
          <w:p>
            <w:pPr>
              <w:spacing w:after="20"/>
            </w:pPr>
            <w:r>
              <w:rPr>
                <w:color w:val="1C3A36"/>
                <w:sz w:val="14"/>
              </w:rPr>
              <w:t>67</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32"/>
          </w:tcPr>
          <w:p>
            <w:pPr>
              <w:spacing w:after="20"/>
            </w:pPr>
            <w:r>
              <w:rPr>
                <w:color w:val="1C3A36"/>
                <w:sz w:val="14"/>
              </w:rPr>
              <w:t>68</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32"/>
          </w:tcPr>
          <w:p>
            <w:pPr>
              <w:spacing w:after="20"/>
            </w:pPr>
            <w:r>
              <w:rPr>
                <w:color w:val="1C3A36"/>
                <w:sz w:val="14"/>
              </w:rPr>
              <w:t>69</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32"/>
          </w:tcPr>
          <w:p>
            <w:pPr>
              <w:spacing w:after="20"/>
            </w:pPr>
            <w:r>
              <w:rPr>
                <w:color w:val="1C3A36"/>
                <w:sz w:val="14"/>
              </w:rPr>
              <w:t>70</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32"/>
          </w:tcPr>
          <w:p>
            <w:pPr>
              <w:spacing w:after="20"/>
            </w:pPr>
            <w:r>
              <w:rPr>
                <w:color w:val="1C3A36"/>
                <w:sz w:val="14"/>
              </w:rPr>
              <w:t>71</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32"/>
          </w:tcPr>
          <w:p>
            <w:pPr>
              <w:spacing w:after="20"/>
            </w:pPr>
            <w:r>
              <w:rPr>
                <w:color w:val="1C3A36"/>
                <w:sz w:val="14"/>
              </w:rPr>
              <w:t>72</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32"/>
          </w:tcPr>
          <w:p>
            <w:pPr>
              <w:spacing w:after="20"/>
            </w:pPr>
            <w:r>
              <w:rPr>
                <w:color w:val="1C3A36"/>
                <w:sz w:val="14"/>
              </w:rPr>
              <w:t>73</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32"/>
          </w:tcPr>
          <w:p>
            <w:pPr>
              <w:spacing w:after="20"/>
            </w:pPr>
            <w:r>
              <w:rPr>
                <w:color w:val="1C3A36"/>
                <w:sz w:val="14"/>
              </w:rPr>
              <w:t>74</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32"/>
          </w:tcPr>
          <w:p>
            <w:pPr>
              <w:spacing w:after="20"/>
            </w:pPr>
            <w:r>
              <w:rPr>
                <w:color w:val="1C3A36"/>
                <w:sz w:val="14"/>
              </w:rPr>
              <w:t>75</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32"/>
          </w:tcPr>
          <w:p>
            <w:pPr>
              <w:spacing w:after="20"/>
            </w:pPr>
            <w:r>
              <w:rPr>
                <w:color w:val="1C3A36"/>
                <w:sz w:val="14"/>
              </w:rPr>
              <w:t>76</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32"/>
          </w:tcPr>
          <w:p>
            <w:pPr>
              <w:spacing w:after="20"/>
            </w:pPr>
            <w:r>
              <w:rPr>
                <w:color w:val="1C3A36"/>
                <w:sz w:val="14"/>
              </w:rPr>
              <w:t>77</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32"/>
          </w:tcPr>
          <w:p>
            <w:pPr>
              <w:spacing w:after="20"/>
            </w:pPr>
            <w:r>
              <w:rPr>
                <w:color w:val="1C3A36"/>
                <w:sz w:val="14"/>
              </w:rPr>
              <w:t>78</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32"/>
          </w:tcPr>
          <w:p>
            <w:pPr>
              <w:spacing w:after="20"/>
            </w:pPr>
            <w:r>
              <w:rPr>
                <w:color w:val="1C3A36"/>
                <w:sz w:val="14"/>
              </w:rPr>
              <w:t>79</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32"/>
          </w:tcPr>
          <w:p>
            <w:pPr>
              <w:spacing w:after="20"/>
            </w:pPr>
            <w:r>
              <w:rPr>
                <w:color w:val="1C3A36"/>
                <w:sz w:val="14"/>
              </w:rPr>
              <w:t>80</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32"/>
          </w:tcPr>
          <w:p>
            <w:pPr>
              <w:spacing w:after="20"/>
            </w:pPr>
            <w:r>
              <w:rPr>
                <w:color w:val="1C3A36"/>
                <w:sz w:val="14"/>
              </w:rPr>
              <w:t>81</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32"/>
          </w:tcPr>
          <w:p>
            <w:pPr>
              <w:spacing w:after="20"/>
            </w:pPr>
            <w:r>
              <w:rPr>
                <w:color w:val="1C3A36"/>
                <w:sz w:val="14"/>
              </w:rPr>
              <w:t>82</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32"/>
          </w:tcPr>
          <w:p>
            <w:pPr>
              <w:spacing w:after="20"/>
            </w:pPr>
            <w:r>
              <w:rPr>
                <w:color w:val="1C3A36"/>
                <w:sz w:val="14"/>
              </w:rPr>
              <w:t>83</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32"/>
          </w:tcPr>
          <w:p>
            <w:pPr>
              <w:spacing w:after="20"/>
            </w:pPr>
            <w:r>
              <w:rPr>
                <w:color w:val="1C3A36"/>
                <w:sz w:val="14"/>
              </w:rPr>
              <w:t>84</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32"/>
          </w:tcPr>
          <w:p>
            <w:pPr>
              <w:spacing w:after="20"/>
            </w:pPr>
            <w:r>
              <w:rPr>
                <w:color w:val="1C3A36"/>
                <w:sz w:val="14"/>
              </w:rPr>
              <w:t>85</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32"/>
          </w:tcPr>
          <w:p>
            <w:pPr>
              <w:spacing w:after="20"/>
            </w:pPr>
            <w:r>
              <w:rPr>
                <w:color w:val="1C3A36"/>
                <w:sz w:val="14"/>
              </w:rPr>
              <w:t>86</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32"/>
          </w:tcPr>
          <w:p>
            <w:pPr>
              <w:spacing w:after="20"/>
            </w:pPr>
            <w:r>
              <w:rPr>
                <w:color w:val="1C3A36"/>
                <w:sz w:val="14"/>
              </w:rPr>
              <w:t>87</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71"/>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32"/>
          </w:tcPr>
          <w:p>
            <w:pPr>
              <w:spacing w:after="20"/>
            </w:pPr>
            <w:r>
              <w:rPr>
                <w:color w:val="1C3A36"/>
                <w:sz w:val="14"/>
              </w:rPr>
              <w:t>88</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71"/>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32"/>
          </w:tcPr>
          <w:p>
            <w:pPr>
              <w:spacing w:after="20"/>
            </w:pPr>
            <w:r>
              <w:rPr>
                <w:color w:val="1C3A36"/>
                <w:sz w:val="14"/>
              </w:rPr>
              <w:t>89</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32"/>
          </w:tcPr>
          <w:p>
            <w:pPr>
              <w:spacing w:after="20"/>
            </w:pPr>
            <w:r>
              <w:rPr>
                <w:color w:val="1C3A36"/>
                <w:sz w:val="14"/>
              </w:rPr>
              <w:t>90</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32"/>
          </w:tcPr>
          <w:p>
            <w:pPr>
              <w:spacing w:after="20"/>
            </w:pPr>
            <w:r>
              <w:rPr>
                <w:color w:val="1C3A36"/>
                <w:sz w:val="14"/>
              </w:rPr>
              <w:t>91</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92</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32"/>
          </w:tcPr>
          <w:p>
            <w:pPr>
              <w:spacing w:after="20"/>
            </w:pPr>
            <w:r>
              <w:rPr>
                <w:color w:val="1C3A36"/>
                <w:sz w:val="14"/>
              </w:rPr>
              <w:t>93</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950 times smaller and immaterial to the bridge</w:t>
            </w:r>
          </w:p>
        </w:tc>
        <w:tc>
          <w:tcPr>
            <w:tcW w:type="dxa" w:w="1210"/>
          </w:tcPr>
          <w:p>
            <w:pPr>
              <w:spacing w:after="20"/>
            </w:pPr>
            <w:r>
              <w:rPr>
                <w:color w:val="1C3A36"/>
                <w:sz w:val="14"/>
              </w:rPr>
              <w:t>2025-12-31</w:t>
            </w:r>
          </w:p>
        </w:tc>
      </w:tr>
      <w:tr>
        <w:tc>
          <w:tcPr>
            <w:tcW w:type="dxa" w:w="432"/>
          </w:tcPr>
          <w:p>
            <w:pPr>
              <w:spacing w:after="20"/>
            </w:pPr>
            <w:r>
              <w:rPr>
                <w:color w:val="1C3A36"/>
                <w:sz w:val="14"/>
              </w:rPr>
              <w:t>94</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95</w:t>
            </w:r>
          </w:p>
        </w:tc>
        <w:tc>
          <w:tcPr>
            <w:tcW w:type="dxa" w:w="2448"/>
          </w:tcPr>
          <w:p>
            <w:pPr>
              <w:spacing w:after="20"/>
            </w:pPr>
            <w:r>
              <w:rPr>
                <w:color w:val="1C3A36"/>
                <w:sz w:val="14"/>
              </w:rPr>
              <w:t>oth_inc_fy25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of which EGP 32.642586mn is disclosed export subsidies. REVISION 4 CONSUMES THIS LINE. Revisions 1-3 registered it, quoted it, and let no line of the model use it — which is [L-018] exactly: a registered input that nothing consumes is money the valuation has quietly ignored</w:t>
            </w:r>
          </w:p>
        </w:tc>
        <w:tc>
          <w:tcPr>
            <w:tcW w:type="dxa" w:w="1210"/>
          </w:tcPr>
          <w:p>
            <w:pPr>
              <w:spacing w:after="20"/>
            </w:pPr>
            <w:r>
              <w:rPr>
                <w:color w:val="1C3A36"/>
                <w:sz w:val="14"/>
              </w:rPr>
              <w:t>2025-12-31</w:t>
            </w:r>
          </w:p>
        </w:tc>
      </w:tr>
      <w:tr>
        <w:tc>
          <w:tcPr>
            <w:tcW w:type="dxa" w:w="432"/>
          </w:tcPr>
          <w:p>
            <w:pPr>
              <w:spacing w:after="20"/>
            </w:pPr>
            <w:r>
              <w:rPr>
                <w:color w:val="1C3A36"/>
                <w:sz w:val="14"/>
              </w:rPr>
              <w:t>96</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32"/>
          </w:tcPr>
          <w:p>
            <w:pPr>
              <w:spacing w:after="20"/>
            </w:pPr>
            <w:r>
              <w:rPr>
                <w:color w:val="1C3A36"/>
                <w:sz w:val="14"/>
              </w:rPr>
              <w:t>97</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32"/>
          </w:tcPr>
          <w:p>
            <w:pPr>
              <w:spacing w:after="20"/>
            </w:pPr>
            <w:r>
              <w:rPr>
                <w:color w:val="1C3A36"/>
                <w:sz w:val="14"/>
              </w:rPr>
              <w:t>98</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32"/>
          </w:tcPr>
          <w:p>
            <w:pPr>
              <w:spacing w:after="20"/>
            </w:pPr>
            <w:r>
              <w:rPr>
                <w:color w:val="1C3A36"/>
                <w:sz w:val="14"/>
              </w:rPr>
              <w:t>99</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32"/>
          </w:tcPr>
          <w:p>
            <w:pPr>
              <w:spacing w:after="20"/>
            </w:pPr>
            <w:r>
              <w:rPr>
                <w:color w:val="1C3A36"/>
                <w:sz w:val="14"/>
              </w:rPr>
              <w:t>100</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32"/>
          </w:tcPr>
          <w:p>
            <w:pPr>
              <w:spacing w:after="20"/>
            </w:pPr>
            <w:r>
              <w:rPr>
                <w:color w:val="1C3A36"/>
                <w:sz w:val="14"/>
              </w:rPr>
              <w:t>101</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32"/>
          </w:tcPr>
          <w:p>
            <w:pPr>
              <w:spacing w:after="20"/>
            </w:pPr>
            <w:r>
              <w:rPr>
                <w:color w:val="1C3A36"/>
                <w:sz w:val="14"/>
              </w:rPr>
              <w:t>102</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32"/>
          </w:tcPr>
          <w:p>
            <w:pPr>
              <w:spacing w:after="20"/>
            </w:pPr>
            <w:r>
              <w:rPr>
                <w:color w:val="1C3A36"/>
                <w:sz w:val="14"/>
              </w:rPr>
              <w:t>103</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104</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105</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32"/>
          </w:tcPr>
          <w:p>
            <w:pPr>
              <w:spacing w:after="20"/>
            </w:pPr>
            <w:r>
              <w:rPr>
                <w:color w:val="1C3A36"/>
                <w:sz w:val="14"/>
              </w:rPr>
              <w:t>106</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32"/>
          </w:tcPr>
          <w:p>
            <w:pPr>
              <w:spacing w:after="20"/>
            </w:pPr>
            <w:r>
              <w:rPr>
                <w:color w:val="1C3A36"/>
                <w:sz w:val="14"/>
              </w:rPr>
              <w:t>107</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32"/>
          </w:tcPr>
          <w:p>
            <w:pPr>
              <w:spacing w:after="20"/>
            </w:pPr>
            <w:r>
              <w:rPr>
                <w:color w:val="1C3A36"/>
                <w:sz w:val="14"/>
              </w:rPr>
              <w:t>108</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32"/>
          </w:tcPr>
          <w:p>
            <w:pPr>
              <w:spacing w:after="20"/>
            </w:pPr>
            <w:r>
              <w:rPr>
                <w:color w:val="1C3A36"/>
                <w:sz w:val="14"/>
              </w:rPr>
              <w:t>109</w:t>
            </w:r>
          </w:p>
        </w:tc>
        <w:tc>
          <w:tcPr>
            <w:tcW w:type="dxa" w:w="2448"/>
          </w:tcPr>
          <w:p>
            <w:pPr>
              <w:spacing w:after="20"/>
            </w:pPr>
            <w:r>
              <w:rPr>
                <w:color w:val="1C3A36"/>
                <w:sz w:val="14"/>
              </w:rPr>
              <w:t>price_local_path</w:t>
            </w:r>
          </w:p>
        </w:tc>
        <w:tc>
          <w:tcPr>
            <w:tcW w:type="dxa" w:w="1325"/>
          </w:tcPr>
          <w:p>
            <w:pPr>
              <w:spacing w:after="20"/>
            </w:pPr>
            <w:r>
              <w:rPr>
                <w:color w:val="1C3A36"/>
                <w:sz w:val="14"/>
              </w:rPr>
              <w:t>1, 1.08, 1.177, 1.271, 1.36, 1.449</w:t>
            </w:r>
          </w:p>
        </w:tc>
        <w:tc>
          <w:tcPr>
            <w:tcW w:type="dxa" w:w="1066"/>
          </w:tcPr>
          <w:p>
            <w:pPr>
              <w:spacing w:after="20"/>
            </w:pPr>
            <w:r>
              <w:rPr>
                <w:color w:val="1C3A36"/>
                <w:sz w:val="14"/>
              </w:rPr>
              <w:t>Company</w:t>
            </w:r>
          </w:p>
        </w:tc>
        <w:tc>
          <w:tcPr>
            <w:tcW w:type="dxa" w:w="7171"/>
          </w:tcPr>
          <w:p>
            <w:pPr>
              <w:spacing w:after="20"/>
            </w:pPr>
            <w:r>
              <w:rPr>
                <w:color w:val="1C3A36"/>
                <w:sz w:val="14"/>
              </w:rPr>
              <w:t>Local realised price index on the FY2025 base: growth of 8.0%, 9.0%, 8.0%, 7.0% and 6.5%, below the cost path in every year. IT IS NOW ANCHORED ON A DISCLOSED PRICE HISTORY AND A DISCLOSED EXIT RATE, which no earlier revision had.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32"/>
          </w:tcPr>
          <w:p>
            <w:pPr>
              <w:spacing w:after="20"/>
            </w:pPr>
            <w:r>
              <w:rPr>
                <w:color w:val="1C3A36"/>
                <w:sz w:val="14"/>
              </w:rPr>
              <w:t>110</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32"/>
          </w:tcPr>
          <w:p>
            <w:pPr>
              <w:spacing w:after="20"/>
            </w:pPr>
            <w:r>
              <w:rPr>
                <w:color w:val="1C3A36"/>
                <w:sz w:val="14"/>
              </w:rPr>
              <w:t>111</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32"/>
          </w:tcPr>
          <w:p>
            <w:pPr>
              <w:spacing w:after="20"/>
            </w:pPr>
            <w:r>
              <w:rPr>
                <w:color w:val="1C3A36"/>
                <w:sz w:val="14"/>
              </w:rPr>
              <w:t>112</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32"/>
          </w:tcPr>
          <w:p>
            <w:pPr>
              <w:spacing w:after="20"/>
            </w:pPr>
            <w:r>
              <w:rPr>
                <w:color w:val="1C3A36"/>
                <w:sz w:val="14"/>
              </w:rPr>
              <w:t>113</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32"/>
          </w:tcPr>
          <w:p>
            <w:pPr>
              <w:spacing w:after="20"/>
            </w:pPr>
            <w:r>
              <w:rPr>
                <w:color w:val="1C3A36"/>
                <w:sz w:val="14"/>
              </w:rPr>
              <w:t>114</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32"/>
          </w:tcPr>
          <w:p>
            <w:pPr>
              <w:spacing w:after="20"/>
            </w:pPr>
            <w:r>
              <w:rPr>
                <w:color w:val="1C3A36"/>
                <w:sz w:val="14"/>
              </w:rPr>
              <w:t>115</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32"/>
          </w:tcPr>
          <w:p>
            <w:pPr>
              <w:spacing w:after="20"/>
            </w:pPr>
            <w:r>
              <w:rPr>
                <w:color w:val="1C3A36"/>
                <w:sz w:val="14"/>
              </w:rPr>
              <w:t>116</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117</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32"/>
          </w:tcPr>
          <w:p>
            <w:pPr>
              <w:spacing w:after="20"/>
            </w:pPr>
            <w:r>
              <w:rPr>
                <w:color w:val="1C3A36"/>
                <w:sz w:val="14"/>
              </w:rPr>
              <w:t>118</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119</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32"/>
          </w:tcPr>
          <w:p>
            <w:pPr>
              <w:spacing w:after="20"/>
            </w:pPr>
            <w:r>
              <w:rPr>
                <w:color w:val="1C3A36"/>
                <w:sz w:val="14"/>
              </w:rPr>
              <w:t>120</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32"/>
          </w:tcPr>
          <w:p>
            <w:pPr>
              <w:spacing w:after="20"/>
            </w:pPr>
            <w:r>
              <w:rPr>
                <w:color w:val="1C3A36"/>
                <w:sz w:val="14"/>
              </w:rPr>
              <w:t>121</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32"/>
          </w:tcPr>
          <w:p>
            <w:pPr>
              <w:spacing w:after="20"/>
            </w:pPr>
            <w:r>
              <w:rPr>
                <w:color w:val="1C3A36"/>
                <w:sz w:val="14"/>
              </w:rPr>
              <w:t>122</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32"/>
          </w:tcPr>
          <w:p>
            <w:pPr>
              <w:spacing w:after="20"/>
            </w:pPr>
            <w:r>
              <w:rPr>
                <w:color w:val="1C3A36"/>
                <w:sz w:val="14"/>
              </w:rPr>
              <w:t>123</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32"/>
          </w:tcPr>
          <w:p>
            <w:pPr>
              <w:spacing w:after="20"/>
            </w:pPr>
            <w:r>
              <w:rPr>
                <w:color w:val="1C3A36"/>
                <w:sz w:val="14"/>
              </w:rPr>
              <w:t>124</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32"/>
          </w:tcPr>
          <w:p>
            <w:pPr>
              <w:spacing w:after="20"/>
            </w:pPr>
            <w:r>
              <w:rPr>
                <w:color w:val="1C3A36"/>
                <w:sz w:val="14"/>
              </w:rPr>
              <w:t>125</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32"/>
          </w:tcPr>
          <w:p>
            <w:pPr>
              <w:spacing w:after="20"/>
            </w:pPr>
            <w:r>
              <w:rPr>
                <w:color w:val="1C3A36"/>
                <w:sz w:val="14"/>
              </w:rPr>
              <w:t>126</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127</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128</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129</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32"/>
          </w:tcPr>
          <w:p>
            <w:pPr>
              <w:spacing w:after="20"/>
            </w:pPr>
            <w:r>
              <w:rPr>
                <w:color w:val="1C3A36"/>
                <w:sz w:val="14"/>
              </w:rPr>
              <w:t>130</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32"/>
          </w:tcPr>
          <w:p>
            <w:pPr>
              <w:spacing w:after="20"/>
            </w:pPr>
            <w:r>
              <w:rPr>
                <w:color w:val="1C3A36"/>
                <w:sz w:val="14"/>
              </w:rPr>
              <w:t>131</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132</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133</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32"/>
          </w:tcPr>
          <w:p>
            <w:pPr>
              <w:spacing w:after="20"/>
            </w:pPr>
            <w:r>
              <w:rPr>
                <w:color w:val="1C3A36"/>
                <w:sz w:val="14"/>
              </w:rPr>
              <w:t>134</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135</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136</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32"/>
          </w:tcPr>
          <w:p>
            <w:pPr>
              <w:spacing w:after="20"/>
            </w:pPr>
            <w:r>
              <w:rPr>
                <w:color w:val="1C3A36"/>
                <w:sz w:val="14"/>
              </w:rPr>
              <w:t>137</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32"/>
          </w:tcPr>
          <w:p>
            <w:pPr>
              <w:spacing w:after="20"/>
            </w:pPr>
            <w:r>
              <w:rPr>
                <w:color w:val="1C3A36"/>
                <w:sz w:val="14"/>
              </w:rPr>
              <w:t>138</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32"/>
          </w:tcPr>
          <w:p>
            <w:pPr>
              <w:spacing w:after="20"/>
            </w:pPr>
            <w:r>
              <w:rPr>
                <w:color w:val="1C3A36"/>
                <w:sz w:val="14"/>
              </w:rPr>
              <w:t>139</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32"/>
          </w:tcPr>
          <w:p>
            <w:pPr>
              <w:spacing w:after="20"/>
            </w:pPr>
            <w:r>
              <w:rPr>
                <w:color w:val="1C3A36"/>
                <w:sz w:val="14"/>
              </w:rPr>
              <w:t>140</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32"/>
          </w:tcPr>
          <w:p>
            <w:pPr>
              <w:spacing w:after="20"/>
            </w:pPr>
            <w:r>
              <w:rPr>
                <w:color w:val="1C3A36"/>
                <w:sz w:val="14"/>
              </w:rPr>
              <w:t>141</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32"/>
          </w:tcPr>
          <w:p>
            <w:pPr>
              <w:spacing w:after="20"/>
            </w:pPr>
            <w:r>
              <w:rPr>
                <w:color w:val="1C3A36"/>
                <w:sz w:val="14"/>
              </w:rPr>
              <w:t>142</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32"/>
          </w:tcPr>
          <w:p>
            <w:pPr>
              <w:spacing w:after="20"/>
            </w:pPr>
            <w:r>
              <w:rPr>
                <w:color w:val="1C3A36"/>
                <w:sz w:val="14"/>
              </w:rPr>
              <w:t>143</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71"/>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32"/>
          </w:tcPr>
          <w:p>
            <w:pPr>
              <w:spacing w:after="20"/>
            </w:pPr>
            <w:r>
              <w:rPr>
                <w:color w:val="1C3A36"/>
                <w:sz w:val="14"/>
              </w:rPr>
              <w:t>144</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32"/>
          </w:tcPr>
          <w:p>
            <w:pPr>
              <w:spacing w:after="20"/>
            </w:pPr>
            <w:r>
              <w:rPr>
                <w:color w:val="1C3A36"/>
                <w:sz w:val="14"/>
              </w:rPr>
              <w:t>145</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32"/>
          </w:tcPr>
          <w:p>
            <w:pPr>
              <w:spacing w:after="20"/>
            </w:pPr>
            <w:r>
              <w:rPr>
                <w:color w:val="1C3A36"/>
                <w:sz w:val="14"/>
              </w:rPr>
              <w:t>146</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32"/>
          </w:tcPr>
          <w:p>
            <w:pPr>
              <w:spacing w:after="20"/>
            </w:pPr>
            <w:r>
              <w:rPr>
                <w:color w:val="1C3A36"/>
                <w:sz w:val="14"/>
              </w:rPr>
              <w:t>147</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32"/>
          </w:tcPr>
          <w:p>
            <w:pPr>
              <w:spacing w:after="20"/>
            </w:pPr>
            <w:r>
              <w:rPr>
                <w:color w:val="1C3A36"/>
                <w:sz w:val="14"/>
              </w:rPr>
              <w:t>148</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149</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150</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32"/>
          </w:tcPr>
          <w:p>
            <w:pPr>
              <w:spacing w:after="20"/>
            </w:pPr>
            <w:r>
              <w:rPr>
                <w:color w:val="1C3A36"/>
                <w:sz w:val="14"/>
              </w:rPr>
              <w:t>151</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32"/>
          </w:tcPr>
          <w:p>
            <w:pPr>
              <w:spacing w:after="20"/>
            </w:pPr>
            <w:r>
              <w:rPr>
                <w:color w:val="1C3A36"/>
                <w:sz w:val="14"/>
              </w:rPr>
              <w:t>152</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32"/>
          </w:tcPr>
          <w:p>
            <w:pPr>
              <w:spacing w:after="20"/>
            </w:pPr>
            <w:r>
              <w:rPr>
                <w:color w:val="1C3A36"/>
                <w:sz w:val="14"/>
              </w:rPr>
              <w:t>153</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32"/>
          </w:tcPr>
          <w:p>
            <w:pPr>
              <w:spacing w:after="20"/>
            </w:pPr>
            <w:r>
              <w:rPr>
                <w:color w:val="1C3A36"/>
                <w:sz w:val="14"/>
              </w:rPr>
              <w:t>154</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71"/>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32"/>
          </w:tcPr>
          <w:p>
            <w:pPr>
              <w:spacing w:after="20"/>
            </w:pPr>
            <w:r>
              <w:rPr>
                <w:color w:val="1C3A36"/>
                <w:sz w:val="14"/>
              </w:rPr>
              <w:t>155</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32"/>
          </w:tcPr>
          <w:p>
            <w:pPr>
              <w:spacing w:after="20"/>
            </w:pPr>
            <w:r>
              <w:rPr>
                <w:color w:val="1C3A36"/>
                <w:sz w:val="14"/>
              </w:rPr>
              <w:t>156</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32"/>
          </w:tcPr>
          <w:p>
            <w:pPr>
              <w:spacing w:after="20"/>
            </w:pPr>
            <w:r>
              <w:rPr>
                <w:color w:val="1C3A36"/>
                <w:sz w:val="14"/>
              </w:rPr>
              <w:t>157</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158</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159</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160</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71"/>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32"/>
          </w:tcPr>
          <w:p>
            <w:pPr>
              <w:spacing w:after="20"/>
            </w:pPr>
            <w:r>
              <w:rPr>
                <w:color w:val="1C3A36"/>
                <w:sz w:val="14"/>
              </w:rPr>
              <w:t>161</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162</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32"/>
          </w:tcPr>
          <w:p>
            <w:pPr>
              <w:spacing w:after="20"/>
            </w:pPr>
            <w:r>
              <w:rPr>
                <w:color w:val="1C3A36"/>
                <w:sz w:val="14"/>
              </w:rPr>
              <w:t>163</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71"/>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32"/>
          </w:tcPr>
          <w:p>
            <w:pPr>
              <w:spacing w:after="20"/>
            </w:pPr>
            <w:r>
              <w:rPr>
                <w:color w:val="1C3A36"/>
                <w:sz w:val="14"/>
              </w:rPr>
              <w:t>164</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165</w:t>
            </w:r>
          </w:p>
        </w:tc>
        <w:tc>
          <w:tcPr>
            <w:tcW w:type="dxa" w:w="2448"/>
          </w:tcPr>
          <w:p>
            <w:pPr>
              <w:spacing w:after="20"/>
            </w:pPr>
            <w:r>
              <w:rPr>
                <w:color w:val="1C3A36"/>
                <w:sz w:val="14"/>
              </w:rPr>
              <w:t>cost_infl</w:t>
            </w:r>
          </w:p>
        </w:tc>
        <w:tc>
          <w:tcPr>
            <w:tcW w:type="dxa" w:w="1325"/>
          </w:tcPr>
          <w:p>
            <w:pPr>
              <w:spacing w:after="20"/>
            </w:pPr>
            <w:r>
              <w:rPr>
                <w:color w:val="1C3A36"/>
                <w:sz w:val="14"/>
              </w:rPr>
              <w:t>1, 1.115, 1.226, 1.336, 1.443, 1.544</w:t>
            </w:r>
          </w:p>
        </w:tc>
        <w:tc>
          <w:tcPr>
            <w:tcW w:type="dxa" w:w="1066"/>
          </w:tcPr>
          <w:p>
            <w:pPr>
              <w:spacing w:after="20"/>
            </w:pPr>
            <w:r>
              <w:rPr>
                <w:color w:val="1C3A36"/>
                <w:sz w:val="14"/>
              </w:rPr>
              <w:t>Country</w:t>
            </w:r>
          </w:p>
        </w:tc>
        <w:tc>
          <w:tcPr>
            <w:tcW w:type="dxa" w:w="7171"/>
          </w:tcPr>
          <w:p>
            <w:pPr>
              <w:spacing w:after="20"/>
            </w:pPr>
            <w:r>
              <w:rPr>
                <w:color w:val="1C3A36"/>
                <w:sz w:val="14"/>
              </w:rPr>
              <w:t>Cumulative local cost-inflation index from the FY2025 base. Steps of 11.5%, 10.0%, 9.0%, 8.0% and 7.0% track the disinflation path the central bank's own reporting describes, converging on its 7% medium-term target.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32"/>
          </w:tcPr>
          <w:p>
            <w:pPr>
              <w:spacing w:after="20"/>
            </w:pPr>
            <w:r>
              <w:rPr>
                <w:color w:val="1C3A36"/>
                <w:sz w:val="14"/>
              </w:rPr>
              <w:t>166</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71"/>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167</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71"/>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32"/>
          </w:tcPr>
          <w:p>
            <w:pPr>
              <w:spacing w:after="20"/>
            </w:pPr>
            <w:r>
              <w:rPr>
                <w:color w:val="1C3A36"/>
                <w:sz w:val="14"/>
              </w:rPr>
              <w:t>168</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32"/>
          </w:tcPr>
          <w:p>
            <w:pPr>
              <w:spacing w:after="20"/>
            </w:pPr>
            <w:r>
              <w:rPr>
                <w:color w:val="1C3A36"/>
                <w:sz w:val="14"/>
              </w:rPr>
              <w:t>169</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71"/>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32"/>
          </w:tcPr>
          <w:p>
            <w:pPr>
              <w:spacing w:after="20"/>
            </w:pPr>
            <w:r>
              <w:rPr>
                <w:color w:val="1C3A36"/>
                <w:sz w:val="14"/>
              </w:rPr>
              <w:t>170</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71"/>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32"/>
          </w:tcPr>
          <w:p>
            <w:pPr>
              <w:spacing w:after="20"/>
            </w:pPr>
            <w:r>
              <w:rPr>
                <w:color w:val="1C3A36"/>
                <w:sz w:val="14"/>
              </w:rPr>
              <w:t>171</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32"/>
          </w:tcPr>
          <w:p>
            <w:pPr>
              <w:spacing w:after="20"/>
            </w:pPr>
            <w:r>
              <w:rPr>
                <w:color w:val="1C3A36"/>
                <w:sz w:val="14"/>
              </w:rPr>
              <w:t>172</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32"/>
          </w:tcPr>
          <w:p>
            <w:pPr>
              <w:spacing w:after="20"/>
            </w:pPr>
            <w:r>
              <w:rPr>
                <w:color w:val="1C3A36"/>
                <w:sz w:val="14"/>
              </w:rPr>
              <w:t>173</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32"/>
          </w:tcPr>
          <w:p>
            <w:pPr>
              <w:spacing w:after="20"/>
            </w:pPr>
            <w:r>
              <w:rPr>
                <w:color w:val="1C3A36"/>
                <w:sz w:val="14"/>
              </w:rPr>
              <w:t>174</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71"/>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32"/>
          </w:tcPr>
          <w:p>
            <w:pPr>
              <w:spacing w:after="20"/>
            </w:pPr>
            <w:r>
              <w:rPr>
                <w:color w:val="1C3A36"/>
                <w:sz w:val="14"/>
              </w:rPr>
              <w:t>175</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71"/>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32"/>
          </w:tcPr>
          <w:p>
            <w:pPr>
              <w:spacing w:after="20"/>
            </w:pPr>
            <w:r>
              <w:rPr>
                <w:color w:val="1C3A36"/>
                <w:sz w:val="14"/>
              </w:rPr>
              <w:t>176</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71"/>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32"/>
          </w:tcPr>
          <w:p>
            <w:pPr>
              <w:spacing w:after="20"/>
            </w:pPr>
            <w:r>
              <w:rPr>
                <w:color w:val="1C3A36"/>
                <w:sz w:val="14"/>
              </w:rPr>
              <w:t>177</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71"/>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32"/>
          </w:tcPr>
          <w:p>
            <w:pPr>
              <w:spacing w:after="20"/>
            </w:pPr>
            <w:r>
              <w:rPr>
                <w:color w:val="1C3A36"/>
                <w:sz w:val="14"/>
              </w:rPr>
              <w:t>178</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32"/>
          </w:tcPr>
          <w:p>
            <w:pPr>
              <w:spacing w:after="20"/>
            </w:pPr>
            <w:r>
              <w:rPr>
                <w:color w:val="1C3A36"/>
                <w:sz w:val="14"/>
              </w:rPr>
              <w:t>179</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32"/>
          </w:tcPr>
          <w:p>
            <w:pPr>
              <w:spacing w:after="20"/>
            </w:pPr>
            <w:r>
              <w:rPr>
                <w:color w:val="1C3A36"/>
                <w:sz w:val="14"/>
              </w:rPr>
              <w:t>180</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32"/>
          </w:tcPr>
          <w:p>
            <w:pPr>
              <w:spacing w:after="20"/>
            </w:pPr>
            <w:r>
              <w:rPr>
                <w:color w:val="1C3A36"/>
                <w:sz w:val="14"/>
              </w:rPr>
              <w:t>181</w:t>
            </w:r>
          </w:p>
        </w:tc>
        <w:tc>
          <w:tcPr>
            <w:tcW w:type="dxa" w:w="2448"/>
          </w:tcPr>
          <w:p>
            <w:pPr>
              <w:spacing w:after="20"/>
            </w:pPr>
            <w:r>
              <w:rPr>
                <w:color w:val="1C3A36"/>
                <w:sz w:val="14"/>
              </w:rPr>
              <w:t>fx_path</w:t>
            </w:r>
          </w:p>
        </w:tc>
        <w:tc>
          <w:tcPr>
            <w:tcW w:type="dxa" w:w="1325"/>
          </w:tcPr>
          <w:p>
            <w:pPr>
              <w:spacing w:after="20"/>
            </w:pPr>
            <w:r>
              <w:rPr>
                <w:color w:val="1C3A36"/>
                <w:sz w:val="14"/>
              </w:rPr>
              <w:t>49.26, 50.6, 53.1, 55.8, 58.6, 61.5</w:t>
            </w:r>
          </w:p>
        </w:tc>
        <w:tc>
          <w:tcPr>
            <w:tcW w:type="dxa" w:w="1066"/>
          </w:tcPr>
          <w:p>
            <w:pPr>
              <w:spacing w:after="20"/>
            </w:pPr>
            <w:r>
              <w:rPr>
                <w:color w:val="1C3A36"/>
                <w:sz w:val="14"/>
              </w:rPr>
              <w:t>House</w:t>
            </w:r>
          </w:p>
        </w:tc>
        <w:tc>
          <w:tcPr>
            <w:tcW w:type="dxa" w:w="7171"/>
          </w:tcPr>
          <w:p>
            <w:pPr>
              <w:spacing w:after="20"/>
            </w:pPr>
            <w:r>
              <w:rPr>
                <w:color w:val="1C3A36"/>
                <w:sz w:val="14"/>
              </w:rPr>
              <w:t>USD/EGP path, FY2025 actual average then FY2026E-FY2030E</w:t>
            </w:r>
          </w:p>
        </w:tc>
        <w:tc>
          <w:tcPr>
            <w:tcW w:type="dxa" w:w="1210"/>
          </w:tcPr>
          <w:p>
            <w:pPr>
              <w:spacing w:after="20"/>
            </w:pPr>
            <w:r>
              <w:rPr>
                <w:color w:val="1C3A36"/>
                <w:sz w:val="14"/>
              </w:rPr>
              <w:t>2026-08-06</w:t>
            </w:r>
          </w:p>
        </w:tc>
      </w:tr>
      <w:tr>
        <w:tc>
          <w:tcPr>
            <w:tcW w:type="dxa" w:w="432"/>
          </w:tcPr>
          <w:p>
            <w:pPr>
              <w:spacing w:after="20"/>
            </w:pPr>
            <w:r>
              <w:rPr>
                <w:color w:val="1C3A36"/>
                <w:sz w:val="14"/>
              </w:rPr>
              <w:t>182</w:t>
            </w:r>
          </w:p>
        </w:tc>
        <w:tc>
          <w:tcPr>
            <w:tcW w:type="dxa" w:w="2448"/>
          </w:tcPr>
          <w:p>
            <w:pPr>
              <w:spacing w:after="20"/>
            </w:pPr>
            <w:r>
              <w:rPr>
                <w:color w:val="1C3A36"/>
                <w:sz w:val="14"/>
              </w:rPr>
              <w:t>g_term</w:t>
            </w:r>
          </w:p>
        </w:tc>
        <w:tc>
          <w:tcPr>
            <w:tcW w:type="dxa" w:w="1325"/>
          </w:tcPr>
          <w:p>
            <w:pPr>
              <w:spacing w:after="20"/>
            </w:pPr>
            <w:r>
              <w:rPr>
                <w:color w:val="1C3A36"/>
                <w:sz w:val="14"/>
              </w:rPr>
              <w:t>0.05</w:t>
            </w:r>
          </w:p>
        </w:tc>
        <w:tc>
          <w:tcPr>
            <w:tcW w:type="dxa" w:w="1066"/>
          </w:tcPr>
          <w:p>
            <w:pPr>
              <w:spacing w:after="20"/>
            </w:pPr>
            <w:r>
              <w:rPr>
                <w:color w:val="1C3A36"/>
                <w:sz w:val="14"/>
              </w:rPr>
              <w:t>House</w:t>
            </w:r>
          </w:p>
        </w:tc>
        <w:tc>
          <w:tcPr>
            <w:tcW w:type="dxa" w:w="7171"/>
          </w:tcPr>
          <w:p>
            <w:pPr>
              <w:spacing w:after="20"/>
            </w:pPr>
            <w:r>
              <w:rPr>
                <w:color w:val="1C3A36"/>
                <w:sz w:val="14"/>
              </w:rPr>
              <w:t>Terminal growth, the house default for an established emerging-market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32"/>
          </w:tcPr>
          <w:p>
            <w:pPr>
              <w:spacing w:after="20"/>
            </w:pPr>
            <w:r>
              <w:rPr>
                <w:color w:val="1C3A36"/>
                <w:sz w:val="14"/>
              </w:rPr>
              <w:t>183</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71"/>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32"/>
          </w:tcPr>
          <w:p>
            <w:pPr>
              <w:spacing w:after="20"/>
            </w:pPr>
            <w:r>
              <w:rPr>
                <w:color w:val="1C3A36"/>
                <w:sz w:val="14"/>
              </w:rPr>
              <w:t>184</w:t>
            </w:r>
          </w:p>
        </w:tc>
        <w:tc>
          <w:tcPr>
            <w:tcW w:type="dxa" w:w="2448"/>
          </w:tcPr>
          <w:p>
            <w:pPr>
              <w:spacing w:after="20"/>
            </w:pPr>
            <w:r>
              <w:rPr>
                <w:color w:val="1C3A36"/>
                <w:sz w:val="14"/>
              </w:rPr>
              <w:t>kd_term</w:t>
            </w:r>
          </w:p>
        </w:tc>
        <w:tc>
          <w:tcPr>
            <w:tcW w:type="dxa" w:w="1325"/>
          </w:tcPr>
          <w:p>
            <w:pPr>
              <w:spacing w:after="20"/>
            </w:pPr>
            <w:r>
              <w:rPr>
                <w:color w:val="1C3A36"/>
                <w:sz w:val="14"/>
              </w:rPr>
              <w:t>0.135</w:t>
            </w:r>
          </w:p>
        </w:tc>
        <w:tc>
          <w:tcPr>
            <w:tcW w:type="dxa" w:w="1066"/>
          </w:tcPr>
          <w:p>
            <w:pPr>
              <w:spacing w:after="20"/>
            </w:pPr>
            <w:r>
              <w:rPr>
                <w:color w:val="1C3A36"/>
                <w:sz w:val="14"/>
              </w:rPr>
              <w:t>House</w:t>
            </w:r>
          </w:p>
        </w:tc>
        <w:tc>
          <w:tcPr>
            <w:tcW w:type="dxa" w:w="7171"/>
          </w:tcPr>
          <w:p>
            <w:pPr>
              <w:spacing w:after="20"/>
            </w:pPr>
            <w:r>
              <w:rPr>
                <w:color w:val="1C3A36"/>
                <w:sz w:val="14"/>
              </w:rPr>
              <w:t>Terminal cost of debt = the terminal risk-free rate plus a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32"/>
          </w:tcPr>
          <w:p>
            <w:pPr>
              <w:spacing w:after="20"/>
            </w:pPr>
            <w:r>
              <w:rPr>
                <w:color w:val="1C3A36"/>
                <w:sz w:val="14"/>
              </w:rPr>
              <w:t>185</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32"/>
          </w:tcPr>
          <w:p>
            <w:pPr>
              <w:spacing w:after="20"/>
            </w:pPr>
            <w:r>
              <w:rPr>
                <w:color w:val="1C3A36"/>
                <w:sz w:val="14"/>
              </w:rPr>
              <w:t>186</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32"/>
          </w:tcPr>
          <w:p>
            <w:pPr>
              <w:spacing w:after="20"/>
            </w:pPr>
            <w:r>
              <w:rPr>
                <w:color w:val="1C3A36"/>
                <w:sz w:val="14"/>
              </w:rPr>
              <w:t>187</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71"/>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32"/>
          </w:tcPr>
          <w:p>
            <w:pPr>
              <w:spacing w:after="20"/>
            </w:pPr>
            <w:r>
              <w:rPr>
                <w:color w:val="1C3A36"/>
                <w:sz w:val="14"/>
              </w:rPr>
              <w:t>188</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32"/>
          </w:tcPr>
          <w:p>
            <w:pPr>
              <w:spacing w:after="20"/>
            </w:pPr>
            <w:r>
              <w:rPr>
                <w:color w:val="1C3A36"/>
                <w:sz w:val="14"/>
              </w:rPr>
              <w:t>189</w:t>
            </w:r>
          </w:p>
        </w:tc>
        <w:tc>
          <w:tcPr>
            <w:tcW w:type="dxa" w:w="2448"/>
          </w:tcPr>
          <w:p>
            <w:pPr>
              <w:spacing w:after="20"/>
            </w:pPr>
            <w:r>
              <w:rPr>
                <w:color w:val="1C3A36"/>
                <w:sz w:val="14"/>
              </w:rPr>
              <w:t>rf_term</w:t>
            </w:r>
          </w:p>
        </w:tc>
        <w:tc>
          <w:tcPr>
            <w:tcW w:type="dxa" w:w="1325"/>
          </w:tcPr>
          <w:p>
            <w:pPr>
              <w:spacing w:after="20"/>
            </w:pPr>
            <w:r>
              <w:rPr>
                <w:color w:val="1C3A36"/>
                <w:sz w:val="14"/>
              </w:rPr>
              <w:t>0.105</w:t>
            </w:r>
          </w:p>
        </w:tc>
        <w:tc>
          <w:tcPr>
            <w:tcW w:type="dxa" w:w="1066"/>
          </w:tcPr>
          <w:p>
            <w:pPr>
              <w:spacing w:after="20"/>
            </w:pPr>
            <w:r>
              <w:rPr>
                <w:color w:val="1C3A36"/>
                <w:sz w:val="14"/>
              </w:rPr>
              <w:t>House</w:t>
            </w:r>
          </w:p>
        </w:tc>
        <w:tc>
          <w:tcPr>
            <w:tcW w:type="dxa" w:w="7171"/>
          </w:tcPr>
          <w:p>
            <w:pPr>
              <w:spacing w:after="20"/>
            </w:pPr>
            <w:r>
              <w:rPr>
                <w:color w:val="1C3A36"/>
                <w:sz w:val="14"/>
              </w:rPr>
              <w:t>Terminal risk-free rate, NORM-BUILT from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32"/>
          </w:tcPr>
          <w:p>
            <w:pPr>
              <w:spacing w:after="20"/>
            </w:pPr>
            <w:r>
              <w:rPr>
                <w:color w:val="1C3A36"/>
                <w:sz w:val="14"/>
              </w:rPr>
              <w:t>190</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32"/>
          </w:tcPr>
          <w:p>
            <w:pPr>
              <w:spacing w:after="20"/>
            </w:pPr>
            <w:r>
              <w:rPr>
                <w:color w:val="1C3A36"/>
                <w:sz w:val="14"/>
              </w:rPr>
              <w:t>191</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32"/>
          </w:tcPr>
          <w:p>
            <w:pPr>
              <w:spacing w:after="20"/>
            </w:pPr>
            <w:r>
              <w:rPr>
                <w:color w:val="1C3A36"/>
                <w:sz w:val="14"/>
              </w:rPr>
              <w:t>192</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32"/>
          </w:tcPr>
          <w:p>
            <w:pPr>
              <w:spacing w:after="20"/>
            </w:pPr>
            <w:r>
              <w:rPr>
                <w:color w:val="1C3A36"/>
                <w:sz w:val="14"/>
              </w:rPr>
              <w:t>193</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71"/>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32"/>
          </w:tcPr>
          <w:p>
            <w:pPr>
              <w:spacing w:after="20"/>
            </w:pPr>
            <w:r>
              <w:rPr>
                <w:color w:val="1C3A36"/>
                <w:sz w:val="14"/>
              </w:rPr>
              <w:t>194</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32"/>
          </w:tcPr>
          <w:p>
            <w:pPr>
              <w:spacing w:after="20"/>
            </w:pPr>
            <w:r>
              <w:rPr>
                <w:color w:val="1C3A36"/>
                <w:sz w:val="14"/>
              </w:rPr>
              <w:t>195</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 The FY2025 outturn on the disclosed movements is close to this</w:t>
            </w:r>
          </w:p>
        </w:tc>
        <w:tc>
          <w:tcPr>
            <w:tcW w:type="dxa" w:w="1210"/>
          </w:tcPr>
          <w:p>
            <w:pPr>
              <w:spacing w:after="20"/>
            </w:pPr>
            <w:r>
              <w:rPr>
                <w:color w:val="1C3A36"/>
                <w:sz w:val="14"/>
              </w:rPr>
              <w:t>2026-08-06</w:t>
            </w:r>
          </w:p>
        </w:tc>
      </w:tr>
      <w:tr>
        <w:tc>
          <w:tcPr>
            <w:tcW w:type="dxa" w:w="432"/>
          </w:tcPr>
          <w:p>
            <w:pPr>
              <w:spacing w:after="20"/>
            </w:pPr>
            <w:r>
              <w:rPr>
                <w:color w:val="1C3A36"/>
                <w:sz w:val="14"/>
              </w:rPr>
              <w:t>196</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32"/>
          </w:tcPr>
          <w:p>
            <w:pPr>
              <w:spacing w:after="20"/>
            </w:pPr>
            <w:r>
              <w:rPr>
                <w:color w:val="1C3A36"/>
                <w:sz w:val="14"/>
              </w:rPr>
              <w:t>197</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71"/>
          </w:tcPr>
          <w:p>
            <w:pPr>
              <w:spacing w:after="20"/>
            </w:pPr>
            <w:r>
              <w:rPr>
                <w:color w:val="1C3A36"/>
                <w:sz w:val="14"/>
              </w:rPr>
              <w:t>Manufacturing depreciation correction from this name's own fundamental walk-forward (engine/arcc_walkforward, [R-FCAL-01]):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only: nameplate capacity of about 76Mt, production of about 65Mt, domestic consumption of about 54Mt, exports of about 18.5Mt, the abolition of the production quota in May 2025 with exports capped at 30% of output, and the 12.6Mt of dormant capacity under revival from the second half of 2026. No company figure is taken from these sources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13.36%</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10.2%</w:t>
            </w:r>
          </w:p>
        </w:tc>
        <w:tc>
          <w:tcPr>
            <w:tcW w:type="dxa" w:w="10224"/>
          </w:tcPr>
          <w:p>
            <w:pPr>
              <w:spacing w:after="20"/>
            </w:pPr>
            <w:r>
              <w:rPr>
                <w:color w:val="1C3A36"/>
                <w:sz w:val="16"/>
              </w:rPr>
              <w:t>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0.928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4.89 years give a beta of 0.698 on 253 observations with an R-squared of 0.047 and a standard error of 0.228.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0.815, 0.919, 0.936, 1.030 — giving 0.928.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gate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