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1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45.65 and EGP 65.57, weighting to a central EGP 54.10 against a market price of EGP 59.00 — -8.3%.</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57.60</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-2.4%</w:t>
            </w:r>
          </w:p>
        </w:tc>
        <w:tc>
          <w:tcPr>
            <w:tcW w:type="dxa" w:w="1958"/>
          </w:tcPr>
          <w:p>
            <w:pPr>
              <w:spacing w:after="20"/>
              <w:jc w:val="right"/>
            </w:pPr>
            <w:r>
              <w:rPr>
                <w:color w:val="1C3A36"/>
                <w:sz w:val="18"/>
              </w:rPr>
              <w:t>47.4%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-22.6%</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-15.9%</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+11.1%</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54.10</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-8.3%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45.65 – 65.57</w:t>
            </w:r>
          </w:p>
        </w:tc>
        <w:tc>
          <w:tcPr>
            <w:tcW w:type="dxa" w:w="1037"/>
          </w:tcPr>
          <w:p>
            <w:pPr>
              <w:spacing w:after="20"/>
              <w:jc w:val="right"/>
            </w:pPr>
            <w:r>
              <w:rPr>
                <w:color w:val="1C3A36"/>
                <w:sz w:val="18"/>
              </w:rPr>
              <w:t>—</w:t>
            </w:r>
          </w:p>
        </w:tc>
        <w:tc>
          <w:tcPr>
            <w:tcW w:type="dxa" w:w="1469"/>
          </w:tcPr>
          <w:p>
            <w:pPr>
              <w:spacing w:after="20"/>
              <w:jc w:val="right"/>
            </w:pPr>
            <w:r>
              <w:rPr>
                <w:color w:val="1C3A36"/>
                <w:sz w:val="18"/>
              </w:rPr>
              <w:t>-22.6% to +11.1%</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latest known close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8,277</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1,170</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1,563</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2,234</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3,670</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6,965</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38.5%</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817mn in FY2026 against a book charge of EGP 344mn. Setting capex equal to book depreciation would flatter free cash flow by construction; the cost of refusing to do so is computed in section 1.9 and is worth +5.8%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1.065</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17.95%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10.46%</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27.40%</w:t>
            </w:r>
          </w:p>
        </w:tc>
        <w:tc>
          <w:tcPr>
            <w:tcW w:type="dxa" w:w="2592"/>
            <w:shd w:val="clear" w:color="auto" w:fill="F6F1E6"/>
          </w:tcPr>
          <w:p>
            <w:pPr>
              <w:spacing w:after="20"/>
              <w:jc w:val="right"/>
            </w:pPr>
            <w:r>
              <w:rPr>
                <w:b/>
                <w:color w:val="1C3A36"/>
                <w:sz w:val="18"/>
              </w:rPr>
              <w:t>16.46%</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27.40%</w:t>
            </w:r>
          </w:p>
        </w:tc>
        <w:tc>
          <w:tcPr>
            <w:tcW w:type="dxa" w:w="1526"/>
          </w:tcPr>
          <w:p>
            <w:pPr>
              <w:spacing w:after="20"/>
              <w:jc w:val="right"/>
            </w:pPr>
            <w:r>
              <w:rPr>
                <w:color w:val="1C3A36"/>
                <w:sz w:val="18"/>
              </w:rPr>
              <w:t>23.26%</w:t>
            </w:r>
          </w:p>
        </w:tc>
        <w:tc>
          <w:tcPr>
            <w:tcW w:type="dxa" w:w="1526"/>
          </w:tcPr>
          <w:p>
            <w:pPr>
              <w:spacing w:after="20"/>
              <w:jc w:val="right"/>
            </w:pPr>
            <w:r>
              <w:rPr>
                <w:color w:val="1C3A36"/>
                <w:sz w:val="18"/>
              </w:rPr>
              <w:t>19.94%</w:t>
            </w:r>
          </w:p>
        </w:tc>
        <w:tc>
          <w:tcPr>
            <w:tcW w:type="dxa" w:w="1526"/>
          </w:tcPr>
          <w:p>
            <w:pPr>
              <w:spacing w:after="20"/>
              <w:jc w:val="right"/>
            </w:pPr>
            <w:r>
              <w:rPr>
                <w:color w:val="1C3A36"/>
                <w:sz w:val="18"/>
              </w:rPr>
              <w:t>17.95%</w:t>
            </w:r>
          </w:p>
        </w:tc>
        <w:tc>
          <w:tcPr>
            <w:tcW w:type="dxa" w:w="1526"/>
          </w:tcPr>
          <w:p>
            <w:pPr>
              <w:spacing w:after="20"/>
              <w:jc w:val="right"/>
            </w:pPr>
            <w:r>
              <w:rPr>
                <w:color w:val="1C3A36"/>
                <w:sz w:val="18"/>
              </w:rPr>
              <w:t>16.46%</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0.9413</w:t>
            </w:r>
          </w:p>
        </w:tc>
        <w:tc>
          <w:tcPr>
            <w:tcW w:type="dxa" w:w="1526"/>
          </w:tcPr>
          <w:p>
            <w:pPr>
              <w:spacing w:after="20"/>
              <w:jc w:val="right"/>
            </w:pPr>
            <w:r>
              <w:rPr>
                <w:color w:val="1C3A36"/>
                <w:sz w:val="18"/>
              </w:rPr>
              <w:t>0.7980</w:t>
            </w:r>
          </w:p>
        </w:tc>
        <w:tc>
          <w:tcPr>
            <w:tcW w:type="dxa" w:w="1526"/>
          </w:tcPr>
          <w:p>
            <w:pPr>
              <w:spacing w:after="20"/>
              <w:jc w:val="right"/>
            </w:pPr>
            <w:r>
              <w:rPr>
                <w:color w:val="1C3A36"/>
                <w:sz w:val="18"/>
              </w:rPr>
              <w:t>0.6563</w:t>
            </w:r>
          </w:p>
        </w:tc>
        <w:tc>
          <w:tcPr>
            <w:tcW w:type="dxa" w:w="1526"/>
          </w:tcPr>
          <w:p>
            <w:pPr>
              <w:spacing w:after="20"/>
              <w:jc w:val="right"/>
            </w:pPr>
            <w:r>
              <w:rPr>
                <w:color w:val="1C3A36"/>
                <w:sz w:val="18"/>
              </w:rPr>
              <w:t>0.5518</w:t>
            </w:r>
          </w:p>
        </w:tc>
        <w:tc>
          <w:tcPr>
            <w:tcW w:type="dxa" w:w="1526"/>
          </w:tcPr>
          <w:p>
            <w:pPr>
              <w:spacing w:after="20"/>
              <w:jc w:val="right"/>
            </w:pPr>
            <w:r>
              <w:rPr>
                <w:color w:val="1C3A36"/>
                <w:sz w:val="18"/>
              </w:rPr>
              <w:t>0.4708</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63.65 against 57.60 on the adopted one, a difference of +10.5%.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67.20</w:t>
            </w:r>
          </w:p>
        </w:tc>
        <w:tc>
          <w:tcPr>
            <w:tcW w:type="dxa" w:w="1411"/>
          </w:tcPr>
          <w:p>
            <w:pPr>
              <w:spacing w:after="20"/>
              <w:jc w:val="right"/>
            </w:pPr>
            <w:r>
              <w:rPr>
                <w:color w:val="1C3A36"/>
                <w:sz w:val="18"/>
              </w:rPr>
              <w:t>60.40</w:t>
            </w:r>
          </w:p>
        </w:tc>
        <w:tc>
          <w:tcPr>
            <w:tcW w:type="dxa" w:w="1411"/>
          </w:tcPr>
          <w:p>
            <w:pPr>
              <w:spacing w:after="20"/>
              <w:jc w:val="right"/>
            </w:pPr>
            <w:r>
              <w:rPr>
                <w:color w:val="1C3A36"/>
                <w:sz w:val="18"/>
              </w:rPr>
              <w:t>55.05</w:t>
            </w:r>
          </w:p>
        </w:tc>
        <w:tc>
          <w:tcPr>
            <w:tcW w:type="dxa" w:w="1411"/>
          </w:tcPr>
          <w:p>
            <w:pPr>
              <w:spacing w:after="20"/>
              <w:jc w:val="right"/>
            </w:pPr>
            <w:r>
              <w:rPr>
                <w:color w:val="1C3A36"/>
                <w:sz w:val="18"/>
              </w:rPr>
              <w:t>51.73</w:t>
            </w:r>
          </w:p>
        </w:tc>
        <w:tc>
          <w:tcPr>
            <w:tcW w:type="dxa" w:w="1411"/>
          </w:tcPr>
          <w:p>
            <w:pPr>
              <w:spacing w:after="20"/>
              <w:jc w:val="right"/>
            </w:pPr>
            <w:r>
              <w:rPr>
                <w:color w:val="1C3A36"/>
                <w:sz w:val="18"/>
              </w:rPr>
              <w:t>48.86</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14,538</w:t>
            </w:r>
          </w:p>
        </w:tc>
        <w:tc>
          <w:tcPr>
            <w:tcW w:type="dxa" w:w="1325"/>
          </w:tcPr>
          <w:p>
            <w:pPr>
              <w:spacing w:after="20"/>
              <w:jc w:val="right"/>
            </w:pPr>
            <w:r>
              <w:rPr>
                <w:color w:val="1C3A36"/>
                <w:sz w:val="17"/>
              </w:rPr>
              <w:t>15,798</w:t>
            </w:r>
          </w:p>
        </w:tc>
        <w:tc>
          <w:tcPr>
            <w:tcW w:type="dxa" w:w="1325"/>
          </w:tcPr>
          <w:p>
            <w:pPr>
              <w:spacing w:after="20"/>
              <w:jc w:val="right"/>
            </w:pPr>
            <w:r>
              <w:rPr>
                <w:color w:val="1C3A36"/>
                <w:sz w:val="17"/>
              </w:rPr>
              <w:t>16,942</w:t>
            </w:r>
          </w:p>
        </w:tc>
        <w:tc>
          <w:tcPr>
            <w:tcW w:type="dxa" w:w="1325"/>
          </w:tcPr>
          <w:p>
            <w:pPr>
              <w:spacing w:after="20"/>
              <w:jc w:val="right"/>
            </w:pPr>
            <w:r>
              <w:rPr>
                <w:color w:val="1C3A36"/>
                <w:sz w:val="17"/>
              </w:rPr>
              <w:t>18,088</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5,639</w:t>
            </w:r>
          </w:p>
        </w:tc>
        <w:tc>
          <w:tcPr>
            <w:tcW w:type="dxa" w:w="1325"/>
          </w:tcPr>
          <w:p>
            <w:pPr>
              <w:spacing w:after="20"/>
              <w:jc w:val="right"/>
            </w:pPr>
            <w:r>
              <w:rPr>
                <w:color w:val="1C3A36"/>
                <w:sz w:val="17"/>
              </w:rPr>
              <w:t>6,117</w:t>
            </w:r>
          </w:p>
        </w:tc>
        <w:tc>
          <w:tcPr>
            <w:tcW w:type="dxa" w:w="1325"/>
          </w:tcPr>
          <w:p>
            <w:pPr>
              <w:spacing w:after="20"/>
              <w:jc w:val="right"/>
            </w:pPr>
            <w:r>
              <w:rPr>
                <w:color w:val="1C3A36"/>
                <w:sz w:val="17"/>
              </w:rPr>
              <w:t>6,515</w:t>
            </w:r>
          </w:p>
        </w:tc>
        <w:tc>
          <w:tcPr>
            <w:tcW w:type="dxa" w:w="1325"/>
          </w:tcPr>
          <w:p>
            <w:pPr>
              <w:spacing w:after="20"/>
              <w:jc w:val="right"/>
            </w:pPr>
            <w:r>
              <w:rPr>
                <w:color w:val="1C3A36"/>
                <w:sz w:val="17"/>
              </w:rPr>
              <w:t>6,965</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38.8%</w:t>
            </w:r>
          </w:p>
        </w:tc>
        <w:tc>
          <w:tcPr>
            <w:tcW w:type="dxa" w:w="1325"/>
          </w:tcPr>
          <w:p>
            <w:pPr>
              <w:spacing w:after="20"/>
              <w:jc w:val="right"/>
            </w:pPr>
            <w:r>
              <w:rPr>
                <w:color w:val="1C3A36"/>
                <w:sz w:val="17"/>
              </w:rPr>
              <w:t>38.7%</w:t>
            </w:r>
          </w:p>
        </w:tc>
        <w:tc>
          <w:tcPr>
            <w:tcW w:type="dxa" w:w="1325"/>
          </w:tcPr>
          <w:p>
            <w:pPr>
              <w:spacing w:after="20"/>
              <w:jc w:val="right"/>
            </w:pPr>
            <w:r>
              <w:rPr>
                <w:color w:val="1C3A36"/>
                <w:sz w:val="17"/>
              </w:rPr>
              <w:t>38.5%</w:t>
            </w:r>
          </w:p>
        </w:tc>
        <w:tc>
          <w:tcPr>
            <w:tcW w:type="dxa" w:w="1325"/>
          </w:tcPr>
          <w:p>
            <w:pPr>
              <w:spacing w:after="20"/>
              <w:jc w:val="right"/>
            </w:pPr>
            <w:r>
              <w:rPr>
                <w:color w:val="1C3A36"/>
                <w:sz w:val="17"/>
              </w:rPr>
              <w:t>38.5%</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5,287</w:t>
            </w:r>
          </w:p>
        </w:tc>
        <w:tc>
          <w:tcPr>
            <w:tcW w:type="dxa" w:w="1325"/>
          </w:tcPr>
          <w:p>
            <w:pPr>
              <w:spacing w:after="20"/>
              <w:jc w:val="right"/>
            </w:pPr>
            <w:r>
              <w:rPr>
                <w:color w:val="1C3A36"/>
                <w:sz w:val="17"/>
              </w:rPr>
              <w:t>5,700</w:t>
            </w:r>
          </w:p>
        </w:tc>
        <w:tc>
          <w:tcPr>
            <w:tcW w:type="dxa" w:w="1325"/>
          </w:tcPr>
          <w:p>
            <w:pPr>
              <w:spacing w:after="20"/>
              <w:jc w:val="right"/>
            </w:pPr>
            <w:r>
              <w:rPr>
                <w:color w:val="1C3A36"/>
                <w:sz w:val="17"/>
              </w:rPr>
              <w:t>6,032</w:t>
            </w:r>
          </w:p>
        </w:tc>
        <w:tc>
          <w:tcPr>
            <w:tcW w:type="dxa" w:w="1325"/>
          </w:tcPr>
          <w:p>
            <w:pPr>
              <w:spacing w:after="20"/>
              <w:jc w:val="right"/>
            </w:pPr>
            <w:r>
              <w:rPr>
                <w:color w:val="1C3A36"/>
                <w:sz w:val="17"/>
              </w:rPr>
              <w:t>6,410</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4,028</w:t>
            </w:r>
          </w:p>
        </w:tc>
        <w:tc>
          <w:tcPr>
            <w:tcW w:type="dxa" w:w="1325"/>
          </w:tcPr>
          <w:p>
            <w:pPr>
              <w:spacing w:after="20"/>
              <w:jc w:val="right"/>
            </w:pPr>
            <w:r>
              <w:rPr>
                <w:color w:val="1C3A36"/>
                <w:sz w:val="17"/>
              </w:rPr>
              <w:t>4,343</w:t>
            </w:r>
          </w:p>
        </w:tc>
        <w:tc>
          <w:tcPr>
            <w:tcW w:type="dxa" w:w="1325"/>
          </w:tcPr>
          <w:p>
            <w:pPr>
              <w:spacing w:after="20"/>
              <w:jc w:val="right"/>
            </w:pPr>
            <w:r>
              <w:rPr>
                <w:color w:val="1C3A36"/>
                <w:sz w:val="17"/>
              </w:rPr>
              <w:t>4,595</w:t>
            </w:r>
          </w:p>
        </w:tc>
        <w:tc>
          <w:tcPr>
            <w:tcW w:type="dxa" w:w="1325"/>
          </w:tcPr>
          <w:p>
            <w:pPr>
              <w:spacing w:after="20"/>
              <w:jc w:val="right"/>
            </w:pPr>
            <w:r>
              <w:rPr>
                <w:color w:val="1C3A36"/>
                <w:sz w:val="17"/>
              </w:rPr>
              <w:t>4,883</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(817)</w:t>
            </w:r>
          </w:p>
        </w:tc>
        <w:tc>
          <w:tcPr>
            <w:tcW w:type="dxa" w:w="1325"/>
          </w:tcPr>
          <w:p>
            <w:pPr>
              <w:spacing w:after="20"/>
              <w:jc w:val="right"/>
            </w:pPr>
            <w:r>
              <w:rPr>
                <w:color w:val="1C3A36"/>
                <w:sz w:val="17"/>
              </w:rPr>
              <w:t>(858)</w:t>
            </w:r>
          </w:p>
        </w:tc>
        <w:tc>
          <w:tcPr>
            <w:tcW w:type="dxa" w:w="1325"/>
          </w:tcPr>
          <w:p>
            <w:pPr>
              <w:spacing w:after="20"/>
              <w:jc w:val="right"/>
            </w:pPr>
            <w:r>
              <w:rPr>
                <w:color w:val="1C3A36"/>
                <w:sz w:val="17"/>
              </w:rPr>
              <w:t>(901)</w:t>
            </w:r>
          </w:p>
        </w:tc>
        <w:tc>
          <w:tcPr>
            <w:tcW w:type="dxa" w:w="1325"/>
          </w:tcPr>
          <w:p>
            <w:pPr>
              <w:spacing w:after="20"/>
              <w:jc w:val="right"/>
            </w:pPr>
            <w:r>
              <w:rPr>
                <w:color w:val="1C3A36"/>
                <w:sz w:val="17"/>
              </w:rPr>
              <w:t>(946)</w:t>
            </w:r>
          </w:p>
        </w:tc>
        <w:tc>
          <w:tcPr>
            <w:tcW w:type="dxa" w:w="1325"/>
          </w:tcPr>
          <w:p>
            <w:pPr>
              <w:spacing w:after="20"/>
              <w:jc w:val="right"/>
            </w:pPr>
            <w:r>
              <w:rPr>
                <w:color w:val="1C3A36"/>
                <w:sz w:val="17"/>
              </w:rPr>
              <w:t>(993)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(151)</w:t>
            </w:r>
          </w:p>
        </w:tc>
        <w:tc>
          <w:tcPr>
            <w:tcW w:type="dxa" w:w="1325"/>
          </w:tcPr>
          <w:p>
            <w:pPr>
              <w:spacing w:after="20"/>
              <w:jc w:val="right"/>
            </w:pPr>
            <w:r>
              <w:rPr>
                <w:color w:val="1C3A36"/>
                <w:sz w:val="17"/>
              </w:rPr>
              <w:t>(137)</w:t>
            </w:r>
          </w:p>
        </w:tc>
        <w:tc>
          <w:tcPr>
            <w:tcW w:type="dxa" w:w="1325"/>
          </w:tcPr>
          <w:p>
            <w:pPr>
              <w:spacing w:after="20"/>
              <w:jc w:val="right"/>
            </w:pPr>
            <w:r>
              <w:rPr>
                <w:color w:val="1C3A36"/>
                <w:sz w:val="17"/>
              </w:rPr>
              <w:t>(137)</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1,582</w:t>
            </w:r>
          </w:p>
        </w:tc>
        <w:tc>
          <w:tcPr>
            <w:tcW w:type="dxa" w:w="1325"/>
            <w:shd w:val="clear" w:color="auto" w:fill="F6F1E6"/>
          </w:tcPr>
          <w:p>
            <w:pPr>
              <w:spacing w:after="20"/>
              <w:jc w:val="right"/>
            </w:pPr>
            <w:r>
              <w:rPr>
                <w:b/>
                <w:color w:val="1C3A36"/>
                <w:sz w:val="17"/>
              </w:rPr>
              <w:t>3,432</w:t>
            </w:r>
          </w:p>
        </w:tc>
        <w:tc>
          <w:tcPr>
            <w:tcW w:type="dxa" w:w="1325"/>
            <w:shd w:val="clear" w:color="auto" w:fill="F6F1E6"/>
          </w:tcPr>
          <w:p>
            <w:pPr>
              <w:spacing w:after="20"/>
              <w:jc w:val="right"/>
            </w:pPr>
            <w:r>
              <w:rPr>
                <w:b/>
                <w:color w:val="1C3A36"/>
                <w:sz w:val="17"/>
              </w:rPr>
              <w:t>3,762</w:t>
            </w:r>
          </w:p>
        </w:tc>
        <w:tc>
          <w:tcPr>
            <w:tcW w:type="dxa" w:w="1325"/>
            <w:shd w:val="clear" w:color="auto" w:fill="F6F1E6"/>
          </w:tcPr>
          <w:p>
            <w:pPr>
              <w:spacing w:after="20"/>
              <w:jc w:val="right"/>
            </w:pPr>
            <w:r>
              <w:rPr>
                <w:b/>
                <w:color w:val="1C3A36"/>
                <w:sz w:val="17"/>
              </w:rPr>
              <w:t>4,052</w:t>
            </w:r>
          </w:p>
        </w:tc>
        <w:tc>
          <w:tcPr>
            <w:tcW w:type="dxa" w:w="1325"/>
            <w:shd w:val="clear" w:color="auto" w:fill="F6F1E6"/>
          </w:tcPr>
          <w:p>
            <w:pPr>
              <w:spacing w:after="20"/>
              <w:jc w:val="right"/>
            </w:pPr>
            <w:r>
              <w:rPr>
                <w:b/>
                <w:color w:val="1C3A36"/>
                <w:sz w:val="17"/>
              </w:rPr>
              <w:t>4,367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0.9413</w:t>
            </w:r>
          </w:p>
        </w:tc>
        <w:tc>
          <w:tcPr>
            <w:tcW w:type="dxa" w:w="1325"/>
          </w:tcPr>
          <w:p>
            <w:pPr>
              <w:spacing w:after="20"/>
              <w:jc w:val="right"/>
            </w:pPr>
            <w:r>
              <w:rPr>
                <w:color w:val="1C3A36"/>
                <w:sz w:val="17"/>
              </w:rPr>
              <w:t>0.7980</w:t>
            </w:r>
          </w:p>
        </w:tc>
        <w:tc>
          <w:tcPr>
            <w:tcW w:type="dxa" w:w="1325"/>
          </w:tcPr>
          <w:p>
            <w:pPr>
              <w:spacing w:after="20"/>
              <w:jc w:val="right"/>
            </w:pPr>
            <w:r>
              <w:rPr>
                <w:color w:val="1C3A36"/>
                <w:sz w:val="17"/>
              </w:rPr>
              <w:t>0.6563</w:t>
            </w:r>
          </w:p>
        </w:tc>
        <w:tc>
          <w:tcPr>
            <w:tcW w:type="dxa" w:w="1325"/>
          </w:tcPr>
          <w:p>
            <w:pPr>
              <w:spacing w:after="20"/>
              <w:jc w:val="right"/>
            </w:pPr>
            <w:r>
              <w:rPr>
                <w:color w:val="1C3A36"/>
                <w:sz w:val="17"/>
              </w:rPr>
              <w:t>0.5518</w:t>
            </w:r>
          </w:p>
        </w:tc>
        <w:tc>
          <w:tcPr>
            <w:tcW w:type="dxa" w:w="1325"/>
          </w:tcPr>
          <w:p>
            <w:pPr>
              <w:spacing w:after="20"/>
              <w:jc w:val="right"/>
            </w:pPr>
            <w:r>
              <w:rPr>
                <w:color w:val="1C3A36"/>
                <w:sz w:val="17"/>
              </w:rPr>
              <w:t>0.4708</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1,489</w:t>
            </w:r>
          </w:p>
        </w:tc>
        <w:tc>
          <w:tcPr>
            <w:tcW w:type="dxa" w:w="1325"/>
            <w:shd w:val="clear" w:color="auto" w:fill="F6F1E6"/>
          </w:tcPr>
          <w:p>
            <w:pPr>
              <w:spacing w:after="20"/>
              <w:jc w:val="right"/>
            </w:pPr>
            <w:r>
              <w:rPr>
                <w:b/>
                <w:color w:val="1C3A36"/>
                <w:sz w:val="17"/>
              </w:rPr>
              <w:t>2,739</w:t>
            </w:r>
          </w:p>
        </w:tc>
        <w:tc>
          <w:tcPr>
            <w:tcW w:type="dxa" w:w="1325"/>
            <w:shd w:val="clear" w:color="auto" w:fill="F6F1E6"/>
          </w:tcPr>
          <w:p>
            <w:pPr>
              <w:spacing w:after="20"/>
              <w:jc w:val="right"/>
            </w:pPr>
            <w:r>
              <w:rPr>
                <w:b/>
                <w:color w:val="1C3A36"/>
                <w:sz w:val="17"/>
              </w:rPr>
              <w:t>2,469</w:t>
            </w:r>
          </w:p>
        </w:tc>
        <w:tc>
          <w:tcPr>
            <w:tcW w:type="dxa" w:w="1325"/>
            <w:shd w:val="clear" w:color="auto" w:fill="F6F1E6"/>
          </w:tcPr>
          <w:p>
            <w:pPr>
              <w:spacing w:after="20"/>
              <w:jc w:val="right"/>
            </w:pPr>
            <w:r>
              <w:rPr>
                <w:b/>
                <w:color w:val="1C3A36"/>
                <w:sz w:val="17"/>
              </w:rPr>
              <w:t>2,236</w:t>
            </w:r>
          </w:p>
        </w:tc>
        <w:tc>
          <w:tcPr>
            <w:tcW w:type="dxa" w:w="1325"/>
            <w:shd w:val="clear" w:color="auto" w:fill="F6F1E6"/>
          </w:tcPr>
          <w:p>
            <w:pPr>
              <w:spacing w:after="20"/>
              <w:jc w:val="right"/>
            </w:pPr>
            <w:r>
              <w:rPr>
                <w:b/>
                <w:color w:val="1C3A36"/>
                <w:sz w:val="17"/>
              </w:rPr>
              <w:t>2,056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44.9% in total across the five years while pound costs grow 54.4% — a real erosion of about 7%. The EBITDA margin therefore falls from the audited 39.3% to 38.5%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4.81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54.4% — but that is the input-price index, not the cost the model actually charges. Netting the alternative-fuel saving off the materials line, the cash cost per tonne the model charges grows 44.9%, so the real erosion is -0.0%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10,989</w:t>
            </w:r>
          </w:p>
        </w:tc>
        <w:tc>
          <w:tcPr>
            <w:tcW w:type="dxa" w:w="2160"/>
          </w:tcPr>
          <w:p>
            <w:pPr>
              <w:spacing w:after="20"/>
              <w:jc w:val="right"/>
            </w:pPr>
            <w:r>
              <w:rPr>
                <w:color w:val="1C3A36"/>
                <w:sz w:val="18"/>
              </w:rPr>
              <w:t>29.31</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9,916</w:t>
            </w:r>
          </w:p>
        </w:tc>
        <w:tc>
          <w:tcPr>
            <w:tcW w:type="dxa" w:w="2160"/>
          </w:tcPr>
          <w:p>
            <w:pPr>
              <w:spacing w:after="20"/>
              <w:jc w:val="right"/>
            </w:pPr>
            <w:r>
              <w:rPr>
                <w:color w:val="1C3A36"/>
                <w:sz w:val="18"/>
              </w:rPr>
              <w:t>26.45</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20,905</w:t>
            </w:r>
          </w:p>
        </w:tc>
        <w:tc>
          <w:tcPr>
            <w:tcW w:type="dxa" w:w="2160"/>
            <w:shd w:val="clear" w:color="auto" w:fill="F6F1E6"/>
          </w:tcPr>
          <w:p>
            <w:pPr>
              <w:spacing w:after="20"/>
              <w:jc w:val="right"/>
            </w:pPr>
            <w:r>
              <w:rPr>
                <w:b/>
                <w:color w:val="1C3A36"/>
                <w:sz w:val="18"/>
              </w:rPr>
              <w:t>55.77</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21,592</w:t>
            </w:r>
          </w:p>
        </w:tc>
        <w:tc>
          <w:tcPr>
            <w:tcW w:type="dxa" w:w="2160"/>
            <w:shd w:val="clear" w:color="auto" w:fill="F6F1E6"/>
          </w:tcPr>
          <w:p>
            <w:pPr>
              <w:spacing w:after="20"/>
              <w:jc w:val="right"/>
            </w:pPr>
            <w:r>
              <w:rPr>
                <w:b/>
                <w:color w:val="1C3A36"/>
                <w:sz w:val="18"/>
              </w:rPr>
              <w:t>57.60</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47.4%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-2.4%</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687mn at the valuation date, or EGP 1.83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0.0007% of equity value. The subsidiaries are 99% to 99.99% owned.</w:t>
      </w:r>
    </w:p>
    <w:p>
      <w:pPr>
        <w:spacing w:after="120" w:before="0"/>
      </w:pPr>
      <w:r>
        <w:rPr>
          <w:b w:val="0"/>
          <w:i w:val="0"/>
          <w:color w:val="1C3A36"/>
          <w:sz w:val="21"/>
        </w:rPr>
        <w:t>At 47.4% of enterprise value, the terminal value carries less of this valuation than the two-thirds to four-fifths a long-horizon discounted cash-flow model usually ends up with, and that is a consequence of the 27.4% explicit-window discount rate rather than a design choice — at that rate the fifth forecast year is already discounted to 47%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50,481mn, being 5.0Mt at USD 130 a tonne. On that basis the terminal return on capital is 10.2% and the reinvestment rate that 5% growth requires is 49.2%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10.2% against a terminal rate of 16.5%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14.13%. This company sits at 9.67% — -446 basis points above it. Growth therefore adds value, and adds almost none of it: the cash-flow lens is EGP 61.55 at 3% terminal growth and EGP 51.97 at 7%, a spread of -15.6%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24.40%</w:t>
            </w:r>
          </w:p>
        </w:tc>
        <w:tc>
          <w:tcPr>
            <w:tcW w:type="dxa" w:w="1469"/>
          </w:tcPr>
          <w:p>
            <w:pPr>
              <w:spacing w:after="20"/>
              <w:jc w:val="right"/>
            </w:pPr>
            <w:r>
              <w:rPr>
                <w:color w:val="1C3A36"/>
                <w:sz w:val="18"/>
              </w:rPr>
              <w:t>63.57</w:t>
            </w:r>
          </w:p>
        </w:tc>
        <w:tc>
          <w:tcPr>
            <w:tcW w:type="dxa" w:w="1469"/>
          </w:tcPr>
          <w:p>
            <w:pPr>
              <w:spacing w:after="20"/>
              <w:jc w:val="right"/>
            </w:pPr>
            <w:r>
              <w:rPr>
                <w:color w:val="1C3A36"/>
                <w:sz w:val="18"/>
              </w:rPr>
              <w:t>61.68</w:t>
            </w:r>
          </w:p>
        </w:tc>
        <w:tc>
          <w:tcPr>
            <w:tcW w:type="dxa" w:w="1469"/>
          </w:tcPr>
          <w:p>
            <w:pPr>
              <w:spacing w:after="20"/>
              <w:jc w:val="right"/>
            </w:pPr>
            <w:r>
              <w:rPr>
                <w:color w:val="1C3A36"/>
                <w:sz w:val="18"/>
              </w:rPr>
              <w:t>59.46</w:t>
            </w:r>
          </w:p>
        </w:tc>
        <w:tc>
          <w:tcPr>
            <w:tcW w:type="dxa" w:w="1469"/>
          </w:tcPr>
          <w:p>
            <w:pPr>
              <w:spacing w:after="20"/>
              <w:jc w:val="right"/>
            </w:pPr>
            <w:r>
              <w:rPr>
                <w:color w:val="1C3A36"/>
                <w:sz w:val="18"/>
              </w:rPr>
              <w:t>56.81</w:t>
            </w:r>
          </w:p>
        </w:tc>
        <w:tc>
          <w:tcPr>
            <w:tcW w:type="dxa" w:w="1469"/>
          </w:tcPr>
          <w:p>
            <w:pPr>
              <w:spacing w:after="20"/>
              <w:jc w:val="right"/>
            </w:pPr>
            <w:r>
              <w:rPr>
                <w:color w:val="1C3A36"/>
                <w:sz w:val="18"/>
              </w:rPr>
              <w:t>53.60</w:t>
            </w:r>
          </w:p>
        </w:tc>
      </w:tr>
      <w:tr>
        <w:tc>
          <w:tcPr>
            <w:tcW w:type="dxa" w:w="2477"/>
          </w:tcPr>
          <w:p>
            <w:pPr>
              <w:spacing w:after="20"/>
            </w:pPr>
            <w:r>
              <w:rPr>
                <w:color w:val="1C3A36"/>
                <w:sz w:val="18"/>
              </w:rPr>
              <w:t>25.90%</w:t>
            </w:r>
          </w:p>
        </w:tc>
        <w:tc>
          <w:tcPr>
            <w:tcW w:type="dxa" w:w="1469"/>
          </w:tcPr>
          <w:p>
            <w:pPr>
              <w:spacing w:after="20"/>
              <w:jc w:val="right"/>
            </w:pPr>
            <w:r>
              <w:rPr>
                <w:color w:val="1C3A36"/>
                <w:sz w:val="18"/>
              </w:rPr>
              <w:t>62.55</w:t>
            </w:r>
          </w:p>
        </w:tc>
        <w:tc>
          <w:tcPr>
            <w:tcW w:type="dxa" w:w="1469"/>
          </w:tcPr>
          <w:p>
            <w:pPr>
              <w:spacing w:after="20"/>
              <w:jc w:val="right"/>
            </w:pPr>
            <w:r>
              <w:rPr>
                <w:color w:val="1C3A36"/>
                <w:sz w:val="18"/>
              </w:rPr>
              <w:t>60.69</w:t>
            </w:r>
          </w:p>
        </w:tc>
        <w:tc>
          <w:tcPr>
            <w:tcW w:type="dxa" w:w="1469"/>
          </w:tcPr>
          <w:p>
            <w:pPr>
              <w:spacing w:after="20"/>
              <w:jc w:val="right"/>
            </w:pPr>
            <w:r>
              <w:rPr>
                <w:color w:val="1C3A36"/>
                <w:sz w:val="18"/>
              </w:rPr>
              <w:t>58.51</w:t>
            </w:r>
          </w:p>
        </w:tc>
        <w:tc>
          <w:tcPr>
            <w:tcW w:type="dxa" w:w="1469"/>
          </w:tcPr>
          <w:p>
            <w:pPr>
              <w:spacing w:after="20"/>
              <w:jc w:val="right"/>
            </w:pPr>
            <w:r>
              <w:rPr>
                <w:color w:val="1C3A36"/>
                <w:sz w:val="18"/>
              </w:rPr>
              <w:t>55.92</w:t>
            </w:r>
          </w:p>
        </w:tc>
        <w:tc>
          <w:tcPr>
            <w:tcW w:type="dxa" w:w="1469"/>
          </w:tcPr>
          <w:p>
            <w:pPr>
              <w:spacing w:after="20"/>
              <w:jc w:val="right"/>
            </w:pPr>
            <w:r>
              <w:rPr>
                <w:color w:val="1C3A36"/>
                <w:sz w:val="18"/>
              </w:rPr>
              <w:t>52.78</w:t>
            </w:r>
          </w:p>
        </w:tc>
      </w:tr>
      <w:tr>
        <w:tc>
          <w:tcPr>
            <w:tcW w:type="dxa" w:w="2477"/>
          </w:tcPr>
          <w:p>
            <w:pPr>
              <w:spacing w:after="20"/>
            </w:pPr>
            <w:r>
              <w:rPr>
                <w:color w:val="1C3A36"/>
                <w:sz w:val="18"/>
              </w:rPr>
              <w:t>27.40%</w:t>
            </w:r>
          </w:p>
        </w:tc>
        <w:tc>
          <w:tcPr>
            <w:tcW w:type="dxa" w:w="1469"/>
          </w:tcPr>
          <w:p>
            <w:pPr>
              <w:spacing w:after="20"/>
              <w:jc w:val="right"/>
            </w:pPr>
            <w:r>
              <w:rPr>
                <w:color w:val="1C3A36"/>
                <w:sz w:val="18"/>
              </w:rPr>
              <w:t>61.55</w:t>
            </w:r>
          </w:p>
        </w:tc>
        <w:tc>
          <w:tcPr>
            <w:tcW w:type="dxa" w:w="1469"/>
          </w:tcPr>
          <w:p>
            <w:pPr>
              <w:spacing w:after="20"/>
              <w:jc w:val="right"/>
            </w:pPr>
            <w:r>
              <w:rPr>
                <w:color w:val="1C3A36"/>
                <w:sz w:val="18"/>
              </w:rPr>
              <w:t>59.73</w:t>
            </w:r>
          </w:p>
        </w:tc>
        <w:tc>
          <w:tcPr>
            <w:tcW w:type="dxa" w:w="1469"/>
          </w:tcPr>
          <w:p>
            <w:pPr>
              <w:spacing w:after="20"/>
              <w:jc w:val="right"/>
            </w:pPr>
            <w:r>
              <w:rPr>
                <w:color w:val="1C3A36"/>
                <w:sz w:val="18"/>
              </w:rPr>
              <w:t>57.60</w:t>
            </w:r>
          </w:p>
        </w:tc>
        <w:tc>
          <w:tcPr>
            <w:tcW w:type="dxa" w:w="1469"/>
          </w:tcPr>
          <w:p>
            <w:pPr>
              <w:spacing w:after="20"/>
              <w:jc w:val="right"/>
            </w:pPr>
            <w:r>
              <w:rPr>
                <w:color w:val="1C3A36"/>
                <w:sz w:val="18"/>
              </w:rPr>
              <w:t>55.05</w:t>
            </w:r>
          </w:p>
        </w:tc>
        <w:tc>
          <w:tcPr>
            <w:tcW w:type="dxa" w:w="1469"/>
          </w:tcPr>
          <w:p>
            <w:pPr>
              <w:spacing w:after="20"/>
              <w:jc w:val="right"/>
            </w:pPr>
            <w:r>
              <w:rPr>
                <w:color w:val="1C3A36"/>
                <w:sz w:val="18"/>
              </w:rPr>
              <w:t>51.97</w:t>
            </w:r>
          </w:p>
        </w:tc>
      </w:tr>
      <w:tr>
        <w:tc>
          <w:tcPr>
            <w:tcW w:type="dxa" w:w="2477"/>
          </w:tcPr>
          <w:p>
            <w:pPr>
              <w:spacing w:after="20"/>
            </w:pPr>
            <w:r>
              <w:rPr>
                <w:color w:val="1C3A36"/>
                <w:sz w:val="18"/>
              </w:rPr>
              <w:t>28.90%</w:t>
            </w:r>
          </w:p>
        </w:tc>
        <w:tc>
          <w:tcPr>
            <w:tcW w:type="dxa" w:w="1469"/>
          </w:tcPr>
          <w:p>
            <w:pPr>
              <w:spacing w:after="20"/>
              <w:jc w:val="right"/>
            </w:pPr>
            <w:r>
              <w:rPr>
                <w:color w:val="1C3A36"/>
                <w:sz w:val="18"/>
              </w:rPr>
              <w:t>60.59</w:t>
            </w:r>
          </w:p>
        </w:tc>
        <w:tc>
          <w:tcPr>
            <w:tcW w:type="dxa" w:w="1469"/>
          </w:tcPr>
          <w:p>
            <w:pPr>
              <w:spacing w:after="20"/>
              <w:jc w:val="right"/>
            </w:pPr>
            <w:r>
              <w:rPr>
                <w:color w:val="1C3A36"/>
                <w:sz w:val="18"/>
              </w:rPr>
              <w:t>58.80</w:t>
            </w:r>
          </w:p>
        </w:tc>
        <w:tc>
          <w:tcPr>
            <w:tcW w:type="dxa" w:w="1469"/>
          </w:tcPr>
          <w:p>
            <w:pPr>
              <w:spacing w:after="20"/>
              <w:jc w:val="right"/>
            </w:pPr>
            <w:r>
              <w:rPr>
                <w:color w:val="1C3A36"/>
                <w:sz w:val="18"/>
              </w:rPr>
              <w:t>56.70</w:t>
            </w:r>
          </w:p>
        </w:tc>
        <w:tc>
          <w:tcPr>
            <w:tcW w:type="dxa" w:w="1469"/>
          </w:tcPr>
          <w:p>
            <w:pPr>
              <w:spacing w:after="20"/>
              <w:jc w:val="right"/>
            </w:pPr>
            <w:r>
              <w:rPr>
                <w:color w:val="1C3A36"/>
                <w:sz w:val="18"/>
              </w:rPr>
              <w:t>54.21</w:t>
            </w:r>
          </w:p>
        </w:tc>
        <w:tc>
          <w:tcPr>
            <w:tcW w:type="dxa" w:w="1469"/>
          </w:tcPr>
          <w:p>
            <w:pPr>
              <w:spacing w:after="20"/>
              <w:jc w:val="right"/>
            </w:pPr>
            <w:r>
              <w:rPr>
                <w:color w:val="1C3A36"/>
                <w:sz w:val="18"/>
              </w:rPr>
              <w:t>51.18</w:t>
            </w:r>
          </w:p>
        </w:tc>
      </w:tr>
      <w:tr>
        <w:tc>
          <w:tcPr>
            <w:tcW w:type="dxa" w:w="2477"/>
          </w:tcPr>
          <w:p>
            <w:pPr>
              <w:spacing w:after="20"/>
            </w:pPr>
            <w:r>
              <w:rPr>
                <w:color w:val="1C3A36"/>
                <w:sz w:val="18"/>
              </w:rPr>
              <w:t>30.40%</w:t>
            </w:r>
          </w:p>
        </w:tc>
        <w:tc>
          <w:tcPr>
            <w:tcW w:type="dxa" w:w="1469"/>
          </w:tcPr>
          <w:p>
            <w:pPr>
              <w:spacing w:after="20"/>
              <w:jc w:val="right"/>
            </w:pPr>
            <w:r>
              <w:rPr>
                <w:color w:val="1C3A36"/>
                <w:sz w:val="18"/>
              </w:rPr>
              <w:t>59.64</w:t>
            </w:r>
          </w:p>
        </w:tc>
        <w:tc>
          <w:tcPr>
            <w:tcW w:type="dxa" w:w="1469"/>
          </w:tcPr>
          <w:p>
            <w:pPr>
              <w:spacing w:after="20"/>
              <w:jc w:val="right"/>
            </w:pPr>
            <w:r>
              <w:rPr>
                <w:color w:val="1C3A36"/>
                <w:sz w:val="18"/>
              </w:rPr>
              <w:t>57.89</w:t>
            </w:r>
          </w:p>
        </w:tc>
        <w:tc>
          <w:tcPr>
            <w:tcW w:type="dxa" w:w="1469"/>
          </w:tcPr>
          <w:p>
            <w:pPr>
              <w:spacing w:after="20"/>
              <w:jc w:val="right"/>
            </w:pPr>
            <w:r>
              <w:rPr>
                <w:color w:val="1C3A36"/>
                <w:sz w:val="18"/>
              </w:rPr>
              <w:t>55.83</w:t>
            </w:r>
          </w:p>
        </w:tc>
        <w:tc>
          <w:tcPr>
            <w:tcW w:type="dxa" w:w="1469"/>
          </w:tcPr>
          <w:p>
            <w:pPr>
              <w:spacing w:after="20"/>
              <w:jc w:val="right"/>
            </w:pPr>
            <w:r>
              <w:rPr>
                <w:color w:val="1C3A36"/>
                <w:sz w:val="18"/>
              </w:rPr>
              <w:t>53.38</w:t>
            </w:r>
          </w:p>
        </w:tc>
        <w:tc>
          <w:tcPr>
            <w:tcW w:type="dxa" w:w="1469"/>
          </w:tcPr>
          <w:p>
            <w:pPr>
              <w:spacing w:after="20"/>
              <w:jc w:val="right"/>
            </w:pPr>
            <w:r>
              <w:rPr>
                <w:color w:val="1C3A36"/>
                <w:sz w:val="18"/>
              </w:rPr>
              <w:t>50.41</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9.96, against EGP 3.93 down a column. The paragraphs above set out why the growth axis is nearly flat — on a replacement-cost denominator this plant sits within -446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14.5%</w:t>
            </w:r>
          </w:p>
        </w:tc>
        <w:tc>
          <w:tcPr>
            <w:tcW w:type="dxa" w:w="1469"/>
            <w:shd w:val="clear" w:color="auto" w:fill="EAF0EE"/>
          </w:tcPr>
          <w:p>
            <w:pPr>
              <w:spacing w:after="20"/>
            </w:pPr>
            <w:r>
              <w:rPr>
                <w:b/>
                <w:color w:val="1C3A36"/>
                <w:sz w:val="18"/>
              </w:rPr>
              <w:t>15.5%</w:t>
            </w:r>
          </w:p>
        </w:tc>
        <w:tc>
          <w:tcPr>
            <w:tcW w:type="dxa" w:w="1469"/>
            <w:shd w:val="clear" w:color="auto" w:fill="EAF0EE"/>
          </w:tcPr>
          <w:p>
            <w:pPr>
              <w:spacing w:after="20"/>
            </w:pPr>
            <w:r>
              <w:rPr>
                <w:b/>
                <w:color w:val="1C3A36"/>
                <w:sz w:val="18"/>
              </w:rPr>
              <w:t>16.5%</w:t>
            </w:r>
          </w:p>
        </w:tc>
        <w:tc>
          <w:tcPr>
            <w:tcW w:type="dxa" w:w="1469"/>
            <w:shd w:val="clear" w:color="auto" w:fill="EAF0EE"/>
          </w:tcPr>
          <w:p>
            <w:pPr>
              <w:spacing w:after="20"/>
            </w:pPr>
            <w:r>
              <w:rPr>
                <w:b/>
                <w:color w:val="1C3A36"/>
                <w:sz w:val="18"/>
              </w:rPr>
              <w:t>17.5%</w:t>
            </w:r>
          </w:p>
        </w:tc>
        <w:tc>
          <w:tcPr>
            <w:tcW w:type="dxa" w:w="1469"/>
            <w:shd w:val="clear" w:color="auto" w:fill="EAF0EE"/>
          </w:tcPr>
          <w:p>
            <w:pPr>
              <w:spacing w:after="20"/>
            </w:pPr>
            <w:r>
              <w:rPr>
                <w:b/>
                <w:color w:val="1C3A36"/>
                <w:sz w:val="18"/>
              </w:rPr>
              <w:t>18.5%</w:t>
            </w:r>
          </w:p>
        </w:tc>
      </w:tr>
      <w:tr>
        <w:tc>
          <w:tcPr>
            <w:tcW w:type="dxa" w:w="2477"/>
          </w:tcPr>
          <w:p>
            <w:pPr>
              <w:spacing w:after="20"/>
            </w:pPr>
            <w:r>
              <w:rPr>
                <w:color w:val="1C3A36"/>
                <w:sz w:val="18"/>
              </w:rPr>
              <w:t>24.40%</w:t>
            </w:r>
          </w:p>
        </w:tc>
        <w:tc>
          <w:tcPr>
            <w:tcW w:type="dxa" w:w="1469"/>
          </w:tcPr>
          <w:p>
            <w:pPr>
              <w:spacing w:after="20"/>
              <w:jc w:val="right"/>
            </w:pPr>
            <w:r>
              <w:rPr>
                <w:color w:val="1C3A36"/>
                <w:sz w:val="18"/>
              </w:rPr>
              <w:t>67.48</w:t>
            </w:r>
          </w:p>
        </w:tc>
        <w:tc>
          <w:tcPr>
            <w:tcW w:type="dxa" w:w="1469"/>
          </w:tcPr>
          <w:p>
            <w:pPr>
              <w:spacing w:after="20"/>
              <w:jc w:val="right"/>
            </w:pPr>
            <w:r>
              <w:rPr>
                <w:color w:val="1C3A36"/>
                <w:sz w:val="18"/>
              </w:rPr>
              <w:t>63.09</w:t>
            </w:r>
          </w:p>
        </w:tc>
        <w:tc>
          <w:tcPr>
            <w:tcW w:type="dxa" w:w="1469"/>
          </w:tcPr>
          <w:p>
            <w:pPr>
              <w:spacing w:after="20"/>
              <w:jc w:val="right"/>
            </w:pPr>
            <w:r>
              <w:rPr>
                <w:color w:val="1C3A36"/>
                <w:sz w:val="18"/>
              </w:rPr>
              <w:t>59.46</w:t>
            </w:r>
          </w:p>
        </w:tc>
        <w:tc>
          <w:tcPr>
            <w:tcW w:type="dxa" w:w="1469"/>
          </w:tcPr>
          <w:p>
            <w:pPr>
              <w:spacing w:after="20"/>
              <w:jc w:val="right"/>
            </w:pPr>
            <w:r>
              <w:rPr>
                <w:color w:val="1C3A36"/>
                <w:sz w:val="18"/>
              </w:rPr>
              <w:t>56.39</w:t>
            </w:r>
          </w:p>
        </w:tc>
        <w:tc>
          <w:tcPr>
            <w:tcW w:type="dxa" w:w="1469"/>
          </w:tcPr>
          <w:p>
            <w:pPr>
              <w:spacing w:after="20"/>
              <w:jc w:val="right"/>
            </w:pPr>
            <w:r>
              <w:rPr>
                <w:color w:val="1C3A36"/>
                <w:sz w:val="18"/>
              </w:rPr>
              <w:t>53.76</w:t>
            </w:r>
          </w:p>
        </w:tc>
      </w:tr>
      <w:tr>
        <w:tc>
          <w:tcPr>
            <w:tcW w:type="dxa" w:w="2477"/>
          </w:tcPr>
          <w:p>
            <w:pPr>
              <w:spacing w:after="20"/>
            </w:pPr>
            <w:r>
              <w:rPr>
                <w:color w:val="1C3A36"/>
                <w:sz w:val="18"/>
              </w:rPr>
              <w:t>25.90%</w:t>
            </w:r>
          </w:p>
        </w:tc>
        <w:tc>
          <w:tcPr>
            <w:tcW w:type="dxa" w:w="1469"/>
          </w:tcPr>
          <w:p>
            <w:pPr>
              <w:spacing w:after="20"/>
              <w:jc w:val="right"/>
            </w:pPr>
            <w:r>
              <w:rPr>
                <w:color w:val="1C3A36"/>
                <w:sz w:val="18"/>
              </w:rPr>
              <w:t>66.38</w:t>
            </w:r>
          </w:p>
        </w:tc>
        <w:tc>
          <w:tcPr>
            <w:tcW w:type="dxa" w:w="1469"/>
          </w:tcPr>
          <w:p>
            <w:pPr>
              <w:spacing w:after="20"/>
              <w:jc w:val="right"/>
            </w:pPr>
            <w:r>
              <w:rPr>
                <w:color w:val="1C3A36"/>
                <w:sz w:val="18"/>
              </w:rPr>
              <w:t>62.08</w:t>
            </w:r>
          </w:p>
        </w:tc>
        <w:tc>
          <w:tcPr>
            <w:tcW w:type="dxa" w:w="1469"/>
          </w:tcPr>
          <w:p>
            <w:pPr>
              <w:spacing w:after="20"/>
              <w:jc w:val="right"/>
            </w:pPr>
            <w:r>
              <w:rPr>
                <w:color w:val="1C3A36"/>
                <w:sz w:val="18"/>
              </w:rPr>
              <w:t>58.51</w:t>
            </w:r>
          </w:p>
        </w:tc>
        <w:tc>
          <w:tcPr>
            <w:tcW w:type="dxa" w:w="1469"/>
          </w:tcPr>
          <w:p>
            <w:pPr>
              <w:spacing w:after="20"/>
              <w:jc w:val="right"/>
            </w:pPr>
            <w:r>
              <w:rPr>
                <w:color w:val="1C3A36"/>
                <w:sz w:val="18"/>
              </w:rPr>
              <w:t>55.51</w:t>
            </w:r>
          </w:p>
        </w:tc>
        <w:tc>
          <w:tcPr>
            <w:tcW w:type="dxa" w:w="1469"/>
          </w:tcPr>
          <w:p>
            <w:pPr>
              <w:spacing w:after="20"/>
              <w:jc w:val="right"/>
            </w:pPr>
            <w:r>
              <w:rPr>
                <w:color w:val="1C3A36"/>
                <w:sz w:val="18"/>
              </w:rPr>
              <w:t>52.93</w:t>
            </w:r>
          </w:p>
        </w:tc>
      </w:tr>
      <w:tr>
        <w:tc>
          <w:tcPr>
            <w:tcW w:type="dxa" w:w="2477"/>
          </w:tcPr>
          <w:p>
            <w:pPr>
              <w:spacing w:after="20"/>
            </w:pPr>
            <w:r>
              <w:rPr>
                <w:color w:val="1C3A36"/>
                <w:sz w:val="18"/>
              </w:rPr>
              <w:t>27.40%</w:t>
            </w:r>
          </w:p>
        </w:tc>
        <w:tc>
          <w:tcPr>
            <w:tcW w:type="dxa" w:w="1469"/>
          </w:tcPr>
          <w:p>
            <w:pPr>
              <w:spacing w:after="20"/>
              <w:jc w:val="right"/>
            </w:pPr>
            <w:r>
              <w:rPr>
                <w:color w:val="1C3A36"/>
                <w:sz w:val="18"/>
              </w:rPr>
              <w:t>65.31</w:t>
            </w:r>
          </w:p>
        </w:tc>
        <w:tc>
          <w:tcPr>
            <w:tcW w:type="dxa" w:w="1469"/>
          </w:tcPr>
          <w:p>
            <w:pPr>
              <w:spacing w:after="20"/>
              <w:jc w:val="right"/>
            </w:pPr>
            <w:r>
              <w:rPr>
                <w:color w:val="1C3A36"/>
                <w:sz w:val="18"/>
              </w:rPr>
              <w:t>61.09</w:t>
            </w:r>
          </w:p>
        </w:tc>
        <w:tc>
          <w:tcPr>
            <w:tcW w:type="dxa" w:w="1469"/>
          </w:tcPr>
          <w:p>
            <w:pPr>
              <w:spacing w:after="20"/>
              <w:jc w:val="right"/>
            </w:pPr>
            <w:r>
              <w:rPr>
                <w:color w:val="1C3A36"/>
                <w:sz w:val="18"/>
              </w:rPr>
              <w:t>57.60</w:t>
            </w:r>
          </w:p>
        </w:tc>
        <w:tc>
          <w:tcPr>
            <w:tcW w:type="dxa" w:w="1469"/>
          </w:tcPr>
          <w:p>
            <w:pPr>
              <w:spacing w:after="20"/>
              <w:jc w:val="right"/>
            </w:pPr>
            <w:r>
              <w:rPr>
                <w:color w:val="1C3A36"/>
                <w:sz w:val="18"/>
              </w:rPr>
              <w:t>54.65</w:t>
            </w:r>
          </w:p>
        </w:tc>
        <w:tc>
          <w:tcPr>
            <w:tcW w:type="dxa" w:w="1469"/>
          </w:tcPr>
          <w:p>
            <w:pPr>
              <w:spacing w:after="20"/>
              <w:jc w:val="right"/>
            </w:pPr>
            <w:r>
              <w:rPr>
                <w:color w:val="1C3A36"/>
                <w:sz w:val="18"/>
              </w:rPr>
              <w:t>52.13</w:t>
            </w:r>
          </w:p>
        </w:tc>
      </w:tr>
      <w:tr>
        <w:tc>
          <w:tcPr>
            <w:tcW w:type="dxa" w:w="2477"/>
          </w:tcPr>
          <w:p>
            <w:pPr>
              <w:spacing w:after="20"/>
            </w:pPr>
            <w:r>
              <w:rPr>
                <w:color w:val="1C3A36"/>
                <w:sz w:val="18"/>
              </w:rPr>
              <w:t>28.90%</w:t>
            </w:r>
          </w:p>
        </w:tc>
        <w:tc>
          <w:tcPr>
            <w:tcW w:type="dxa" w:w="1469"/>
          </w:tcPr>
          <w:p>
            <w:pPr>
              <w:spacing w:after="20"/>
              <w:jc w:val="right"/>
            </w:pPr>
            <w:r>
              <w:rPr>
                <w:color w:val="1C3A36"/>
                <w:sz w:val="18"/>
              </w:rPr>
              <w:t>64.26</w:t>
            </w:r>
          </w:p>
        </w:tc>
        <w:tc>
          <w:tcPr>
            <w:tcW w:type="dxa" w:w="1469"/>
          </w:tcPr>
          <w:p>
            <w:pPr>
              <w:spacing w:after="20"/>
              <w:jc w:val="right"/>
            </w:pPr>
            <w:r>
              <w:rPr>
                <w:color w:val="1C3A36"/>
                <w:sz w:val="18"/>
              </w:rPr>
              <w:t>60.13</w:t>
            </w:r>
          </w:p>
        </w:tc>
        <w:tc>
          <w:tcPr>
            <w:tcW w:type="dxa" w:w="1469"/>
          </w:tcPr>
          <w:p>
            <w:pPr>
              <w:spacing w:after="20"/>
              <w:jc w:val="right"/>
            </w:pPr>
            <w:r>
              <w:rPr>
                <w:color w:val="1C3A36"/>
                <w:sz w:val="18"/>
              </w:rPr>
              <w:t>56.70</w:t>
            </w:r>
          </w:p>
        </w:tc>
        <w:tc>
          <w:tcPr>
            <w:tcW w:type="dxa" w:w="1469"/>
          </w:tcPr>
          <w:p>
            <w:pPr>
              <w:spacing w:after="20"/>
              <w:jc w:val="right"/>
            </w:pPr>
            <w:r>
              <w:rPr>
                <w:color w:val="1C3A36"/>
                <w:sz w:val="18"/>
              </w:rPr>
              <w:t>53.81</w:t>
            </w:r>
          </w:p>
        </w:tc>
        <w:tc>
          <w:tcPr>
            <w:tcW w:type="dxa" w:w="1469"/>
          </w:tcPr>
          <w:p>
            <w:pPr>
              <w:spacing w:after="20"/>
              <w:jc w:val="right"/>
            </w:pPr>
            <w:r>
              <w:rPr>
                <w:color w:val="1C3A36"/>
                <w:sz w:val="18"/>
              </w:rPr>
              <w:t>51.34</w:t>
            </w:r>
          </w:p>
        </w:tc>
      </w:tr>
      <w:tr>
        <w:tc>
          <w:tcPr>
            <w:tcW w:type="dxa" w:w="2477"/>
          </w:tcPr>
          <w:p>
            <w:pPr>
              <w:spacing w:after="20"/>
            </w:pPr>
            <w:r>
              <w:rPr>
                <w:color w:val="1C3A36"/>
                <w:sz w:val="18"/>
              </w:rPr>
              <w:t>30.40%</w:t>
            </w:r>
          </w:p>
        </w:tc>
        <w:tc>
          <w:tcPr>
            <w:tcW w:type="dxa" w:w="1469"/>
          </w:tcPr>
          <w:p>
            <w:pPr>
              <w:spacing w:after="20"/>
              <w:jc w:val="right"/>
            </w:pPr>
            <w:r>
              <w:rPr>
                <w:color w:val="1C3A36"/>
                <w:sz w:val="18"/>
              </w:rPr>
              <w:t>63.24</w:t>
            </w:r>
          </w:p>
        </w:tc>
        <w:tc>
          <w:tcPr>
            <w:tcW w:type="dxa" w:w="1469"/>
          </w:tcPr>
          <w:p>
            <w:pPr>
              <w:spacing w:after="20"/>
              <w:jc w:val="right"/>
            </w:pPr>
            <w:r>
              <w:rPr>
                <w:color w:val="1C3A36"/>
                <w:sz w:val="18"/>
              </w:rPr>
              <w:t>59.19</w:t>
            </w:r>
          </w:p>
        </w:tc>
        <w:tc>
          <w:tcPr>
            <w:tcW w:type="dxa" w:w="1469"/>
          </w:tcPr>
          <w:p>
            <w:pPr>
              <w:spacing w:after="20"/>
              <w:jc w:val="right"/>
            </w:pPr>
            <w:r>
              <w:rPr>
                <w:color w:val="1C3A36"/>
                <w:sz w:val="18"/>
              </w:rPr>
              <w:t>55.83</w:t>
            </w:r>
          </w:p>
        </w:tc>
        <w:tc>
          <w:tcPr>
            <w:tcW w:type="dxa" w:w="1469"/>
          </w:tcPr>
          <w:p>
            <w:pPr>
              <w:spacing w:after="20"/>
              <w:jc w:val="right"/>
            </w:pPr>
            <w:r>
              <w:rPr>
                <w:color w:val="1C3A36"/>
                <w:sz w:val="18"/>
              </w:rPr>
              <w:t>53.00</w:t>
            </w:r>
          </w:p>
        </w:tc>
        <w:tc>
          <w:tcPr>
            <w:tcW w:type="dxa" w:w="1469"/>
          </w:tcPr>
          <w:p>
            <w:pPr>
              <w:spacing w:after="20"/>
              <w:jc w:val="right"/>
            </w:pPr>
            <w:r>
              <w:rPr>
                <w:color w:val="1C3A36"/>
                <w:sz w:val="18"/>
              </w:rPr>
              <w:t>50.57</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85.2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57.72  (+0.2%)</w:t>
            </w:r>
          </w:p>
        </w:tc>
      </w:tr>
      <w:tr>
        <w:tc>
          <w:tcPr>
            <w:tcW w:type="dxa" w:w="3672"/>
          </w:tcPr>
          <w:p>
            <w:pPr>
              <w:spacing w:after="20"/>
            </w:pPr>
            <w:r>
              <w:rPr>
                <w:color w:val="1C3A36"/>
                <w:sz w:val="17"/>
              </w:rPr>
              <w:t>Beta: same-country peer median (adopted, tier 2) vs the own-stock regression against the EGX30 that FAILS the usability gate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63.65  (+10.5%)</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60.95  (+5.8%)</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59.00. Both models reproduce FY2025 revenue, cost of sales, gross profit, D&amp;A, capex and net cash to the pound, so the whole EGP 15.10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-7.62</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+2.44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-2.51</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-0.16</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+1.28</w:t>
            </w:r>
          </w:p>
        </w:tc>
        <w:tc>
          <w:tcPr>
            <w:tcW w:type="dxa" w:w="4320"/>
          </w:tcPr>
          <w:p>
            <w:pPr>
              <w:spacing w:after="20"/>
              <w:jc w:val="right"/>
            </w:pPr>
            <w:r>
              <w:rPr>
                <w:color w:val="1C3A36"/>
                <w:sz w:val="17"/>
              </w:rPr>
              <w:t>−3.33 out of window, +4.61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-0.73</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54.65</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(-15.10 vs -15.10).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-16.65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+2.28. The remaining -0.73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(-7.62,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(+2.44,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(-2.51,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(-0.16,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(+1.28, EFG off mark). A price is what you pay today. Only 0.417 of FY2026 remains, so 0.583 of that year's FCFF leaves the discounted window — and arrives in the bridge as cash already earned. This step ADDS value on net. The +4.61 of accumulated cash is INSIDE the 54.65;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(-0.73,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-7.4%</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-2.0%</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+3.4%</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-11.2%</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+12.2%</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59.00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59.00 sits between this study’s central of EGP 54.10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-2.0%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51.97</w:t>
            </w:r>
          </w:p>
        </w:tc>
        <w:tc>
          <w:tcPr>
            <w:tcW w:type="dxa" w:w="1440"/>
          </w:tcPr>
          <w:p>
            <w:pPr>
              <w:spacing w:after="20"/>
              <w:jc w:val="right"/>
            </w:pPr>
            <w:r>
              <w:rPr>
                <w:color w:val="1C3A36"/>
                <w:sz w:val="18"/>
              </w:rPr>
              <w:t>57.60</w:t>
            </w:r>
          </w:p>
        </w:tc>
        <w:tc>
          <w:tcPr>
            <w:tcW w:type="dxa" w:w="1440"/>
          </w:tcPr>
          <w:p>
            <w:pPr>
              <w:spacing w:after="20"/>
              <w:jc w:val="right"/>
            </w:pPr>
            <w:r>
              <w:rPr>
                <w:color w:val="1C3A36"/>
                <w:sz w:val="18"/>
              </w:rPr>
              <w:t>63.41</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-2.4%</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-22.6%</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-15.9%</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+11.1%</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48.75</w:t>
            </w:r>
          </w:p>
        </w:tc>
        <w:tc>
          <w:tcPr>
            <w:tcW w:type="dxa" w:w="1440"/>
            <w:shd w:val="clear" w:color="auto" w:fill="F6F1E6"/>
          </w:tcPr>
          <w:p>
            <w:pPr>
              <w:spacing w:after="20"/>
              <w:jc w:val="right"/>
            </w:pPr>
            <w:r>
              <w:rPr>
                <w:b/>
                <w:color w:val="1C3A36"/>
                <w:sz w:val="18"/>
              </w:rPr>
              <w:t>54.10</w:t>
            </w:r>
          </w:p>
        </w:tc>
        <w:tc>
          <w:tcPr>
            <w:tcW w:type="dxa" w:w="1440"/>
            <w:shd w:val="clear" w:color="auto" w:fill="F6F1E6"/>
          </w:tcPr>
          <w:p>
            <w:pPr>
              <w:spacing w:after="20"/>
              <w:jc w:val="right"/>
            </w:pPr>
            <w:r>
              <w:rPr>
                <w:b/>
                <w:color w:val="1C3A36"/>
                <w:sz w:val="18"/>
              </w:rPr>
              <w:t>59.53</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-8.3%</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Two of them sit ABOVE the market price — Asset / replacement cost, at EGP 65.57 — and two sit below: Relative multiples, Normalised earnings and DCF (cash flow), at EGP 45.65 and EGP 49.64 and EGP 57.60.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The weighting resolves that in favour of earnings, at 50%/20%/22%/8%, and gives a central EGP 54.10 against EGP 59.00 — -8.3%.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94%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54.10,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10.2% on replacement cost. The terminal block uses replacement cost, which leaves the plant roughly breaking even on new tonnes — 9.67% against a hurdle of 14.13%, so four points of terminal growth are worth -15.6%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53.60</w:t>
            </w:r>
          </w:p>
        </w:tc>
        <w:tc>
          <w:tcPr>
            <w:tcW w:type="dxa" w:w="1325"/>
          </w:tcPr>
          <w:p>
            <w:pPr>
              <w:spacing w:after="20"/>
              <w:jc w:val="right"/>
            </w:pPr>
            <w:r>
              <w:rPr>
                <w:color w:val="1C3A36"/>
                <w:sz w:val="17"/>
              </w:rPr>
              <w:t>55.60</w:t>
            </w:r>
          </w:p>
        </w:tc>
        <w:tc>
          <w:tcPr>
            <w:tcW w:type="dxa" w:w="1325"/>
          </w:tcPr>
          <w:p>
            <w:pPr>
              <w:spacing w:after="20"/>
              <w:jc w:val="right"/>
            </w:pPr>
            <w:r>
              <w:rPr>
                <w:color w:val="1C3A36"/>
                <w:sz w:val="17"/>
              </w:rPr>
              <w:t>57.60</w:t>
            </w:r>
          </w:p>
        </w:tc>
        <w:tc>
          <w:tcPr>
            <w:tcW w:type="dxa" w:w="1325"/>
          </w:tcPr>
          <w:p>
            <w:pPr>
              <w:spacing w:after="20"/>
              <w:jc w:val="right"/>
            </w:pPr>
            <w:r>
              <w:rPr>
                <w:color w:val="1C3A36"/>
                <w:sz w:val="17"/>
              </w:rPr>
              <w:t>59.60</w:t>
            </w:r>
          </w:p>
        </w:tc>
        <w:tc>
          <w:tcPr>
            <w:tcW w:type="dxa" w:w="1325"/>
          </w:tcPr>
          <w:p>
            <w:pPr>
              <w:spacing w:after="20"/>
              <w:jc w:val="right"/>
            </w:pPr>
            <w:r>
              <w:rPr>
                <w:color w:val="1C3A36"/>
                <w:sz w:val="17"/>
              </w:rPr>
              <w:t>61.60</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47.97</w:t>
            </w:r>
          </w:p>
        </w:tc>
        <w:tc>
          <w:tcPr>
            <w:tcW w:type="dxa" w:w="1325"/>
          </w:tcPr>
          <w:p>
            <w:pPr>
              <w:spacing w:after="20"/>
              <w:jc w:val="right"/>
            </w:pPr>
            <w:r>
              <w:rPr>
                <w:color w:val="1C3A36"/>
                <w:sz w:val="17"/>
              </w:rPr>
              <w:t>52.78</w:t>
            </w:r>
          </w:p>
        </w:tc>
        <w:tc>
          <w:tcPr>
            <w:tcW w:type="dxa" w:w="1325"/>
          </w:tcPr>
          <w:p>
            <w:pPr>
              <w:spacing w:after="20"/>
              <w:jc w:val="right"/>
            </w:pPr>
            <w:r>
              <w:rPr>
                <w:color w:val="1C3A36"/>
                <w:sz w:val="17"/>
              </w:rPr>
              <w:t>57.60</w:t>
            </w:r>
          </w:p>
        </w:tc>
        <w:tc>
          <w:tcPr>
            <w:tcW w:type="dxa" w:w="1325"/>
          </w:tcPr>
          <w:p>
            <w:pPr>
              <w:spacing w:after="20"/>
              <w:jc w:val="right"/>
            </w:pPr>
            <w:r>
              <w:rPr>
                <w:color w:val="1C3A36"/>
                <w:sz w:val="17"/>
              </w:rPr>
              <w:t>62.41</w:t>
            </w:r>
          </w:p>
        </w:tc>
        <w:tc>
          <w:tcPr>
            <w:tcW w:type="dxa" w:w="1325"/>
          </w:tcPr>
          <w:p>
            <w:pPr>
              <w:spacing w:after="20"/>
              <w:jc w:val="right"/>
            </w:pPr>
            <w:r>
              <w:rPr>
                <w:color w:val="1C3A36"/>
                <w:sz w:val="17"/>
              </w:rPr>
              <w:t>67.23</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13,349</w:t>
            </w:r>
          </w:p>
        </w:tc>
        <w:tc>
          <w:tcPr>
            <w:tcW w:type="dxa" w:w="1037"/>
          </w:tcPr>
          <w:p>
            <w:pPr>
              <w:spacing w:after="20"/>
              <w:jc w:val="right"/>
            </w:pPr>
            <w:r>
              <w:rPr>
                <w:color w:val="1C3A36"/>
                <w:sz w:val="16"/>
              </w:rPr>
              <w:t>14,538</w:t>
            </w:r>
          </w:p>
        </w:tc>
        <w:tc>
          <w:tcPr>
            <w:tcW w:type="dxa" w:w="1037"/>
          </w:tcPr>
          <w:p>
            <w:pPr>
              <w:spacing w:after="20"/>
              <w:jc w:val="right"/>
            </w:pPr>
            <w:r>
              <w:rPr>
                <w:color w:val="1C3A36"/>
                <w:sz w:val="16"/>
              </w:rPr>
              <w:t>15,798</w:t>
            </w:r>
          </w:p>
        </w:tc>
        <w:tc>
          <w:tcPr>
            <w:tcW w:type="dxa" w:w="1037"/>
          </w:tcPr>
          <w:p>
            <w:pPr>
              <w:spacing w:after="20"/>
              <w:jc w:val="right"/>
            </w:pPr>
            <w:r>
              <w:rPr>
                <w:color w:val="1C3A36"/>
                <w:sz w:val="16"/>
              </w:rPr>
              <w:t>16,942</w:t>
            </w:r>
          </w:p>
        </w:tc>
        <w:tc>
          <w:tcPr>
            <w:tcW w:type="dxa" w:w="1037"/>
          </w:tcPr>
          <w:p>
            <w:pPr>
              <w:spacing w:after="20"/>
              <w:jc w:val="right"/>
            </w:pPr>
            <w:r>
              <w:rPr>
                <w:color w:val="1C3A36"/>
                <w:sz w:val="16"/>
              </w:rPr>
              <w:t>18,088</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4,916</w:t>
            </w:r>
          </w:p>
        </w:tc>
        <w:tc>
          <w:tcPr>
            <w:tcW w:type="dxa" w:w="1037"/>
          </w:tcPr>
          <w:p>
            <w:pPr>
              <w:spacing w:after="20"/>
              <w:jc w:val="right"/>
            </w:pPr>
            <w:r>
              <w:rPr>
                <w:color w:val="1C3A36"/>
                <w:sz w:val="16"/>
              </w:rPr>
              <w:t>5,287</w:t>
            </w:r>
          </w:p>
        </w:tc>
        <w:tc>
          <w:tcPr>
            <w:tcW w:type="dxa" w:w="1037"/>
          </w:tcPr>
          <w:p>
            <w:pPr>
              <w:spacing w:after="20"/>
              <w:jc w:val="right"/>
            </w:pPr>
            <w:r>
              <w:rPr>
                <w:color w:val="1C3A36"/>
                <w:sz w:val="16"/>
              </w:rPr>
              <w:t>5,700</w:t>
            </w:r>
          </w:p>
        </w:tc>
        <w:tc>
          <w:tcPr>
            <w:tcW w:type="dxa" w:w="1037"/>
          </w:tcPr>
          <w:p>
            <w:pPr>
              <w:spacing w:after="20"/>
              <w:jc w:val="right"/>
            </w:pPr>
            <w:r>
              <w:rPr>
                <w:color w:val="1C3A36"/>
                <w:sz w:val="16"/>
              </w:rPr>
              <w:t>6,032</w:t>
            </w:r>
          </w:p>
        </w:tc>
        <w:tc>
          <w:tcPr>
            <w:tcW w:type="dxa" w:w="1037"/>
          </w:tcPr>
          <w:p>
            <w:pPr>
              <w:spacing w:after="20"/>
              <w:jc w:val="right"/>
            </w:pPr>
            <w:r>
              <w:rPr>
                <w:color w:val="1C3A36"/>
                <w:sz w:val="16"/>
              </w:rPr>
              <w:t>6,410</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344</w:t>
            </w:r>
          </w:p>
        </w:tc>
        <w:tc>
          <w:tcPr>
            <w:tcW w:type="dxa" w:w="1037"/>
          </w:tcPr>
          <w:p>
            <w:pPr>
              <w:spacing w:after="20"/>
              <w:jc w:val="right"/>
            </w:pPr>
            <w:r>
              <w:rPr>
                <w:color w:val="1C3A36"/>
                <w:sz w:val="16"/>
              </w:rPr>
              <w:t>404</w:t>
            </w:r>
          </w:p>
        </w:tc>
        <w:tc>
          <w:tcPr>
            <w:tcW w:type="dxa" w:w="1037"/>
          </w:tcPr>
          <w:p>
            <w:pPr>
              <w:spacing w:after="20"/>
              <w:jc w:val="right"/>
            </w:pPr>
            <w:r>
              <w:rPr>
                <w:color w:val="1C3A36"/>
                <w:sz w:val="16"/>
              </w:rPr>
              <w:t>472</w:t>
            </w:r>
          </w:p>
        </w:tc>
        <w:tc>
          <w:tcPr>
            <w:tcW w:type="dxa" w:w="1037"/>
          </w:tcPr>
          <w:p>
            <w:pPr>
              <w:spacing w:after="20"/>
              <w:jc w:val="right"/>
            </w:pPr>
            <w:r>
              <w:rPr>
                <w:color w:val="1C3A36"/>
                <w:sz w:val="16"/>
              </w:rPr>
              <w:t>541</w:t>
            </w:r>
          </w:p>
        </w:tc>
        <w:tc>
          <w:tcPr>
            <w:tcW w:type="dxa" w:w="1037"/>
          </w:tcPr>
          <w:p>
            <w:pPr>
              <w:spacing w:after="20"/>
              <w:jc w:val="right"/>
            </w:pPr>
            <w:r>
              <w:rPr>
                <w:color w:val="1C3A36"/>
                <w:sz w:val="16"/>
              </w:rPr>
              <w:t>615</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5,210</w:t>
            </w:r>
          </w:p>
        </w:tc>
        <w:tc>
          <w:tcPr>
            <w:tcW w:type="dxa" w:w="1037"/>
          </w:tcPr>
          <w:p>
            <w:pPr>
              <w:spacing w:after="20"/>
              <w:jc w:val="right"/>
            </w:pPr>
            <w:r>
              <w:rPr>
                <w:color w:val="1C3A36"/>
                <w:sz w:val="16"/>
              </w:rPr>
              <w:t>5,639</w:t>
            </w:r>
          </w:p>
        </w:tc>
        <w:tc>
          <w:tcPr>
            <w:tcW w:type="dxa" w:w="1037"/>
          </w:tcPr>
          <w:p>
            <w:pPr>
              <w:spacing w:after="20"/>
              <w:jc w:val="right"/>
            </w:pPr>
            <w:r>
              <w:rPr>
                <w:color w:val="1C3A36"/>
                <w:sz w:val="16"/>
              </w:rPr>
              <w:t>6,117</w:t>
            </w:r>
          </w:p>
        </w:tc>
        <w:tc>
          <w:tcPr>
            <w:tcW w:type="dxa" w:w="1037"/>
          </w:tcPr>
          <w:p>
            <w:pPr>
              <w:spacing w:after="20"/>
              <w:jc w:val="right"/>
            </w:pPr>
            <w:r>
              <w:rPr>
                <w:color w:val="1C3A36"/>
                <w:sz w:val="16"/>
              </w:rPr>
              <w:t>6,515</w:t>
            </w:r>
          </w:p>
        </w:tc>
        <w:tc>
          <w:tcPr>
            <w:tcW w:type="dxa" w:w="1037"/>
          </w:tcPr>
          <w:p>
            <w:pPr>
              <w:spacing w:after="20"/>
              <w:jc w:val="right"/>
            </w:pPr>
            <w:r>
              <w:rPr>
                <w:color w:val="1C3A36"/>
                <w:sz w:val="16"/>
              </w:rPr>
              <w:t>6,965</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39.0%</w:t>
            </w:r>
          </w:p>
        </w:tc>
        <w:tc>
          <w:tcPr>
            <w:tcW w:type="dxa" w:w="1037"/>
          </w:tcPr>
          <w:p>
            <w:pPr>
              <w:spacing w:after="20"/>
              <w:jc w:val="right"/>
            </w:pPr>
            <w:r>
              <w:rPr>
                <w:color w:val="1C3A36"/>
                <w:sz w:val="16"/>
              </w:rPr>
              <w:t>38.8%</w:t>
            </w:r>
          </w:p>
        </w:tc>
        <w:tc>
          <w:tcPr>
            <w:tcW w:type="dxa" w:w="1037"/>
          </w:tcPr>
          <w:p>
            <w:pPr>
              <w:spacing w:after="20"/>
              <w:jc w:val="right"/>
            </w:pPr>
            <w:r>
              <w:rPr>
                <w:color w:val="1C3A36"/>
                <w:sz w:val="16"/>
              </w:rPr>
              <w:t>38.7%</w:t>
            </w:r>
          </w:p>
        </w:tc>
        <w:tc>
          <w:tcPr>
            <w:tcW w:type="dxa" w:w="1037"/>
          </w:tcPr>
          <w:p>
            <w:pPr>
              <w:spacing w:after="20"/>
              <w:jc w:val="right"/>
            </w:pPr>
            <w:r>
              <w:rPr>
                <w:color w:val="1C3A36"/>
                <w:sz w:val="16"/>
              </w:rPr>
              <w:t>38.5%</w:t>
            </w:r>
          </w:p>
        </w:tc>
        <w:tc>
          <w:tcPr>
            <w:tcW w:type="dxa" w:w="1037"/>
          </w:tcPr>
          <w:p>
            <w:pPr>
              <w:spacing w:after="20"/>
              <w:jc w:val="right"/>
            </w:pPr>
            <w:r>
              <w:rPr>
                <w:color w:val="1C3A36"/>
                <w:sz w:val="16"/>
              </w:rPr>
              <w:t>38.5%</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127</w:t>
            </w:r>
          </w:p>
        </w:tc>
        <w:tc>
          <w:tcPr>
            <w:tcW w:type="dxa" w:w="1037"/>
          </w:tcPr>
          <w:p>
            <w:pPr>
              <w:spacing w:after="20"/>
              <w:jc w:val="right"/>
            </w:pPr>
            <w:r>
              <w:rPr>
                <w:color w:val="1C3A36"/>
                <w:sz w:val="16"/>
              </w:rPr>
              <w:t>247</w:t>
            </w:r>
          </w:p>
        </w:tc>
        <w:tc>
          <w:tcPr>
            <w:tcW w:type="dxa" w:w="1037"/>
          </w:tcPr>
          <w:p>
            <w:pPr>
              <w:spacing w:after="20"/>
              <w:jc w:val="right"/>
            </w:pPr>
            <w:r>
              <w:rPr>
                <w:color w:val="1C3A36"/>
                <w:sz w:val="16"/>
              </w:rPr>
              <w:t>376</w:t>
            </w:r>
          </w:p>
        </w:tc>
        <w:tc>
          <w:tcPr>
            <w:tcW w:type="dxa" w:w="1037"/>
          </w:tcPr>
          <w:p>
            <w:pPr>
              <w:spacing w:after="20"/>
              <w:jc w:val="right"/>
            </w:pPr>
            <w:r>
              <w:rPr>
                <w:color w:val="1C3A36"/>
                <w:sz w:val="16"/>
              </w:rPr>
              <w:t>511</w:t>
            </w:r>
          </w:p>
        </w:tc>
        <w:tc>
          <w:tcPr>
            <w:tcW w:type="dxa" w:w="1037"/>
          </w:tcPr>
          <w:p>
            <w:pPr>
              <w:spacing w:after="20"/>
              <w:jc w:val="right"/>
            </w:pPr>
            <w:r>
              <w:rPr>
                <w:color w:val="1C3A36"/>
                <w:sz w:val="16"/>
              </w:rPr>
              <w:t>671</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5,043</w:t>
            </w:r>
          </w:p>
        </w:tc>
        <w:tc>
          <w:tcPr>
            <w:tcW w:type="dxa" w:w="1037"/>
          </w:tcPr>
          <w:p>
            <w:pPr>
              <w:spacing w:after="20"/>
              <w:jc w:val="right"/>
            </w:pPr>
            <w:r>
              <w:rPr>
                <w:color w:val="1C3A36"/>
                <w:sz w:val="16"/>
              </w:rPr>
              <w:t>5,534</w:t>
            </w:r>
          </w:p>
        </w:tc>
        <w:tc>
          <w:tcPr>
            <w:tcW w:type="dxa" w:w="1037"/>
          </w:tcPr>
          <w:p>
            <w:pPr>
              <w:spacing w:after="20"/>
              <w:jc w:val="right"/>
            </w:pPr>
            <w:r>
              <w:rPr>
                <w:color w:val="1C3A36"/>
                <w:sz w:val="16"/>
              </w:rPr>
              <w:t>6,076</w:t>
            </w:r>
          </w:p>
        </w:tc>
        <w:tc>
          <w:tcPr>
            <w:tcW w:type="dxa" w:w="1037"/>
          </w:tcPr>
          <w:p>
            <w:pPr>
              <w:spacing w:after="20"/>
              <w:jc w:val="right"/>
            </w:pPr>
            <w:r>
              <w:rPr>
                <w:color w:val="1C3A36"/>
                <w:sz w:val="16"/>
              </w:rPr>
              <w:t>6,543</w:t>
            </w:r>
          </w:p>
        </w:tc>
        <w:tc>
          <w:tcPr>
            <w:tcW w:type="dxa" w:w="1037"/>
          </w:tcPr>
          <w:p>
            <w:pPr>
              <w:spacing w:after="20"/>
              <w:jc w:val="right"/>
            </w:pPr>
            <w:r>
              <w:rPr>
                <w:color w:val="1C3A36"/>
                <w:sz w:val="16"/>
              </w:rPr>
              <w:t>7,082</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(1,201)</w:t>
            </w:r>
          </w:p>
        </w:tc>
        <w:tc>
          <w:tcPr>
            <w:tcW w:type="dxa" w:w="1037"/>
          </w:tcPr>
          <w:p>
            <w:pPr>
              <w:spacing w:after="20"/>
              <w:jc w:val="right"/>
            </w:pPr>
            <w:r>
              <w:rPr>
                <w:color w:val="1C3A36"/>
                <w:sz w:val="16"/>
              </w:rPr>
              <w:t>(1,318)</w:t>
            </w:r>
          </w:p>
        </w:tc>
        <w:tc>
          <w:tcPr>
            <w:tcW w:type="dxa" w:w="1037"/>
          </w:tcPr>
          <w:p>
            <w:pPr>
              <w:spacing w:after="20"/>
              <w:jc w:val="right"/>
            </w:pPr>
            <w:r>
              <w:rPr>
                <w:color w:val="1C3A36"/>
                <w:sz w:val="16"/>
              </w:rPr>
              <w:t>(1,447)</w:t>
            </w:r>
          </w:p>
        </w:tc>
        <w:tc>
          <w:tcPr>
            <w:tcW w:type="dxa" w:w="1037"/>
          </w:tcPr>
          <w:p>
            <w:pPr>
              <w:spacing w:after="20"/>
              <w:jc w:val="right"/>
            </w:pPr>
            <w:r>
              <w:rPr>
                <w:color w:val="1C3A36"/>
                <w:sz w:val="16"/>
              </w:rPr>
              <w:t>(1,559)</w:t>
            </w:r>
          </w:p>
        </w:tc>
        <w:tc>
          <w:tcPr>
            <w:tcW w:type="dxa" w:w="1037"/>
          </w:tcPr>
          <w:p>
            <w:pPr>
              <w:spacing w:after="20"/>
              <w:jc w:val="right"/>
            </w:pPr>
            <w:r>
              <w:rPr>
                <w:color w:val="1C3A36"/>
                <w:sz w:val="16"/>
              </w:rPr>
              <w:t>(1,687)</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3,842</w:t>
            </w:r>
          </w:p>
        </w:tc>
        <w:tc>
          <w:tcPr>
            <w:tcW w:type="dxa" w:w="1037"/>
            <w:shd w:val="clear" w:color="auto" w:fill="F6F1E6"/>
          </w:tcPr>
          <w:p>
            <w:pPr>
              <w:spacing w:after="20"/>
              <w:jc w:val="right"/>
            </w:pPr>
            <w:r>
              <w:rPr>
                <w:b/>
                <w:color w:val="1C3A36"/>
                <w:sz w:val="16"/>
              </w:rPr>
              <w:t>4,216</w:t>
            </w:r>
          </w:p>
        </w:tc>
        <w:tc>
          <w:tcPr>
            <w:tcW w:type="dxa" w:w="1037"/>
            <w:shd w:val="clear" w:color="auto" w:fill="F6F1E6"/>
          </w:tcPr>
          <w:p>
            <w:pPr>
              <w:spacing w:after="20"/>
              <w:jc w:val="right"/>
            </w:pPr>
            <w:r>
              <w:rPr>
                <w:b/>
                <w:color w:val="1C3A36"/>
                <w:sz w:val="16"/>
              </w:rPr>
              <w:t>4,629</w:t>
            </w:r>
          </w:p>
        </w:tc>
        <w:tc>
          <w:tcPr>
            <w:tcW w:type="dxa" w:w="1037"/>
            <w:shd w:val="clear" w:color="auto" w:fill="F6F1E6"/>
          </w:tcPr>
          <w:p>
            <w:pPr>
              <w:spacing w:after="20"/>
              <w:jc w:val="right"/>
            </w:pPr>
            <w:r>
              <w:rPr>
                <w:b/>
                <w:color w:val="1C3A36"/>
                <w:sz w:val="16"/>
              </w:rPr>
              <w:t>4,985</w:t>
            </w:r>
          </w:p>
        </w:tc>
        <w:tc>
          <w:tcPr>
            <w:tcW w:type="dxa" w:w="1037"/>
            <w:shd w:val="clear" w:color="auto" w:fill="F6F1E6"/>
          </w:tcPr>
          <w:p>
            <w:pPr>
              <w:spacing w:after="20"/>
              <w:jc w:val="right"/>
            </w:pPr>
            <w:r>
              <w:rPr>
                <w:b/>
                <w:color w:val="1C3A36"/>
                <w:sz w:val="16"/>
              </w:rPr>
              <w:t>5,395</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10.25</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12.35</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14.39</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8,487</w:t>
            </w:r>
          </w:p>
        </w:tc>
        <w:tc>
          <w:tcPr>
            <w:tcW w:type="dxa" w:w="1037"/>
            <w:shd w:val="clear" w:color="auto" w:fill="F6F1E6"/>
          </w:tcPr>
          <w:p>
            <w:pPr>
              <w:spacing w:after="20"/>
              <w:jc w:val="right"/>
            </w:pPr>
            <w:r>
              <w:rPr>
                <w:b/>
                <w:color w:val="1C3A36"/>
                <w:sz w:val="16"/>
              </w:rPr>
              <w:t>10,359</w:t>
            </w:r>
          </w:p>
        </w:tc>
        <w:tc>
          <w:tcPr>
            <w:tcW w:type="dxa" w:w="1037"/>
            <w:shd w:val="clear" w:color="auto" w:fill="F6F1E6"/>
          </w:tcPr>
          <w:p>
            <w:pPr>
              <w:spacing w:after="20"/>
              <w:jc w:val="right"/>
            </w:pPr>
            <w:r>
              <w:rPr>
                <w:b/>
                <w:color w:val="1C3A36"/>
                <w:sz w:val="16"/>
              </w:rPr>
              <w:t>12,414</w:t>
            </w:r>
          </w:p>
        </w:tc>
        <w:tc>
          <w:tcPr>
            <w:tcW w:type="dxa" w:w="1037"/>
            <w:shd w:val="clear" w:color="auto" w:fill="F6F1E6"/>
          </w:tcPr>
          <w:p>
            <w:pPr>
              <w:spacing w:after="20"/>
              <w:jc w:val="right"/>
            </w:pPr>
            <w:r>
              <w:rPr>
                <w:b/>
                <w:color w:val="1C3A36"/>
                <w:sz w:val="16"/>
              </w:rPr>
              <w:t>14,627</w:t>
            </w:r>
          </w:p>
        </w:tc>
        <w:tc>
          <w:tcPr>
            <w:tcW w:type="dxa" w:w="1037"/>
            <w:shd w:val="clear" w:color="auto" w:fill="F6F1E6"/>
          </w:tcPr>
          <w:p>
            <w:pPr>
              <w:spacing w:after="20"/>
              <w:jc w:val="right"/>
            </w:pPr>
            <w:r>
              <w:rPr>
                <w:b/>
                <w:color w:val="1C3A36"/>
                <w:sz w:val="16"/>
              </w:rPr>
              <w:t>17,022</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2,582</w:t>
            </w:r>
          </w:p>
        </w:tc>
        <w:tc>
          <w:tcPr>
            <w:tcW w:type="dxa" w:w="1037"/>
          </w:tcPr>
          <w:p>
            <w:pPr>
              <w:spacing w:after="20"/>
              <w:jc w:val="right"/>
            </w:pPr>
            <w:r>
              <w:rPr>
                <w:color w:val="1C3A36"/>
                <w:sz w:val="16"/>
              </w:rPr>
              <w:t>3,857</w:t>
            </w:r>
          </w:p>
        </w:tc>
        <w:tc>
          <w:tcPr>
            <w:tcW w:type="dxa" w:w="1037"/>
          </w:tcPr>
          <w:p>
            <w:pPr>
              <w:spacing w:after="20"/>
              <w:jc w:val="right"/>
            </w:pPr>
            <w:r>
              <w:rPr>
                <w:color w:val="1C3A36"/>
                <w:sz w:val="16"/>
              </w:rPr>
              <w:t>5,332</w:t>
            </w:r>
          </w:p>
        </w:tc>
        <w:tc>
          <w:tcPr>
            <w:tcW w:type="dxa" w:w="1037"/>
          </w:tcPr>
          <w:p>
            <w:pPr>
              <w:spacing w:after="20"/>
              <w:jc w:val="right"/>
            </w:pPr>
            <w:r>
              <w:rPr>
                <w:color w:val="1C3A36"/>
                <w:sz w:val="16"/>
              </w:rPr>
              <w:t>7,002</w:t>
            </w:r>
          </w:p>
        </w:tc>
        <w:tc>
          <w:tcPr>
            <w:tcW w:type="dxa" w:w="1037"/>
          </w:tcPr>
          <w:p>
            <w:pPr>
              <w:spacing w:after="20"/>
              <w:jc w:val="right"/>
            </w:pPr>
            <w:r>
              <w:rPr>
                <w:color w:val="1C3A36"/>
                <w:sz w:val="16"/>
              </w:rPr>
              <w:t>8,882</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-1,447</w:t>
            </w:r>
          </w:p>
        </w:tc>
        <w:tc>
          <w:tcPr>
            <w:tcW w:type="dxa" w:w="1037"/>
          </w:tcPr>
          <w:p>
            <w:pPr>
              <w:spacing w:after="20"/>
              <w:jc w:val="right"/>
            </w:pPr>
            <w:r>
              <w:rPr>
                <w:color w:val="1C3A36"/>
                <w:sz w:val="16"/>
              </w:rPr>
              <w:t>-2,722</w:t>
            </w:r>
          </w:p>
        </w:tc>
        <w:tc>
          <w:tcPr>
            <w:tcW w:type="dxa" w:w="1037"/>
          </w:tcPr>
          <w:p>
            <w:pPr>
              <w:spacing w:after="20"/>
              <w:jc w:val="right"/>
            </w:pPr>
            <w:r>
              <w:rPr>
                <w:color w:val="1C3A36"/>
                <w:sz w:val="16"/>
              </w:rPr>
              <w:t>-4,197</w:t>
            </w:r>
          </w:p>
        </w:tc>
        <w:tc>
          <w:tcPr>
            <w:tcW w:type="dxa" w:w="1037"/>
          </w:tcPr>
          <w:p>
            <w:pPr>
              <w:spacing w:after="20"/>
              <w:jc w:val="right"/>
            </w:pPr>
            <w:r>
              <w:rPr>
                <w:color w:val="1C3A36"/>
                <w:sz w:val="16"/>
              </w:rPr>
              <w:t>-5,867</w:t>
            </w:r>
          </w:p>
        </w:tc>
        <w:tc>
          <w:tcPr>
            <w:tcW w:type="dxa" w:w="1037"/>
          </w:tcPr>
          <w:p>
            <w:pPr>
              <w:spacing w:after="20"/>
              <w:jc w:val="right"/>
            </w:pPr>
            <w:r>
              <w:rPr>
                <w:color w:val="1C3A36"/>
                <w:sz w:val="16"/>
              </w:rPr>
              <w:t>-7,747</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4,347</w:t>
            </w:r>
          </w:p>
        </w:tc>
        <w:tc>
          <w:tcPr>
            <w:tcW w:type="dxa" w:w="1037"/>
          </w:tcPr>
          <w:p>
            <w:pPr>
              <w:spacing w:after="20"/>
              <w:jc w:val="right"/>
            </w:pPr>
            <w:r>
              <w:rPr>
                <w:color w:val="1C3A36"/>
                <w:sz w:val="16"/>
              </w:rPr>
              <w:t>6,218</w:t>
            </w:r>
          </w:p>
        </w:tc>
        <w:tc>
          <w:tcPr>
            <w:tcW w:type="dxa" w:w="1037"/>
          </w:tcPr>
          <w:p>
            <w:pPr>
              <w:spacing w:after="20"/>
              <w:jc w:val="right"/>
            </w:pPr>
            <w:r>
              <w:rPr>
                <w:color w:val="1C3A36"/>
                <w:sz w:val="16"/>
              </w:rPr>
              <w:t>8,274</w:t>
            </w:r>
          </w:p>
        </w:tc>
        <w:tc>
          <w:tcPr>
            <w:tcW w:type="dxa" w:w="1037"/>
          </w:tcPr>
          <w:p>
            <w:pPr>
              <w:spacing w:after="20"/>
              <w:jc w:val="right"/>
            </w:pPr>
            <w:r>
              <w:rPr>
                <w:color w:val="1C3A36"/>
                <w:sz w:val="16"/>
              </w:rPr>
              <w:t>10,487</w:t>
            </w:r>
          </w:p>
        </w:tc>
        <w:tc>
          <w:tcPr>
            <w:tcW w:type="dxa" w:w="1037"/>
          </w:tcPr>
          <w:p>
            <w:pPr>
              <w:spacing w:after="20"/>
              <w:jc w:val="right"/>
            </w:pPr>
            <w:r>
              <w:rPr>
                <w:color w:val="1C3A36"/>
                <w:sz w:val="16"/>
              </w:rPr>
              <w:t>12,882</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11.60</w:t>
            </w:r>
          </w:p>
        </w:tc>
        <w:tc>
          <w:tcPr>
            <w:tcW w:type="dxa" w:w="1037"/>
          </w:tcPr>
          <w:p>
            <w:pPr>
              <w:spacing w:after="20"/>
              <w:jc w:val="right"/>
            </w:pPr>
            <w:r>
              <w:rPr>
                <w:color w:val="1C3A36"/>
                <w:sz w:val="16"/>
              </w:rPr>
              <w:t>16.59</w:t>
            </w:r>
          </w:p>
        </w:tc>
        <w:tc>
          <w:tcPr>
            <w:tcW w:type="dxa" w:w="1037"/>
          </w:tcPr>
          <w:p>
            <w:pPr>
              <w:spacing w:after="20"/>
              <w:jc w:val="right"/>
            </w:pPr>
            <w:r>
              <w:rPr>
                <w:color w:val="1C3A36"/>
                <w:sz w:val="16"/>
              </w:rPr>
              <w:t>22.07</w:t>
            </w:r>
          </w:p>
        </w:tc>
        <w:tc>
          <w:tcPr>
            <w:tcW w:type="dxa" w:w="1037"/>
          </w:tcPr>
          <w:p>
            <w:pPr>
              <w:spacing w:after="20"/>
              <w:jc w:val="right"/>
            </w:pPr>
            <w:r>
              <w:rPr>
                <w:color w:val="1C3A36"/>
                <w:sz w:val="16"/>
              </w:rPr>
              <w:t>27.97</w:t>
            </w:r>
          </w:p>
        </w:tc>
        <w:tc>
          <w:tcPr>
            <w:tcW w:type="dxa" w:w="1037"/>
          </w:tcPr>
          <w:p>
            <w:pPr>
              <w:spacing w:after="20"/>
              <w:jc w:val="right"/>
            </w:pPr>
            <w:r>
              <w:rPr>
                <w:color w:val="1C3A36"/>
                <w:sz w:val="16"/>
              </w:rPr>
              <w:t>34.36</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88.4%</w:t>
            </w:r>
          </w:p>
        </w:tc>
        <w:tc>
          <w:tcPr>
            <w:tcW w:type="dxa" w:w="1037"/>
          </w:tcPr>
          <w:p>
            <w:pPr>
              <w:spacing w:after="20"/>
              <w:jc w:val="right"/>
            </w:pPr>
            <w:r>
              <w:rPr>
                <w:color w:val="1C3A36"/>
                <w:sz w:val="16"/>
              </w:rPr>
              <w:t>67.8%</w:t>
            </w:r>
          </w:p>
        </w:tc>
        <w:tc>
          <w:tcPr>
            <w:tcW w:type="dxa" w:w="1037"/>
          </w:tcPr>
          <w:p>
            <w:pPr>
              <w:spacing w:after="20"/>
              <w:jc w:val="right"/>
            </w:pPr>
            <w:r>
              <w:rPr>
                <w:color w:val="1C3A36"/>
                <w:sz w:val="16"/>
              </w:rPr>
              <w:t>55.9%</w:t>
            </w:r>
          </w:p>
        </w:tc>
        <w:tc>
          <w:tcPr>
            <w:tcW w:type="dxa" w:w="1037"/>
          </w:tcPr>
          <w:p>
            <w:pPr>
              <w:spacing w:after="20"/>
              <w:jc w:val="right"/>
            </w:pPr>
            <w:r>
              <w:rPr>
                <w:color w:val="1C3A36"/>
                <w:sz w:val="16"/>
              </w:rPr>
              <w:t>47.5%</w:t>
            </w:r>
          </w:p>
        </w:tc>
        <w:tc>
          <w:tcPr>
            <w:tcW w:type="dxa" w:w="1037"/>
          </w:tcPr>
          <w:p>
            <w:pPr>
              <w:spacing w:after="20"/>
              <w:jc w:val="right"/>
            </w:pPr>
            <w:r>
              <w:rPr>
                <w:color w:val="1C3A36"/>
                <w:sz w:val="16"/>
              </w:rPr>
              <w:t>41.9%</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4,216</w:t>
            </w:r>
          </w:p>
        </w:tc>
        <w:tc>
          <w:tcPr>
            <w:tcW w:type="dxa" w:w="1325"/>
          </w:tcPr>
          <w:p>
            <w:pPr>
              <w:spacing w:after="20"/>
              <w:jc w:val="right"/>
            </w:pPr>
            <w:r>
              <w:rPr>
                <w:color w:val="1C3A36"/>
                <w:sz w:val="17"/>
              </w:rPr>
              <w:t>4,629</w:t>
            </w:r>
          </w:p>
        </w:tc>
        <w:tc>
          <w:tcPr>
            <w:tcW w:type="dxa" w:w="1325"/>
          </w:tcPr>
          <w:p>
            <w:pPr>
              <w:spacing w:after="20"/>
              <w:jc w:val="right"/>
            </w:pPr>
            <w:r>
              <w:rPr>
                <w:color w:val="1C3A36"/>
                <w:sz w:val="17"/>
              </w:rPr>
              <w:t>4,985</w:t>
            </w:r>
          </w:p>
        </w:tc>
        <w:tc>
          <w:tcPr>
            <w:tcW w:type="dxa" w:w="1325"/>
          </w:tcPr>
          <w:p>
            <w:pPr>
              <w:spacing w:after="20"/>
              <w:jc w:val="right"/>
            </w:pPr>
            <w:r>
              <w:rPr>
                <w:color w:val="1C3A36"/>
                <w:sz w:val="17"/>
              </w:rPr>
              <w:t>5,395</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404</w:t>
            </w:r>
          </w:p>
        </w:tc>
        <w:tc>
          <w:tcPr>
            <w:tcW w:type="dxa" w:w="1325"/>
          </w:tcPr>
          <w:p>
            <w:pPr>
              <w:spacing w:after="20"/>
              <w:jc w:val="right"/>
            </w:pPr>
            <w:r>
              <w:rPr>
                <w:color w:val="1C3A36"/>
                <w:sz w:val="17"/>
              </w:rPr>
              <w:t>472</w:t>
            </w:r>
          </w:p>
        </w:tc>
        <w:tc>
          <w:tcPr>
            <w:tcW w:type="dxa" w:w="1325"/>
          </w:tcPr>
          <w:p>
            <w:pPr>
              <w:spacing w:after="20"/>
              <w:jc w:val="right"/>
            </w:pPr>
            <w:r>
              <w:rPr>
                <w:color w:val="1C3A36"/>
                <w:sz w:val="17"/>
              </w:rPr>
              <w:t>541</w:t>
            </w:r>
          </w:p>
        </w:tc>
        <w:tc>
          <w:tcPr>
            <w:tcW w:type="dxa" w:w="1325"/>
          </w:tcPr>
          <w:p>
            <w:pPr>
              <w:spacing w:after="20"/>
              <w:jc w:val="right"/>
            </w:pPr>
            <w:r>
              <w:rPr>
                <w:color w:val="1C3A36"/>
                <w:sz w:val="17"/>
              </w:rPr>
              <w:t>615</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-151</w:t>
            </w:r>
          </w:p>
        </w:tc>
        <w:tc>
          <w:tcPr>
            <w:tcW w:type="dxa" w:w="1325"/>
          </w:tcPr>
          <w:p>
            <w:pPr>
              <w:spacing w:after="20"/>
              <w:jc w:val="right"/>
            </w:pPr>
            <w:r>
              <w:rPr>
                <w:color w:val="1C3A36"/>
                <w:sz w:val="17"/>
              </w:rPr>
              <w:t>-137</w:t>
            </w:r>
          </w:p>
        </w:tc>
        <w:tc>
          <w:tcPr>
            <w:tcW w:type="dxa" w:w="1325"/>
          </w:tcPr>
          <w:p>
            <w:pPr>
              <w:spacing w:after="20"/>
              <w:jc w:val="right"/>
            </w:pPr>
            <w:r>
              <w:rPr>
                <w:color w:val="1C3A36"/>
                <w:sz w:val="17"/>
              </w:rPr>
              <w:t>-137</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-817</w:t>
            </w:r>
          </w:p>
        </w:tc>
        <w:tc>
          <w:tcPr>
            <w:tcW w:type="dxa" w:w="1325"/>
          </w:tcPr>
          <w:p>
            <w:pPr>
              <w:spacing w:after="20"/>
              <w:jc w:val="right"/>
            </w:pPr>
            <w:r>
              <w:rPr>
                <w:color w:val="1C3A36"/>
                <w:sz w:val="17"/>
              </w:rPr>
              <w:t>-858</w:t>
            </w:r>
          </w:p>
        </w:tc>
        <w:tc>
          <w:tcPr>
            <w:tcW w:type="dxa" w:w="1325"/>
          </w:tcPr>
          <w:p>
            <w:pPr>
              <w:spacing w:after="20"/>
              <w:jc w:val="right"/>
            </w:pPr>
            <w:r>
              <w:rPr>
                <w:color w:val="1C3A36"/>
                <w:sz w:val="17"/>
              </w:rPr>
              <w:t>-901</w:t>
            </w:r>
          </w:p>
        </w:tc>
        <w:tc>
          <w:tcPr>
            <w:tcW w:type="dxa" w:w="1325"/>
          </w:tcPr>
          <w:p>
            <w:pPr>
              <w:spacing w:after="20"/>
              <w:jc w:val="right"/>
            </w:pPr>
            <w:r>
              <w:rPr>
                <w:color w:val="1C3A36"/>
                <w:sz w:val="17"/>
              </w:rPr>
              <w:t>-946</w:t>
            </w:r>
          </w:p>
        </w:tc>
        <w:tc>
          <w:tcPr>
            <w:tcW w:type="dxa" w:w="1325"/>
          </w:tcPr>
          <w:p>
            <w:pPr>
              <w:spacing w:after="20"/>
              <w:jc w:val="right"/>
            </w:pPr>
            <w:r>
              <w:rPr>
                <w:color w:val="1C3A36"/>
                <w:sz w:val="17"/>
              </w:rPr>
              <w:t>-993</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-2,344</w:t>
            </w:r>
          </w:p>
        </w:tc>
        <w:tc>
          <w:tcPr>
            <w:tcW w:type="dxa" w:w="1325"/>
          </w:tcPr>
          <w:p>
            <w:pPr>
              <w:spacing w:after="20"/>
              <w:jc w:val="right"/>
            </w:pPr>
            <w:r>
              <w:rPr>
                <w:color w:val="1C3A36"/>
                <w:sz w:val="17"/>
              </w:rPr>
              <w:t>-2,574</w:t>
            </w:r>
          </w:p>
        </w:tc>
        <w:tc>
          <w:tcPr>
            <w:tcW w:type="dxa" w:w="1325"/>
          </w:tcPr>
          <w:p>
            <w:pPr>
              <w:spacing w:after="20"/>
              <w:jc w:val="right"/>
            </w:pPr>
            <w:r>
              <w:rPr>
                <w:color w:val="1C3A36"/>
                <w:sz w:val="17"/>
              </w:rPr>
              <w:t>-2,771</w:t>
            </w:r>
          </w:p>
        </w:tc>
        <w:tc>
          <w:tcPr>
            <w:tcW w:type="dxa" w:w="1325"/>
          </w:tcPr>
          <w:p>
            <w:pPr>
              <w:spacing w:after="20"/>
              <w:jc w:val="right"/>
            </w:pPr>
            <w:r>
              <w:rPr>
                <w:color w:val="1C3A36"/>
                <w:sz w:val="17"/>
              </w:rPr>
              <w:t>-3,000</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2,582</w:t>
            </w:r>
          </w:p>
        </w:tc>
        <w:tc>
          <w:tcPr>
            <w:tcW w:type="dxa" w:w="1325"/>
            <w:shd w:val="clear" w:color="auto" w:fill="F6F1E6"/>
          </w:tcPr>
          <w:p>
            <w:pPr>
              <w:spacing w:after="20"/>
              <w:jc w:val="right"/>
            </w:pPr>
            <w:r>
              <w:rPr>
                <w:b/>
                <w:color w:val="1C3A36"/>
                <w:sz w:val="17"/>
              </w:rPr>
              <w:t>3,857</w:t>
            </w:r>
          </w:p>
        </w:tc>
        <w:tc>
          <w:tcPr>
            <w:tcW w:type="dxa" w:w="1325"/>
            <w:shd w:val="clear" w:color="auto" w:fill="F6F1E6"/>
          </w:tcPr>
          <w:p>
            <w:pPr>
              <w:spacing w:after="20"/>
              <w:jc w:val="right"/>
            </w:pPr>
            <w:r>
              <w:rPr>
                <w:b/>
                <w:color w:val="1C3A36"/>
                <w:sz w:val="17"/>
              </w:rPr>
              <w:t>5,332</w:t>
            </w:r>
          </w:p>
        </w:tc>
        <w:tc>
          <w:tcPr>
            <w:tcW w:type="dxa" w:w="1325"/>
            <w:shd w:val="clear" w:color="auto" w:fill="F6F1E6"/>
          </w:tcPr>
          <w:p>
            <w:pPr>
              <w:spacing w:after="20"/>
              <w:jc w:val="right"/>
            </w:pPr>
            <w:r>
              <w:rPr>
                <w:b/>
                <w:color w:val="1C3A36"/>
                <w:sz w:val="17"/>
              </w:rPr>
              <w:t>7,002</w:t>
            </w:r>
          </w:p>
        </w:tc>
        <w:tc>
          <w:tcPr>
            <w:tcW w:type="dxa" w:w="1325"/>
            <w:shd w:val="clear" w:color="auto" w:fill="F6F1E6"/>
          </w:tcPr>
          <w:p>
            <w:pPr>
              <w:spacing w:after="20"/>
              <w:jc w:val="right"/>
            </w:pPr>
            <w:r>
              <w:rPr>
                <w:b/>
                <w:color w:val="1C3A36"/>
                <w:sz w:val="17"/>
              </w:rPr>
              <w:t>8,882</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1,582</w:t>
            </w:r>
          </w:p>
        </w:tc>
        <w:tc>
          <w:tcPr>
            <w:tcW w:type="dxa" w:w="1325"/>
          </w:tcPr>
          <w:p>
            <w:pPr>
              <w:spacing w:after="20"/>
              <w:jc w:val="right"/>
            </w:pPr>
            <w:r>
              <w:rPr>
                <w:color w:val="1C3A36"/>
                <w:sz w:val="17"/>
              </w:rPr>
              <w:t>3,432</w:t>
            </w:r>
          </w:p>
        </w:tc>
        <w:tc>
          <w:tcPr>
            <w:tcW w:type="dxa" w:w="1325"/>
          </w:tcPr>
          <w:p>
            <w:pPr>
              <w:spacing w:after="20"/>
              <w:jc w:val="right"/>
            </w:pPr>
            <w:r>
              <w:rPr>
                <w:color w:val="1C3A36"/>
                <w:sz w:val="17"/>
              </w:rPr>
              <w:t>3,762</w:t>
            </w:r>
          </w:p>
        </w:tc>
        <w:tc>
          <w:tcPr>
            <w:tcW w:type="dxa" w:w="1325"/>
          </w:tcPr>
          <w:p>
            <w:pPr>
              <w:spacing w:after="20"/>
              <w:jc w:val="right"/>
            </w:pPr>
            <w:r>
              <w:rPr>
                <w:color w:val="1C3A36"/>
                <w:sz w:val="17"/>
              </w:rPr>
              <w:t>4,052</w:t>
            </w:r>
          </w:p>
        </w:tc>
        <w:tc>
          <w:tcPr>
            <w:tcW w:type="dxa" w:w="1325"/>
          </w:tcPr>
          <w:p>
            <w:pPr>
              <w:spacing w:after="20"/>
              <w:jc w:val="right"/>
            </w:pPr>
            <w:r>
              <w:rPr>
                <w:color w:val="1C3A36"/>
                <w:sz w:val="17"/>
              </w:rPr>
              <w:t>4,367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55.51 to EGP 75.63, central EGP 65.57 (+11.1%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85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42.81 to EGP 56.47, central EGP 49.64 (-15.9%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53.90 to EGP 71.25, central EGP 61.33 (+4.0%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3903mn; required at a 17.5% cash return that is a business worth EGP 22305mn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53.90.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+11.1%</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-15.9%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53.90</w:t>
            </w:r>
          </w:p>
        </w:tc>
        <w:tc>
          <w:tcPr>
            <w:tcW w:type="dxa" w:w="1656"/>
          </w:tcPr>
          <w:p>
            <w:pPr>
              <w:spacing w:after="20"/>
              <w:jc w:val="right"/>
            </w:pPr>
            <w:r>
              <w:rPr>
                <w:color w:val="1C3A36"/>
                <w:sz w:val="18"/>
              </w:rPr>
              <w:t>61.33</w:t>
            </w:r>
          </w:p>
        </w:tc>
        <w:tc>
          <w:tcPr>
            <w:tcW w:type="dxa" w:w="1469"/>
          </w:tcPr>
          <w:p>
            <w:pPr>
              <w:spacing w:after="20"/>
              <w:jc w:val="right"/>
            </w:pPr>
            <w:r>
              <w:rPr>
                <w:color w:val="1C3A36"/>
                <w:sz w:val="18"/>
              </w:rPr>
              <w:t>71.25</w:t>
            </w:r>
          </w:p>
        </w:tc>
        <w:tc>
          <w:tcPr>
            <w:tcW w:type="dxa" w:w="1354"/>
          </w:tcPr>
          <w:p>
            <w:pPr>
              <w:spacing w:after="20"/>
              <w:jc w:val="right"/>
            </w:pPr>
            <w:r>
              <w:rPr>
                <w:color w:val="1C3A36"/>
                <w:sz w:val="18"/>
              </w:rPr>
              <w:t>+4.0%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61.33</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+4.0%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