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6</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7</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12</w:t>
            </w:r>
          </w:p>
        </w:tc>
        <w:tc>
          <w:tcPr>
            <w:tcW w:type="dxa" w:w="2448"/>
          </w:tcPr>
          <w:p>
            <w:pPr>
              <w:spacing w:after="20"/>
            </w:pPr>
            <w:r>
              <w:rPr>
                <w:color w:val="1C3A36"/>
                <w:sz w:val="14"/>
              </w:rPr>
              <w:t>clinker_factor</w:t>
            </w:r>
          </w:p>
        </w:tc>
        <w:tc>
          <w:tcPr>
            <w:tcW w:type="dxa" w:w="1325"/>
          </w:tcPr>
          <w:p>
            <w:pPr>
              <w:spacing w:after="20"/>
            </w:pPr>
            <w:r>
              <w:rPr>
                <w:color w:val="1C3A36"/>
                <w:sz w:val="14"/>
              </w:rPr>
              <w:t>0.84</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observed from the disclosed capacity pair (4.2/5.0). Carried as an independent lever because blending is a real operating decision and the company is pursuing it</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16</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18</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19</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20</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21</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22</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23</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24</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26</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28</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29</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30</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31</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32</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34</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35</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37</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38</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40</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41</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43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45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46</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48</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49</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51</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56</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57</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58</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59</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60</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62</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65</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66</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67</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68</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70</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71</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72</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73</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74</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75</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76</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79</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80</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81</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83</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84</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85</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87</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88</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89</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90</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91</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94</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95</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97</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100</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101</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102</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104</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Cross-check against disclosure: FY2025 capex of EGP 796.471mn on 5.0Mt at an average USD/EGP of 49.26 is USD 3.23/t, and FY2024's EGP 912.015mn is USD 4.11/t — but both years carry the alternative-fuel and silo programmes, so the maintenance level is set at the middle of that band and held</w:t>
            </w:r>
          </w:p>
        </w:tc>
        <w:tc>
          <w:tcPr>
            <w:tcW w:type="dxa" w:w="1210"/>
          </w:tcPr>
          <w:p>
            <w:pPr>
              <w:spacing w:after="20"/>
            </w:pPr>
            <w:r>
              <w:rPr>
                <w:color w:val="1C3A36"/>
                <w:sz w:val="14"/>
              </w:rPr>
              <w:t>2026-08-06</w:t>
            </w:r>
          </w:p>
        </w:tc>
      </w:tr>
      <w:tr>
        <w:tc>
          <w:tcPr>
            <w:tcW w:type="dxa" w:w="432"/>
          </w:tcPr>
          <w:p>
            <w:pPr>
              <w:spacing w:after="20"/>
            </w:pPr>
            <w:r>
              <w:rPr>
                <w:color w:val="1C3A36"/>
                <w:sz w:val="14"/>
              </w:rPr>
              <w:t>106</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107</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cement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108</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109</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110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111</w:t>
            </w:r>
          </w:p>
        </w:tc>
        <w:tc>
          <w:tcPr>
            <w:tcW w:type="dxa" w:w="2448"/>
          </w:tcPr>
          <w:p>
            <w:pPr>
              <w:spacing w:after="20"/>
            </w:pPr>
            <w:r>
              <w:rPr>
                <w:color w:val="1C3A36"/>
                <w:sz w:val="14"/>
              </w:rPr>
              <w:t>exp_share_vol</w:t>
            </w:r>
          </w:p>
        </w:tc>
        <w:tc>
          <w:tcPr>
            <w:tcW w:type="dxa" w:w="1325"/>
          </w:tcPr>
          <w:p>
            <w:pPr>
              <w:spacing w:after="20"/>
            </w:pPr>
            <w:r>
              <w:rPr>
                <w:color w:val="1C3A36"/>
                <w:sz w:val="14"/>
              </w:rPr>
              <w:t>0.3153, 0.31, 0.3, 0.295, 0.29, 0.285</w:t>
            </w:r>
          </w:p>
        </w:tc>
        <w:tc>
          <w:tcPr>
            <w:tcW w:type="dxa" w:w="1066"/>
          </w:tcPr>
          <w:p>
            <w:pPr>
              <w:spacing w:after="20"/>
            </w:pPr>
            <w:r>
              <w:rPr>
                <w:color w:val="1C3A36"/>
                <w:sz w:val="14"/>
              </w:rPr>
              <w:t>Industry</w:t>
            </w:r>
          </w:p>
        </w:tc>
        <w:tc>
          <w:tcPr>
            <w:tcW w:type="dxa" w:w="7171"/>
          </w:tcPr>
          <w:p>
            <w:pPr>
              <w:spacing w:after="20"/>
            </w:pPr>
            <w:r>
              <w:rPr>
                <w:color w:val="1C3A36"/>
                <w:sz w:val="14"/>
              </w:rPr>
              <w:t>Export share of despatched volume. FY2025 is derived from the disclosed split and sits just above the 30% statutory export cap; the path drifts back to the cap as domestic demand absorbs more tonnes</w:t>
            </w:r>
          </w:p>
        </w:tc>
        <w:tc>
          <w:tcPr>
            <w:tcW w:type="dxa" w:w="1210"/>
          </w:tcPr>
          <w:p>
            <w:pPr>
              <w:spacing w:after="20"/>
            </w:pPr>
            <w:r>
              <w:rPr>
                <w:color w:val="1C3A36"/>
                <w:sz w:val="14"/>
              </w:rPr>
              <w:t>2026-01-01</w:t>
            </w:r>
          </w:p>
        </w:tc>
      </w:tr>
      <w:tr>
        <w:tc>
          <w:tcPr>
            <w:tcW w:type="dxa" w:w="432"/>
          </w:tcPr>
          <w:p>
            <w:pPr>
              <w:spacing w:after="20"/>
            </w:pPr>
            <w:r>
              <w:rPr>
                <w:color w:val="1C3A36"/>
                <w:sz w:val="14"/>
              </w:rPr>
              <w:t>112</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113</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114</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115</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116</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117</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118</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119</w:t>
            </w:r>
          </w:p>
        </w:tc>
        <w:tc>
          <w:tcPr>
            <w:tcW w:type="dxa" w:w="2448"/>
          </w:tcPr>
          <w:p>
            <w:pPr>
              <w:spacing w:after="20"/>
            </w:pPr>
            <w:r>
              <w:rPr>
                <w:color w:val="1C3A36"/>
                <w:sz w:val="14"/>
              </w:rPr>
              <w:t>price_exp_usd_t</w:t>
            </w:r>
          </w:p>
        </w:tc>
        <w:tc>
          <w:tcPr>
            <w:tcW w:type="dxa" w:w="1325"/>
          </w:tcPr>
          <w:p>
            <w:pPr>
              <w:spacing w:after="20"/>
            </w:pPr>
            <w:r>
              <w:rPr>
                <w:color w:val="1C3A36"/>
                <w:sz w:val="14"/>
              </w:rPr>
              <w:t>62</w:t>
            </w:r>
          </w:p>
        </w:tc>
        <w:tc>
          <w:tcPr>
            <w:tcW w:type="dxa" w:w="1066"/>
          </w:tcPr>
          <w:p>
            <w:pPr>
              <w:spacing w:after="20"/>
            </w:pPr>
            <w:r>
              <w:rPr>
                <w:color w:val="1C3A36"/>
                <w:sz w:val="14"/>
              </w:rPr>
              <w:t>Industry</w:t>
            </w:r>
          </w:p>
        </w:tc>
        <w:tc>
          <w:tcPr>
            <w:tcW w:type="dxa" w:w="7171"/>
          </w:tcPr>
          <w:p>
            <w:pPr>
              <w:spacing w:after="20"/>
            </w:pPr>
            <w:r>
              <w:rPr>
                <w:color w:val="1C3A36"/>
                <w:sz w:val="14"/>
              </w:rPr>
              <w:t>Export price per tonne free on board. Volume is DERIVED from this and the disclosed export revenue</w:t>
            </w:r>
          </w:p>
        </w:tc>
        <w:tc>
          <w:tcPr>
            <w:tcW w:type="dxa" w:w="1210"/>
          </w:tcPr>
          <w:p>
            <w:pPr>
              <w:spacing w:after="20"/>
            </w:pPr>
            <w:r>
              <w:rPr>
                <w:color w:val="1C3A36"/>
                <w:sz w:val="14"/>
              </w:rPr>
              <w:t>2026-01-15</w:t>
            </w:r>
          </w:p>
        </w:tc>
      </w:tr>
      <w:tr>
        <w:tc>
          <w:tcPr>
            <w:tcW w:type="dxa" w:w="432"/>
          </w:tcPr>
          <w:p>
            <w:pPr>
              <w:spacing w:after="20"/>
            </w:pPr>
            <w:r>
              <w:rPr>
                <w:color w:val="1C3A36"/>
                <w:sz w:val="14"/>
              </w:rPr>
              <w:t>120</w:t>
            </w:r>
          </w:p>
        </w:tc>
        <w:tc>
          <w:tcPr>
            <w:tcW w:type="dxa" w:w="2448"/>
          </w:tcPr>
          <w:p>
            <w:pPr>
              <w:spacing w:after="20"/>
            </w:pPr>
            <w:r>
              <w:rPr>
                <w:color w:val="1C3A36"/>
                <w:sz w:val="14"/>
              </w:rPr>
              <w:t>price_local_egp_t</w:t>
            </w:r>
          </w:p>
        </w:tc>
        <w:tc>
          <w:tcPr>
            <w:tcW w:type="dxa" w:w="1325"/>
          </w:tcPr>
          <w:p>
            <w:pPr>
              <w:spacing w:after="20"/>
            </w:pPr>
            <w:r>
              <w:rPr>
                <w:color w:val="1C3A36"/>
                <w:sz w:val="14"/>
              </w:rPr>
              <w:t>3,500</w:t>
            </w:r>
          </w:p>
        </w:tc>
        <w:tc>
          <w:tcPr>
            <w:tcW w:type="dxa" w:w="1066"/>
          </w:tcPr>
          <w:p>
            <w:pPr>
              <w:spacing w:after="20"/>
            </w:pPr>
            <w:r>
              <w:rPr>
                <w:color w:val="1C3A36"/>
                <w:sz w:val="14"/>
              </w:rPr>
              <w:t>Industry</w:t>
            </w:r>
          </w:p>
        </w:tc>
        <w:tc>
          <w:tcPr>
            <w:tcW w:type="dxa" w:w="7171"/>
          </w:tcPr>
          <w:p>
            <w:pPr>
              <w:spacing w:after="20"/>
            </w:pPr>
            <w:r>
              <w:rPr>
                <w:color w:val="1C3A36"/>
                <w:sz w:val="14"/>
              </w:rPr>
              <w:t>Local realised price per tonne of cement, ex-works. The Egyptian industry traded around EGP 3.6k a tonne through 2025-26 on published market commentary; 3,500 is set marginally below that for an ex-works realisation. Volume is DERIVED from this and the disclosed local revenue, so this input and the utilisation cross-check each other</w:t>
            </w:r>
          </w:p>
        </w:tc>
        <w:tc>
          <w:tcPr>
            <w:tcW w:type="dxa" w:w="1210"/>
          </w:tcPr>
          <w:p>
            <w:pPr>
              <w:spacing w:after="20"/>
            </w:pPr>
            <w:r>
              <w:rPr>
                <w:color w:val="1C3A36"/>
                <w:sz w:val="14"/>
              </w:rPr>
              <w:t>2026-01-15</w:t>
            </w:r>
          </w:p>
        </w:tc>
      </w:tr>
      <w:tr>
        <w:tc>
          <w:tcPr>
            <w:tcW w:type="dxa" w:w="432"/>
          </w:tcPr>
          <w:p>
            <w:pPr>
              <w:spacing w:after="20"/>
            </w:pPr>
            <w:r>
              <w:rPr>
                <w:color w:val="1C3A36"/>
                <w:sz w:val="14"/>
              </w:rPr>
              <w:t>121</w:t>
            </w:r>
          </w:p>
        </w:tc>
        <w:tc>
          <w:tcPr>
            <w:tcW w:type="dxa" w:w="2448"/>
          </w:tcPr>
          <w:p>
            <w:pPr>
              <w:spacing w:after="20"/>
            </w:pPr>
            <w:r>
              <w:rPr>
                <w:color w:val="1C3A36"/>
                <w:sz w:val="14"/>
              </w:rPr>
              <w:t>price_local_path</w:t>
            </w:r>
          </w:p>
        </w:tc>
        <w:tc>
          <w:tcPr>
            <w:tcW w:type="dxa" w:w="1325"/>
          </w:tcPr>
          <w:p>
            <w:pPr>
              <w:spacing w:after="20"/>
            </w:pPr>
            <w:r>
              <w:rPr>
                <w:color w:val="1C3A36"/>
                <w:sz w:val="14"/>
              </w:rPr>
              <w:t>1, 1.08, 1.177, 1.271, 1.36, 1.449</w:t>
            </w:r>
          </w:p>
        </w:tc>
        <w:tc>
          <w:tcPr>
            <w:tcW w:type="dxa" w:w="1066"/>
          </w:tcPr>
          <w:p>
            <w:pPr>
              <w:spacing w:after="20"/>
            </w:pPr>
            <w:r>
              <w:rPr>
                <w:color w:val="1C3A36"/>
                <w:sz w:val="14"/>
              </w:rPr>
              <w:t>Industry</w:t>
            </w:r>
          </w:p>
        </w:tc>
        <w:tc>
          <w:tcPr>
            <w:tcW w:type="dxa" w:w="7171"/>
          </w:tcPr>
          <w:p>
            <w:pPr>
              <w:spacing w:after="20"/>
            </w:pPr>
            <w:r>
              <w:rPr>
                <w:color w:val="1C3A36"/>
                <w:sz w:val="14"/>
              </w:rPr>
              <w:t>Local realised price index on the FY2025 base: growth of 8.0%, 9.0%, 8.0%, 7.0% and 6.5%, i.e. 3.5 points below assumed cost inflation in FY2026 and about 1 point below it thereafter. CALIBRATED TO THE AUDITED RECORD, not asserted. In both years the statements cover, price outran cost: FY2024 revenue +44.5% against total cash cost +41.8%, and FY2025 revenue +42.6% against cash cost +12.5%, which is why the audited gross margin went 21.2% -&gt; 23.9% -&gt; 40.6%. Q1-2026 then printed revenue +17.3% at a 42.9% gross margin against 40.6% for FY2025 — still WIDENING. Against that, the FY2026 step of 8.0% produces group revenue growth of about 10.7%, well below the 17.3% the first quarter actually ran, and the erosion thereafter is real but modest. Revision 2 assumed 3.0% in FY2026 against 11.5% cost inflation — a company unable to raise price even at the central bank's own 7% medium-term target — which manufactured the margin collapse rather than deriving it, and sat incoherently beside a utilisation path that RISES across the same window. The erosion that remains is the genuine one: the production quota abolished in May 2025 removed the mechanism supporting price into a structural surplus, and 12.6Mt of dormant national capacity is under revival from the second half of 2026</w:t>
            </w:r>
          </w:p>
        </w:tc>
        <w:tc>
          <w:tcPr>
            <w:tcW w:type="dxa" w:w="1210"/>
          </w:tcPr>
          <w:p>
            <w:pPr>
              <w:spacing w:after="20"/>
            </w:pPr>
            <w:r>
              <w:rPr>
                <w:color w:val="1C3A36"/>
                <w:sz w:val="14"/>
              </w:rPr>
              <w:t>2026-08-06</w:t>
            </w:r>
          </w:p>
        </w:tc>
      </w:tr>
      <w:tr>
        <w:tc>
          <w:tcPr>
            <w:tcW w:type="dxa" w:w="432"/>
          </w:tcPr>
          <w:p>
            <w:pPr>
              <w:spacing w:after="20"/>
            </w:pPr>
            <w:r>
              <w:rPr>
                <w:color w:val="1C3A36"/>
                <w:sz w:val="14"/>
              </w:rPr>
              <w:t>122</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123</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Steps of 11.5%, 10.0%, 9.0%, 8.0% and 7.0% track the disinflation path the central bank's own reporting describes, converging on its 7% medium-term target.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124</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125</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126</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127</w:t>
            </w:r>
          </w:p>
        </w:tc>
        <w:tc>
          <w:tcPr>
            <w:tcW w:type="dxa" w:w="2448"/>
          </w:tcPr>
          <w:p>
            <w:pPr>
              <w:spacing w:after="20"/>
            </w:pPr>
            <w:r>
              <w:rPr>
                <w:color w:val="1C3A36"/>
                <w:sz w:val="14"/>
              </w:rPr>
              <w:t>euribor</w:t>
            </w:r>
          </w:p>
        </w:tc>
        <w:tc>
          <w:tcPr>
            <w:tcW w:type="dxa" w:w="1325"/>
          </w:tcPr>
          <w:p>
            <w:pPr>
              <w:spacing w:after="20"/>
            </w:pPr>
            <w:r>
              <w:rPr>
                <w:color w:val="1C3A36"/>
                <w:sz w:val="14"/>
              </w:rPr>
              <w:t>0.021</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w:t>
            </w:r>
          </w:p>
        </w:tc>
        <w:tc>
          <w:tcPr>
            <w:tcW w:type="dxa" w:w="1210"/>
          </w:tcPr>
          <w:p>
            <w:pPr>
              <w:spacing w:after="20"/>
            </w:pPr>
            <w:r>
              <w:rPr>
                <w:color w:val="1C3A36"/>
                <w:sz w:val="14"/>
              </w:rPr>
              <w:t>2026-08-06</w:t>
            </w:r>
          </w:p>
        </w:tc>
      </w:tr>
      <w:tr>
        <w:tc>
          <w:tcPr>
            <w:tcW w:type="dxa" w:w="432"/>
          </w:tcPr>
          <w:p>
            <w:pPr>
              <w:spacing w:after="20"/>
            </w:pPr>
            <w:r>
              <w:rPr>
                <w:color w:val="1C3A36"/>
                <w:sz w:val="14"/>
              </w:rPr>
              <w:t>128</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129</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w:t>
            </w:r>
          </w:p>
        </w:tc>
        <w:tc>
          <w:tcPr>
            <w:tcW w:type="dxa" w:w="1210"/>
          </w:tcPr>
          <w:p>
            <w:pPr>
              <w:spacing w:after="20"/>
            </w:pPr>
            <w:r>
              <w:rPr>
                <w:color w:val="1C3A36"/>
                <w:sz w:val="14"/>
              </w:rPr>
              <w:t>2026-07-21</w:t>
            </w:r>
          </w:p>
        </w:tc>
      </w:tr>
      <w:tr>
        <w:tc>
          <w:tcPr>
            <w:tcW w:type="dxa" w:w="432"/>
          </w:tcPr>
          <w:p>
            <w:pPr>
              <w:spacing w:after="20"/>
            </w:pPr>
            <w:r>
              <w:rPr>
                <w:color w:val="1C3A36"/>
                <w:sz w:val="14"/>
              </w:rPr>
              <w:t>130</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131</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132</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133</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134</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135</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136</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137</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138</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139</w:t>
            </w:r>
          </w:p>
        </w:tc>
        <w:tc>
          <w:tcPr>
            <w:tcW w:type="dxa" w:w="2448"/>
          </w:tcPr>
          <w:p>
            <w:pPr>
              <w:spacing w:after="20"/>
            </w:pPr>
            <w:r>
              <w:rPr>
                <w:color w:val="1C3A36"/>
                <w:sz w:val="14"/>
              </w:rPr>
              <w:t>fx_path</w:t>
            </w:r>
          </w:p>
        </w:tc>
        <w:tc>
          <w:tcPr>
            <w:tcW w:type="dxa" w:w="1325"/>
          </w:tcPr>
          <w:p>
            <w:pPr>
              <w:spacing w:after="20"/>
            </w:pPr>
            <w:r>
              <w:rPr>
                <w:color w:val="1C3A36"/>
                <w:sz w:val="14"/>
              </w:rPr>
              <w:t>49.26, 50.6, 53.1, 55.8, 58.6, 61.5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actual average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140</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141</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142</w:t>
            </w:r>
          </w:p>
        </w:tc>
        <w:tc>
          <w:tcPr>
            <w:tcW w:type="dxa" w:w="2448"/>
          </w:tcPr>
          <w:p>
            <w:pPr>
              <w:spacing w:after="20"/>
            </w:pPr>
            <w:r>
              <w:rPr>
                <w:color w:val="1C3A36"/>
                <w:sz w:val="14"/>
              </w:rPr>
              <w:t>kd_term</w:t>
            </w:r>
          </w:p>
        </w:tc>
        <w:tc>
          <w:tcPr>
            <w:tcW w:type="dxa" w:w="1325"/>
          </w:tcPr>
          <w:p>
            <w:pPr>
              <w:spacing w:after="20"/>
            </w:pPr>
            <w:r>
              <w:rPr>
                <w:color w:val="1C3A36"/>
                <w:sz w:val="14"/>
              </w:rPr>
              <w:t>0.1</w:t>
            </w:r>
          </w:p>
        </w:tc>
        <w:tc>
          <w:tcPr>
            <w:tcW w:type="dxa" w:w="1066"/>
          </w:tcPr>
          <w:p>
            <w:pPr>
              <w:spacing w:after="20"/>
            </w:pPr>
            <w:r>
              <w:rPr>
                <w:color w:val="1C3A36"/>
                <w:sz w:val="14"/>
              </w:rPr>
              <w:t>House</w:t>
            </w:r>
          </w:p>
        </w:tc>
        <w:tc>
          <w:tcPr>
            <w:tcW w:type="dxa" w:w="7171"/>
          </w:tcPr>
          <w:p>
            <w:pPr>
              <w:spacing w:after="20"/>
            </w:pPr>
            <w:r>
              <w:rPr>
                <w:color w:val="1C3A36"/>
                <w:sz w:val="14"/>
              </w:rPr>
              <w:t>Terminal cost of debt. Between the Egyptian long-run corporate norm of 14-16% and the euro cost the company pays today, on the view that the book partially re-denominates as the concessional decarbonisation facilities amortise</w:t>
            </w:r>
          </w:p>
        </w:tc>
        <w:tc>
          <w:tcPr>
            <w:tcW w:type="dxa" w:w="1210"/>
          </w:tcPr>
          <w:p>
            <w:pPr>
              <w:spacing w:after="20"/>
            </w:pPr>
            <w:r>
              <w:rPr>
                <w:color w:val="1C3A36"/>
                <w:sz w:val="14"/>
              </w:rPr>
              <w:t>2026-08-06</w:t>
            </w:r>
          </w:p>
        </w:tc>
      </w:tr>
      <w:tr>
        <w:tc>
          <w:tcPr>
            <w:tcW w:type="dxa" w:w="432"/>
          </w:tcPr>
          <w:p>
            <w:pPr>
              <w:spacing w:after="20"/>
            </w:pPr>
            <w:r>
              <w:rPr>
                <w:color w:val="1C3A36"/>
                <w:sz w:val="14"/>
              </w:rPr>
              <w:t>143</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144</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145</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146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147</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own stated medium-term inflation target of 7% plus a standard emerging-market real-rate convention of about 5.5 percentage points. Never a historical average and never reverse-engineered from a price</w:t>
            </w:r>
          </w:p>
        </w:tc>
        <w:tc>
          <w:tcPr>
            <w:tcW w:type="dxa" w:w="1210"/>
          </w:tcPr>
          <w:p>
            <w:pPr>
              <w:spacing w:after="20"/>
            </w:pPr>
            <w:r>
              <w:rPr>
                <w:color w:val="1C3A36"/>
                <w:sz w:val="14"/>
              </w:rPr>
              <w:t>2026-08-06</w:t>
            </w:r>
          </w:p>
        </w:tc>
      </w:tr>
      <w:tr>
        <w:tc>
          <w:tcPr>
            <w:tcW w:type="dxa" w:w="432"/>
          </w:tcPr>
          <w:p>
            <w:pPr>
              <w:spacing w:after="20"/>
            </w:pPr>
            <w:r>
              <w:rPr>
                <w:color w:val="1C3A36"/>
                <w:sz w:val="14"/>
              </w:rPr>
              <w:t>148</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 seven of twelve months</w:t>
            </w:r>
          </w:p>
        </w:tc>
        <w:tc>
          <w:tcPr>
            <w:tcW w:type="dxa" w:w="1210"/>
          </w:tcPr>
          <w:p>
            <w:pPr>
              <w:spacing w:after="20"/>
            </w:pPr>
            <w:r>
              <w:rPr>
                <w:color w:val="1C3A36"/>
                <w:sz w:val="14"/>
              </w:rPr>
              <w:t>2026-08-06</w:t>
            </w:r>
          </w:p>
        </w:tc>
      </w:tr>
      <w:tr>
        <w:tc>
          <w:tcPr>
            <w:tcW w:type="dxa" w:w="432"/>
          </w:tcPr>
          <w:p>
            <w:pPr>
              <w:spacing w:after="20"/>
            </w:pPr>
            <w:r>
              <w:rPr>
                <w:color w:val="1C3A36"/>
                <w:sz w:val="14"/>
              </w:rPr>
              <w:t>149</w:t>
            </w:r>
          </w:p>
        </w:tc>
        <w:tc>
          <w:tcPr>
            <w:tcW w:type="dxa" w:w="2448"/>
          </w:tcPr>
          <w:p>
            <w:pPr>
              <w:spacing w:after="20"/>
            </w:pPr>
            <w:r>
              <w:rPr>
                <w:color w:val="1C3A36"/>
                <w:sz w:val="14"/>
              </w:rPr>
              <w:t>util</w:t>
            </w:r>
          </w:p>
        </w:tc>
        <w:tc>
          <w:tcPr>
            <w:tcW w:type="dxa" w:w="1325"/>
          </w:tcPr>
          <w:p>
            <w:pPr>
              <w:spacing w:after="20"/>
            </w:pPr>
            <w:r>
              <w:rPr>
                <w:color w:val="1C3A36"/>
                <w:sz w:val="14"/>
              </w:rPr>
              <w:t>0.697, 0.73, 0.75, 0.765, 0.775, 0.782</w:t>
            </w:r>
          </w:p>
        </w:tc>
        <w:tc>
          <w:tcPr>
            <w:tcW w:type="dxa" w:w="1066"/>
          </w:tcPr>
          <w:p>
            <w:pPr>
              <w:spacing w:after="20"/>
            </w:pPr>
            <w:r>
              <w:rPr>
                <w:color w:val="1C3A36"/>
                <w:sz w:val="14"/>
              </w:rPr>
              <w:t>House</w:t>
            </w:r>
          </w:p>
        </w:tc>
        <w:tc>
          <w:tcPr>
            <w:tcW w:type="dxa" w:w="7171"/>
          </w:tcPr>
          <w:p>
            <w:pPr>
              <w:spacing w:after="20"/>
            </w:pPr>
            <w:r>
              <w:rPr>
                <w:color w:val="1C3A36"/>
                <w:sz w:val="14"/>
              </w:rPr>
              <w:t>Cement capacity utilisation, FY2025A then FY2026E-FY2030E. FY2025 is DERIVED from disclosed revenue and the price inputs, and lands at 69.7% against a national sector utilisation near 70% — an independent corroboration. The step into FY2026 is the first full year without the production quota abolished in May 2025, corroborated by first-quarter 2026 revenue growth of 17.3%</w:t>
            </w:r>
          </w:p>
        </w:tc>
        <w:tc>
          <w:tcPr>
            <w:tcW w:type="dxa" w:w="1210"/>
          </w:tcPr>
          <w:p>
            <w:pPr>
              <w:spacing w:after="20"/>
            </w:pPr>
            <w:r>
              <w:rPr>
                <w:color w:val="1C3A36"/>
                <w:sz w:val="14"/>
              </w:rPr>
              <w:t>2026-08-06</w:t>
            </w:r>
          </w:p>
        </w:tc>
      </w:tr>
      <w:tr>
        <w:tc>
          <w:tcPr>
            <w:tcW w:type="dxa" w:w="432"/>
          </w:tcPr>
          <w:p>
            <w:pPr>
              <w:spacing w:after="20"/>
            </w:pPr>
            <w:r>
              <w:rPr>
                <w:color w:val="1C3A36"/>
                <w:sz w:val="14"/>
              </w:rPr>
              <w:t>150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151</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152</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153</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154</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155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medium-term inflation target of 7% used to build the terminal risk-free rate; headline urban inflation easing to 14.3% in June 2026.</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1.099Mt, and local sales of goods of EGP 8,350.45mn divided by an assumed EGP 3,500 a tonne gives 2.386Mt. Total 3.485Mt, which is 69.7%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1,635 a tonne, transportation EGP 219, overheads and cash administration EGP 315, total EGP 2,170.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7.54%</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(5.10%) and the EBRD euro facility at Euribor plus 4.35% (6.45%),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13.00% and its effect on the valuation is published.</w:t>
            </w:r>
          </w:p>
        </w:tc>
      </w:tr>
      <w:tr>
        <w:tc>
          <w:tcPr>
            <w:tcW w:type="dxa" w:w="3456"/>
          </w:tcPr>
          <w:p>
            <w:pPr>
              <w:spacing w:after="20"/>
            </w:pPr>
            <w:r>
              <w:rPr>
                <w:color w:val="1C3A36"/>
                <w:sz w:val="16"/>
              </w:rPr>
              <w:t>Terminal return on invested capital — 14.5%</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0.628 adopted</w:t>
            </w:r>
          </w:p>
        </w:tc>
        <w:tc>
          <w:tcPr>
            <w:tcW w:type="dxa" w:w="10224"/>
          </w:tcPr>
          <w:p>
            <w:pPr>
              <w:spacing w:after="20"/>
            </w:pPr>
            <w:r>
              <w:rPr>
                <w:color w:val="1C3A36"/>
                <w:sz w:val="16"/>
              </w:rPr>
              <w:t>A five-year weekly regression against a 34-name equal-weight Egyptian composite, subject excluded from its own index: 0.628 on 257 observations, R-squared 0.091, standard error 0.125. Clears the usability gate so it is adopted rather than defaulted, and is flagged statistically weak. The lead-lag correction for thin trading gives 0.919; its effect is published as a value.</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Audited cash of EGP 3,459.39mn less audited interest-bearing debt of EGP 1,135.11mn,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