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6 August 2026</w:t>
      </w:r>
    </w:p>
    <w:p>
      <w:pPr>
        <w:spacing w:after="200" w:before="0"/>
      </w:pPr>
      <w:r>
        <w:rPr>
          <w:b w:val="0"/>
          <w:i w:val="0"/>
          <w:color w:val="1C3A36"/>
          <w:sz w:val="24"/>
        </w:rPr>
        <w:t>Egypt's second-largest cement plant,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7% of Egypt's nominal capacity, listed on the Egyptian Exchange since May 2014, with cash of EGP 3,459mn against interest-bearing debt of EGP 1,135mn. Every figure in this study is read from the audited consolidated accounts.</w:t>
            </w:r>
          </w:p>
          <w:p>
            <w:pPr>
              <w:spacing w:after="100"/>
            </w:pPr>
            <w:r>
              <w:rPr>
                <w:b/>
                <w:color w:val="1C3A36"/>
                <w:sz w:val="19"/>
              </w:rPr>
              <w:t xml:space="preserve">Where the value lands. </w:t>
            </w:r>
            <w:r>
              <w:rPr>
                <w:color w:val="1C3A36"/>
                <w:sz w:val="19"/>
              </w:rPr>
              <w:t>Four lenses put the shares between EGP 48.96 and EGP 68.88, weighting to a central EGP 61.30 against a market price of EGP 59.00 — +3.9%.</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68.71</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+16.4%</w:t>
            </w:r>
          </w:p>
        </w:tc>
        <w:tc>
          <w:tcPr>
            <w:tcW w:type="dxa" w:w="1958"/>
          </w:tcPr>
          <w:p>
            <w:pPr>
              <w:spacing w:after="20"/>
              <w:jc w:val="right"/>
            </w:pPr>
            <w:r>
              <w:rPr>
                <w:color w:val="1C3A36"/>
                <w:sz w:val="18"/>
              </w:rPr>
              <w:t>59.4%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48.96</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-17.0%</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52.95</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-10.3%</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68.88</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+16.7%</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61.30</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+3.9%</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48.96 – 68.88</w:t>
            </w:r>
          </w:p>
        </w:tc>
        <w:tc>
          <w:tcPr>
            <w:tcW w:type="dxa" w:w="1037"/>
          </w:tcPr>
          <w:p>
            <w:pPr>
              <w:spacing w:after="20"/>
              <w:jc w:val="right"/>
            </w:pPr>
            <w:r>
              <w:rPr>
                <w:color w:val="1C3A36"/>
                <w:sz w:val="18"/>
              </w:rPr>
              <w:t>—</w:t>
            </w:r>
          </w:p>
        </w:tc>
        <w:tc>
          <w:tcPr>
            <w:tcW w:type="dxa" w:w="1469"/>
          </w:tcPr>
          <w:p>
            <w:pPr>
              <w:spacing w:after="20"/>
              <w:jc w:val="right"/>
            </w:pPr>
            <w:r>
              <w:rPr>
                <w:color w:val="1C3A36"/>
                <w:sz w:val="18"/>
              </w:rPr>
              <w:t>-17.0% to +16.7%</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7% of Egypt's nominal capacity and makes it the second-largest cement plant in the country.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is built from the audited notes rather than from an invented physical stack. The revenue note splits local from export and goods from services; the cost-of-sales note splits materials and fuel, transportation and overheads. Volume is DERIVED — disclosed revenue divided by an observed price — so the utilisation it implies is an output that can disagree with the sector.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Export sales of goods (audited)</w:t>
            </w:r>
          </w:p>
        </w:tc>
        <w:tc>
          <w:tcPr>
            <w:tcW w:type="dxa" w:w="2880"/>
          </w:tcPr>
          <w:p>
            <w:pPr>
              <w:spacing w:after="20"/>
              <w:jc w:val="right"/>
            </w:pPr>
            <w:r>
              <w:rPr>
                <w:color w:val="1C3A36"/>
                <w:sz w:val="18"/>
              </w:rPr>
              <w:t>EGP 3,356mn</w:t>
            </w:r>
          </w:p>
        </w:tc>
      </w:tr>
      <w:tr>
        <w:tc>
          <w:tcPr>
            <w:tcW w:type="dxa" w:w="5904"/>
          </w:tcPr>
          <w:p>
            <w:pPr>
              <w:spacing w:after="20"/>
            </w:pPr>
            <w:r>
              <w:rPr>
                <w:color w:val="1C3A36"/>
                <w:sz w:val="18"/>
              </w:rPr>
              <w:t>Export price assumed (USD/t)</w:t>
            </w:r>
          </w:p>
        </w:tc>
        <w:tc>
          <w:tcPr>
            <w:tcW w:type="dxa" w:w="2880"/>
          </w:tcPr>
          <w:p>
            <w:pPr>
              <w:spacing w:after="20"/>
              <w:jc w:val="right"/>
            </w:pPr>
            <w:r>
              <w:rPr>
                <w:color w:val="1C3A36"/>
                <w:sz w:val="18"/>
              </w:rPr>
              <w:t>62.0</w:t>
            </w:r>
          </w:p>
        </w:tc>
      </w:tr>
      <w:tr>
        <w:tc>
          <w:tcPr>
            <w:tcW w:type="dxa" w:w="5904"/>
          </w:tcPr>
          <w:p>
            <w:pPr>
              <w:spacing w:after="20"/>
            </w:pPr>
            <w:r>
              <w:rPr>
                <w:color w:val="1C3A36"/>
                <w:sz w:val="18"/>
              </w:rPr>
              <w:t>Average USD/EGP in 2025 (audited note)</w:t>
            </w:r>
          </w:p>
        </w:tc>
        <w:tc>
          <w:tcPr>
            <w:tcW w:type="dxa" w:w="2880"/>
          </w:tcPr>
          <w:p>
            <w:pPr>
              <w:spacing w:after="20"/>
              <w:jc w:val="right"/>
            </w:pPr>
            <w:r>
              <w:rPr>
                <w:color w:val="1C3A36"/>
                <w:sz w:val="18"/>
              </w:rPr>
              <w:t>49.26</w:t>
            </w:r>
          </w:p>
        </w:tc>
      </w:tr>
      <w:tr>
        <w:tc>
          <w:tcPr>
            <w:tcW w:type="dxa" w:w="5904"/>
          </w:tcPr>
          <w:p>
            <w:pPr>
              <w:spacing w:after="20"/>
            </w:pPr>
            <w:r>
              <w:rPr>
                <w:color w:val="1C3A36"/>
                <w:sz w:val="18"/>
              </w:rPr>
              <w:t>Export volume derived (Mt)</w:t>
            </w:r>
          </w:p>
        </w:tc>
        <w:tc>
          <w:tcPr>
            <w:tcW w:type="dxa" w:w="2880"/>
          </w:tcPr>
          <w:p>
            <w:pPr>
              <w:spacing w:after="20"/>
              <w:jc w:val="right"/>
            </w:pPr>
            <w:r>
              <w:rPr>
                <w:color w:val="1C3A36"/>
                <w:sz w:val="18"/>
              </w:rPr>
              <w:t>1.099</w:t>
            </w:r>
          </w:p>
        </w:tc>
      </w:tr>
      <w:tr>
        <w:tc>
          <w:tcPr>
            <w:tcW w:type="dxa" w:w="5904"/>
          </w:tcPr>
          <w:p>
            <w:pPr>
              <w:spacing w:after="20"/>
            </w:pPr>
            <w:r>
              <w:rPr>
                <w:color w:val="1C3A36"/>
                <w:sz w:val="18"/>
              </w:rPr>
              <w:t>Local sales of goods (audited)</w:t>
            </w:r>
          </w:p>
        </w:tc>
        <w:tc>
          <w:tcPr>
            <w:tcW w:type="dxa" w:w="2880"/>
          </w:tcPr>
          <w:p>
            <w:pPr>
              <w:spacing w:after="20"/>
              <w:jc w:val="right"/>
            </w:pPr>
            <w:r>
              <w:rPr>
                <w:color w:val="1C3A36"/>
                <w:sz w:val="18"/>
              </w:rPr>
              <w:t>EGP 8,350mn</w:t>
            </w:r>
          </w:p>
        </w:tc>
      </w:tr>
      <w:tr>
        <w:tc>
          <w:tcPr>
            <w:tcW w:type="dxa" w:w="5904"/>
          </w:tcPr>
          <w:p>
            <w:pPr>
              <w:spacing w:after="20"/>
            </w:pPr>
            <w:r>
              <w:rPr>
                <w:color w:val="1C3A36"/>
                <w:sz w:val="18"/>
              </w:rPr>
              <w:t>Local price assumed (EGP/t)</w:t>
            </w:r>
          </w:p>
        </w:tc>
        <w:tc>
          <w:tcPr>
            <w:tcW w:type="dxa" w:w="2880"/>
          </w:tcPr>
          <w:p>
            <w:pPr>
              <w:spacing w:after="20"/>
              <w:jc w:val="right"/>
            </w:pPr>
            <w:r>
              <w:rPr>
                <w:color w:val="1C3A36"/>
                <w:sz w:val="18"/>
              </w:rPr>
              <w:t>3,500</w:t>
            </w:r>
          </w:p>
        </w:tc>
      </w:tr>
      <w:tr>
        <w:tc>
          <w:tcPr>
            <w:tcW w:type="dxa" w:w="5904"/>
          </w:tcPr>
          <w:p>
            <w:pPr>
              <w:spacing w:after="20"/>
            </w:pPr>
            <w:r>
              <w:rPr>
                <w:color w:val="1C3A36"/>
                <w:sz w:val="18"/>
              </w:rPr>
              <w:t>Local volume derived (Mt)</w:t>
            </w:r>
          </w:p>
        </w:tc>
        <w:tc>
          <w:tcPr>
            <w:tcW w:type="dxa" w:w="2880"/>
          </w:tcPr>
          <w:p>
            <w:pPr>
              <w:spacing w:after="20"/>
              <w:jc w:val="right"/>
            </w:pPr>
            <w:r>
              <w:rPr>
                <w:color w:val="1C3A36"/>
                <w:sz w:val="18"/>
              </w:rPr>
              <w:t>2.386</w:t>
            </w:r>
          </w:p>
        </w:tc>
      </w:tr>
      <w:tr>
        <w:tc>
          <w:tcPr>
            <w:tcW w:type="dxa" w:w="5904"/>
            <w:shd w:val="clear" w:color="auto" w:fill="F6F1E6"/>
          </w:tcPr>
          <w:p>
            <w:pPr>
              <w:spacing w:after="20"/>
            </w:pPr>
            <w:r>
              <w:rPr>
                <w:b/>
                <w:color w:val="1C3A36"/>
                <w:sz w:val="18"/>
              </w:rPr>
              <w:t>TOTAL VOLUME (Mt)</w:t>
            </w:r>
          </w:p>
        </w:tc>
        <w:tc>
          <w:tcPr>
            <w:tcW w:type="dxa" w:w="2880"/>
            <w:shd w:val="clear" w:color="auto" w:fill="F6F1E6"/>
          </w:tcPr>
          <w:p>
            <w:pPr>
              <w:spacing w:after="20"/>
              <w:jc w:val="right"/>
            </w:pPr>
            <w:r>
              <w:rPr>
                <w:b/>
                <w:color w:val="1C3A36"/>
                <w:sz w:val="18"/>
              </w:rPr>
              <w:t>3.485</w:t>
            </w:r>
          </w:p>
        </w:tc>
      </w:tr>
      <w:tr>
        <w:tc>
          <w:tcPr>
            <w:tcW w:type="dxa" w:w="5904"/>
            <w:shd w:val="clear" w:color="auto" w:fill="F6F1E6"/>
          </w:tcPr>
          <w:p>
            <w:pPr>
              <w:spacing w:after="20"/>
            </w:pPr>
            <w:r>
              <w:rPr>
                <w:b/>
                <w:color w:val="1C3A36"/>
                <w:sz w:val="18"/>
              </w:rPr>
              <w:t>Implied capacity utilisation</w:t>
            </w:r>
          </w:p>
        </w:tc>
        <w:tc>
          <w:tcPr>
            <w:tcW w:type="dxa" w:w="2880"/>
            <w:shd w:val="clear" w:color="auto" w:fill="F6F1E6"/>
          </w:tcPr>
          <w:p>
            <w:pPr>
              <w:spacing w:after="20"/>
              <w:jc w:val="right"/>
            </w:pPr>
            <w:r>
              <w:rPr>
                <w:b/>
                <w:color w:val="1C3A36"/>
                <w:sz w:val="18"/>
              </w:rPr>
              <w:t>69.7%</w:t>
            </w:r>
          </w:p>
        </w:tc>
      </w:tr>
      <w:tr>
        <w:tc>
          <w:tcPr>
            <w:tcW w:type="dxa" w:w="5904"/>
          </w:tcPr>
          <w:p>
            <w:pPr>
              <w:spacing w:after="20"/>
            </w:pPr>
            <w:r>
              <w:rPr>
                <w:color w:val="1C3A36"/>
                <w:sz w:val="18"/>
              </w:rPr>
              <w:t>National sector utilisation, for comparison</w:t>
            </w:r>
          </w:p>
        </w:tc>
        <w:tc>
          <w:tcPr>
            <w:tcW w:type="dxa" w:w="2880"/>
          </w:tcPr>
          <w:p>
            <w:pPr>
              <w:spacing w:after="20"/>
              <w:jc w:val="right"/>
            </w:pPr>
            <w:r>
              <w:rPr>
                <w:color w:val="1C3A36"/>
                <w:sz w:val="18"/>
              </w:rPr>
              <w:t>85.5%</w:t>
            </w:r>
          </w:p>
        </w:tc>
      </w:tr>
      <w:tr>
        <w:tc>
          <w:tcPr>
            <w:tcW w:type="dxa" w:w="5904"/>
          </w:tcPr>
          <w:p>
            <w:pPr>
              <w:spacing w:after="20"/>
            </w:pPr>
            <w:r>
              <w:rPr>
                <w:color w:val="1C3A36"/>
                <w:sz w:val="18"/>
              </w:rPr>
              <w:t>Export share of volume</w:t>
            </w:r>
          </w:p>
        </w:tc>
        <w:tc>
          <w:tcPr>
            <w:tcW w:type="dxa" w:w="2880"/>
          </w:tcPr>
          <w:p>
            <w:pPr>
              <w:spacing w:after="20"/>
              <w:jc w:val="right"/>
            </w:pPr>
            <w:r>
              <w:rPr>
                <w:color w:val="1C3A36"/>
                <w:sz w:val="18"/>
              </w:rPr>
              <w:t>31.5%</w:t>
            </w:r>
          </w:p>
        </w:tc>
      </w:tr>
    </w:tbl>
    <w:p>
      <w:pPr>
        <w:spacing w:after="40"/>
      </w:pPr>
    </w:p>
    <w:p>
      <w:pPr>
        <w:spacing w:after="200" w:before="0"/>
      </w:pPr>
      <w:r>
        <w:rPr>
          <w:b w:val="0"/>
          <w:i/>
          <w:color w:val="6E7B77"/>
          <w:sz w:val="17"/>
        </w:rPr>
        <w:t>Table 2 — The volume build. Nothing here is asserted: the two revenue lines are audited, the exchange rate is from the currency note, and only the two prices are external estimates. The utilisation that falls out is the test, and 69.7% against a national 85.5% is a plant running below the country average, which is what a 30%-export producer at a statutory export cap should look like.</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7,562mn, or EGP 2,170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1,635</w:t>
            </w:r>
          </w:p>
        </w:tc>
        <w:tc>
          <w:tcPr>
            <w:tcW w:type="dxa" w:w="1872"/>
          </w:tcPr>
          <w:p>
            <w:pPr>
              <w:spacing w:after="20"/>
              <w:jc w:val="right"/>
            </w:pPr>
            <w:r>
              <w:rPr>
                <w:color w:val="1C3A36"/>
                <w:sz w:val="18"/>
              </w:rPr>
              <w:t>1,796</w:t>
            </w:r>
          </w:p>
        </w:tc>
        <w:tc>
          <w:tcPr>
            <w:tcW w:type="dxa" w:w="1872"/>
          </w:tcPr>
          <w:p>
            <w:pPr>
              <w:spacing w:after="20"/>
              <w:jc w:val="right"/>
            </w:pPr>
            <w:r>
              <w:rPr>
                <w:color w:val="1C3A36"/>
                <w:sz w:val="18"/>
              </w:rPr>
              <w:t>2,386</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219</w:t>
            </w:r>
          </w:p>
        </w:tc>
        <w:tc>
          <w:tcPr>
            <w:tcW w:type="dxa" w:w="1872"/>
          </w:tcPr>
          <w:p>
            <w:pPr>
              <w:spacing w:after="20"/>
              <w:jc w:val="right"/>
            </w:pPr>
            <w:r>
              <w:rPr>
                <w:color w:val="1C3A36"/>
                <w:sz w:val="18"/>
              </w:rPr>
              <w:t>245</w:t>
            </w:r>
          </w:p>
        </w:tc>
        <w:tc>
          <w:tcPr>
            <w:tcW w:type="dxa" w:w="1872"/>
          </w:tcPr>
          <w:p>
            <w:pPr>
              <w:spacing w:after="20"/>
              <w:jc w:val="right"/>
            </w:pPr>
            <w:r>
              <w:rPr>
                <w:color w:val="1C3A36"/>
                <w:sz w:val="18"/>
              </w:rPr>
              <w:t>339</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315</w:t>
            </w:r>
          </w:p>
        </w:tc>
        <w:tc>
          <w:tcPr>
            <w:tcW w:type="dxa" w:w="1872"/>
          </w:tcPr>
          <w:p>
            <w:pPr>
              <w:spacing w:after="20"/>
              <w:jc w:val="right"/>
            </w:pPr>
            <w:r>
              <w:rPr>
                <w:color w:val="1C3A36"/>
                <w:sz w:val="18"/>
              </w:rPr>
              <w:t>352</w:t>
            </w:r>
          </w:p>
        </w:tc>
        <w:tc>
          <w:tcPr>
            <w:tcW w:type="dxa" w:w="1872"/>
          </w:tcPr>
          <w:p>
            <w:pPr>
              <w:spacing w:after="20"/>
              <w:jc w:val="right"/>
            </w:pPr>
            <w:r>
              <w:rPr>
                <w:color w:val="1C3A36"/>
                <w:sz w:val="18"/>
              </w:rPr>
              <w:t>487</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2,170</w:t>
            </w:r>
          </w:p>
        </w:tc>
        <w:tc>
          <w:tcPr>
            <w:tcW w:type="dxa" w:w="1872"/>
            <w:shd w:val="clear" w:color="auto" w:fill="F6F1E6"/>
          </w:tcPr>
          <w:p>
            <w:pPr>
              <w:spacing w:after="20"/>
              <w:jc w:val="right"/>
            </w:pPr>
            <w:r>
              <w:rPr>
                <w:b/>
                <w:color w:val="1C3A36"/>
                <w:sz w:val="18"/>
              </w:rPr>
              <w:t>2,392</w:t>
            </w:r>
          </w:p>
        </w:tc>
        <w:tc>
          <w:tcPr>
            <w:tcW w:type="dxa" w:w="1872"/>
            <w:shd w:val="clear" w:color="auto" w:fill="F6F1E6"/>
          </w:tcPr>
          <w:p>
            <w:pPr>
              <w:spacing w:after="20"/>
              <w:jc w:val="right"/>
            </w:pPr>
            <w:r>
              <w:rPr>
                <w:b/>
                <w:color w:val="1C3A36"/>
                <w:sz w:val="18"/>
              </w:rPr>
              <w:t>3,211</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3,572</w:t>
            </w:r>
          </w:p>
        </w:tc>
        <w:tc>
          <w:tcPr>
            <w:tcW w:type="dxa" w:w="1872"/>
          </w:tcPr>
          <w:p>
            <w:pPr>
              <w:spacing w:after="20"/>
              <w:jc w:val="right"/>
            </w:pPr>
            <w:r>
              <w:rPr>
                <w:color w:val="1C3A36"/>
                <w:sz w:val="18"/>
              </w:rPr>
              <w:t>3,774</w:t>
            </w:r>
          </w:p>
        </w:tc>
        <w:tc>
          <w:tcPr>
            <w:tcW w:type="dxa" w:w="1872"/>
          </w:tcPr>
          <w:p>
            <w:pPr>
              <w:spacing w:after="20"/>
              <w:jc w:val="right"/>
            </w:pPr>
            <w:r>
              <w:rPr>
                <w:color w:val="1C3A36"/>
                <w:sz w:val="18"/>
              </w:rPr>
              <w:t>4,889</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3.485</w:t>
            </w:r>
          </w:p>
        </w:tc>
        <w:tc>
          <w:tcPr>
            <w:tcW w:type="dxa" w:w="1872"/>
          </w:tcPr>
          <w:p>
            <w:pPr>
              <w:spacing w:after="20"/>
              <w:jc w:val="right"/>
            </w:pPr>
            <w:r>
              <w:rPr>
                <w:color w:val="1C3A36"/>
                <w:sz w:val="18"/>
              </w:rPr>
              <w:t>3.650</w:t>
            </w:r>
          </w:p>
        </w:tc>
        <w:tc>
          <w:tcPr>
            <w:tcW w:type="dxa" w:w="1872"/>
          </w:tcPr>
          <w:p>
            <w:pPr>
              <w:spacing w:after="20"/>
              <w:jc w:val="right"/>
            </w:pPr>
            <w:r>
              <w:rPr>
                <w:color w:val="1C3A36"/>
                <w:sz w:val="18"/>
              </w:rPr>
              <w:t>3.910</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5,044</w:t>
            </w:r>
          </w:p>
        </w:tc>
        <w:tc>
          <w:tcPr>
            <w:tcW w:type="dxa" w:w="1872"/>
            <w:shd w:val="clear" w:color="auto" w:fill="F6F1E6"/>
          </w:tcPr>
          <w:p>
            <w:pPr>
              <w:spacing w:after="20"/>
              <w:jc w:val="right"/>
            </w:pPr>
            <w:r>
              <w:rPr>
                <w:b/>
                <w:color w:val="1C3A36"/>
                <w:sz w:val="18"/>
              </w:rPr>
              <w:t>6,559</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36.6%</w:t>
            </w:r>
          </w:p>
        </w:tc>
        <w:tc>
          <w:tcPr>
            <w:tcW w:type="dxa" w:w="1872"/>
            <w:shd w:val="clear" w:color="auto" w:fill="F6F1E6"/>
          </w:tcPr>
          <w:p>
            <w:pPr>
              <w:spacing w:after="20"/>
              <w:jc w:val="right"/>
            </w:pPr>
            <w:r>
              <w:rPr>
                <w:b/>
                <w:color w:val="1C3A36"/>
                <w:sz w:val="18"/>
              </w:rPr>
              <w:t>34.3%</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+0.006% and audited FY2025 EBITDA to +0.007%.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0.84 — observed from the audited capacity pair of 4.2Mt of clinker against 5.0Mt of cement — the FY2030 volume needs 3.284Mt of clinker against 4.2Mt of kiln capacity, or 78.2% of it. The forecast fits the plant, with 0.916Mt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4.00 per tonne of installed capacity — about EGP 1,012mn in FY2026 against a book charge of EGP 344mn. Setting capex equal to book depreciation would flatter free cash flow by construction; the cost of refusing to do so is computed in section 1.9 and is worth +7.3%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5.10%</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6.45%</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7.54%</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7.54%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13.00% — nearly twice the adopted figure. The alternative is computed as a VALUE and not merely described: it is worth -0.3% of the cash-flow lens, because debt is only 4.9%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22.31%</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18.91%</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0.628</w:t>
            </w:r>
          </w:p>
        </w:tc>
        <w:tc>
          <w:tcPr>
            <w:tcW w:type="dxa" w:w="2592"/>
          </w:tcPr>
          <w:p>
            <w:pPr>
              <w:spacing w:after="20"/>
              <w:jc w:val="right"/>
            </w:pPr>
            <w:r>
              <w:rPr>
                <w:color w:val="1C3A36"/>
                <w:sz w:val="18"/>
              </w:rPr>
              <w:t>0.750</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24.82%</w:t>
            </w:r>
          </w:p>
        </w:tc>
        <w:tc>
          <w:tcPr>
            <w:tcW w:type="dxa" w:w="2592"/>
          </w:tcPr>
          <w:p>
            <w:pPr>
              <w:spacing w:after="20"/>
              <w:jc w:val="right"/>
            </w:pPr>
            <w:r>
              <w:rPr>
                <w:color w:val="1C3A36"/>
                <w:sz w:val="18"/>
              </w:rPr>
              <w:t>17.75%</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5.84%</w:t>
            </w:r>
          </w:p>
        </w:tc>
        <w:tc>
          <w:tcPr>
            <w:tcW w:type="dxa" w:w="2592"/>
          </w:tcPr>
          <w:p>
            <w:pPr>
              <w:spacing w:after="20"/>
              <w:jc w:val="right"/>
            </w:pPr>
            <w:r>
              <w:rPr>
                <w:color w:val="1C3A36"/>
                <w:sz w:val="18"/>
              </w:rPr>
              <w:t>7.75%</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4.88%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23.89%</w:t>
            </w:r>
          </w:p>
        </w:tc>
        <w:tc>
          <w:tcPr>
            <w:tcW w:type="dxa" w:w="2592"/>
            <w:shd w:val="clear" w:color="auto" w:fill="F6F1E6"/>
          </w:tcPr>
          <w:p>
            <w:pPr>
              <w:spacing w:after="20"/>
              <w:jc w:val="right"/>
            </w:pPr>
            <w:r>
              <w:rPr>
                <w:b/>
                <w:color w:val="1C3A36"/>
                <w:sz w:val="18"/>
              </w:rPr>
              <w:t>15.75%</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28.22% instead of 24.82%.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23.89%</w:t>
            </w:r>
          </w:p>
        </w:tc>
        <w:tc>
          <w:tcPr>
            <w:tcW w:type="dxa" w:w="1526"/>
          </w:tcPr>
          <w:p>
            <w:pPr>
              <w:spacing w:after="20"/>
              <w:jc w:val="right"/>
            </w:pPr>
            <w:r>
              <w:rPr>
                <w:color w:val="1C3A36"/>
                <w:sz w:val="18"/>
              </w:rPr>
              <w:t>20.81%</w:t>
            </w:r>
          </w:p>
        </w:tc>
        <w:tc>
          <w:tcPr>
            <w:tcW w:type="dxa" w:w="1526"/>
          </w:tcPr>
          <w:p>
            <w:pPr>
              <w:spacing w:after="20"/>
              <w:jc w:val="right"/>
            </w:pPr>
            <w:r>
              <w:rPr>
                <w:color w:val="1C3A36"/>
                <w:sz w:val="18"/>
              </w:rPr>
              <w:t>18.34%</w:t>
            </w:r>
          </w:p>
        </w:tc>
        <w:tc>
          <w:tcPr>
            <w:tcW w:type="dxa" w:w="1526"/>
          </w:tcPr>
          <w:p>
            <w:pPr>
              <w:spacing w:after="20"/>
              <w:jc w:val="right"/>
            </w:pPr>
            <w:r>
              <w:rPr>
                <w:color w:val="1C3A36"/>
                <w:sz w:val="18"/>
              </w:rPr>
              <w:t>16.86%</w:t>
            </w:r>
          </w:p>
        </w:tc>
        <w:tc>
          <w:tcPr>
            <w:tcW w:type="dxa" w:w="1526"/>
          </w:tcPr>
          <w:p>
            <w:pPr>
              <w:spacing w:after="20"/>
              <w:jc w:val="right"/>
            </w:pPr>
            <w:r>
              <w:rPr>
                <w:color w:val="1C3A36"/>
                <w:sz w:val="18"/>
              </w:rPr>
              <w:t>15.75%</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0.9563</w:t>
            </w:r>
          </w:p>
        </w:tc>
        <w:tc>
          <w:tcPr>
            <w:tcW w:type="dxa" w:w="1526"/>
          </w:tcPr>
          <w:p>
            <w:pPr>
              <w:spacing w:after="20"/>
              <w:jc w:val="right"/>
            </w:pPr>
            <w:r>
              <w:rPr>
                <w:color w:val="1C3A36"/>
                <w:sz w:val="18"/>
              </w:rPr>
              <w:t>0.8216</w:t>
            </w:r>
          </w:p>
        </w:tc>
        <w:tc>
          <w:tcPr>
            <w:tcW w:type="dxa" w:w="1526"/>
          </w:tcPr>
          <w:p>
            <w:pPr>
              <w:spacing w:after="20"/>
              <w:jc w:val="right"/>
            </w:pPr>
            <w:r>
              <w:rPr>
                <w:color w:val="1C3A36"/>
                <w:sz w:val="18"/>
              </w:rPr>
              <w:t>0.6787</w:t>
            </w:r>
          </w:p>
        </w:tc>
        <w:tc>
          <w:tcPr>
            <w:tcW w:type="dxa" w:w="1526"/>
          </w:tcPr>
          <w:p>
            <w:pPr>
              <w:spacing w:after="20"/>
              <w:jc w:val="right"/>
            </w:pPr>
            <w:r>
              <w:rPr>
                <w:color w:val="1C3A36"/>
                <w:sz w:val="18"/>
              </w:rPr>
              <w:t>0.5725</w:t>
            </w:r>
          </w:p>
        </w:tc>
        <w:tc>
          <w:tcPr>
            <w:tcW w:type="dxa" w:w="1526"/>
          </w:tcPr>
          <w:p>
            <w:pPr>
              <w:spacing w:after="20"/>
              <w:jc w:val="right"/>
            </w:pPr>
            <w:r>
              <w:rPr>
                <w:color w:val="1C3A36"/>
                <w:sz w:val="18"/>
              </w:rPr>
              <w:t>0.4894</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how weak it is</w:t>
      </w:r>
    </w:p>
    <w:p>
      <w:pPr>
        <w:spacing w:after="120" w:before="0"/>
      </w:pPr>
      <w:r>
        <w:rPr>
          <w:b w:val="0"/>
          <w:i w:val="0"/>
          <w:color w:val="1C3A36"/>
          <w:sz w:val="21"/>
        </w:rPr>
        <w:t>The beta is a genuine regression, not a default. Weekly returns over five years against an equal-weight index of the 34 other Egyptian names in the library, with the subject excluded from its own index, give a beta of 0.628 on 257 observations, an R-squared of 9.1% and a standard error of 0.125. The 90% confidence interval is [0.42, 0.83].</w:t>
      </w:r>
    </w:p>
    <w:p>
      <w:pPr>
        <w:spacing w:after="120" w:before="0"/>
      </w:pPr>
      <w:r>
        <w:rPr>
          <w:b w:val="0"/>
          <w:i w:val="0"/>
          <w:color w:val="1C3A36"/>
          <w:sz w:val="21"/>
        </w:rPr>
        <w:t>That clears the usability threshold, and it is also STATISTICALLY WEAK — on one of the two tests rather than both, which is worth being precise about. The R-squared of 9.1% sits below the 10% mark, which triggers the flag. The confidence interval spans 0.65 times the point estimate, which does NOT: that test fires at two times and this is well inside it. The estimate is therefore never restated later as though it were precise, and the valuation is shown across a beta range rather than at a point.</w:t>
      </w:r>
    </w:p>
    <w:p>
      <w:pPr>
        <w:spacing w:after="120" w:before="0"/>
      </w:pPr>
      <w:r>
        <w:rPr>
          <w:b w:val="0"/>
          <w:i w:val="0"/>
          <w:color w:val="1C3A36"/>
          <w:sz w:val="21"/>
        </w:rPr>
        <w:t>Two cross-checks are run rather than asserted. The share closes unchanged on 12.2% of sessions against an Egyptian library median of 9.0%, and non-synchronous trading biases a contemporaneous beta downward; the lead-lag sum-beta that corrects for it is 0.919, an uplift of 0.291 with a standard error of 0.243 — i.e. an uplift not statistically distinguishable from zero. And a simple prior would put a cyclical, capital-intensive materials business at 1.0 to 1.5, which is above where this regression lands. There is a real reason for that: the company carries no net financial leverage, and unlevered equity genuinely moves less than levered equity. The regression is adopted, the correction is published as a value, and the difference is worth -13.2% of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69.76</w:t>
            </w:r>
          </w:p>
        </w:tc>
        <w:tc>
          <w:tcPr>
            <w:tcW w:type="dxa" w:w="1411"/>
          </w:tcPr>
          <w:p>
            <w:pPr>
              <w:spacing w:after="20"/>
              <w:jc w:val="right"/>
            </w:pPr>
            <w:r>
              <w:rPr>
                <w:color w:val="1C3A36"/>
                <w:sz w:val="18"/>
              </w:rPr>
              <w:t>62.99</w:t>
            </w:r>
          </w:p>
        </w:tc>
        <w:tc>
          <w:tcPr>
            <w:tcW w:type="dxa" w:w="1411"/>
          </w:tcPr>
          <w:p>
            <w:pPr>
              <w:spacing w:after="20"/>
              <w:jc w:val="right"/>
            </w:pPr>
            <w:r>
              <w:rPr>
                <w:color w:val="1C3A36"/>
                <w:sz w:val="18"/>
              </w:rPr>
              <w:t>57.58</w:t>
            </w:r>
          </w:p>
        </w:tc>
        <w:tc>
          <w:tcPr>
            <w:tcW w:type="dxa" w:w="1411"/>
          </w:tcPr>
          <w:p>
            <w:pPr>
              <w:spacing w:after="20"/>
              <w:jc w:val="right"/>
            </w:pPr>
            <w:r>
              <w:rPr>
                <w:color w:val="1C3A36"/>
                <w:sz w:val="18"/>
              </w:rPr>
              <w:t>54.18</w:t>
            </w:r>
          </w:p>
        </w:tc>
        <w:tc>
          <w:tcPr>
            <w:tcW w:type="dxa" w:w="1411"/>
          </w:tcPr>
          <w:p>
            <w:pPr>
              <w:spacing w:after="20"/>
              <w:jc w:val="right"/>
            </w:pPr>
            <w:r>
              <w:rPr>
                <w:color w:val="1C3A36"/>
                <w:sz w:val="18"/>
              </w:rPr>
              <w:t>51.22</w:t>
            </w:r>
          </w:p>
        </w:tc>
      </w:tr>
    </w:tbl>
    <w:p>
      <w:pPr>
        <w:spacing w:after="40"/>
      </w:pPr>
    </w:p>
    <w:p>
      <w:pPr>
        <w:spacing w:after="200" w:before="0"/>
      </w:pPr>
      <w:r>
        <w:rPr>
          <w:b w:val="0"/>
          <w:i/>
          <w:color w:val="6E7B77"/>
          <w:sz w:val="17"/>
        </w:rPr>
        <w:t>Table 6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13,776</w:t>
            </w:r>
          </w:p>
        </w:tc>
        <w:tc>
          <w:tcPr>
            <w:tcW w:type="dxa" w:w="1325"/>
          </w:tcPr>
          <w:p>
            <w:pPr>
              <w:spacing w:after="20"/>
              <w:jc w:val="right"/>
            </w:pPr>
            <w:r>
              <w:rPr>
                <w:color w:val="1C3A36"/>
                <w:sz w:val="17"/>
              </w:rPr>
              <w:t>15,217</w:t>
            </w:r>
          </w:p>
        </w:tc>
        <w:tc>
          <w:tcPr>
            <w:tcW w:type="dxa" w:w="1325"/>
          </w:tcPr>
          <w:p>
            <w:pPr>
              <w:spacing w:after="20"/>
              <w:jc w:val="right"/>
            </w:pPr>
            <w:r>
              <w:rPr>
                <w:color w:val="1C3A36"/>
                <w:sz w:val="17"/>
              </w:rPr>
              <w:t>16,606</w:t>
            </w:r>
          </w:p>
        </w:tc>
        <w:tc>
          <w:tcPr>
            <w:tcW w:type="dxa" w:w="1325"/>
          </w:tcPr>
          <w:p>
            <w:pPr>
              <w:spacing w:after="20"/>
              <w:jc w:val="right"/>
            </w:pPr>
            <w:r>
              <w:rPr>
                <w:color w:val="1C3A36"/>
                <w:sz w:val="17"/>
              </w:rPr>
              <w:t>17,883</w:t>
            </w:r>
          </w:p>
        </w:tc>
        <w:tc>
          <w:tcPr>
            <w:tcW w:type="dxa" w:w="1325"/>
          </w:tcPr>
          <w:p>
            <w:pPr>
              <w:spacing w:after="20"/>
              <w:jc w:val="right"/>
            </w:pPr>
            <w:r>
              <w:rPr>
                <w:color w:val="1C3A36"/>
                <w:sz w:val="17"/>
              </w:rPr>
              <w:t>19,116</w:t>
            </w:r>
          </w:p>
        </w:tc>
      </w:tr>
      <w:tr>
        <w:tc>
          <w:tcPr>
            <w:tcW w:type="dxa" w:w="3024"/>
          </w:tcPr>
          <w:p>
            <w:pPr>
              <w:spacing w:after="20"/>
            </w:pPr>
            <w:r>
              <w:rPr>
                <w:color w:val="1C3A36"/>
                <w:sz w:val="17"/>
              </w:rPr>
              <w:t>EBITDA</w:t>
            </w:r>
          </w:p>
        </w:tc>
        <w:tc>
          <w:tcPr>
            <w:tcW w:type="dxa" w:w="1325"/>
          </w:tcPr>
          <w:p>
            <w:pPr>
              <w:spacing w:after="20"/>
              <w:jc w:val="right"/>
            </w:pPr>
            <w:r>
              <w:rPr>
                <w:color w:val="1C3A36"/>
                <w:sz w:val="17"/>
              </w:rPr>
              <w:t>5,044</w:t>
            </w:r>
          </w:p>
        </w:tc>
        <w:tc>
          <w:tcPr>
            <w:tcW w:type="dxa" w:w="1325"/>
          </w:tcPr>
          <w:p>
            <w:pPr>
              <w:spacing w:after="20"/>
              <w:jc w:val="right"/>
            </w:pPr>
            <w:r>
              <w:rPr>
                <w:color w:val="1C3A36"/>
                <w:sz w:val="17"/>
              </w:rPr>
              <w:t>5,466</w:t>
            </w:r>
          </w:p>
        </w:tc>
        <w:tc>
          <w:tcPr>
            <w:tcW w:type="dxa" w:w="1325"/>
          </w:tcPr>
          <w:p>
            <w:pPr>
              <w:spacing w:after="20"/>
              <w:jc w:val="right"/>
            </w:pPr>
            <w:r>
              <w:rPr>
                <w:color w:val="1C3A36"/>
                <w:sz w:val="17"/>
              </w:rPr>
              <w:t>5,852</w:t>
            </w:r>
          </w:p>
        </w:tc>
        <w:tc>
          <w:tcPr>
            <w:tcW w:type="dxa" w:w="1325"/>
          </w:tcPr>
          <w:p>
            <w:pPr>
              <w:spacing w:after="20"/>
              <w:jc w:val="right"/>
            </w:pPr>
            <w:r>
              <w:rPr>
                <w:color w:val="1C3A36"/>
                <w:sz w:val="17"/>
              </w:rPr>
              <w:t>6,189</w:t>
            </w:r>
          </w:p>
        </w:tc>
        <w:tc>
          <w:tcPr>
            <w:tcW w:type="dxa" w:w="1325"/>
          </w:tcPr>
          <w:p>
            <w:pPr>
              <w:spacing w:after="20"/>
              <w:jc w:val="right"/>
            </w:pPr>
            <w:r>
              <w:rPr>
                <w:color w:val="1C3A36"/>
                <w:sz w:val="17"/>
              </w:rPr>
              <w:t>6,559</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36.6%</w:t>
            </w:r>
          </w:p>
        </w:tc>
        <w:tc>
          <w:tcPr>
            <w:tcW w:type="dxa" w:w="1325"/>
          </w:tcPr>
          <w:p>
            <w:pPr>
              <w:spacing w:after="20"/>
              <w:jc w:val="right"/>
            </w:pPr>
            <w:r>
              <w:rPr>
                <w:color w:val="1C3A36"/>
                <w:sz w:val="17"/>
              </w:rPr>
              <w:t>35.9%</w:t>
            </w:r>
          </w:p>
        </w:tc>
        <w:tc>
          <w:tcPr>
            <w:tcW w:type="dxa" w:w="1325"/>
          </w:tcPr>
          <w:p>
            <w:pPr>
              <w:spacing w:after="20"/>
              <w:jc w:val="right"/>
            </w:pPr>
            <w:r>
              <w:rPr>
                <w:color w:val="1C3A36"/>
                <w:sz w:val="17"/>
              </w:rPr>
              <w:t>35.2%</w:t>
            </w:r>
          </w:p>
        </w:tc>
        <w:tc>
          <w:tcPr>
            <w:tcW w:type="dxa" w:w="1325"/>
          </w:tcPr>
          <w:p>
            <w:pPr>
              <w:spacing w:after="20"/>
              <w:jc w:val="right"/>
            </w:pPr>
            <w:r>
              <w:rPr>
                <w:color w:val="1C3A36"/>
                <w:sz w:val="17"/>
              </w:rPr>
              <w:t>34.6%</w:t>
            </w:r>
          </w:p>
        </w:tc>
        <w:tc>
          <w:tcPr>
            <w:tcW w:type="dxa" w:w="1325"/>
          </w:tcPr>
          <w:p>
            <w:pPr>
              <w:spacing w:after="20"/>
              <w:jc w:val="right"/>
            </w:pPr>
            <w:r>
              <w:rPr>
                <w:color w:val="1C3A36"/>
                <w:sz w:val="17"/>
              </w:rPr>
              <w:t>34.3%</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411</w:t>
            </w:r>
          </w:p>
        </w:tc>
        <w:tc>
          <w:tcPr>
            <w:tcW w:type="dxa" w:w="1325"/>
          </w:tcPr>
          <w:p>
            <w:pPr>
              <w:spacing w:after="20"/>
              <w:jc w:val="right"/>
            </w:pPr>
            <w:r>
              <w:rPr>
                <w:color w:val="1C3A36"/>
                <w:sz w:val="17"/>
              </w:rPr>
              <w:t>482</w:t>
            </w:r>
          </w:p>
        </w:tc>
        <w:tc>
          <w:tcPr>
            <w:tcW w:type="dxa" w:w="1325"/>
          </w:tcPr>
          <w:p>
            <w:pPr>
              <w:spacing w:after="20"/>
              <w:jc w:val="right"/>
            </w:pPr>
            <w:r>
              <w:rPr>
                <w:color w:val="1C3A36"/>
                <w:sz w:val="17"/>
              </w:rPr>
              <w:t>554</w:t>
            </w:r>
          </w:p>
        </w:tc>
        <w:tc>
          <w:tcPr>
            <w:tcW w:type="dxa" w:w="1325"/>
          </w:tcPr>
          <w:p>
            <w:pPr>
              <w:spacing w:after="20"/>
              <w:jc w:val="right"/>
            </w:pPr>
            <w:r>
              <w:rPr>
                <w:color w:val="1C3A36"/>
                <w:sz w:val="17"/>
              </w:rPr>
              <w:t>631</w:t>
            </w:r>
          </w:p>
        </w:tc>
      </w:tr>
      <w:tr>
        <w:tc>
          <w:tcPr>
            <w:tcW w:type="dxa" w:w="3024"/>
          </w:tcPr>
          <w:p>
            <w:pPr>
              <w:spacing w:after="20"/>
            </w:pPr>
            <w:r>
              <w:rPr>
                <w:color w:val="1C3A36"/>
                <w:sz w:val="17"/>
              </w:rPr>
              <w:t>EBIT</w:t>
            </w:r>
          </w:p>
        </w:tc>
        <w:tc>
          <w:tcPr>
            <w:tcW w:type="dxa" w:w="1325"/>
          </w:tcPr>
          <w:p>
            <w:pPr>
              <w:spacing w:after="20"/>
              <w:jc w:val="right"/>
            </w:pPr>
            <w:r>
              <w:rPr>
                <w:color w:val="1C3A36"/>
                <w:sz w:val="17"/>
              </w:rPr>
              <w:t>4,700</w:t>
            </w:r>
          </w:p>
        </w:tc>
        <w:tc>
          <w:tcPr>
            <w:tcW w:type="dxa" w:w="1325"/>
          </w:tcPr>
          <w:p>
            <w:pPr>
              <w:spacing w:after="20"/>
              <w:jc w:val="right"/>
            </w:pPr>
            <w:r>
              <w:rPr>
                <w:color w:val="1C3A36"/>
                <w:sz w:val="17"/>
              </w:rPr>
              <w:t>5,056</w:t>
            </w:r>
          </w:p>
        </w:tc>
        <w:tc>
          <w:tcPr>
            <w:tcW w:type="dxa" w:w="1325"/>
          </w:tcPr>
          <w:p>
            <w:pPr>
              <w:spacing w:after="20"/>
              <w:jc w:val="right"/>
            </w:pPr>
            <w:r>
              <w:rPr>
                <w:color w:val="1C3A36"/>
                <w:sz w:val="17"/>
              </w:rPr>
              <w:t>5,370</w:t>
            </w:r>
          </w:p>
        </w:tc>
        <w:tc>
          <w:tcPr>
            <w:tcW w:type="dxa" w:w="1325"/>
          </w:tcPr>
          <w:p>
            <w:pPr>
              <w:spacing w:after="20"/>
              <w:jc w:val="right"/>
            </w:pPr>
            <w:r>
              <w:rPr>
                <w:color w:val="1C3A36"/>
                <w:sz w:val="17"/>
              </w:rPr>
              <w:t>5,634</w:t>
            </w:r>
          </w:p>
        </w:tc>
        <w:tc>
          <w:tcPr>
            <w:tcW w:type="dxa" w:w="1325"/>
          </w:tcPr>
          <w:p>
            <w:pPr>
              <w:spacing w:after="20"/>
              <w:jc w:val="right"/>
            </w:pPr>
            <w:r>
              <w:rPr>
                <w:color w:val="1C3A36"/>
                <w:sz w:val="17"/>
              </w:rPr>
              <w:t>5,929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3,580</w:t>
            </w:r>
          </w:p>
        </w:tc>
        <w:tc>
          <w:tcPr>
            <w:tcW w:type="dxa" w:w="1325"/>
          </w:tcPr>
          <w:p>
            <w:pPr>
              <w:spacing w:after="20"/>
              <w:jc w:val="right"/>
            </w:pPr>
            <w:r>
              <w:rPr>
                <w:color w:val="1C3A36"/>
                <w:sz w:val="17"/>
              </w:rPr>
              <w:t>3,851</w:t>
            </w:r>
          </w:p>
        </w:tc>
        <w:tc>
          <w:tcPr>
            <w:tcW w:type="dxa" w:w="1325"/>
          </w:tcPr>
          <w:p>
            <w:pPr>
              <w:spacing w:after="20"/>
              <w:jc w:val="right"/>
            </w:pPr>
            <w:r>
              <w:rPr>
                <w:color w:val="1C3A36"/>
                <w:sz w:val="17"/>
              </w:rPr>
              <w:t>4,091</w:t>
            </w:r>
          </w:p>
        </w:tc>
        <w:tc>
          <w:tcPr>
            <w:tcW w:type="dxa" w:w="1325"/>
          </w:tcPr>
          <w:p>
            <w:pPr>
              <w:spacing w:after="20"/>
              <w:jc w:val="right"/>
            </w:pPr>
            <w:r>
              <w:rPr>
                <w:color w:val="1C3A36"/>
                <w:sz w:val="17"/>
              </w:rPr>
              <w:t>4,292</w:t>
            </w:r>
          </w:p>
        </w:tc>
        <w:tc>
          <w:tcPr>
            <w:tcW w:type="dxa" w:w="1325"/>
          </w:tcPr>
          <w:p>
            <w:pPr>
              <w:spacing w:after="20"/>
              <w:jc w:val="right"/>
            </w:pPr>
            <w:r>
              <w:rPr>
                <w:color w:val="1C3A36"/>
                <w:sz w:val="17"/>
              </w:rPr>
              <w:t>4,516</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411</w:t>
            </w:r>
          </w:p>
        </w:tc>
        <w:tc>
          <w:tcPr>
            <w:tcW w:type="dxa" w:w="1325"/>
          </w:tcPr>
          <w:p>
            <w:pPr>
              <w:spacing w:after="20"/>
              <w:jc w:val="right"/>
            </w:pPr>
            <w:r>
              <w:rPr>
                <w:color w:val="1C3A36"/>
                <w:sz w:val="17"/>
              </w:rPr>
              <w:t>482</w:t>
            </w:r>
          </w:p>
        </w:tc>
        <w:tc>
          <w:tcPr>
            <w:tcW w:type="dxa" w:w="1325"/>
          </w:tcPr>
          <w:p>
            <w:pPr>
              <w:spacing w:after="20"/>
              <w:jc w:val="right"/>
            </w:pPr>
            <w:r>
              <w:rPr>
                <w:color w:val="1C3A36"/>
                <w:sz w:val="17"/>
              </w:rPr>
              <w:t>554</w:t>
            </w:r>
          </w:p>
        </w:tc>
        <w:tc>
          <w:tcPr>
            <w:tcW w:type="dxa" w:w="1325"/>
          </w:tcPr>
          <w:p>
            <w:pPr>
              <w:spacing w:after="20"/>
              <w:jc w:val="right"/>
            </w:pPr>
            <w:r>
              <w:rPr>
                <w:color w:val="1C3A36"/>
                <w:sz w:val="17"/>
              </w:rPr>
              <w:t>631</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(159)</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(167)</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(148)</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1,148</w:t>
            </w:r>
          </w:p>
        </w:tc>
        <w:tc>
          <w:tcPr>
            <w:tcW w:type="dxa" w:w="1325"/>
            <w:shd w:val="clear" w:color="auto" w:fill="F6F1E6"/>
          </w:tcPr>
          <w:p>
            <w:pPr>
              <w:spacing w:after="20"/>
              <w:jc w:val="right"/>
            </w:pPr>
            <w:r>
              <w:rPr>
                <w:b/>
                <w:color w:val="1C3A36"/>
                <w:sz w:val="17"/>
              </w:rPr>
              <w:t>3,027</w:t>
            </w:r>
          </w:p>
        </w:tc>
        <w:tc>
          <w:tcPr>
            <w:tcW w:type="dxa" w:w="1325"/>
            <w:shd w:val="clear" w:color="auto" w:fill="F6F1E6"/>
          </w:tcPr>
          <w:p>
            <w:pPr>
              <w:spacing w:after="20"/>
              <w:jc w:val="right"/>
            </w:pPr>
            <w:r>
              <w:rPr>
                <w:b/>
                <w:color w:val="1C3A36"/>
                <w:sz w:val="17"/>
              </w:rPr>
              <w:t>3,290</w:t>
            </w:r>
          </w:p>
        </w:tc>
        <w:tc>
          <w:tcPr>
            <w:tcW w:type="dxa" w:w="1325"/>
            <w:shd w:val="clear" w:color="auto" w:fill="F6F1E6"/>
          </w:tcPr>
          <w:p>
            <w:pPr>
              <w:spacing w:after="20"/>
              <w:jc w:val="right"/>
            </w:pPr>
            <w:r>
              <w:rPr>
                <w:b/>
                <w:color w:val="1C3A36"/>
                <w:sz w:val="17"/>
              </w:rPr>
              <w:t>3,521</w:t>
            </w:r>
          </w:p>
        </w:tc>
        <w:tc>
          <w:tcPr>
            <w:tcW w:type="dxa" w:w="1325"/>
            <w:shd w:val="clear" w:color="auto" w:fill="F6F1E6"/>
          </w:tcPr>
          <w:p>
            <w:pPr>
              <w:spacing w:after="20"/>
              <w:jc w:val="right"/>
            </w:pPr>
            <w:r>
              <w:rPr>
                <w:b/>
                <w:color w:val="1C3A36"/>
                <w:sz w:val="17"/>
              </w:rPr>
              <w:t>3,769</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0.9563</w:t>
            </w:r>
          </w:p>
        </w:tc>
        <w:tc>
          <w:tcPr>
            <w:tcW w:type="dxa" w:w="1325"/>
          </w:tcPr>
          <w:p>
            <w:pPr>
              <w:spacing w:after="20"/>
              <w:jc w:val="right"/>
            </w:pPr>
            <w:r>
              <w:rPr>
                <w:color w:val="1C3A36"/>
                <w:sz w:val="17"/>
              </w:rPr>
              <w:t>0.8216</w:t>
            </w:r>
          </w:p>
        </w:tc>
        <w:tc>
          <w:tcPr>
            <w:tcW w:type="dxa" w:w="1325"/>
          </w:tcPr>
          <w:p>
            <w:pPr>
              <w:spacing w:after="20"/>
              <w:jc w:val="right"/>
            </w:pPr>
            <w:r>
              <w:rPr>
                <w:color w:val="1C3A36"/>
                <w:sz w:val="17"/>
              </w:rPr>
              <w:t>0.6787</w:t>
            </w:r>
          </w:p>
        </w:tc>
        <w:tc>
          <w:tcPr>
            <w:tcW w:type="dxa" w:w="1325"/>
          </w:tcPr>
          <w:p>
            <w:pPr>
              <w:spacing w:after="20"/>
              <w:jc w:val="right"/>
            </w:pPr>
            <w:r>
              <w:rPr>
                <w:color w:val="1C3A36"/>
                <w:sz w:val="17"/>
              </w:rPr>
              <w:t>0.5725</w:t>
            </w:r>
          </w:p>
        </w:tc>
        <w:tc>
          <w:tcPr>
            <w:tcW w:type="dxa" w:w="1325"/>
          </w:tcPr>
          <w:p>
            <w:pPr>
              <w:spacing w:after="20"/>
              <w:jc w:val="right"/>
            </w:pPr>
            <w:r>
              <w:rPr>
                <w:color w:val="1C3A36"/>
                <w:sz w:val="17"/>
              </w:rPr>
              <w:t>0.4894</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1,098</w:t>
            </w:r>
          </w:p>
        </w:tc>
        <w:tc>
          <w:tcPr>
            <w:tcW w:type="dxa" w:w="1325"/>
            <w:shd w:val="clear" w:color="auto" w:fill="F6F1E6"/>
          </w:tcPr>
          <w:p>
            <w:pPr>
              <w:spacing w:after="20"/>
              <w:jc w:val="right"/>
            </w:pPr>
            <w:r>
              <w:rPr>
                <w:b/>
                <w:color w:val="1C3A36"/>
                <w:sz w:val="17"/>
              </w:rPr>
              <w:t>2,487</w:t>
            </w:r>
          </w:p>
        </w:tc>
        <w:tc>
          <w:tcPr>
            <w:tcW w:type="dxa" w:w="1325"/>
            <w:shd w:val="clear" w:color="auto" w:fill="F6F1E6"/>
          </w:tcPr>
          <w:p>
            <w:pPr>
              <w:spacing w:after="20"/>
              <w:jc w:val="right"/>
            </w:pPr>
            <w:r>
              <w:rPr>
                <w:b/>
                <w:color w:val="1C3A36"/>
                <w:sz w:val="17"/>
              </w:rPr>
              <w:t>2,233</w:t>
            </w:r>
          </w:p>
        </w:tc>
        <w:tc>
          <w:tcPr>
            <w:tcW w:type="dxa" w:w="1325"/>
            <w:shd w:val="clear" w:color="auto" w:fill="F6F1E6"/>
          </w:tcPr>
          <w:p>
            <w:pPr>
              <w:spacing w:after="20"/>
              <w:jc w:val="right"/>
            </w:pPr>
            <w:r>
              <w:rPr>
                <w:b/>
                <w:color w:val="1C3A36"/>
                <w:sz w:val="17"/>
              </w:rPr>
              <w:t>2,016</w:t>
            </w:r>
          </w:p>
        </w:tc>
        <w:tc>
          <w:tcPr>
            <w:tcW w:type="dxa" w:w="1325"/>
            <w:shd w:val="clear" w:color="auto" w:fill="F6F1E6"/>
          </w:tcPr>
          <w:p>
            <w:pPr>
              <w:spacing w:after="20"/>
              <w:jc w:val="right"/>
            </w:pPr>
            <w:r>
              <w:rPr>
                <w:b/>
                <w:color w:val="1C3A36"/>
                <w:sz w:val="17"/>
              </w:rPr>
              <w:t>1,845</w:t>
            </w:r>
          </w:p>
        </w:tc>
      </w:tr>
    </w:tbl>
    <w:p>
      <w:pPr>
        <w:spacing w:after="40"/>
      </w:pPr>
    </w:p>
    <w:p>
      <w:pPr>
        <w:spacing w:after="200" w:before="0"/>
      </w:pPr>
      <w:r>
        <w:rPr>
          <w:b w:val="0"/>
          <w:i/>
          <w:color w:val="6E7B77"/>
          <w:sz w:val="17"/>
        </w:rPr>
        <w:t>Table 7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44.9% in total across the five years while pound costs grow 54.4% — a real erosion of about 7%. The EBITDA margin therefore falls from the audited 39.3% to 34.3%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5.70 a share.</w:t>
      </w:r>
    </w:p>
    <w:p>
      <w:pPr>
        <w:spacing w:after="120" w:before="0"/>
      </w:pPr>
      <w:r>
        <w:rPr>
          <w:b w:val="0"/>
          <w:i w:val="0"/>
          <w:color w:val="1C3A36"/>
          <w:sz w:val="21"/>
        </w:rPr>
        <w:t>That path is CALIBRATED to the audited record rather than asserted against it, and it is the one thing this revision changes. The prior revision assumed local prices grew 3.0% in FY2026 against 11.5% cost inflation, and about four points a year after that — a cumulative real squeeze near 28%. The statements contradict it. In FY2024 revenue grew 44.5% against total cash cost of 41.8%; in FY2025 revenue grew 42.6% against cash cost of 12.5%, which is why the gross margin moved 21.2% to 23.9% to 40.6%. In every period the accounts cover, price outran cost. The old assumption also implied a producer unable to raise price even at the central bank's own medium-term target, while the same model had utilisation rising from 69.7% to 78.2% — volume gained and real price lost at once, which is two conservatisms stacked rather than one judgement made. The path carried here grows local price 8.0% in FY2026 and then 9.0%, 8.0%, 7.0% and 6.5% — below the cost path in every single year, and producing FY2026 group revenue growth of 10.7% against the 17.3% the first quarter actually ran. The cost path is deliberately left at headline inflation even though this company's own realised cost inflation ran below the national rate, because crediting that here would double-count the alternative-fuel saving already carried as a driver of its own.</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3,680mn for FY2026, -2.4%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9,679</w:t>
            </w:r>
          </w:p>
        </w:tc>
        <w:tc>
          <w:tcPr>
            <w:tcW w:type="dxa" w:w="2160"/>
          </w:tcPr>
          <w:p>
            <w:pPr>
              <w:spacing w:after="20"/>
              <w:jc w:val="right"/>
            </w:pPr>
            <w:r>
              <w:rPr>
                <w:color w:val="1C3A36"/>
                <w:sz w:val="18"/>
              </w:rPr>
              <w:t>25.82</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14,149</w:t>
            </w:r>
          </w:p>
        </w:tc>
        <w:tc>
          <w:tcPr>
            <w:tcW w:type="dxa" w:w="2160"/>
          </w:tcPr>
          <w:p>
            <w:pPr>
              <w:spacing w:after="20"/>
              <w:jc w:val="right"/>
            </w:pPr>
            <w:r>
              <w:rPr>
                <w:color w:val="1C3A36"/>
                <w:sz w:val="18"/>
              </w:rPr>
              <w:t>37.74</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23,828</w:t>
            </w:r>
          </w:p>
        </w:tc>
        <w:tc>
          <w:tcPr>
            <w:tcW w:type="dxa" w:w="2160"/>
            <w:shd w:val="clear" w:color="auto" w:fill="F6F1E6"/>
          </w:tcPr>
          <w:p>
            <w:pPr>
              <w:spacing w:after="20"/>
              <w:jc w:val="right"/>
            </w:pPr>
            <w:r>
              <w:rPr>
                <w:b/>
                <w:color w:val="1C3A36"/>
                <w:sz w:val="18"/>
              </w:rPr>
              <w:t>63.56</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1,928</w:t>
            </w:r>
          </w:p>
        </w:tc>
        <w:tc>
          <w:tcPr>
            <w:tcW w:type="dxa" w:w="2160"/>
          </w:tcPr>
          <w:p>
            <w:pPr>
              <w:spacing w:after="20"/>
              <w:jc w:val="right"/>
            </w:pPr>
            <w:r>
              <w:rPr>
                <w:color w:val="1C3A36"/>
                <w:sz w:val="18"/>
              </w:rPr>
              <w:t>5.14</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25,755</w:t>
            </w:r>
          </w:p>
        </w:tc>
        <w:tc>
          <w:tcPr>
            <w:tcW w:type="dxa" w:w="2160"/>
            <w:shd w:val="clear" w:color="auto" w:fill="F6F1E6"/>
          </w:tcPr>
          <w:p>
            <w:pPr>
              <w:spacing w:after="20"/>
              <w:jc w:val="right"/>
            </w:pPr>
            <w:r>
              <w:rPr>
                <w:b/>
                <w:color w:val="1C3A36"/>
                <w:sz w:val="18"/>
              </w:rPr>
              <w:t>68.71</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59.4%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+16.4%</w:t>
            </w:r>
          </w:p>
        </w:tc>
      </w:tr>
    </w:tbl>
    <w:p>
      <w:pPr>
        <w:spacing w:after="40"/>
      </w:pPr>
    </w:p>
    <w:p>
      <w:pPr>
        <w:spacing w:after="200" w:before="0"/>
      </w:pPr>
      <w:r>
        <w:rPr>
          <w:b w:val="0"/>
          <w:i/>
          <w:color w:val="6E7B77"/>
          <w:sz w:val="17"/>
        </w:rPr>
        <w:t>Table 8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audited balance sheet shows EGP 3,459mn of cash against EGP 1,135mn of interest-bearing debt at 31 December 2025. Rolling that forward on the elapsed part of FY2026 and DEDUCTING the EGP 2,002mn FY2025 dividend — declared and still shown as payable in the March 2026 accounts, so a buyer at today's price does not receive it — puts net cash at EGP 1,928mn at the valuation date, or EGP 5.14 a share. The March 2026 balance sheet is the independent check on that: cash of EGP 4,380mn less debt of EGP 1,261mn less the dividend payable of EGP 2,002mn is EGP 1,117mn at 31 March, four months before the valuation date.</w:t>
      </w:r>
    </w:p>
    <w:p>
      <w:pPr>
        <w:spacing w:after="120" w:before="0"/>
      </w:pPr>
      <w:r>
        <w:rPr>
          <w:b w:val="0"/>
          <w:i w:val="0"/>
          <w:color w:val="1C3A36"/>
          <w:sz w:val="21"/>
        </w:rPr>
        <w:t>Minority interests are deducted, and the audited figure is the reason this line is now immaterial: EGP 158,005 — one hundred and fifty-eight thousand pounds, or 0.0006% of equity value. The subsidiaries are 99% to 99.99% owned.</w:t>
      </w:r>
    </w:p>
    <w:p>
      <w:pPr>
        <w:spacing w:after="120" w:before="0"/>
      </w:pPr>
      <w:r>
        <w:rPr>
          <w:b w:val="0"/>
          <w:i w:val="0"/>
          <w:color w:val="1C3A36"/>
          <w:sz w:val="21"/>
        </w:rPr>
        <w:t>At 59.4% of enterprise value, the terminal value carries less of this valuation than the two-thirds to four-fifths a long-horizon discounted cash-flow model usually ends up with, and that is a consequence of the 23.9% explicit-window discount rate rather than a design choice — at that rate the fifth forecast year is already discounted to 49%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32,695mn, being 5.0Mt at USD 130 a tonne. On that basis the terminal return on capital is 14.5% and the reinvestment rate that 5% growth requires is 34.5%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14.5% against a terminal rate of 15.7%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13.61%. This company sits at 13.81% — 21 basis points above it. Growth therefore adds value, and adds almost none of it: the cash-flow lens is EGP 68.56 at 3% terminal growth and EGP 68.92 at 7%, a spread of 0.5% across four points of perpetual growth.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20.89%</w:t>
            </w:r>
          </w:p>
        </w:tc>
        <w:tc>
          <w:tcPr>
            <w:tcW w:type="dxa" w:w="1469"/>
          </w:tcPr>
          <w:p>
            <w:pPr>
              <w:spacing w:after="20"/>
              <w:jc w:val="right"/>
            </w:pPr>
            <w:r>
              <w:rPr>
                <w:color w:val="1C3A36"/>
                <w:sz w:val="18"/>
              </w:rPr>
              <w:t>71.46</w:t>
            </w:r>
          </w:p>
        </w:tc>
        <w:tc>
          <w:tcPr>
            <w:tcW w:type="dxa" w:w="1469"/>
          </w:tcPr>
          <w:p>
            <w:pPr>
              <w:spacing w:after="20"/>
              <w:jc w:val="right"/>
            </w:pPr>
            <w:r>
              <w:rPr>
                <w:color w:val="1C3A36"/>
                <w:sz w:val="18"/>
              </w:rPr>
              <w:t>71.53</w:t>
            </w:r>
          </w:p>
        </w:tc>
        <w:tc>
          <w:tcPr>
            <w:tcW w:type="dxa" w:w="1469"/>
          </w:tcPr>
          <w:p>
            <w:pPr>
              <w:spacing w:after="20"/>
              <w:jc w:val="right"/>
            </w:pPr>
            <w:r>
              <w:rPr>
                <w:color w:val="1C3A36"/>
                <w:sz w:val="18"/>
              </w:rPr>
              <w:t>71.62</w:t>
            </w:r>
          </w:p>
        </w:tc>
        <w:tc>
          <w:tcPr>
            <w:tcW w:type="dxa" w:w="1469"/>
          </w:tcPr>
          <w:p>
            <w:pPr>
              <w:spacing w:after="20"/>
              <w:jc w:val="right"/>
            </w:pPr>
            <w:r>
              <w:rPr>
                <w:color w:val="1C3A36"/>
                <w:sz w:val="18"/>
              </w:rPr>
              <w:t>71.72</w:t>
            </w:r>
          </w:p>
        </w:tc>
        <w:tc>
          <w:tcPr>
            <w:tcW w:type="dxa" w:w="1469"/>
          </w:tcPr>
          <w:p>
            <w:pPr>
              <w:spacing w:after="20"/>
              <w:jc w:val="right"/>
            </w:pPr>
            <w:r>
              <w:rPr>
                <w:color w:val="1C3A36"/>
                <w:sz w:val="18"/>
              </w:rPr>
              <w:t>71.85</w:t>
            </w:r>
          </w:p>
        </w:tc>
      </w:tr>
      <w:tr>
        <w:tc>
          <w:tcPr>
            <w:tcW w:type="dxa" w:w="2477"/>
          </w:tcPr>
          <w:p>
            <w:pPr>
              <w:spacing w:after="20"/>
            </w:pPr>
            <w:r>
              <w:rPr>
                <w:color w:val="1C3A36"/>
                <w:sz w:val="18"/>
              </w:rPr>
              <w:t>22.39%</w:t>
            </w:r>
          </w:p>
        </w:tc>
        <w:tc>
          <w:tcPr>
            <w:tcW w:type="dxa" w:w="1469"/>
          </w:tcPr>
          <w:p>
            <w:pPr>
              <w:spacing w:after="20"/>
              <w:jc w:val="right"/>
            </w:pPr>
            <w:r>
              <w:rPr>
                <w:color w:val="1C3A36"/>
                <w:sz w:val="18"/>
              </w:rPr>
              <w:t>69.98</w:t>
            </w:r>
          </w:p>
        </w:tc>
        <w:tc>
          <w:tcPr>
            <w:tcW w:type="dxa" w:w="1469"/>
          </w:tcPr>
          <w:p>
            <w:pPr>
              <w:spacing w:after="20"/>
              <w:jc w:val="right"/>
            </w:pPr>
            <w:r>
              <w:rPr>
                <w:color w:val="1C3A36"/>
                <w:sz w:val="18"/>
              </w:rPr>
              <w:t>70.05</w:t>
            </w:r>
          </w:p>
        </w:tc>
        <w:tc>
          <w:tcPr>
            <w:tcW w:type="dxa" w:w="1469"/>
          </w:tcPr>
          <w:p>
            <w:pPr>
              <w:spacing w:after="20"/>
              <w:jc w:val="right"/>
            </w:pPr>
            <w:r>
              <w:rPr>
                <w:color w:val="1C3A36"/>
                <w:sz w:val="18"/>
              </w:rPr>
              <w:t>70.14</w:t>
            </w:r>
          </w:p>
        </w:tc>
        <w:tc>
          <w:tcPr>
            <w:tcW w:type="dxa" w:w="1469"/>
          </w:tcPr>
          <w:p>
            <w:pPr>
              <w:spacing w:after="20"/>
              <w:jc w:val="right"/>
            </w:pPr>
            <w:r>
              <w:rPr>
                <w:color w:val="1C3A36"/>
                <w:sz w:val="18"/>
              </w:rPr>
              <w:t>70.24</w:t>
            </w:r>
          </w:p>
        </w:tc>
        <w:tc>
          <w:tcPr>
            <w:tcW w:type="dxa" w:w="1469"/>
          </w:tcPr>
          <w:p>
            <w:pPr>
              <w:spacing w:after="20"/>
              <w:jc w:val="right"/>
            </w:pPr>
            <w:r>
              <w:rPr>
                <w:color w:val="1C3A36"/>
                <w:sz w:val="18"/>
              </w:rPr>
              <w:t>70.36</w:t>
            </w:r>
          </w:p>
        </w:tc>
      </w:tr>
      <w:tr>
        <w:tc>
          <w:tcPr>
            <w:tcW w:type="dxa" w:w="2477"/>
          </w:tcPr>
          <w:p>
            <w:pPr>
              <w:spacing w:after="20"/>
            </w:pPr>
            <w:r>
              <w:rPr>
                <w:color w:val="1C3A36"/>
                <w:sz w:val="18"/>
              </w:rPr>
              <w:t>23.89%</w:t>
            </w:r>
          </w:p>
        </w:tc>
        <w:tc>
          <w:tcPr>
            <w:tcW w:type="dxa" w:w="1469"/>
          </w:tcPr>
          <w:p>
            <w:pPr>
              <w:spacing w:after="20"/>
              <w:jc w:val="right"/>
            </w:pPr>
            <w:r>
              <w:rPr>
                <w:color w:val="1C3A36"/>
                <w:sz w:val="18"/>
              </w:rPr>
              <w:t>68.56</w:t>
            </w:r>
          </w:p>
        </w:tc>
        <w:tc>
          <w:tcPr>
            <w:tcW w:type="dxa" w:w="1469"/>
          </w:tcPr>
          <w:p>
            <w:pPr>
              <w:spacing w:after="20"/>
              <w:jc w:val="right"/>
            </w:pPr>
            <w:r>
              <w:rPr>
                <w:color w:val="1C3A36"/>
                <w:sz w:val="18"/>
              </w:rPr>
              <w:t>68.62</w:t>
            </w:r>
          </w:p>
        </w:tc>
        <w:tc>
          <w:tcPr>
            <w:tcW w:type="dxa" w:w="1469"/>
          </w:tcPr>
          <w:p>
            <w:pPr>
              <w:spacing w:after="20"/>
              <w:jc w:val="right"/>
            </w:pPr>
            <w:r>
              <w:rPr>
                <w:color w:val="1C3A36"/>
                <w:sz w:val="18"/>
              </w:rPr>
              <w:t>68.71</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68.92</w:t>
            </w:r>
          </w:p>
        </w:tc>
      </w:tr>
      <w:tr>
        <w:tc>
          <w:tcPr>
            <w:tcW w:type="dxa" w:w="2477"/>
          </w:tcPr>
          <w:p>
            <w:pPr>
              <w:spacing w:after="20"/>
            </w:pPr>
            <w:r>
              <w:rPr>
                <w:color w:val="1C3A36"/>
                <w:sz w:val="18"/>
              </w:rPr>
              <w:t>25.39%</w:t>
            </w:r>
          </w:p>
        </w:tc>
        <w:tc>
          <w:tcPr>
            <w:tcW w:type="dxa" w:w="1469"/>
          </w:tcPr>
          <w:p>
            <w:pPr>
              <w:spacing w:after="20"/>
              <w:jc w:val="right"/>
            </w:pPr>
            <w:r>
              <w:rPr>
                <w:color w:val="1C3A36"/>
                <w:sz w:val="18"/>
              </w:rPr>
              <w:t>67.17</w:t>
            </w:r>
          </w:p>
        </w:tc>
        <w:tc>
          <w:tcPr>
            <w:tcW w:type="dxa" w:w="1469"/>
          </w:tcPr>
          <w:p>
            <w:pPr>
              <w:spacing w:after="20"/>
              <w:jc w:val="right"/>
            </w:pPr>
            <w:r>
              <w:rPr>
                <w:color w:val="1C3A36"/>
                <w:sz w:val="18"/>
              </w:rPr>
              <w:t>67.24</w:t>
            </w:r>
          </w:p>
        </w:tc>
        <w:tc>
          <w:tcPr>
            <w:tcW w:type="dxa" w:w="1469"/>
          </w:tcPr>
          <w:p>
            <w:pPr>
              <w:spacing w:after="20"/>
              <w:jc w:val="right"/>
            </w:pPr>
            <w:r>
              <w:rPr>
                <w:color w:val="1C3A36"/>
                <w:sz w:val="18"/>
              </w:rPr>
              <w:t>67.32</w:t>
            </w:r>
          </w:p>
        </w:tc>
        <w:tc>
          <w:tcPr>
            <w:tcW w:type="dxa" w:w="1469"/>
          </w:tcPr>
          <w:p>
            <w:pPr>
              <w:spacing w:after="20"/>
              <w:jc w:val="right"/>
            </w:pPr>
            <w:r>
              <w:rPr>
                <w:color w:val="1C3A36"/>
                <w:sz w:val="18"/>
              </w:rPr>
              <w:t>67.42</w:t>
            </w:r>
          </w:p>
        </w:tc>
        <w:tc>
          <w:tcPr>
            <w:tcW w:type="dxa" w:w="1469"/>
          </w:tcPr>
          <w:p>
            <w:pPr>
              <w:spacing w:after="20"/>
              <w:jc w:val="right"/>
            </w:pPr>
            <w:r>
              <w:rPr>
                <w:color w:val="1C3A36"/>
                <w:sz w:val="18"/>
              </w:rPr>
              <w:t>67.53</w:t>
            </w:r>
          </w:p>
        </w:tc>
      </w:tr>
      <w:tr>
        <w:tc>
          <w:tcPr>
            <w:tcW w:type="dxa" w:w="2477"/>
          </w:tcPr>
          <w:p>
            <w:pPr>
              <w:spacing w:after="20"/>
            </w:pPr>
            <w:r>
              <w:rPr>
                <w:color w:val="1C3A36"/>
                <w:sz w:val="18"/>
              </w:rPr>
              <w:t>26.89%</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65.90</w:t>
            </w:r>
          </w:p>
        </w:tc>
        <w:tc>
          <w:tcPr>
            <w:tcW w:type="dxa" w:w="1469"/>
          </w:tcPr>
          <w:p>
            <w:pPr>
              <w:spacing w:after="20"/>
              <w:jc w:val="right"/>
            </w:pPr>
            <w:r>
              <w:rPr>
                <w:color w:val="1C3A36"/>
                <w:sz w:val="18"/>
              </w:rPr>
              <w:t>65.98</w:t>
            </w:r>
          </w:p>
        </w:tc>
        <w:tc>
          <w:tcPr>
            <w:tcW w:type="dxa" w:w="1469"/>
          </w:tcPr>
          <w:p>
            <w:pPr>
              <w:spacing w:after="20"/>
              <w:jc w:val="right"/>
            </w:pPr>
            <w:r>
              <w:rPr>
                <w:color w:val="1C3A36"/>
                <w:sz w:val="18"/>
              </w:rPr>
              <w:t>66.07</w:t>
            </w:r>
          </w:p>
        </w:tc>
        <w:tc>
          <w:tcPr>
            <w:tcW w:type="dxa" w:w="1469"/>
          </w:tcPr>
          <w:p>
            <w:pPr>
              <w:spacing w:after="20"/>
              <w:jc w:val="right"/>
            </w:pPr>
            <w:r>
              <w:rPr>
                <w:color w:val="1C3A36"/>
                <w:sz w:val="18"/>
              </w:rPr>
              <w:t>66.19</w:t>
            </w:r>
          </w:p>
        </w:tc>
      </w:tr>
    </w:tbl>
    <w:p>
      <w:pPr>
        <w:spacing w:after="40"/>
      </w:pPr>
    </w:p>
    <w:p>
      <w:pPr>
        <w:spacing w:after="200" w:before="0"/>
      </w:pPr>
      <w:r>
        <w:rPr>
          <w:b w:val="0"/>
          <w:i/>
          <w:color w:val="6E7B77"/>
          <w:sz w:val="17"/>
        </w:rPr>
        <w:t>Table 9 — Fair value per share across the explicit-window cost of capital and terminal growth. Growth is the WEAKER of the two levers here and it points UP: across a row the value moves EGP 0.39, against EGP 5.62 down a column. The paragraphs above set out why the growth axis is nearly flat — on a replacement-cost denominator this plant sits within 21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13.7%</w:t>
            </w:r>
          </w:p>
        </w:tc>
        <w:tc>
          <w:tcPr>
            <w:tcW w:type="dxa" w:w="1469"/>
            <w:shd w:val="clear" w:color="auto" w:fill="EAF0EE"/>
          </w:tcPr>
          <w:p>
            <w:pPr>
              <w:spacing w:after="20"/>
            </w:pPr>
            <w:r>
              <w:rPr>
                <w:b/>
                <w:color w:val="1C3A36"/>
                <w:sz w:val="18"/>
              </w:rPr>
              <w:t>14.7%</w:t>
            </w:r>
          </w:p>
        </w:tc>
        <w:tc>
          <w:tcPr>
            <w:tcW w:type="dxa" w:w="1469"/>
            <w:shd w:val="clear" w:color="auto" w:fill="EAF0EE"/>
          </w:tcPr>
          <w:p>
            <w:pPr>
              <w:spacing w:after="20"/>
            </w:pPr>
            <w:r>
              <w:rPr>
                <w:b/>
                <w:color w:val="1C3A36"/>
                <w:sz w:val="18"/>
              </w:rPr>
              <w:t>15.7%</w:t>
            </w:r>
          </w:p>
        </w:tc>
        <w:tc>
          <w:tcPr>
            <w:tcW w:type="dxa" w:w="1469"/>
            <w:shd w:val="clear" w:color="auto" w:fill="EAF0EE"/>
          </w:tcPr>
          <w:p>
            <w:pPr>
              <w:spacing w:after="20"/>
            </w:pPr>
            <w:r>
              <w:rPr>
                <w:b/>
                <w:color w:val="1C3A36"/>
                <w:sz w:val="18"/>
              </w:rPr>
              <w:t>16.7%</w:t>
            </w:r>
          </w:p>
        </w:tc>
        <w:tc>
          <w:tcPr>
            <w:tcW w:type="dxa" w:w="1469"/>
            <w:shd w:val="clear" w:color="auto" w:fill="EAF0EE"/>
          </w:tcPr>
          <w:p>
            <w:pPr>
              <w:spacing w:after="20"/>
            </w:pPr>
            <w:r>
              <w:rPr>
                <w:b/>
                <w:color w:val="1C3A36"/>
                <w:sz w:val="18"/>
              </w:rPr>
              <w:t>17.7%</w:t>
            </w:r>
          </w:p>
        </w:tc>
      </w:tr>
      <w:tr>
        <w:tc>
          <w:tcPr>
            <w:tcW w:type="dxa" w:w="2477"/>
          </w:tcPr>
          <w:p>
            <w:pPr>
              <w:spacing w:after="20"/>
            </w:pPr>
            <w:r>
              <w:rPr>
                <w:color w:val="1C3A36"/>
                <w:sz w:val="18"/>
              </w:rPr>
              <w:t>20.89%</w:t>
            </w:r>
          </w:p>
        </w:tc>
        <w:tc>
          <w:tcPr>
            <w:tcW w:type="dxa" w:w="1469"/>
          </w:tcPr>
          <w:p>
            <w:pPr>
              <w:spacing w:after="20"/>
              <w:jc w:val="right"/>
            </w:pPr>
            <w:r>
              <w:rPr>
                <w:color w:val="1C3A36"/>
                <w:sz w:val="18"/>
              </w:rPr>
              <w:t>82.58</w:t>
            </w:r>
          </w:p>
        </w:tc>
        <w:tc>
          <w:tcPr>
            <w:tcW w:type="dxa" w:w="1469"/>
          </w:tcPr>
          <w:p>
            <w:pPr>
              <w:spacing w:after="20"/>
              <w:jc w:val="right"/>
            </w:pPr>
            <w:r>
              <w:rPr>
                <w:color w:val="1C3A36"/>
                <w:sz w:val="18"/>
              </w:rPr>
              <w:t>76.54</w:t>
            </w:r>
          </w:p>
        </w:tc>
        <w:tc>
          <w:tcPr>
            <w:tcW w:type="dxa" w:w="1469"/>
          </w:tcPr>
          <w:p>
            <w:pPr>
              <w:spacing w:after="20"/>
              <w:jc w:val="right"/>
            </w:pPr>
            <w:r>
              <w:rPr>
                <w:color w:val="1C3A36"/>
                <w:sz w:val="18"/>
              </w:rPr>
              <w:t>71.62</w:t>
            </w:r>
          </w:p>
        </w:tc>
        <w:tc>
          <w:tcPr>
            <w:tcW w:type="dxa" w:w="1469"/>
          </w:tcPr>
          <w:p>
            <w:pPr>
              <w:spacing w:after="20"/>
              <w:jc w:val="right"/>
            </w:pPr>
            <w:r>
              <w:rPr>
                <w:color w:val="1C3A36"/>
                <w:sz w:val="18"/>
              </w:rPr>
              <w:t>67.52</w:t>
            </w:r>
          </w:p>
        </w:tc>
        <w:tc>
          <w:tcPr>
            <w:tcW w:type="dxa" w:w="1469"/>
          </w:tcPr>
          <w:p>
            <w:pPr>
              <w:spacing w:after="20"/>
              <w:jc w:val="right"/>
            </w:pPr>
            <w:r>
              <w:rPr>
                <w:color w:val="1C3A36"/>
                <w:sz w:val="18"/>
              </w:rPr>
              <w:t>64.06</w:t>
            </w:r>
          </w:p>
        </w:tc>
      </w:tr>
      <w:tr>
        <w:tc>
          <w:tcPr>
            <w:tcW w:type="dxa" w:w="2477"/>
          </w:tcPr>
          <w:p>
            <w:pPr>
              <w:spacing w:after="20"/>
            </w:pPr>
            <w:r>
              <w:rPr>
                <w:color w:val="1C3A36"/>
                <w:sz w:val="18"/>
              </w:rPr>
              <w:t>22.39%</w:t>
            </w:r>
          </w:p>
        </w:tc>
        <w:tc>
          <w:tcPr>
            <w:tcW w:type="dxa" w:w="1469"/>
          </w:tcPr>
          <w:p>
            <w:pPr>
              <w:spacing w:after="20"/>
              <w:jc w:val="right"/>
            </w:pPr>
            <w:r>
              <w:rPr>
                <w:color w:val="1C3A36"/>
                <w:sz w:val="18"/>
              </w:rPr>
              <w:t>80.81</w:t>
            </w:r>
          </w:p>
        </w:tc>
        <w:tc>
          <w:tcPr>
            <w:tcW w:type="dxa" w:w="1469"/>
          </w:tcPr>
          <w:p>
            <w:pPr>
              <w:spacing w:after="20"/>
              <w:jc w:val="right"/>
            </w:pPr>
            <w:r>
              <w:rPr>
                <w:color w:val="1C3A36"/>
                <w:sz w:val="18"/>
              </w:rPr>
              <w:t>74.93</w:t>
            </w:r>
          </w:p>
        </w:tc>
        <w:tc>
          <w:tcPr>
            <w:tcW w:type="dxa" w:w="1469"/>
          </w:tcPr>
          <w:p>
            <w:pPr>
              <w:spacing w:after="20"/>
              <w:jc w:val="right"/>
            </w:pPr>
            <w:r>
              <w:rPr>
                <w:color w:val="1C3A36"/>
                <w:sz w:val="18"/>
              </w:rPr>
              <w:t>70.14</w:t>
            </w:r>
          </w:p>
        </w:tc>
        <w:tc>
          <w:tcPr>
            <w:tcW w:type="dxa" w:w="1469"/>
          </w:tcPr>
          <w:p>
            <w:pPr>
              <w:spacing w:after="20"/>
              <w:jc w:val="right"/>
            </w:pPr>
            <w:r>
              <w:rPr>
                <w:color w:val="1C3A36"/>
                <w:sz w:val="18"/>
              </w:rPr>
              <w:t>66.15</w:t>
            </w:r>
          </w:p>
        </w:tc>
        <w:tc>
          <w:tcPr>
            <w:tcW w:type="dxa" w:w="1469"/>
          </w:tcPr>
          <w:p>
            <w:pPr>
              <w:spacing w:after="20"/>
              <w:jc w:val="right"/>
            </w:pPr>
            <w:r>
              <w:rPr>
                <w:color w:val="1C3A36"/>
                <w:sz w:val="18"/>
              </w:rPr>
              <w:t>62.77</w:t>
            </w:r>
          </w:p>
        </w:tc>
      </w:tr>
      <w:tr>
        <w:tc>
          <w:tcPr>
            <w:tcW w:type="dxa" w:w="2477"/>
          </w:tcPr>
          <w:p>
            <w:pPr>
              <w:spacing w:after="20"/>
            </w:pPr>
            <w:r>
              <w:rPr>
                <w:color w:val="1C3A36"/>
                <w:sz w:val="18"/>
              </w:rPr>
              <w:t>23.89%</w:t>
            </w:r>
          </w:p>
        </w:tc>
        <w:tc>
          <w:tcPr>
            <w:tcW w:type="dxa" w:w="1469"/>
          </w:tcPr>
          <w:p>
            <w:pPr>
              <w:spacing w:after="20"/>
              <w:jc w:val="right"/>
            </w:pPr>
            <w:r>
              <w:rPr>
                <w:color w:val="1C3A36"/>
                <w:sz w:val="18"/>
              </w:rPr>
              <w:t>79.10</w:t>
            </w:r>
          </w:p>
        </w:tc>
        <w:tc>
          <w:tcPr>
            <w:tcW w:type="dxa" w:w="1469"/>
          </w:tcPr>
          <w:p>
            <w:pPr>
              <w:spacing w:after="20"/>
              <w:jc w:val="right"/>
            </w:pPr>
            <w:r>
              <w:rPr>
                <w:color w:val="1C3A36"/>
                <w:sz w:val="18"/>
              </w:rPr>
              <w:t>73.38</w:t>
            </w:r>
          </w:p>
        </w:tc>
        <w:tc>
          <w:tcPr>
            <w:tcW w:type="dxa" w:w="1469"/>
          </w:tcPr>
          <w:p>
            <w:pPr>
              <w:spacing w:after="20"/>
              <w:jc w:val="right"/>
            </w:pPr>
            <w:r>
              <w:rPr>
                <w:color w:val="1C3A36"/>
                <w:sz w:val="18"/>
              </w:rPr>
              <w:t>68.71</w:t>
            </w:r>
          </w:p>
        </w:tc>
        <w:tc>
          <w:tcPr>
            <w:tcW w:type="dxa" w:w="1469"/>
          </w:tcPr>
          <w:p>
            <w:pPr>
              <w:spacing w:after="20"/>
              <w:jc w:val="right"/>
            </w:pPr>
            <w:r>
              <w:rPr>
                <w:color w:val="1C3A36"/>
                <w:sz w:val="18"/>
              </w:rPr>
              <w:t>64.82</w:t>
            </w:r>
          </w:p>
        </w:tc>
        <w:tc>
          <w:tcPr>
            <w:tcW w:type="dxa" w:w="1469"/>
          </w:tcPr>
          <w:p>
            <w:pPr>
              <w:spacing w:after="20"/>
              <w:jc w:val="right"/>
            </w:pPr>
            <w:r>
              <w:rPr>
                <w:color w:val="1C3A36"/>
                <w:sz w:val="18"/>
              </w:rPr>
              <w:t>61.53</w:t>
            </w:r>
          </w:p>
        </w:tc>
      </w:tr>
      <w:tr>
        <w:tc>
          <w:tcPr>
            <w:tcW w:type="dxa" w:w="2477"/>
          </w:tcPr>
          <w:p>
            <w:pPr>
              <w:spacing w:after="20"/>
            </w:pPr>
            <w:r>
              <w:rPr>
                <w:color w:val="1C3A36"/>
                <w:sz w:val="18"/>
              </w:rPr>
              <w:t>25.39%</w:t>
            </w:r>
          </w:p>
        </w:tc>
        <w:tc>
          <w:tcPr>
            <w:tcW w:type="dxa" w:w="1469"/>
          </w:tcPr>
          <w:p>
            <w:pPr>
              <w:spacing w:after="20"/>
              <w:jc w:val="right"/>
            </w:pPr>
            <w:r>
              <w:rPr>
                <w:color w:val="1C3A36"/>
                <w:sz w:val="18"/>
              </w:rPr>
              <w:t>77.45</w:t>
            </w:r>
          </w:p>
        </w:tc>
        <w:tc>
          <w:tcPr>
            <w:tcW w:type="dxa" w:w="1469"/>
          </w:tcPr>
          <w:p>
            <w:pPr>
              <w:spacing w:after="20"/>
              <w:jc w:val="right"/>
            </w:pPr>
            <w:r>
              <w:rPr>
                <w:color w:val="1C3A36"/>
                <w:sz w:val="18"/>
              </w:rPr>
              <w:t>71.87</w:t>
            </w:r>
          </w:p>
        </w:tc>
        <w:tc>
          <w:tcPr>
            <w:tcW w:type="dxa" w:w="1469"/>
          </w:tcPr>
          <w:p>
            <w:pPr>
              <w:spacing w:after="20"/>
              <w:jc w:val="right"/>
            </w:pPr>
            <w:r>
              <w:rPr>
                <w:color w:val="1C3A36"/>
                <w:sz w:val="18"/>
              </w:rPr>
              <w:t>67.32</w:t>
            </w:r>
          </w:p>
        </w:tc>
        <w:tc>
          <w:tcPr>
            <w:tcW w:type="dxa" w:w="1469"/>
          </w:tcPr>
          <w:p>
            <w:pPr>
              <w:spacing w:after="20"/>
              <w:jc w:val="right"/>
            </w:pPr>
            <w:r>
              <w:rPr>
                <w:color w:val="1C3A36"/>
                <w:sz w:val="18"/>
              </w:rPr>
              <w:t>63.53</w:t>
            </w:r>
          </w:p>
        </w:tc>
        <w:tc>
          <w:tcPr>
            <w:tcW w:type="dxa" w:w="1469"/>
          </w:tcPr>
          <w:p>
            <w:pPr>
              <w:spacing w:after="20"/>
              <w:jc w:val="right"/>
            </w:pPr>
            <w:r>
              <w:rPr>
                <w:color w:val="1C3A36"/>
                <w:sz w:val="18"/>
              </w:rPr>
              <w:t>60.33</w:t>
            </w:r>
          </w:p>
        </w:tc>
      </w:tr>
      <w:tr>
        <w:tc>
          <w:tcPr>
            <w:tcW w:type="dxa" w:w="2477"/>
          </w:tcPr>
          <w:p>
            <w:pPr>
              <w:spacing w:after="20"/>
            </w:pPr>
            <w:r>
              <w:rPr>
                <w:color w:val="1C3A36"/>
                <w:sz w:val="18"/>
              </w:rPr>
              <w:t>26.89%</w:t>
            </w:r>
          </w:p>
        </w:tc>
        <w:tc>
          <w:tcPr>
            <w:tcW w:type="dxa" w:w="1469"/>
          </w:tcPr>
          <w:p>
            <w:pPr>
              <w:spacing w:after="20"/>
              <w:jc w:val="right"/>
            </w:pPr>
            <w:r>
              <w:rPr>
                <w:color w:val="1C3A36"/>
                <w:sz w:val="18"/>
              </w:rPr>
              <w:t>75.85</w:t>
            </w:r>
          </w:p>
        </w:tc>
        <w:tc>
          <w:tcPr>
            <w:tcW w:type="dxa" w:w="1469"/>
          </w:tcPr>
          <w:p>
            <w:pPr>
              <w:spacing w:after="20"/>
              <w:jc w:val="right"/>
            </w:pPr>
            <w:r>
              <w:rPr>
                <w:color w:val="1C3A36"/>
                <w:sz w:val="18"/>
              </w:rPr>
              <w:t>70.42</w:t>
            </w:r>
          </w:p>
        </w:tc>
        <w:tc>
          <w:tcPr>
            <w:tcW w:type="dxa" w:w="1469"/>
          </w:tcPr>
          <w:p>
            <w:pPr>
              <w:spacing w:after="20"/>
              <w:jc w:val="right"/>
            </w:pPr>
            <w:r>
              <w:rPr>
                <w:color w:val="1C3A36"/>
                <w:sz w:val="18"/>
              </w:rPr>
              <w:t>65.98</w:t>
            </w:r>
          </w:p>
        </w:tc>
        <w:tc>
          <w:tcPr>
            <w:tcW w:type="dxa" w:w="1469"/>
          </w:tcPr>
          <w:p>
            <w:pPr>
              <w:spacing w:after="20"/>
              <w:jc w:val="right"/>
            </w:pPr>
            <w:r>
              <w:rPr>
                <w:color w:val="1C3A36"/>
                <w:sz w:val="18"/>
              </w:rPr>
              <w:t>62.29</w:t>
            </w:r>
          </w:p>
        </w:tc>
        <w:tc>
          <w:tcPr>
            <w:tcW w:type="dxa" w:w="1469"/>
          </w:tcPr>
          <w:p>
            <w:pPr>
              <w:spacing w:after="20"/>
              <w:jc w:val="right"/>
            </w:pPr>
            <w:r>
              <w:rPr>
                <w:color w:val="1C3A36"/>
                <w:sz w:val="18"/>
              </w:rPr>
              <w:t>59.17</w:t>
            </w:r>
          </w:p>
        </w:tc>
      </w:tr>
    </w:tbl>
    <w:p>
      <w:pPr>
        <w:spacing w:after="40"/>
      </w:pPr>
    </w:p>
    <w:p>
      <w:pPr>
        <w:spacing w:after="200" w:before="0"/>
      </w:pPr>
      <w:r>
        <w:rPr>
          <w:b w:val="0"/>
          <w:i/>
          <w:color w:val="6E7B77"/>
          <w:sz w:val="17"/>
        </w:rPr>
        <w:t>Table 10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80.3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currency composition as contracted (adopted) vs the pound-equivalent under uncovered interest parity</w:t>
            </w:r>
          </w:p>
        </w:tc>
        <w:tc>
          <w:tcPr>
            <w:tcW w:type="dxa" w:w="1512"/>
          </w:tcPr>
          <w:p>
            <w:pPr>
              <w:spacing w:after="20"/>
              <w:jc w:val="right"/>
            </w:pPr>
            <w:r>
              <w:rPr>
                <w:color w:val="1C3A36"/>
                <w:sz w:val="17"/>
              </w:rPr>
              <w:t>7.54%</w:t>
            </w:r>
          </w:p>
        </w:tc>
        <w:tc>
          <w:tcPr>
            <w:tcW w:type="dxa" w:w="1728"/>
          </w:tcPr>
          <w:p>
            <w:pPr>
              <w:spacing w:after="20"/>
              <w:jc w:val="right"/>
            </w:pPr>
            <w:r>
              <w:rPr>
                <w:color w:val="1C3A36"/>
                <w:sz w:val="17"/>
              </w:rPr>
              <w:t>13.00%</w:t>
            </w:r>
          </w:p>
        </w:tc>
        <w:tc>
          <w:tcPr>
            <w:tcW w:type="dxa" w:w="2448"/>
          </w:tcPr>
          <w:p>
            <w:pPr>
              <w:spacing w:after="20"/>
              <w:jc w:val="right"/>
            </w:pPr>
            <w:r>
              <w:rPr>
                <w:color w:val="1C3A36"/>
                <w:sz w:val="17"/>
              </w:rPr>
              <w:t>68.51  (-0.3%)</w:t>
            </w:r>
          </w:p>
        </w:tc>
      </w:tr>
      <w:tr>
        <w:tc>
          <w:tcPr>
            <w:tcW w:type="dxa" w:w="3672"/>
          </w:tcPr>
          <w:p>
            <w:pPr>
              <w:spacing w:after="20"/>
            </w:pPr>
            <w:r>
              <w:rPr>
                <w:color w:val="1C3A36"/>
                <w:sz w:val="17"/>
              </w:rPr>
              <w:t>Beta: contemporaneous regression (adopted) vs lead-lag sum-beta</w:t>
            </w:r>
          </w:p>
        </w:tc>
        <w:tc>
          <w:tcPr>
            <w:tcW w:type="dxa" w:w="1512"/>
          </w:tcPr>
          <w:p>
            <w:pPr>
              <w:spacing w:after="20"/>
              <w:jc w:val="right"/>
            </w:pPr>
            <w:r>
              <w:rPr>
                <w:color w:val="1C3A36"/>
                <w:sz w:val="17"/>
              </w:rPr>
              <w:t>0.628</w:t>
            </w:r>
          </w:p>
        </w:tc>
        <w:tc>
          <w:tcPr>
            <w:tcW w:type="dxa" w:w="1728"/>
          </w:tcPr>
          <w:p>
            <w:pPr>
              <w:spacing w:after="20"/>
              <w:jc w:val="right"/>
            </w:pPr>
            <w:r>
              <w:rPr>
                <w:color w:val="1C3A36"/>
                <w:sz w:val="17"/>
              </w:rPr>
              <w:t>0.919</w:t>
            </w:r>
          </w:p>
        </w:tc>
        <w:tc>
          <w:tcPr>
            <w:tcW w:type="dxa" w:w="2448"/>
          </w:tcPr>
          <w:p>
            <w:pPr>
              <w:spacing w:after="20"/>
              <w:jc w:val="right"/>
            </w:pPr>
            <w:r>
              <w:rPr>
                <w:color w:val="1C3A36"/>
                <w:sz w:val="17"/>
              </w:rPr>
              <w:t>59.64  (-13.2%)</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4.00/t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73.71  (+7.3%)</w:t>
            </w:r>
          </w:p>
        </w:tc>
      </w:tr>
    </w:tbl>
    <w:p>
      <w:pPr>
        <w:spacing w:after="40"/>
      </w:pPr>
    </w:p>
    <w:p>
      <w:pPr>
        <w:spacing w:after="200" w:before="0"/>
      </w:pPr>
      <w:r>
        <w:rPr>
          <w:b w:val="0"/>
          <w:i/>
          <w:color w:val="6E7B77"/>
          <w:sz w:val="17"/>
        </w:rPr>
        <w:t>Table 11 — Every contested choice computed as a value rather than argued in prose. None of these alternatives is hidden; each is a full re-run of the model.</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12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4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13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cone.</w:t>
      </w:r>
    </w:p>
    <w:p>
      <w:pPr>
        <w:spacing w:after="40"/>
        <w:jc w:val="center"/>
      </w:pPr>
      <w:r>
        <w:drawing>
          <wp:inline xmlns:a="http://schemas.openxmlformats.org/drawingml/2006/main" xmlns:pic="http://schemas.openxmlformats.org/drawingml/2006/picture">
            <wp:extent cx="5852160" cy="2381693"/>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6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61.75</w:t>
            </w:r>
          </w:p>
        </w:tc>
        <w:tc>
          <w:tcPr>
            <w:tcW w:type="dxa" w:w="1440"/>
          </w:tcPr>
          <w:p>
            <w:pPr>
              <w:spacing w:after="20"/>
              <w:jc w:val="right"/>
            </w:pPr>
            <w:r>
              <w:rPr>
                <w:color w:val="1C3A36"/>
                <w:sz w:val="18"/>
              </w:rPr>
              <w:t>68.71</w:t>
            </w:r>
          </w:p>
        </w:tc>
        <w:tc>
          <w:tcPr>
            <w:tcW w:type="dxa" w:w="1440"/>
          </w:tcPr>
          <w:p>
            <w:pPr>
              <w:spacing w:after="20"/>
              <w:jc w:val="right"/>
            </w:pPr>
            <w:r>
              <w:rPr>
                <w:color w:val="1C3A36"/>
                <w:sz w:val="18"/>
              </w:rPr>
              <w:t>75.97</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+16.4%</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44.07</w:t>
            </w:r>
          </w:p>
        </w:tc>
        <w:tc>
          <w:tcPr>
            <w:tcW w:type="dxa" w:w="1440"/>
          </w:tcPr>
          <w:p>
            <w:pPr>
              <w:spacing w:after="20"/>
              <w:jc w:val="right"/>
            </w:pPr>
            <w:r>
              <w:rPr>
                <w:color w:val="1C3A36"/>
                <w:sz w:val="18"/>
              </w:rPr>
              <w:t>48.96</w:t>
            </w:r>
          </w:p>
        </w:tc>
        <w:tc>
          <w:tcPr>
            <w:tcW w:type="dxa" w:w="1440"/>
          </w:tcPr>
          <w:p>
            <w:pPr>
              <w:spacing w:after="20"/>
              <w:jc w:val="right"/>
            </w:pPr>
            <w:r>
              <w:rPr>
                <w:color w:val="1C3A36"/>
                <w:sz w:val="18"/>
              </w:rPr>
              <w:t>53.86</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-17.0%</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47.66</w:t>
            </w:r>
          </w:p>
        </w:tc>
        <w:tc>
          <w:tcPr>
            <w:tcW w:type="dxa" w:w="1440"/>
          </w:tcPr>
          <w:p>
            <w:pPr>
              <w:spacing w:after="20"/>
              <w:jc w:val="right"/>
            </w:pPr>
            <w:r>
              <w:rPr>
                <w:color w:val="1C3A36"/>
                <w:sz w:val="18"/>
              </w:rPr>
              <w:t>52.95</w:t>
            </w:r>
          </w:p>
        </w:tc>
        <w:tc>
          <w:tcPr>
            <w:tcW w:type="dxa" w:w="1440"/>
          </w:tcPr>
          <w:p>
            <w:pPr>
              <w:spacing w:after="20"/>
              <w:jc w:val="right"/>
            </w:pPr>
            <w:r>
              <w:rPr>
                <w:color w:val="1C3A36"/>
                <w:sz w:val="18"/>
              </w:rPr>
              <w:t>58.25</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-10.3%</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61.99</w:t>
            </w:r>
          </w:p>
        </w:tc>
        <w:tc>
          <w:tcPr>
            <w:tcW w:type="dxa" w:w="1440"/>
          </w:tcPr>
          <w:p>
            <w:pPr>
              <w:spacing w:after="20"/>
              <w:jc w:val="right"/>
            </w:pPr>
            <w:r>
              <w:rPr>
                <w:color w:val="1C3A36"/>
                <w:sz w:val="18"/>
              </w:rPr>
              <w:t>68.88</w:t>
            </w:r>
          </w:p>
        </w:tc>
        <w:tc>
          <w:tcPr>
            <w:tcW w:type="dxa" w:w="1440"/>
          </w:tcPr>
          <w:p>
            <w:pPr>
              <w:spacing w:after="20"/>
              <w:jc w:val="right"/>
            </w:pPr>
            <w:r>
              <w:rPr>
                <w:color w:val="1C3A36"/>
                <w:sz w:val="18"/>
              </w:rPr>
              <w:t>75.77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+16.7%</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55.13</w:t>
            </w:r>
          </w:p>
        </w:tc>
        <w:tc>
          <w:tcPr>
            <w:tcW w:type="dxa" w:w="1440"/>
            <w:shd w:val="clear" w:color="auto" w:fill="F6F1E6"/>
          </w:tcPr>
          <w:p>
            <w:pPr>
              <w:spacing w:after="20"/>
              <w:jc w:val="right"/>
            </w:pPr>
            <w:r>
              <w:rPr>
                <w:b/>
                <w:color w:val="1C3A36"/>
                <w:sz w:val="18"/>
              </w:rPr>
              <w:t>61.30</w:t>
            </w:r>
          </w:p>
        </w:tc>
        <w:tc>
          <w:tcPr>
            <w:tcW w:type="dxa" w:w="1440"/>
            <w:shd w:val="clear" w:color="auto" w:fill="F6F1E6"/>
          </w:tcPr>
          <w:p>
            <w:pPr>
              <w:spacing w:after="20"/>
              <w:jc w:val="right"/>
            </w:pPr>
            <w:r>
              <w:rPr>
                <w:b/>
                <w:color w:val="1C3A36"/>
                <w:sz w:val="18"/>
              </w:rPr>
              <w:t>67.63</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+3.9%</w:t>
            </w:r>
          </w:p>
        </w:tc>
      </w:tr>
    </w:tbl>
    <w:p>
      <w:pPr>
        <w:spacing w:after="40"/>
      </w:pPr>
    </w:p>
    <w:p>
      <w:pPr>
        <w:spacing w:after="200" w:before="0"/>
      </w:pPr>
      <w:r>
        <w:rPr>
          <w:b w:val="0"/>
          <w:i/>
          <w:color w:val="6E7B77"/>
          <w:sz w:val="17"/>
        </w:rPr>
        <w:t>Table 14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Two of them sit ABOVE the market price — Asset / replacement cost and DCF (cash flow), at EGP 68.88 and EGP 68.71 — and two sit below: Relative multiples and Normalised earnings, at EGP 48.96 and EGP 52.95.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The weighting resolves that in favour of earnings, at 50%/20%/22%/8%, and gives a central EGP 61.30 against EGP 59.00 — +3.9%.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the way to a 52-week high,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3,780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15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forecast price path was corrected after the accounts were read, and that changed the answer. </w:t>
      </w:r>
      <w:r>
        <w:rPr>
          <w:color w:val="1C3A36"/>
          <w:sz w:val="21"/>
        </w:rPr>
        <w:t>Reading the statements fixed every historical figure but left the forecast price path where it had been set: local prices growing 3.0% in FY2026 against 11.5% cost inflation. The record contradicts it — in FY2024 and FY2025 alike, revenue outran total cash cost, and Q1-2026 was still widening its margin. The path now runs 8.0% then 9.0% and easing, below cost inflation in every year but not by the margin previously assumed. It moves the central fair value from EGP 44.89 to EGP 61.30 and the terminal share of enterprise value from 45.5% to 59.4%. A reader comparing this against the earlier edition should know the change is one driver, deliberately made, and not a re-cut of the whole model.</w:t>
      </w:r>
    </w:p>
    <w:p>
      <w:pPr>
        <w:pStyle w:val="ListBullet"/>
        <w:spacing w:after="60"/>
      </w:pPr>
      <w:r>
        <w:rPr>
          <w:b/>
          <w:color w:val="1C3A36"/>
          <w:sz w:val="21"/>
        </w:rPr>
        <w:t xml:space="preserve">Only two numbers in the operating build are not disclosed. </w:t>
      </w:r>
      <w:r>
        <w:rPr>
          <w:color w:val="1C3A36"/>
          <w:sz w:val="21"/>
        </w:rPr>
        <w:t>The local realised price of EGP 3,500 a tonne and the export price of USD 62.0 a tonne are external estimates; every other input to the FY2025 build is audited. They matter because volume is derived from them — a 10% error in price is a 10% error in volume, in the opposite direction, and the two largely offset in revenue but not in cost per tonne. The check on them is the utilisation that falls out: 69.7% against a national 85.5%.</w:t>
      </w:r>
    </w:p>
    <w:p>
      <w:pPr>
        <w:pStyle w:val="ListBullet"/>
        <w:spacing w:after="60"/>
      </w:pPr>
      <w:r>
        <w:rPr>
          <w:b/>
          <w:color w:val="1C3A36"/>
          <w:sz w:val="21"/>
        </w:rPr>
        <w:t xml:space="preserve">The cost of debt is contractual, not paid. </w:t>
      </w:r>
      <w:r>
        <w:rPr>
          <w:color w:val="1C3A36"/>
          <w:sz w:val="21"/>
        </w:rPr>
        <w:t>The blended 7.54%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13.00% and is worth -0.3%.</w:t>
      </w:r>
    </w:p>
    <w:p>
      <w:pPr>
        <w:pStyle w:val="ListBullet"/>
        <w:spacing w:after="60"/>
      </w:pPr>
      <w:r>
        <w:rPr>
          <w:b/>
          <w:color w:val="1C3A36"/>
          <w:sz w:val="21"/>
        </w:rPr>
        <w:t xml:space="preserve">The forecast is well below the first-quarter run rate. </w:t>
      </w:r>
      <w:r>
        <w:rPr>
          <w:color w:val="1C3A36"/>
          <w:sz w:val="21"/>
        </w:rPr>
        <w:t>This is the largest judgement in the model and section 1.6 states it with the numbers. The first quarter of 2026 ran a 42.9% gross margin against 40.6% for FY2025 as a whole. If that holds, this valuation is too cautious, and the margin sensitivity below is where to look.</w:t>
      </w:r>
    </w:p>
    <w:p>
      <w:pPr>
        <w:pStyle w:val="ListBullet"/>
        <w:spacing w:after="60"/>
      </w:pPr>
      <w:r>
        <w:rPr>
          <w:b/>
          <w:color w:val="1C3A36"/>
          <w:sz w:val="21"/>
        </w:rPr>
        <w:t xml:space="preserve">The terminal denominator is a choice. </w:t>
      </w:r>
      <w:r>
        <w:rPr>
          <w:color w:val="1C3A36"/>
          <w:sz w:val="21"/>
        </w:rPr>
        <w:t>Return on capital is 60.6% on the audited book and 14.5% on replacement cost. The terminal block uses replacement cost, which leaves the plant roughly breaking even on new tonnes — 13.81% against a hurdle of 13.61%, so four points of terminal growth are worth 0.5%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weak. </w:t>
      </w:r>
      <w:r>
        <w:rPr>
          <w:color w:val="1C3A36"/>
          <w:sz w:val="21"/>
        </w:rPr>
        <w:t>R-squared of 9.1% and a 90% interval of [0.42, 0.83]. The valuation is shown across a beta range for exactly this reason, and the lead-lag correction is published as a value.</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428</w:t>
            </w:r>
          </w:p>
        </w:tc>
        <w:tc>
          <w:tcPr>
            <w:tcW w:type="dxa" w:w="1325"/>
            <w:shd w:val="clear" w:color="auto" w:fill="EAF0EE"/>
          </w:tcPr>
          <w:p>
            <w:pPr>
              <w:spacing w:after="20"/>
            </w:pPr>
            <w:r>
              <w:rPr>
                <w:b/>
                <w:color w:val="1C3A36"/>
                <w:sz w:val="17"/>
              </w:rPr>
              <w:t>1,178</w:t>
            </w:r>
          </w:p>
        </w:tc>
        <w:tc>
          <w:tcPr>
            <w:tcW w:type="dxa" w:w="1325"/>
            <w:shd w:val="clear" w:color="auto" w:fill="EAF0EE"/>
          </w:tcPr>
          <w:p>
            <w:pPr>
              <w:spacing w:after="20"/>
            </w:pPr>
            <w:r>
              <w:rPr>
                <w:b/>
                <w:color w:val="1C3A36"/>
                <w:sz w:val="17"/>
              </w:rPr>
              <w:t>1,928</w:t>
            </w:r>
          </w:p>
        </w:tc>
        <w:tc>
          <w:tcPr>
            <w:tcW w:type="dxa" w:w="1325"/>
            <w:shd w:val="clear" w:color="auto" w:fill="EAF0EE"/>
          </w:tcPr>
          <w:p>
            <w:pPr>
              <w:spacing w:after="20"/>
            </w:pPr>
            <w:r>
              <w:rPr>
                <w:b/>
                <w:color w:val="1C3A36"/>
                <w:sz w:val="17"/>
              </w:rPr>
              <w:t>2,678</w:t>
            </w:r>
          </w:p>
        </w:tc>
        <w:tc>
          <w:tcPr>
            <w:tcW w:type="dxa" w:w="1325"/>
            <w:shd w:val="clear" w:color="auto" w:fill="EAF0EE"/>
          </w:tcPr>
          <w:p>
            <w:pPr>
              <w:spacing w:after="20"/>
            </w:pPr>
            <w:r>
              <w:rPr>
                <w:b/>
                <w:color w:val="1C3A36"/>
                <w:sz w:val="17"/>
              </w:rPr>
              <w:t>3,428</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64.70</w:t>
            </w:r>
          </w:p>
        </w:tc>
        <w:tc>
          <w:tcPr>
            <w:tcW w:type="dxa" w:w="1325"/>
          </w:tcPr>
          <w:p>
            <w:pPr>
              <w:spacing w:after="20"/>
              <w:jc w:val="right"/>
            </w:pPr>
            <w:r>
              <w:rPr>
                <w:color w:val="1C3A36"/>
                <w:sz w:val="17"/>
              </w:rPr>
              <w:t>66.70</w:t>
            </w:r>
          </w:p>
        </w:tc>
        <w:tc>
          <w:tcPr>
            <w:tcW w:type="dxa" w:w="1325"/>
          </w:tcPr>
          <w:p>
            <w:pPr>
              <w:spacing w:after="20"/>
              <w:jc w:val="right"/>
            </w:pPr>
            <w:r>
              <w:rPr>
                <w:color w:val="1C3A36"/>
                <w:sz w:val="17"/>
              </w:rPr>
              <w:t>68.71</w:t>
            </w:r>
          </w:p>
        </w:tc>
        <w:tc>
          <w:tcPr>
            <w:tcW w:type="dxa" w:w="1325"/>
          </w:tcPr>
          <w:p>
            <w:pPr>
              <w:spacing w:after="20"/>
              <w:jc w:val="right"/>
            </w:pPr>
            <w:r>
              <w:rPr>
                <w:color w:val="1C3A36"/>
                <w:sz w:val="17"/>
              </w:rPr>
              <w:t>70.71</w:t>
            </w:r>
          </w:p>
        </w:tc>
        <w:tc>
          <w:tcPr>
            <w:tcW w:type="dxa" w:w="1325"/>
          </w:tcPr>
          <w:p>
            <w:pPr>
              <w:spacing w:after="20"/>
              <w:jc w:val="right"/>
            </w:pPr>
            <w:r>
              <w:rPr>
                <w:color w:val="1C3A36"/>
                <w:sz w:val="17"/>
              </w:rPr>
              <w:t>72.71</w:t>
            </w:r>
          </w:p>
        </w:tc>
      </w:tr>
    </w:tbl>
    <w:p>
      <w:pPr>
        <w:spacing w:after="40"/>
      </w:pPr>
    </w:p>
    <w:p>
      <w:pPr>
        <w:spacing w:after="200" w:before="0"/>
      </w:pPr>
      <w:r>
        <w:rPr>
          <w:b w:val="0"/>
          <w:i/>
          <w:color w:val="6E7B77"/>
          <w:sz w:val="17"/>
        </w:rPr>
        <w:t>Table 16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57.30</w:t>
            </w:r>
          </w:p>
        </w:tc>
        <w:tc>
          <w:tcPr>
            <w:tcW w:type="dxa" w:w="1325"/>
          </w:tcPr>
          <w:p>
            <w:pPr>
              <w:spacing w:after="20"/>
              <w:jc w:val="right"/>
            </w:pPr>
            <w:r>
              <w:rPr>
                <w:color w:val="1C3A36"/>
                <w:sz w:val="17"/>
              </w:rPr>
              <w:t>63.00</w:t>
            </w:r>
          </w:p>
        </w:tc>
        <w:tc>
          <w:tcPr>
            <w:tcW w:type="dxa" w:w="1325"/>
          </w:tcPr>
          <w:p>
            <w:pPr>
              <w:spacing w:after="20"/>
              <w:jc w:val="right"/>
            </w:pPr>
            <w:r>
              <w:rPr>
                <w:color w:val="1C3A36"/>
                <w:sz w:val="17"/>
              </w:rPr>
              <w:t>68.71</w:t>
            </w:r>
          </w:p>
        </w:tc>
        <w:tc>
          <w:tcPr>
            <w:tcW w:type="dxa" w:w="1325"/>
          </w:tcPr>
          <w:p>
            <w:pPr>
              <w:spacing w:after="20"/>
              <w:jc w:val="right"/>
            </w:pPr>
            <w:r>
              <w:rPr>
                <w:color w:val="1C3A36"/>
                <w:sz w:val="17"/>
              </w:rPr>
              <w:t>74.41</w:t>
            </w:r>
          </w:p>
        </w:tc>
        <w:tc>
          <w:tcPr>
            <w:tcW w:type="dxa" w:w="1325"/>
          </w:tcPr>
          <w:p>
            <w:pPr>
              <w:spacing w:after="20"/>
              <w:jc w:val="right"/>
            </w:pPr>
            <w:r>
              <w:rPr>
                <w:color w:val="1C3A36"/>
                <w:sz w:val="17"/>
              </w:rPr>
              <w:t>80.11</w:t>
            </w:r>
          </w:p>
        </w:tc>
      </w:tr>
    </w:tbl>
    <w:p>
      <w:pPr>
        <w:spacing w:after="40"/>
      </w:pPr>
    </w:p>
    <w:p>
      <w:pPr>
        <w:spacing w:after="200" w:before="0"/>
      </w:pPr>
      <w:r>
        <w:rPr>
          <w:b w:val="0"/>
          <w:i/>
          <w:color w:val="6E7B77"/>
          <w:sz w:val="17"/>
        </w:rPr>
        <w:t>Table 17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6,043</w:t>
            </w:r>
          </w:p>
        </w:tc>
        <w:tc>
          <w:tcPr>
            <w:tcW w:type="dxa" w:w="1037"/>
          </w:tcPr>
          <w:p>
            <w:pPr>
              <w:spacing w:after="20"/>
              <w:jc w:val="right"/>
            </w:pPr>
            <w:r>
              <w:rPr>
                <w:color w:val="1C3A36"/>
                <w:sz w:val="16"/>
              </w:rPr>
              <w:t>8,730</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13,776</w:t>
            </w:r>
          </w:p>
        </w:tc>
        <w:tc>
          <w:tcPr>
            <w:tcW w:type="dxa" w:w="1037"/>
          </w:tcPr>
          <w:p>
            <w:pPr>
              <w:spacing w:after="20"/>
              <w:jc w:val="right"/>
            </w:pPr>
            <w:r>
              <w:rPr>
                <w:color w:val="1C3A36"/>
                <w:sz w:val="16"/>
              </w:rPr>
              <w:t>15,217</w:t>
            </w:r>
          </w:p>
        </w:tc>
        <w:tc>
          <w:tcPr>
            <w:tcW w:type="dxa" w:w="1037"/>
          </w:tcPr>
          <w:p>
            <w:pPr>
              <w:spacing w:after="20"/>
              <w:jc w:val="right"/>
            </w:pPr>
            <w:r>
              <w:rPr>
                <w:color w:val="1C3A36"/>
                <w:sz w:val="16"/>
              </w:rPr>
              <w:t>16,606</w:t>
            </w:r>
          </w:p>
        </w:tc>
        <w:tc>
          <w:tcPr>
            <w:tcW w:type="dxa" w:w="1037"/>
          </w:tcPr>
          <w:p>
            <w:pPr>
              <w:spacing w:after="20"/>
              <w:jc w:val="right"/>
            </w:pPr>
            <w:r>
              <w:rPr>
                <w:color w:val="1C3A36"/>
                <w:sz w:val="16"/>
              </w:rPr>
              <w:t>17,883</w:t>
            </w:r>
          </w:p>
        </w:tc>
        <w:tc>
          <w:tcPr>
            <w:tcW w:type="dxa" w:w="1037"/>
          </w:tcPr>
          <w:p>
            <w:pPr>
              <w:spacing w:after="20"/>
              <w:jc w:val="right"/>
            </w:pPr>
            <w:r>
              <w:rPr>
                <w:color w:val="1C3A36"/>
                <w:sz w:val="16"/>
              </w:rPr>
              <w:t>19,116</w:t>
            </w:r>
          </w:p>
        </w:tc>
      </w:tr>
      <w:tr>
        <w:tc>
          <w:tcPr>
            <w:tcW w:type="dxa" w:w="2189"/>
          </w:tcPr>
          <w:p>
            <w:pPr>
              <w:spacing w:after="20"/>
            </w:pPr>
            <w:r>
              <w:rPr>
                <w:color w:val="1C3A36"/>
                <w:sz w:val="16"/>
              </w:rPr>
              <w:t>Cost of sales</w:t>
            </w:r>
          </w:p>
        </w:tc>
        <w:tc>
          <w:tcPr>
            <w:tcW w:type="dxa" w:w="1037"/>
          </w:tcPr>
          <w:p>
            <w:pPr>
              <w:spacing w:after="20"/>
              <w:jc w:val="right"/>
            </w:pPr>
            <w:r>
              <w:rPr>
                <w:color w:val="1C3A36"/>
                <w:sz w:val="16"/>
              </w:rPr>
              <w:t>(4,760)</w:t>
            </w:r>
          </w:p>
        </w:tc>
        <w:tc>
          <w:tcPr>
            <w:tcW w:type="dxa" w:w="1037"/>
          </w:tcPr>
          <w:p>
            <w:pPr>
              <w:spacing w:after="20"/>
              <w:jc w:val="right"/>
            </w:pPr>
            <w:r>
              <w:rPr>
                <w:color w:val="1C3A36"/>
                <w:sz w:val="16"/>
              </w:rPr>
              <w:t>(6,643)</w:t>
            </w:r>
          </w:p>
        </w:tc>
        <w:tc>
          <w:tcPr>
            <w:tcW w:type="dxa" w:w="1037"/>
          </w:tcPr>
          <w:p>
            <w:pPr>
              <w:spacing w:after="20"/>
              <w:jc w:val="right"/>
            </w:pPr>
            <w:r>
              <w:rPr>
                <w:color w:val="1C3A36"/>
                <w:sz w:val="16"/>
              </w:rPr>
              <w:t>(7,389)</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Gross profit</w:t>
            </w:r>
          </w:p>
        </w:tc>
        <w:tc>
          <w:tcPr>
            <w:tcW w:type="dxa" w:w="1037"/>
          </w:tcPr>
          <w:p>
            <w:pPr>
              <w:spacing w:after="20"/>
              <w:jc w:val="right"/>
            </w:pPr>
            <w:r>
              <w:rPr>
                <w:color w:val="1C3A36"/>
                <w:sz w:val="16"/>
              </w:rPr>
              <w:t>1,283</w:t>
            </w:r>
          </w:p>
        </w:tc>
        <w:tc>
          <w:tcPr>
            <w:tcW w:type="dxa" w:w="1037"/>
          </w:tcPr>
          <w:p>
            <w:pPr>
              <w:spacing w:after="20"/>
              <w:jc w:val="right"/>
            </w:pPr>
            <w:r>
              <w:rPr>
                <w:color w:val="1C3A36"/>
                <w:sz w:val="16"/>
              </w:rPr>
              <w:t>2,087</w:t>
            </w:r>
          </w:p>
        </w:tc>
        <w:tc>
          <w:tcPr>
            <w:tcW w:type="dxa" w:w="1037"/>
          </w:tcPr>
          <w:p>
            <w:pPr>
              <w:spacing w:after="20"/>
              <w:jc w:val="right"/>
            </w:pPr>
            <w:r>
              <w:rPr>
                <w:color w:val="1C3A36"/>
                <w:sz w:val="16"/>
              </w:rPr>
              <w:t>5,058</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Operating profit</w:t>
            </w:r>
          </w:p>
        </w:tc>
        <w:tc>
          <w:tcPr>
            <w:tcW w:type="dxa" w:w="1037"/>
          </w:tcPr>
          <w:p>
            <w:pPr>
              <w:spacing w:after="20"/>
              <w:jc w:val="right"/>
            </w:pPr>
            <w:r>
              <w:rPr>
                <w:color w:val="1C3A36"/>
                <w:sz w:val="16"/>
              </w:rPr>
              <w:t>1,079</w:t>
            </w:r>
          </w:p>
        </w:tc>
        <w:tc>
          <w:tcPr>
            <w:tcW w:type="dxa" w:w="1037"/>
          </w:tcPr>
          <w:p>
            <w:pPr>
              <w:spacing w:after="20"/>
              <w:jc w:val="right"/>
            </w:pPr>
            <w:r>
              <w:rPr>
                <w:color w:val="1C3A36"/>
                <w:sz w:val="16"/>
              </w:rPr>
              <w:t>1,764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4,700</w:t>
            </w:r>
          </w:p>
        </w:tc>
        <w:tc>
          <w:tcPr>
            <w:tcW w:type="dxa" w:w="1037"/>
          </w:tcPr>
          <w:p>
            <w:pPr>
              <w:spacing w:after="20"/>
              <w:jc w:val="right"/>
            </w:pPr>
            <w:r>
              <w:rPr>
                <w:color w:val="1C3A36"/>
                <w:sz w:val="16"/>
              </w:rPr>
              <w:t>5,056</w:t>
            </w:r>
          </w:p>
        </w:tc>
        <w:tc>
          <w:tcPr>
            <w:tcW w:type="dxa" w:w="1037"/>
          </w:tcPr>
          <w:p>
            <w:pPr>
              <w:spacing w:after="20"/>
              <w:jc w:val="right"/>
            </w:pPr>
            <w:r>
              <w:rPr>
                <w:color w:val="1C3A36"/>
                <w:sz w:val="16"/>
              </w:rPr>
              <w:t>5,370</w:t>
            </w:r>
          </w:p>
        </w:tc>
        <w:tc>
          <w:tcPr>
            <w:tcW w:type="dxa" w:w="1037"/>
          </w:tcPr>
          <w:p>
            <w:pPr>
              <w:spacing w:after="20"/>
              <w:jc w:val="right"/>
            </w:pPr>
            <w:r>
              <w:rPr>
                <w:color w:val="1C3A36"/>
                <w:sz w:val="16"/>
              </w:rPr>
              <w:t>5,634</w:t>
            </w:r>
          </w:p>
        </w:tc>
        <w:tc>
          <w:tcPr>
            <w:tcW w:type="dxa" w:w="1037"/>
          </w:tcPr>
          <w:p>
            <w:pPr>
              <w:spacing w:after="20"/>
              <w:jc w:val="right"/>
            </w:pPr>
            <w:r>
              <w:rPr>
                <w:color w:val="1C3A36"/>
                <w:sz w:val="16"/>
              </w:rPr>
              <w:t>5,929</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250</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290</w:t>
            </w:r>
          </w:p>
        </w:tc>
        <w:tc>
          <w:tcPr>
            <w:tcW w:type="dxa" w:w="1037"/>
          </w:tcPr>
          <w:p>
            <w:pPr>
              <w:spacing w:after="20"/>
              <w:jc w:val="right"/>
            </w:pPr>
            <w:r>
              <w:rPr>
                <w:color w:val="1C3A36"/>
                <w:sz w:val="16"/>
              </w:rPr>
              <w:t>344</w:t>
            </w:r>
          </w:p>
        </w:tc>
        <w:tc>
          <w:tcPr>
            <w:tcW w:type="dxa" w:w="1037"/>
          </w:tcPr>
          <w:p>
            <w:pPr>
              <w:spacing w:after="20"/>
              <w:jc w:val="right"/>
            </w:pPr>
            <w:r>
              <w:rPr>
                <w:color w:val="1C3A36"/>
                <w:sz w:val="16"/>
              </w:rPr>
              <w:t>411</w:t>
            </w:r>
          </w:p>
        </w:tc>
        <w:tc>
          <w:tcPr>
            <w:tcW w:type="dxa" w:w="1037"/>
          </w:tcPr>
          <w:p>
            <w:pPr>
              <w:spacing w:after="20"/>
              <w:jc w:val="right"/>
            </w:pPr>
            <w:r>
              <w:rPr>
                <w:color w:val="1C3A36"/>
                <w:sz w:val="16"/>
              </w:rPr>
              <w:t>482</w:t>
            </w:r>
          </w:p>
        </w:tc>
        <w:tc>
          <w:tcPr>
            <w:tcW w:type="dxa" w:w="1037"/>
          </w:tcPr>
          <w:p>
            <w:pPr>
              <w:spacing w:after="20"/>
              <w:jc w:val="right"/>
            </w:pPr>
            <w:r>
              <w:rPr>
                <w:color w:val="1C3A36"/>
                <w:sz w:val="16"/>
              </w:rPr>
              <w:t>554</w:t>
            </w:r>
          </w:p>
        </w:tc>
        <w:tc>
          <w:tcPr>
            <w:tcW w:type="dxa" w:w="1037"/>
          </w:tcPr>
          <w:p>
            <w:pPr>
              <w:spacing w:after="20"/>
              <w:jc w:val="right"/>
            </w:pPr>
            <w:r>
              <w:rPr>
                <w:color w:val="1C3A36"/>
                <w:sz w:val="16"/>
              </w:rPr>
              <w:t>631</w:t>
            </w:r>
          </w:p>
        </w:tc>
      </w:tr>
      <w:tr>
        <w:tc>
          <w:tcPr>
            <w:tcW w:type="dxa" w:w="2189"/>
          </w:tcPr>
          <w:p>
            <w:pPr>
              <w:spacing w:after="20"/>
            </w:pPr>
            <w:r>
              <w:rPr>
                <w:color w:val="1C3A36"/>
                <w:sz w:val="16"/>
              </w:rPr>
              <w:t>EBITDA</w:t>
            </w:r>
          </w:p>
        </w:tc>
        <w:tc>
          <w:tcPr>
            <w:tcW w:type="dxa" w:w="1037"/>
          </w:tcPr>
          <w:p>
            <w:pPr>
              <w:spacing w:after="20"/>
              <w:jc w:val="right"/>
            </w:pPr>
            <w:r>
              <w:rPr>
                <w:color w:val="1C3A36"/>
                <w:sz w:val="16"/>
              </w:rPr>
              <w:t>1,330</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4,886</w:t>
            </w:r>
          </w:p>
        </w:tc>
        <w:tc>
          <w:tcPr>
            <w:tcW w:type="dxa" w:w="1037"/>
          </w:tcPr>
          <w:p>
            <w:pPr>
              <w:spacing w:after="20"/>
              <w:jc w:val="right"/>
            </w:pPr>
            <w:r>
              <w:rPr>
                <w:color w:val="1C3A36"/>
                <w:sz w:val="16"/>
              </w:rPr>
              <w:t>5,044</w:t>
            </w:r>
          </w:p>
        </w:tc>
        <w:tc>
          <w:tcPr>
            <w:tcW w:type="dxa" w:w="1037"/>
          </w:tcPr>
          <w:p>
            <w:pPr>
              <w:spacing w:after="20"/>
              <w:jc w:val="right"/>
            </w:pPr>
            <w:r>
              <w:rPr>
                <w:color w:val="1C3A36"/>
                <w:sz w:val="16"/>
              </w:rPr>
              <w:t>5,466</w:t>
            </w:r>
          </w:p>
        </w:tc>
        <w:tc>
          <w:tcPr>
            <w:tcW w:type="dxa" w:w="1037"/>
          </w:tcPr>
          <w:p>
            <w:pPr>
              <w:spacing w:after="20"/>
              <w:jc w:val="right"/>
            </w:pPr>
            <w:r>
              <w:rPr>
                <w:color w:val="1C3A36"/>
                <w:sz w:val="16"/>
              </w:rPr>
              <w:t>5,852</w:t>
            </w:r>
          </w:p>
        </w:tc>
        <w:tc>
          <w:tcPr>
            <w:tcW w:type="dxa" w:w="1037"/>
          </w:tcPr>
          <w:p>
            <w:pPr>
              <w:spacing w:after="20"/>
              <w:jc w:val="right"/>
            </w:pPr>
            <w:r>
              <w:rPr>
                <w:color w:val="1C3A36"/>
                <w:sz w:val="16"/>
              </w:rPr>
              <w:t>6,189</w:t>
            </w:r>
          </w:p>
        </w:tc>
        <w:tc>
          <w:tcPr>
            <w:tcW w:type="dxa" w:w="1037"/>
          </w:tcPr>
          <w:p>
            <w:pPr>
              <w:spacing w:after="20"/>
              <w:jc w:val="right"/>
            </w:pPr>
            <w:r>
              <w:rPr>
                <w:color w:val="1C3A36"/>
                <w:sz w:val="16"/>
              </w:rPr>
              <w:t>6,559</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23.1%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36.6%</w:t>
            </w:r>
          </w:p>
        </w:tc>
        <w:tc>
          <w:tcPr>
            <w:tcW w:type="dxa" w:w="1037"/>
          </w:tcPr>
          <w:p>
            <w:pPr>
              <w:spacing w:after="20"/>
              <w:jc w:val="right"/>
            </w:pPr>
            <w:r>
              <w:rPr>
                <w:color w:val="1C3A36"/>
                <w:sz w:val="16"/>
              </w:rPr>
              <w:t>35.9%</w:t>
            </w:r>
          </w:p>
        </w:tc>
        <w:tc>
          <w:tcPr>
            <w:tcW w:type="dxa" w:w="1037"/>
          </w:tcPr>
          <w:p>
            <w:pPr>
              <w:spacing w:after="20"/>
              <w:jc w:val="right"/>
            </w:pPr>
            <w:r>
              <w:rPr>
                <w:color w:val="1C3A36"/>
                <w:sz w:val="16"/>
              </w:rPr>
              <w:t>35.2%</w:t>
            </w:r>
          </w:p>
        </w:tc>
        <w:tc>
          <w:tcPr>
            <w:tcW w:type="dxa" w:w="1037"/>
          </w:tcPr>
          <w:p>
            <w:pPr>
              <w:spacing w:after="20"/>
              <w:jc w:val="right"/>
            </w:pPr>
            <w:r>
              <w:rPr>
                <w:color w:val="1C3A36"/>
                <w:sz w:val="16"/>
              </w:rPr>
              <w:t>34.6%</w:t>
            </w:r>
          </w:p>
        </w:tc>
        <w:tc>
          <w:tcPr>
            <w:tcW w:type="dxa" w:w="1037"/>
          </w:tcPr>
          <w:p>
            <w:pPr>
              <w:spacing w:after="20"/>
              <w:jc w:val="right"/>
            </w:pPr>
            <w:r>
              <w:rPr>
                <w:color w:val="1C3A36"/>
                <w:sz w:val="16"/>
              </w:rPr>
              <w:t>34.3%</w:t>
            </w:r>
          </w:p>
        </w:tc>
      </w:tr>
      <w:tr>
        <w:tc>
          <w:tcPr>
            <w:tcW w:type="dxa" w:w="2189"/>
          </w:tcPr>
          <w:p>
            <w:pPr>
              <w:spacing w:after="20"/>
            </w:pPr>
            <w:r>
              <w:rPr>
                <w:color w:val="1C3A36"/>
                <w:sz w:val="16"/>
              </w:rPr>
              <w:t>Net finance and other income</w:t>
            </w:r>
          </w:p>
        </w:tc>
        <w:tc>
          <w:tcPr>
            <w:tcW w:type="dxa" w:w="1037"/>
          </w:tcPr>
          <w:p>
            <w:pPr>
              <w:spacing w:after="20"/>
              <w:jc w:val="right"/>
            </w:pPr>
            <w:r>
              <w:rPr>
                <w:color w:val="1C3A36"/>
                <w:sz w:val="16"/>
              </w:rPr>
              <w:t>-149</w:t>
            </w:r>
          </w:p>
        </w:tc>
        <w:tc>
          <w:tcPr>
            <w:tcW w:type="dxa" w:w="1037"/>
          </w:tcPr>
          <w:p>
            <w:pPr>
              <w:spacing w:after="20"/>
              <w:jc w:val="right"/>
            </w:pPr>
            <w:r>
              <w:rPr>
                <w:color w:val="1C3A36"/>
                <w:sz w:val="16"/>
              </w:rPr>
              <w:t>-258</w:t>
            </w:r>
          </w:p>
        </w:tc>
        <w:tc>
          <w:tcPr>
            <w:tcW w:type="dxa" w:w="1037"/>
          </w:tcPr>
          <w:p>
            <w:pPr>
              <w:spacing w:after="20"/>
              <w:jc w:val="right"/>
            </w:pPr>
            <w:r>
              <w:rPr>
                <w:color w:val="1C3A36"/>
                <w:sz w:val="16"/>
              </w:rPr>
              <w:t>129</w:t>
            </w:r>
          </w:p>
        </w:tc>
        <w:tc>
          <w:tcPr>
            <w:tcW w:type="dxa" w:w="1037"/>
          </w:tcPr>
          <w:p>
            <w:pPr>
              <w:spacing w:after="20"/>
              <w:jc w:val="right"/>
            </w:pPr>
            <w:r>
              <w:rPr>
                <w:color w:val="1C3A36"/>
                <w:sz w:val="16"/>
              </w:rPr>
              <w:t>131</w:t>
            </w:r>
          </w:p>
        </w:tc>
        <w:tc>
          <w:tcPr>
            <w:tcW w:type="dxa" w:w="1037"/>
          </w:tcPr>
          <w:p>
            <w:pPr>
              <w:spacing w:after="20"/>
              <w:jc w:val="right"/>
            </w:pPr>
            <w:r>
              <w:rPr>
                <w:color w:val="1C3A36"/>
                <w:sz w:val="16"/>
              </w:rPr>
              <w:t>209</w:t>
            </w:r>
          </w:p>
        </w:tc>
        <w:tc>
          <w:tcPr>
            <w:tcW w:type="dxa" w:w="1037"/>
          </w:tcPr>
          <w:p>
            <w:pPr>
              <w:spacing w:after="20"/>
              <w:jc w:val="right"/>
            </w:pPr>
            <w:r>
              <w:rPr>
                <w:color w:val="1C3A36"/>
                <w:sz w:val="16"/>
              </w:rPr>
              <w:t>304</w:t>
            </w:r>
          </w:p>
        </w:tc>
        <w:tc>
          <w:tcPr>
            <w:tcW w:type="dxa" w:w="1037"/>
          </w:tcPr>
          <w:p>
            <w:pPr>
              <w:spacing w:after="20"/>
              <w:jc w:val="right"/>
            </w:pPr>
            <w:r>
              <w:rPr>
                <w:color w:val="1C3A36"/>
                <w:sz w:val="16"/>
              </w:rPr>
              <w:t>404</w:t>
            </w:r>
          </w:p>
        </w:tc>
        <w:tc>
          <w:tcPr>
            <w:tcW w:type="dxa" w:w="1037"/>
          </w:tcPr>
          <w:p>
            <w:pPr>
              <w:spacing w:after="20"/>
              <w:jc w:val="right"/>
            </w:pPr>
            <w:r>
              <w:rPr>
                <w:color w:val="1C3A36"/>
                <w:sz w:val="16"/>
              </w:rPr>
              <w:t>525</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930</w:t>
            </w:r>
          </w:p>
        </w:tc>
        <w:tc>
          <w:tcPr>
            <w:tcW w:type="dxa" w:w="1037"/>
          </w:tcPr>
          <w:p>
            <w:pPr>
              <w:spacing w:after="20"/>
              <w:jc w:val="right"/>
            </w:pPr>
            <w:r>
              <w:rPr>
                <w:color w:val="1C3A36"/>
                <w:sz w:val="16"/>
              </w:rPr>
              <w:t>1,506</w:t>
            </w:r>
          </w:p>
        </w:tc>
        <w:tc>
          <w:tcPr>
            <w:tcW w:type="dxa" w:w="1037"/>
          </w:tcPr>
          <w:p>
            <w:pPr>
              <w:spacing w:after="20"/>
              <w:jc w:val="right"/>
            </w:pPr>
            <w:r>
              <w:rPr>
                <w:color w:val="1C3A36"/>
                <w:sz w:val="16"/>
              </w:rPr>
              <w:t>4,725</w:t>
            </w:r>
          </w:p>
        </w:tc>
        <w:tc>
          <w:tcPr>
            <w:tcW w:type="dxa" w:w="1037"/>
          </w:tcPr>
          <w:p>
            <w:pPr>
              <w:spacing w:after="20"/>
              <w:jc w:val="right"/>
            </w:pPr>
            <w:r>
              <w:rPr>
                <w:color w:val="1C3A36"/>
                <w:sz w:val="16"/>
              </w:rPr>
              <w:t>4,831</w:t>
            </w:r>
          </w:p>
        </w:tc>
        <w:tc>
          <w:tcPr>
            <w:tcW w:type="dxa" w:w="1037"/>
          </w:tcPr>
          <w:p>
            <w:pPr>
              <w:spacing w:after="20"/>
              <w:jc w:val="right"/>
            </w:pPr>
            <w:r>
              <w:rPr>
                <w:color w:val="1C3A36"/>
                <w:sz w:val="16"/>
              </w:rPr>
              <w:t>5,265</w:t>
            </w:r>
          </w:p>
        </w:tc>
        <w:tc>
          <w:tcPr>
            <w:tcW w:type="dxa" w:w="1037"/>
          </w:tcPr>
          <w:p>
            <w:pPr>
              <w:spacing w:after="20"/>
              <w:jc w:val="right"/>
            </w:pPr>
            <w:r>
              <w:rPr>
                <w:color w:val="1C3A36"/>
                <w:sz w:val="16"/>
              </w:rPr>
              <w:t>5,674</w:t>
            </w:r>
          </w:p>
        </w:tc>
        <w:tc>
          <w:tcPr>
            <w:tcW w:type="dxa" w:w="1037"/>
          </w:tcPr>
          <w:p>
            <w:pPr>
              <w:spacing w:after="20"/>
              <w:jc w:val="right"/>
            </w:pPr>
            <w:r>
              <w:rPr>
                <w:color w:val="1C3A36"/>
                <w:sz w:val="16"/>
              </w:rPr>
              <w:t>6,039</w:t>
            </w:r>
          </w:p>
        </w:tc>
        <w:tc>
          <w:tcPr>
            <w:tcW w:type="dxa" w:w="1037"/>
          </w:tcPr>
          <w:p>
            <w:pPr>
              <w:spacing w:after="20"/>
              <w:jc w:val="right"/>
            </w:pPr>
            <w:r>
              <w:rPr>
                <w:color w:val="1C3A36"/>
                <w:sz w:val="16"/>
              </w:rPr>
              <w:t>6,454</w:t>
            </w:r>
          </w:p>
        </w:tc>
      </w:tr>
      <w:tr>
        <w:tc>
          <w:tcPr>
            <w:tcW w:type="dxa" w:w="2189"/>
          </w:tcPr>
          <w:p>
            <w:pPr>
              <w:spacing w:after="20"/>
            </w:pPr>
            <w:r>
              <w:rPr>
                <w:color w:val="1C3A36"/>
                <w:sz w:val="16"/>
              </w:rPr>
              <w:t>Income tax</w:t>
            </w:r>
          </w:p>
        </w:tc>
        <w:tc>
          <w:tcPr>
            <w:tcW w:type="dxa" w:w="1037"/>
          </w:tcPr>
          <w:p>
            <w:pPr>
              <w:spacing w:after="20"/>
              <w:jc w:val="right"/>
            </w:pPr>
            <w:r>
              <w:rPr>
                <w:color w:val="1C3A36"/>
                <w:sz w:val="16"/>
              </w:rPr>
              <w:t>(233)</w:t>
            </w:r>
          </w:p>
        </w:tc>
        <w:tc>
          <w:tcPr>
            <w:tcW w:type="dxa" w:w="1037"/>
          </w:tcPr>
          <w:p>
            <w:pPr>
              <w:spacing w:after="20"/>
              <w:jc w:val="right"/>
            </w:pPr>
            <w:r>
              <w:rPr>
                <w:color w:val="1C3A36"/>
                <w:sz w:val="16"/>
              </w:rPr>
              <w:t>(346)</w:t>
            </w:r>
          </w:p>
        </w:tc>
        <w:tc>
          <w:tcPr>
            <w:tcW w:type="dxa" w:w="1037"/>
          </w:tcPr>
          <w:p>
            <w:pPr>
              <w:spacing w:after="20"/>
              <w:jc w:val="right"/>
            </w:pPr>
            <w:r>
              <w:rPr>
                <w:color w:val="1C3A36"/>
                <w:sz w:val="16"/>
              </w:rPr>
              <w:t>(1,125)</w:t>
            </w:r>
          </w:p>
        </w:tc>
        <w:tc>
          <w:tcPr>
            <w:tcW w:type="dxa" w:w="1037"/>
          </w:tcPr>
          <w:p>
            <w:pPr>
              <w:spacing w:after="20"/>
              <w:jc w:val="right"/>
            </w:pPr>
            <w:r>
              <w:rPr>
                <w:color w:val="1C3A36"/>
                <w:sz w:val="16"/>
              </w:rPr>
              <w:t>(1,151)</w:t>
            </w:r>
          </w:p>
        </w:tc>
        <w:tc>
          <w:tcPr>
            <w:tcW w:type="dxa" w:w="1037"/>
          </w:tcPr>
          <w:p>
            <w:pPr>
              <w:spacing w:after="20"/>
              <w:jc w:val="right"/>
            </w:pPr>
            <w:r>
              <w:rPr>
                <w:color w:val="1C3A36"/>
                <w:sz w:val="16"/>
              </w:rPr>
              <w:t>(1,254)</w:t>
            </w:r>
          </w:p>
        </w:tc>
        <w:tc>
          <w:tcPr>
            <w:tcW w:type="dxa" w:w="1037"/>
          </w:tcPr>
          <w:p>
            <w:pPr>
              <w:spacing w:after="20"/>
              <w:jc w:val="right"/>
            </w:pPr>
            <w:r>
              <w:rPr>
                <w:color w:val="1C3A36"/>
                <w:sz w:val="16"/>
              </w:rPr>
              <w:t>(1,352)</w:t>
            </w:r>
          </w:p>
        </w:tc>
        <w:tc>
          <w:tcPr>
            <w:tcW w:type="dxa" w:w="1037"/>
          </w:tcPr>
          <w:p>
            <w:pPr>
              <w:spacing w:after="20"/>
              <w:jc w:val="right"/>
            </w:pPr>
            <w:r>
              <w:rPr>
                <w:color w:val="1C3A36"/>
                <w:sz w:val="16"/>
              </w:rPr>
              <w:t>(1,438)</w:t>
            </w:r>
          </w:p>
        </w:tc>
        <w:tc>
          <w:tcPr>
            <w:tcW w:type="dxa" w:w="1037"/>
          </w:tcPr>
          <w:p>
            <w:pPr>
              <w:spacing w:after="20"/>
              <w:jc w:val="right"/>
            </w:pPr>
            <w:r>
              <w:rPr>
                <w:color w:val="1C3A36"/>
                <w:sz w:val="16"/>
              </w:rPr>
              <w:t>(1,537)</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3,600</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4,011</w:t>
            </w:r>
          </w:p>
        </w:tc>
        <w:tc>
          <w:tcPr>
            <w:tcW w:type="dxa" w:w="1037"/>
            <w:shd w:val="clear" w:color="auto" w:fill="F6F1E6"/>
          </w:tcPr>
          <w:p>
            <w:pPr>
              <w:spacing w:after="20"/>
              <w:jc w:val="right"/>
            </w:pPr>
            <w:r>
              <w:rPr>
                <w:b/>
                <w:color w:val="1C3A36"/>
                <w:sz w:val="16"/>
              </w:rPr>
              <w:t>4,322</w:t>
            </w:r>
          </w:p>
        </w:tc>
        <w:tc>
          <w:tcPr>
            <w:tcW w:type="dxa" w:w="1037"/>
            <w:shd w:val="clear" w:color="auto" w:fill="F6F1E6"/>
          </w:tcPr>
          <w:p>
            <w:pPr>
              <w:spacing w:after="20"/>
              <w:jc w:val="right"/>
            </w:pPr>
            <w:r>
              <w:rPr>
                <w:b/>
                <w:color w:val="1C3A36"/>
                <w:sz w:val="16"/>
              </w:rPr>
              <w:t>4,600</w:t>
            </w:r>
          </w:p>
        </w:tc>
        <w:tc>
          <w:tcPr>
            <w:tcW w:type="dxa" w:w="1037"/>
            <w:shd w:val="clear" w:color="auto" w:fill="F6F1E6"/>
          </w:tcPr>
          <w:p>
            <w:pPr>
              <w:spacing w:after="20"/>
              <w:jc w:val="right"/>
            </w:pPr>
            <w:r>
              <w:rPr>
                <w:b/>
                <w:color w:val="1C3A36"/>
                <w:sz w:val="16"/>
              </w:rPr>
              <w:t>4,916</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1.81</w:t>
            </w:r>
          </w:p>
        </w:tc>
        <w:tc>
          <w:tcPr>
            <w:tcW w:type="dxa" w:w="1037"/>
          </w:tcPr>
          <w:p>
            <w:pPr>
              <w:spacing w:after="20"/>
              <w:jc w:val="right"/>
            </w:pPr>
            <w:r>
              <w:rPr>
                <w:color w:val="1C3A36"/>
                <w:sz w:val="16"/>
              </w:rPr>
              <w:t>3.02</w:t>
            </w:r>
          </w:p>
        </w:tc>
        <w:tc>
          <w:tcPr>
            <w:tcW w:type="dxa" w:w="1037"/>
          </w:tcPr>
          <w:p>
            <w:pPr>
              <w:spacing w:after="20"/>
              <w:jc w:val="right"/>
            </w:pPr>
            <w:r>
              <w:rPr>
                <w:color w:val="1C3A36"/>
                <w:sz w:val="16"/>
              </w:rPr>
              <w:t>9.49</w:t>
            </w:r>
          </w:p>
        </w:tc>
        <w:tc>
          <w:tcPr>
            <w:tcW w:type="dxa" w:w="1037"/>
          </w:tcPr>
          <w:p>
            <w:pPr>
              <w:spacing w:after="20"/>
              <w:jc w:val="right"/>
            </w:pPr>
            <w:r>
              <w:rPr>
                <w:color w:val="1C3A36"/>
                <w:sz w:val="16"/>
              </w:rPr>
              <w:t>9.82</w:t>
            </w:r>
          </w:p>
        </w:tc>
        <w:tc>
          <w:tcPr>
            <w:tcW w:type="dxa" w:w="1037"/>
          </w:tcPr>
          <w:p>
            <w:pPr>
              <w:spacing w:after="20"/>
              <w:jc w:val="right"/>
            </w:pPr>
            <w:r>
              <w:rPr>
                <w:color w:val="1C3A36"/>
                <w:sz w:val="16"/>
              </w:rPr>
              <w:t>10.70</w:t>
            </w:r>
          </w:p>
        </w:tc>
        <w:tc>
          <w:tcPr>
            <w:tcW w:type="dxa" w:w="1037"/>
          </w:tcPr>
          <w:p>
            <w:pPr>
              <w:spacing w:after="20"/>
              <w:jc w:val="right"/>
            </w:pPr>
            <w:r>
              <w:rPr>
                <w:color w:val="1C3A36"/>
                <w:sz w:val="16"/>
              </w:rPr>
              <w:t>11.53</w:t>
            </w:r>
          </w:p>
        </w:tc>
        <w:tc>
          <w:tcPr>
            <w:tcW w:type="dxa" w:w="1037"/>
          </w:tcPr>
          <w:p>
            <w:pPr>
              <w:spacing w:after="20"/>
              <w:jc w:val="right"/>
            </w:pPr>
            <w:r>
              <w:rPr>
                <w:color w:val="1C3A36"/>
                <w:sz w:val="16"/>
              </w:rPr>
              <w:t>12.27</w:t>
            </w:r>
          </w:p>
        </w:tc>
        <w:tc>
          <w:tcPr>
            <w:tcW w:type="dxa" w:w="1037"/>
          </w:tcPr>
          <w:p>
            <w:pPr>
              <w:spacing w:after="20"/>
              <w:jc w:val="right"/>
            </w:pPr>
            <w:r>
              <w:rPr>
                <w:color w:val="1C3A36"/>
                <w:sz w:val="16"/>
              </w:rPr>
              <w:t>13.12</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3,888</w:t>
            </w:r>
          </w:p>
        </w:tc>
        <w:tc>
          <w:tcPr>
            <w:tcW w:type="dxa" w:w="1037"/>
            <w:shd w:val="clear" w:color="auto" w:fill="F6F1E6"/>
          </w:tcPr>
          <w:p>
            <w:pPr>
              <w:spacing w:after="20"/>
              <w:jc w:val="right"/>
            </w:pPr>
            <w:r>
              <w:rPr>
                <w:b/>
                <w:color w:val="1C3A36"/>
                <w:sz w:val="16"/>
              </w:rPr>
              <w:t>5,849</w:t>
            </w:r>
          </w:p>
        </w:tc>
        <w:tc>
          <w:tcPr>
            <w:tcW w:type="dxa" w:w="1037"/>
            <w:shd w:val="clear" w:color="auto" w:fill="F6F1E6"/>
          </w:tcPr>
          <w:p>
            <w:pPr>
              <w:spacing w:after="20"/>
              <w:jc w:val="right"/>
            </w:pPr>
            <w:r>
              <w:rPr>
                <w:b/>
                <w:color w:val="1C3A36"/>
                <w:sz w:val="16"/>
              </w:rPr>
              <w:t>8,784</w:t>
            </w:r>
          </w:p>
        </w:tc>
        <w:tc>
          <w:tcPr>
            <w:tcW w:type="dxa" w:w="1037"/>
            <w:shd w:val="clear" w:color="auto" w:fill="F6F1E6"/>
          </w:tcPr>
          <w:p>
            <w:pPr>
              <w:spacing w:after="20"/>
              <w:jc w:val="right"/>
            </w:pPr>
            <w:r>
              <w:rPr>
                <w:b/>
                <w:color w:val="1C3A36"/>
                <w:sz w:val="16"/>
              </w:rPr>
              <w:t>8,415</w:t>
            </w:r>
          </w:p>
        </w:tc>
        <w:tc>
          <w:tcPr>
            <w:tcW w:type="dxa" w:w="1037"/>
            <w:shd w:val="clear" w:color="auto" w:fill="F6F1E6"/>
          </w:tcPr>
          <w:p>
            <w:pPr>
              <w:spacing w:after="20"/>
              <w:jc w:val="right"/>
            </w:pPr>
            <w:r>
              <w:rPr>
                <w:b/>
                <w:color w:val="1C3A36"/>
                <w:sz w:val="16"/>
              </w:rPr>
              <w:t>10,196</w:t>
            </w:r>
          </w:p>
        </w:tc>
        <w:tc>
          <w:tcPr>
            <w:tcW w:type="dxa" w:w="1037"/>
            <w:shd w:val="clear" w:color="auto" w:fill="F6F1E6"/>
          </w:tcPr>
          <w:p>
            <w:pPr>
              <w:spacing w:after="20"/>
              <w:jc w:val="right"/>
            </w:pPr>
            <w:r>
              <w:rPr>
                <w:b/>
                <w:color w:val="1C3A36"/>
                <w:sz w:val="16"/>
              </w:rPr>
              <w:t>12,115</w:t>
            </w:r>
          </w:p>
        </w:tc>
        <w:tc>
          <w:tcPr>
            <w:tcW w:type="dxa" w:w="1037"/>
            <w:shd w:val="clear" w:color="auto" w:fill="F6F1E6"/>
          </w:tcPr>
          <w:p>
            <w:pPr>
              <w:spacing w:after="20"/>
              <w:jc w:val="right"/>
            </w:pPr>
            <w:r>
              <w:rPr>
                <w:b/>
                <w:color w:val="1C3A36"/>
                <w:sz w:val="16"/>
              </w:rPr>
              <w:t>14,158</w:t>
            </w:r>
          </w:p>
        </w:tc>
        <w:tc>
          <w:tcPr>
            <w:tcW w:type="dxa" w:w="1037"/>
            <w:shd w:val="clear" w:color="auto" w:fill="F6F1E6"/>
          </w:tcPr>
          <w:p>
            <w:pPr>
              <w:spacing w:after="20"/>
              <w:jc w:val="right"/>
            </w:pPr>
            <w:r>
              <w:rPr>
                <w:b/>
                <w:color w:val="1C3A36"/>
                <w:sz w:val="16"/>
              </w:rPr>
              <w:t>16,341</w:t>
            </w:r>
          </w:p>
        </w:tc>
      </w:tr>
      <w:tr>
        <w:tc>
          <w:tcPr>
            <w:tcW w:type="dxa" w:w="2189"/>
          </w:tcPr>
          <w:p>
            <w:pPr>
              <w:spacing w:after="20"/>
            </w:pPr>
            <w:r>
              <w:rPr>
                <w:color w:val="1C3A36"/>
                <w:sz w:val="16"/>
              </w:rPr>
              <w:t>Cash and bank balances</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1,687</w:t>
            </w:r>
          </w:p>
        </w:tc>
        <w:tc>
          <w:tcPr>
            <w:tcW w:type="dxa" w:w="1037"/>
          </w:tcPr>
          <w:p>
            <w:pPr>
              <w:spacing w:after="20"/>
              <w:jc w:val="right"/>
            </w:pPr>
            <w:r>
              <w:rPr>
                <w:color w:val="1C3A36"/>
                <w:sz w:val="16"/>
              </w:rPr>
              <w:t>3,459</w:t>
            </w:r>
          </w:p>
        </w:tc>
        <w:tc>
          <w:tcPr>
            <w:tcW w:type="dxa" w:w="1037"/>
          </w:tcPr>
          <w:p>
            <w:pPr>
              <w:spacing w:after="20"/>
              <w:jc w:val="right"/>
            </w:pPr>
            <w:r>
              <w:rPr>
                <w:color w:val="1C3A36"/>
                <w:sz w:val="16"/>
              </w:rPr>
              <w:t>2,265</w:t>
            </w:r>
          </w:p>
        </w:tc>
        <w:tc>
          <w:tcPr>
            <w:tcW w:type="dxa" w:w="1037"/>
          </w:tcPr>
          <w:p>
            <w:pPr>
              <w:spacing w:after="20"/>
              <w:jc w:val="right"/>
            </w:pPr>
            <w:r>
              <w:rPr>
                <w:color w:val="1C3A36"/>
                <w:sz w:val="16"/>
              </w:rPr>
              <w:t>3,221</w:t>
            </w:r>
          </w:p>
        </w:tc>
        <w:tc>
          <w:tcPr>
            <w:tcW w:type="dxa" w:w="1037"/>
          </w:tcPr>
          <w:p>
            <w:pPr>
              <w:spacing w:after="20"/>
              <w:jc w:val="right"/>
            </w:pPr>
            <w:r>
              <w:rPr>
                <w:color w:val="1C3A36"/>
                <w:sz w:val="16"/>
              </w:rPr>
              <w:t>4,339</w:t>
            </w:r>
          </w:p>
        </w:tc>
        <w:tc>
          <w:tcPr>
            <w:tcW w:type="dxa" w:w="1037"/>
          </w:tcPr>
          <w:p>
            <w:pPr>
              <w:spacing w:after="20"/>
              <w:jc w:val="right"/>
            </w:pPr>
            <w:r>
              <w:rPr>
                <w:color w:val="1C3A36"/>
                <w:sz w:val="16"/>
              </w:rPr>
              <w:t>5,611</w:t>
            </w:r>
          </w:p>
        </w:tc>
        <w:tc>
          <w:tcPr>
            <w:tcW w:type="dxa" w:w="1037"/>
          </w:tcPr>
          <w:p>
            <w:pPr>
              <w:spacing w:after="20"/>
              <w:jc w:val="right"/>
            </w:pPr>
            <w:r>
              <w:rPr>
                <w:color w:val="1C3A36"/>
                <w:sz w:val="16"/>
              </w:rPr>
              <w:t>7,047</w:t>
            </w:r>
          </w:p>
        </w:tc>
      </w:tr>
      <w:tr>
        <w:tc>
          <w:tcPr>
            <w:tcW w:type="dxa" w:w="2189"/>
          </w:tcPr>
          <w:p>
            <w:pPr>
              <w:spacing w:after="20"/>
            </w:pPr>
            <w:r>
              <w:rPr>
                <w:color w:val="1C3A36"/>
                <w:sz w:val="16"/>
              </w:rPr>
              <w:t>Interest-bearing debt</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761</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r>
      <w:tr>
        <w:tc>
          <w:tcPr>
            <w:tcW w:type="dxa" w:w="2189"/>
          </w:tcPr>
          <w:p>
            <w:pPr>
              <w:spacing w:after="20"/>
            </w:pPr>
            <w:r>
              <w:rPr>
                <w:color w:val="1C3A36"/>
                <w:sz w:val="16"/>
              </w:rPr>
              <w:t>Net (cash) / debt</w:t>
            </w:r>
          </w:p>
        </w:tc>
        <w:tc>
          <w:tcPr>
            <w:tcW w:type="dxa" w:w="1037"/>
          </w:tcPr>
          <w:p>
            <w:pPr>
              <w:spacing w:after="20"/>
              <w:jc w:val="right"/>
            </w:pPr>
            <w:r>
              <w:rPr>
                <w:color w:val="1C3A36"/>
                <w:sz w:val="16"/>
              </w:rPr>
              <w:t>-471</w:t>
            </w:r>
          </w:p>
        </w:tc>
        <w:tc>
          <w:tcPr>
            <w:tcW w:type="dxa" w:w="1037"/>
          </w:tcPr>
          <w:p>
            <w:pPr>
              <w:spacing w:after="20"/>
              <w:jc w:val="right"/>
            </w:pPr>
            <w:r>
              <w:rPr>
                <w:color w:val="1C3A36"/>
                <w:sz w:val="16"/>
              </w:rPr>
              <w:t>-926</w:t>
            </w:r>
          </w:p>
        </w:tc>
        <w:tc>
          <w:tcPr>
            <w:tcW w:type="dxa" w:w="1037"/>
          </w:tcPr>
          <w:p>
            <w:pPr>
              <w:spacing w:after="20"/>
              <w:jc w:val="right"/>
            </w:pPr>
            <w:r>
              <w:rPr>
                <w:color w:val="1C3A36"/>
                <w:sz w:val="16"/>
              </w:rPr>
              <w:t>-2,324</w:t>
            </w:r>
          </w:p>
        </w:tc>
        <w:tc>
          <w:tcPr>
            <w:tcW w:type="dxa" w:w="1037"/>
          </w:tcPr>
          <w:p>
            <w:pPr>
              <w:spacing w:after="20"/>
              <w:jc w:val="right"/>
            </w:pPr>
            <w:r>
              <w:rPr>
                <w:color w:val="1C3A36"/>
                <w:sz w:val="16"/>
              </w:rPr>
              <w:t>-1,130</w:t>
            </w:r>
          </w:p>
        </w:tc>
        <w:tc>
          <w:tcPr>
            <w:tcW w:type="dxa" w:w="1037"/>
          </w:tcPr>
          <w:p>
            <w:pPr>
              <w:spacing w:after="20"/>
              <w:jc w:val="right"/>
            </w:pPr>
            <w:r>
              <w:rPr>
                <w:color w:val="1C3A36"/>
                <w:sz w:val="16"/>
              </w:rPr>
              <w:t>-2,086</w:t>
            </w:r>
          </w:p>
        </w:tc>
        <w:tc>
          <w:tcPr>
            <w:tcW w:type="dxa" w:w="1037"/>
          </w:tcPr>
          <w:p>
            <w:pPr>
              <w:spacing w:after="20"/>
              <w:jc w:val="right"/>
            </w:pPr>
            <w:r>
              <w:rPr>
                <w:color w:val="1C3A36"/>
                <w:sz w:val="16"/>
              </w:rPr>
              <w:t>-3,204</w:t>
            </w:r>
          </w:p>
        </w:tc>
        <w:tc>
          <w:tcPr>
            <w:tcW w:type="dxa" w:w="1037"/>
          </w:tcPr>
          <w:p>
            <w:pPr>
              <w:spacing w:after="20"/>
              <w:jc w:val="right"/>
            </w:pPr>
            <w:r>
              <w:rPr>
                <w:color w:val="1C3A36"/>
                <w:sz w:val="16"/>
              </w:rPr>
              <w:t>-4,476</w:t>
            </w:r>
          </w:p>
        </w:tc>
        <w:tc>
          <w:tcPr>
            <w:tcW w:type="dxa" w:w="1037"/>
          </w:tcPr>
          <w:p>
            <w:pPr>
              <w:spacing w:after="20"/>
              <w:jc w:val="right"/>
            </w:pPr>
            <w:r>
              <w:rPr>
                <w:color w:val="1C3A36"/>
                <w:sz w:val="16"/>
              </w:rPr>
              <w:t>-5,912</w:t>
            </w:r>
          </w:p>
        </w:tc>
      </w:tr>
      <w:tr>
        <w:tc>
          <w:tcPr>
            <w:tcW w:type="dxa" w:w="2189"/>
          </w:tcPr>
          <w:p>
            <w:pPr>
              <w:spacing w:after="20"/>
            </w:pPr>
            <w:r>
              <w:rPr>
                <w:color w:val="1C3A36"/>
                <w:sz w:val="16"/>
              </w:rPr>
              <w:t>Equity attributable to owners</w:t>
            </w:r>
          </w:p>
        </w:tc>
        <w:tc>
          <w:tcPr>
            <w:tcW w:type="dxa" w:w="1037"/>
          </w:tcPr>
          <w:p>
            <w:pPr>
              <w:spacing w:after="20"/>
              <w:jc w:val="right"/>
            </w:pPr>
            <w:r>
              <w:rPr>
                <w:color w:val="1C3A36"/>
                <w:sz w:val="16"/>
              </w:rPr>
              <w:t>1,754</w:t>
            </w:r>
          </w:p>
        </w:tc>
        <w:tc>
          <w:tcPr>
            <w:tcW w:type="dxa" w:w="1037"/>
          </w:tcPr>
          <w:p>
            <w:pPr>
              <w:spacing w:after="20"/>
              <w:jc w:val="right"/>
            </w:pPr>
            <w:r>
              <w:rPr>
                <w:color w:val="1C3A36"/>
                <w:sz w:val="16"/>
              </w:rPr>
              <w:t>2,303</w:t>
            </w:r>
          </w:p>
        </w:tc>
        <w:tc>
          <w:tcPr>
            <w:tcW w:type="dxa" w:w="1037"/>
          </w:tcPr>
          <w:p>
            <w:pPr>
              <w:spacing w:after="20"/>
              <w:jc w:val="right"/>
            </w:pPr>
            <w:r>
              <w:rPr>
                <w:color w:val="1C3A36"/>
                <w:sz w:val="16"/>
              </w:rPr>
              <w:t>4,643</w:t>
            </w:r>
          </w:p>
        </w:tc>
        <w:tc>
          <w:tcPr>
            <w:tcW w:type="dxa" w:w="1037"/>
          </w:tcPr>
          <w:p>
            <w:pPr>
              <w:spacing w:after="20"/>
              <w:jc w:val="right"/>
            </w:pPr>
            <w:r>
              <w:rPr>
                <w:color w:val="1C3A36"/>
                <w:sz w:val="16"/>
              </w:rPr>
              <w:t>4,275</w:t>
            </w:r>
          </w:p>
        </w:tc>
        <w:tc>
          <w:tcPr>
            <w:tcW w:type="dxa" w:w="1037"/>
          </w:tcPr>
          <w:p>
            <w:pPr>
              <w:spacing w:after="20"/>
              <w:jc w:val="right"/>
            </w:pPr>
            <w:r>
              <w:rPr>
                <w:color w:val="1C3A36"/>
                <w:sz w:val="16"/>
              </w:rPr>
              <w:t>6,056</w:t>
            </w:r>
          </w:p>
        </w:tc>
        <w:tc>
          <w:tcPr>
            <w:tcW w:type="dxa" w:w="1037"/>
          </w:tcPr>
          <w:p>
            <w:pPr>
              <w:spacing w:after="20"/>
              <w:jc w:val="right"/>
            </w:pPr>
            <w:r>
              <w:rPr>
                <w:color w:val="1C3A36"/>
                <w:sz w:val="16"/>
              </w:rPr>
              <w:t>7,975</w:t>
            </w:r>
          </w:p>
        </w:tc>
        <w:tc>
          <w:tcPr>
            <w:tcW w:type="dxa" w:w="1037"/>
          </w:tcPr>
          <w:p>
            <w:pPr>
              <w:spacing w:after="20"/>
              <w:jc w:val="right"/>
            </w:pPr>
            <w:r>
              <w:rPr>
                <w:color w:val="1C3A36"/>
                <w:sz w:val="16"/>
              </w:rPr>
              <w:t>10,017</w:t>
            </w:r>
          </w:p>
        </w:tc>
        <w:tc>
          <w:tcPr>
            <w:tcW w:type="dxa" w:w="1037"/>
          </w:tcPr>
          <w:p>
            <w:pPr>
              <w:spacing w:after="20"/>
              <w:jc w:val="right"/>
            </w:pPr>
            <w:r>
              <w:rPr>
                <w:color w:val="1C3A36"/>
                <w:sz w:val="16"/>
              </w:rPr>
              <w:t>12,200</w:t>
            </w:r>
          </w:p>
        </w:tc>
      </w:tr>
      <w:tr>
        <w:tc>
          <w:tcPr>
            <w:tcW w:type="dxa" w:w="2189"/>
          </w:tcPr>
          <w:p>
            <w:pPr>
              <w:spacing w:after="20"/>
            </w:pPr>
            <w:r>
              <w:rPr>
                <w:color w:val="1C3A36"/>
                <w:sz w:val="16"/>
              </w:rPr>
              <w:t>Book value per share (EGP)</w:t>
            </w:r>
          </w:p>
        </w:tc>
        <w:tc>
          <w:tcPr>
            <w:tcW w:type="dxa" w:w="1037"/>
          </w:tcPr>
          <w:p>
            <w:pPr>
              <w:spacing w:after="20"/>
              <w:jc w:val="right"/>
            </w:pPr>
            <w:r>
              <w:rPr>
                <w:color w:val="1C3A36"/>
                <w:sz w:val="16"/>
              </w:rPr>
              <w:t>4.68</w:t>
            </w:r>
          </w:p>
        </w:tc>
        <w:tc>
          <w:tcPr>
            <w:tcW w:type="dxa" w:w="1037"/>
          </w:tcPr>
          <w:p>
            <w:pPr>
              <w:spacing w:after="20"/>
              <w:jc w:val="right"/>
            </w:pPr>
            <w:r>
              <w:rPr>
                <w:color w:val="1C3A36"/>
                <w:sz w:val="16"/>
              </w:rPr>
              <w:t>6.14</w:t>
            </w:r>
          </w:p>
        </w:tc>
        <w:tc>
          <w:tcPr>
            <w:tcW w:type="dxa" w:w="1037"/>
          </w:tcPr>
          <w:p>
            <w:pPr>
              <w:spacing w:after="20"/>
              <w:jc w:val="right"/>
            </w:pPr>
            <w:r>
              <w:rPr>
                <w:color w:val="1C3A36"/>
                <w:sz w:val="16"/>
              </w:rPr>
              <w:t>12.38</w:t>
            </w:r>
          </w:p>
        </w:tc>
        <w:tc>
          <w:tcPr>
            <w:tcW w:type="dxa" w:w="1037"/>
          </w:tcPr>
          <w:p>
            <w:pPr>
              <w:spacing w:after="20"/>
              <w:jc w:val="right"/>
            </w:pPr>
            <w:r>
              <w:rPr>
                <w:color w:val="1C3A36"/>
                <w:sz w:val="16"/>
              </w:rPr>
              <w:t>11.40</w:t>
            </w:r>
          </w:p>
        </w:tc>
        <w:tc>
          <w:tcPr>
            <w:tcW w:type="dxa" w:w="1037"/>
          </w:tcPr>
          <w:p>
            <w:pPr>
              <w:spacing w:after="20"/>
              <w:jc w:val="right"/>
            </w:pPr>
            <w:r>
              <w:rPr>
                <w:color w:val="1C3A36"/>
                <w:sz w:val="16"/>
              </w:rPr>
              <w:t>16.15</w:t>
            </w:r>
          </w:p>
        </w:tc>
        <w:tc>
          <w:tcPr>
            <w:tcW w:type="dxa" w:w="1037"/>
          </w:tcPr>
          <w:p>
            <w:pPr>
              <w:spacing w:after="20"/>
              <w:jc w:val="right"/>
            </w:pPr>
            <w:r>
              <w:rPr>
                <w:color w:val="1C3A36"/>
                <w:sz w:val="16"/>
              </w:rPr>
              <w:t>21.27</w:t>
            </w:r>
          </w:p>
        </w:tc>
        <w:tc>
          <w:tcPr>
            <w:tcW w:type="dxa" w:w="1037"/>
          </w:tcPr>
          <w:p>
            <w:pPr>
              <w:spacing w:after="20"/>
              <w:jc w:val="right"/>
            </w:pPr>
            <w:r>
              <w:rPr>
                <w:color w:val="1C3A36"/>
                <w:sz w:val="16"/>
              </w:rPr>
              <w:t>26.72</w:t>
            </w:r>
          </w:p>
        </w:tc>
        <w:tc>
          <w:tcPr>
            <w:tcW w:type="dxa" w:w="1037"/>
          </w:tcPr>
          <w:p>
            <w:pPr>
              <w:spacing w:after="20"/>
              <w:jc w:val="right"/>
            </w:pPr>
            <w:r>
              <w:rPr>
                <w:color w:val="1C3A36"/>
                <w:sz w:val="16"/>
              </w:rPr>
              <w:t>32.55</w:t>
            </w:r>
          </w:p>
        </w:tc>
      </w:tr>
      <w:tr>
        <w:tc>
          <w:tcPr>
            <w:tcW w:type="dxa" w:w="2189"/>
          </w:tcPr>
          <w:p>
            <w:pPr>
              <w:spacing w:after="20"/>
            </w:pPr>
            <w:r>
              <w:rPr>
                <w:color w:val="1C3A36"/>
                <w:sz w:val="16"/>
              </w:rPr>
              <w:t>Return on equity</w:t>
            </w:r>
          </w:p>
        </w:tc>
        <w:tc>
          <w:tcPr>
            <w:tcW w:type="dxa" w:w="1037"/>
          </w:tcPr>
          <w:p>
            <w:pPr>
              <w:spacing w:after="20"/>
              <w:jc w:val="right"/>
            </w:pPr>
            <w:r>
              <w:rPr>
                <w:color w:val="1C3A36"/>
                <w:sz w:val="16"/>
              </w:rPr>
              <w:t>39.8%</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77.5%</w:t>
            </w:r>
          </w:p>
        </w:tc>
        <w:tc>
          <w:tcPr>
            <w:tcW w:type="dxa" w:w="1037"/>
          </w:tcPr>
          <w:p>
            <w:pPr>
              <w:spacing w:after="20"/>
              <w:jc w:val="right"/>
            </w:pPr>
            <w:r>
              <w:rPr>
                <w:color w:val="1C3A36"/>
                <w:sz w:val="16"/>
              </w:rPr>
              <w:t>86.1%</w:t>
            </w:r>
          </w:p>
        </w:tc>
        <w:tc>
          <w:tcPr>
            <w:tcW w:type="dxa" w:w="1037"/>
          </w:tcPr>
          <w:p>
            <w:pPr>
              <w:spacing w:after="20"/>
              <w:jc w:val="right"/>
            </w:pPr>
            <w:r>
              <w:rPr>
                <w:color w:val="1C3A36"/>
                <w:sz w:val="16"/>
              </w:rPr>
              <w:t>66.2%</w:t>
            </w:r>
          </w:p>
        </w:tc>
        <w:tc>
          <w:tcPr>
            <w:tcW w:type="dxa" w:w="1037"/>
          </w:tcPr>
          <w:p>
            <w:pPr>
              <w:spacing w:after="20"/>
              <w:jc w:val="right"/>
            </w:pPr>
            <w:r>
              <w:rPr>
                <w:color w:val="1C3A36"/>
                <w:sz w:val="16"/>
              </w:rPr>
              <w:t>54.2%</w:t>
            </w:r>
          </w:p>
        </w:tc>
        <w:tc>
          <w:tcPr>
            <w:tcW w:type="dxa" w:w="1037"/>
          </w:tcPr>
          <w:p>
            <w:pPr>
              <w:spacing w:after="20"/>
              <w:jc w:val="right"/>
            </w:pPr>
            <w:r>
              <w:rPr>
                <w:color w:val="1C3A36"/>
                <w:sz w:val="16"/>
              </w:rPr>
              <w:t>45.9%</w:t>
            </w:r>
          </w:p>
        </w:tc>
        <w:tc>
          <w:tcPr>
            <w:tcW w:type="dxa" w:w="1037"/>
          </w:tcPr>
          <w:p>
            <w:pPr>
              <w:spacing w:after="20"/>
              <w:jc w:val="right"/>
            </w:pPr>
            <w:r>
              <w:rPr>
                <w:color w:val="1C3A36"/>
                <w:sz w:val="16"/>
              </w:rPr>
              <w:t>40.3%</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3,680</w:t>
            </w:r>
          </w:p>
        </w:tc>
        <w:tc>
          <w:tcPr>
            <w:tcW w:type="dxa" w:w="1325"/>
          </w:tcPr>
          <w:p>
            <w:pPr>
              <w:spacing w:after="20"/>
              <w:jc w:val="right"/>
            </w:pPr>
            <w:r>
              <w:rPr>
                <w:color w:val="1C3A36"/>
                <w:sz w:val="17"/>
              </w:rPr>
              <w:t>4,011</w:t>
            </w:r>
          </w:p>
        </w:tc>
        <w:tc>
          <w:tcPr>
            <w:tcW w:type="dxa" w:w="1325"/>
          </w:tcPr>
          <w:p>
            <w:pPr>
              <w:spacing w:after="20"/>
              <w:jc w:val="right"/>
            </w:pPr>
            <w:r>
              <w:rPr>
                <w:color w:val="1C3A36"/>
                <w:sz w:val="17"/>
              </w:rPr>
              <w:t>4,322</w:t>
            </w:r>
          </w:p>
        </w:tc>
        <w:tc>
          <w:tcPr>
            <w:tcW w:type="dxa" w:w="1325"/>
          </w:tcPr>
          <w:p>
            <w:pPr>
              <w:spacing w:after="20"/>
              <w:jc w:val="right"/>
            </w:pPr>
            <w:r>
              <w:rPr>
                <w:color w:val="1C3A36"/>
                <w:sz w:val="17"/>
              </w:rPr>
              <w:t>4,600</w:t>
            </w:r>
          </w:p>
        </w:tc>
        <w:tc>
          <w:tcPr>
            <w:tcW w:type="dxa" w:w="1325"/>
          </w:tcPr>
          <w:p>
            <w:pPr>
              <w:spacing w:after="20"/>
              <w:jc w:val="right"/>
            </w:pPr>
            <w:r>
              <w:rPr>
                <w:color w:val="1C3A36"/>
                <w:sz w:val="17"/>
              </w:rPr>
              <w:t>4,916</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411</w:t>
            </w:r>
          </w:p>
        </w:tc>
        <w:tc>
          <w:tcPr>
            <w:tcW w:type="dxa" w:w="1325"/>
          </w:tcPr>
          <w:p>
            <w:pPr>
              <w:spacing w:after="20"/>
              <w:jc w:val="right"/>
            </w:pPr>
            <w:r>
              <w:rPr>
                <w:color w:val="1C3A36"/>
                <w:sz w:val="17"/>
              </w:rPr>
              <w:t>482</w:t>
            </w:r>
          </w:p>
        </w:tc>
        <w:tc>
          <w:tcPr>
            <w:tcW w:type="dxa" w:w="1325"/>
          </w:tcPr>
          <w:p>
            <w:pPr>
              <w:spacing w:after="20"/>
              <w:jc w:val="right"/>
            </w:pPr>
            <w:r>
              <w:rPr>
                <w:color w:val="1C3A36"/>
                <w:sz w:val="17"/>
              </w:rPr>
              <w:t>554</w:t>
            </w:r>
          </w:p>
        </w:tc>
        <w:tc>
          <w:tcPr>
            <w:tcW w:type="dxa" w:w="1325"/>
          </w:tcPr>
          <w:p>
            <w:pPr>
              <w:spacing w:after="20"/>
              <w:jc w:val="right"/>
            </w:pPr>
            <w:r>
              <w:rPr>
                <w:color w:val="1C3A36"/>
                <w:sz w:val="17"/>
              </w:rPr>
              <w:t>631</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-159</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-167</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-148</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-2,046</w:t>
            </w:r>
          </w:p>
        </w:tc>
        <w:tc>
          <w:tcPr>
            <w:tcW w:type="dxa" w:w="1325"/>
          </w:tcPr>
          <w:p>
            <w:pPr>
              <w:spacing w:after="20"/>
              <w:jc w:val="right"/>
            </w:pPr>
            <w:r>
              <w:rPr>
                <w:color w:val="1C3A36"/>
                <w:sz w:val="17"/>
              </w:rPr>
              <w:t>-2,230</w:t>
            </w:r>
          </w:p>
        </w:tc>
        <w:tc>
          <w:tcPr>
            <w:tcW w:type="dxa" w:w="1325"/>
          </w:tcPr>
          <w:p>
            <w:pPr>
              <w:spacing w:after="20"/>
              <w:jc w:val="right"/>
            </w:pPr>
            <w:r>
              <w:rPr>
                <w:color w:val="1C3A36"/>
                <w:sz w:val="17"/>
              </w:rPr>
              <w:t>-2,403</w:t>
            </w:r>
          </w:p>
        </w:tc>
        <w:tc>
          <w:tcPr>
            <w:tcW w:type="dxa" w:w="1325"/>
          </w:tcPr>
          <w:p>
            <w:pPr>
              <w:spacing w:after="20"/>
              <w:jc w:val="right"/>
            </w:pPr>
            <w:r>
              <w:rPr>
                <w:color w:val="1C3A36"/>
                <w:sz w:val="17"/>
              </w:rPr>
              <w:t>-2,558</w:t>
            </w:r>
          </w:p>
        </w:tc>
        <w:tc>
          <w:tcPr>
            <w:tcW w:type="dxa" w:w="1325"/>
          </w:tcPr>
          <w:p>
            <w:pPr>
              <w:spacing w:after="20"/>
              <w:jc w:val="right"/>
            </w:pPr>
            <w:r>
              <w:rPr>
                <w:color w:val="1C3A36"/>
                <w:sz w:val="17"/>
              </w:rPr>
              <w:t>-2,734</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2,265</w:t>
            </w:r>
          </w:p>
        </w:tc>
        <w:tc>
          <w:tcPr>
            <w:tcW w:type="dxa" w:w="1325"/>
            <w:shd w:val="clear" w:color="auto" w:fill="F6F1E6"/>
          </w:tcPr>
          <w:p>
            <w:pPr>
              <w:spacing w:after="20"/>
              <w:jc w:val="right"/>
            </w:pPr>
            <w:r>
              <w:rPr>
                <w:b/>
                <w:color w:val="1C3A36"/>
                <w:sz w:val="17"/>
              </w:rPr>
              <w:t>3,221</w:t>
            </w:r>
          </w:p>
        </w:tc>
        <w:tc>
          <w:tcPr>
            <w:tcW w:type="dxa" w:w="1325"/>
            <w:shd w:val="clear" w:color="auto" w:fill="F6F1E6"/>
          </w:tcPr>
          <w:p>
            <w:pPr>
              <w:spacing w:after="20"/>
              <w:jc w:val="right"/>
            </w:pPr>
            <w:r>
              <w:rPr>
                <w:b/>
                <w:color w:val="1C3A36"/>
                <w:sz w:val="17"/>
              </w:rPr>
              <w:t>4,339</w:t>
            </w:r>
          </w:p>
        </w:tc>
        <w:tc>
          <w:tcPr>
            <w:tcW w:type="dxa" w:w="1325"/>
            <w:shd w:val="clear" w:color="auto" w:fill="F6F1E6"/>
          </w:tcPr>
          <w:p>
            <w:pPr>
              <w:spacing w:after="20"/>
              <w:jc w:val="right"/>
            </w:pPr>
            <w:r>
              <w:rPr>
                <w:b/>
                <w:color w:val="1C3A36"/>
                <w:sz w:val="17"/>
              </w:rPr>
              <w:t>5,611</w:t>
            </w:r>
          </w:p>
        </w:tc>
        <w:tc>
          <w:tcPr>
            <w:tcW w:type="dxa" w:w="1325"/>
            <w:shd w:val="clear" w:color="auto" w:fill="F6F1E6"/>
          </w:tcPr>
          <w:p>
            <w:pPr>
              <w:spacing w:after="20"/>
              <w:jc w:val="right"/>
            </w:pPr>
            <w:r>
              <w:rPr>
                <w:b/>
                <w:color w:val="1C3A36"/>
                <w:sz w:val="17"/>
              </w:rPr>
              <w:t>7,047</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1,148</w:t>
            </w:r>
          </w:p>
        </w:tc>
        <w:tc>
          <w:tcPr>
            <w:tcW w:type="dxa" w:w="1325"/>
          </w:tcPr>
          <w:p>
            <w:pPr>
              <w:spacing w:after="20"/>
              <w:jc w:val="right"/>
            </w:pPr>
            <w:r>
              <w:rPr>
                <w:color w:val="1C3A36"/>
                <w:sz w:val="17"/>
              </w:rPr>
              <w:t>3,027</w:t>
            </w:r>
          </w:p>
        </w:tc>
        <w:tc>
          <w:tcPr>
            <w:tcW w:type="dxa" w:w="1325"/>
          </w:tcPr>
          <w:p>
            <w:pPr>
              <w:spacing w:after="20"/>
              <w:jc w:val="right"/>
            </w:pPr>
            <w:r>
              <w:rPr>
                <w:color w:val="1C3A36"/>
                <w:sz w:val="17"/>
              </w:rPr>
              <w:t>3,290</w:t>
            </w:r>
          </w:p>
        </w:tc>
        <w:tc>
          <w:tcPr>
            <w:tcW w:type="dxa" w:w="1325"/>
          </w:tcPr>
          <w:p>
            <w:pPr>
              <w:spacing w:after="20"/>
              <w:jc w:val="right"/>
            </w:pPr>
            <w:r>
              <w:rPr>
                <w:color w:val="1C3A36"/>
                <w:sz w:val="17"/>
              </w:rPr>
              <w:t>3,521</w:t>
            </w:r>
          </w:p>
        </w:tc>
        <w:tc>
          <w:tcPr>
            <w:tcW w:type="dxa" w:w="1325"/>
          </w:tcPr>
          <w:p>
            <w:pPr>
              <w:spacing w:after="20"/>
              <w:jc w:val="right"/>
            </w:pPr>
            <w:r>
              <w:rPr>
                <w:color w:val="1C3A36"/>
                <w:sz w:val="17"/>
              </w:rPr>
              <w:t>3,769</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3,600</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6.14x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7" name="Picture 7"/>
            <wp:cNvGraphicFramePr>
              <a:graphicFrameLocks noChangeAspect="1"/>
            </wp:cNvGraphicFramePr>
            <a:graphic>
              <a:graphicData uri="http://schemas.openxmlformats.org/drawingml/2006/picture">
                <pic:pic>
                  <pic:nvPicPr>
                    <pic:cNvPr id="0" name="fig8_sector.png"/>
                    <pic:cNvPicPr/>
                  </pic:nvPicPr>
                  <pic:blipFill>
                    <a:blip r:embed="rId15"/>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65Mt of production — a utilisation rate near 86%. Exports of about 18.5Mt absorb part of the difference.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A structurally over-supplied market whose main price-support mechanism has just been removed. This is the dominant risk and it is why the forecast price path grows below cost inflation.</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This producer is better placed than most Egyptian peers, but better placed is not unaffected.</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58.81 to EGP 78.94, central EGP 68.88 (+16.7% against the market price of EGP 59.00).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80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46.12 to EGP 59.78, central EGP 52.95 (-10.3% against the market price of EGP 59.00).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50.52 to EGP 65.64, central EGP 57.00 (-3.4% against the market price of EGP 59.00).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3402mn; required at a 17.5% cash return that is a business worth EGP 19440mn before net cash of EGP 1928mn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50.52. So would maintenance capital spending materially above the USD 4.00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58.81</w:t>
            </w:r>
          </w:p>
        </w:tc>
        <w:tc>
          <w:tcPr>
            <w:tcW w:type="dxa" w:w="1656"/>
          </w:tcPr>
          <w:p>
            <w:pPr>
              <w:spacing w:after="20"/>
              <w:jc w:val="right"/>
            </w:pPr>
            <w:r>
              <w:rPr>
                <w:color w:val="1C3A36"/>
                <w:sz w:val="18"/>
              </w:rPr>
              <w:t>68.88</w:t>
            </w:r>
          </w:p>
        </w:tc>
        <w:tc>
          <w:tcPr>
            <w:tcW w:type="dxa" w:w="1469"/>
          </w:tcPr>
          <w:p>
            <w:pPr>
              <w:spacing w:after="20"/>
              <w:jc w:val="right"/>
            </w:pPr>
            <w:r>
              <w:rPr>
                <w:color w:val="1C3A36"/>
                <w:sz w:val="18"/>
              </w:rPr>
              <w:t>78.94</w:t>
            </w:r>
          </w:p>
        </w:tc>
        <w:tc>
          <w:tcPr>
            <w:tcW w:type="dxa" w:w="1354"/>
          </w:tcPr>
          <w:p>
            <w:pPr>
              <w:spacing w:after="20"/>
              <w:jc w:val="right"/>
            </w:pPr>
            <w:r>
              <w:rPr>
                <w:color w:val="1C3A36"/>
                <w:sz w:val="18"/>
              </w:rPr>
              <w:t>+16.7%</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46.12</w:t>
            </w:r>
          </w:p>
        </w:tc>
        <w:tc>
          <w:tcPr>
            <w:tcW w:type="dxa" w:w="1656"/>
          </w:tcPr>
          <w:p>
            <w:pPr>
              <w:spacing w:after="20"/>
              <w:jc w:val="right"/>
            </w:pPr>
            <w:r>
              <w:rPr>
                <w:color w:val="1C3A36"/>
                <w:sz w:val="18"/>
              </w:rPr>
              <w:t>52.95</w:t>
            </w:r>
          </w:p>
        </w:tc>
        <w:tc>
          <w:tcPr>
            <w:tcW w:type="dxa" w:w="1469"/>
          </w:tcPr>
          <w:p>
            <w:pPr>
              <w:spacing w:after="20"/>
              <w:jc w:val="right"/>
            </w:pPr>
            <w:r>
              <w:rPr>
                <w:color w:val="1C3A36"/>
                <w:sz w:val="18"/>
              </w:rPr>
              <w:t>59.78</w:t>
            </w:r>
          </w:p>
        </w:tc>
        <w:tc>
          <w:tcPr>
            <w:tcW w:type="dxa" w:w="1354"/>
          </w:tcPr>
          <w:p>
            <w:pPr>
              <w:spacing w:after="20"/>
              <w:jc w:val="right"/>
            </w:pPr>
            <w:r>
              <w:rPr>
                <w:color w:val="1C3A36"/>
                <w:sz w:val="18"/>
              </w:rPr>
              <w:t>-10.3%</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50.52</w:t>
            </w:r>
          </w:p>
        </w:tc>
        <w:tc>
          <w:tcPr>
            <w:tcW w:type="dxa" w:w="1656"/>
          </w:tcPr>
          <w:p>
            <w:pPr>
              <w:spacing w:after="20"/>
              <w:jc w:val="right"/>
            </w:pPr>
            <w:r>
              <w:rPr>
                <w:color w:val="1C3A36"/>
                <w:sz w:val="18"/>
              </w:rPr>
              <w:t>57.00</w:t>
            </w:r>
          </w:p>
        </w:tc>
        <w:tc>
          <w:tcPr>
            <w:tcW w:type="dxa" w:w="1469"/>
          </w:tcPr>
          <w:p>
            <w:pPr>
              <w:spacing w:after="20"/>
              <w:jc w:val="right"/>
            </w:pPr>
            <w:r>
              <w:rPr>
                <w:color w:val="1C3A36"/>
                <w:sz w:val="18"/>
              </w:rPr>
              <w:t>65.64</w:t>
            </w:r>
          </w:p>
        </w:tc>
        <w:tc>
          <w:tcPr>
            <w:tcW w:type="dxa" w:w="1354"/>
          </w:tcPr>
          <w:p>
            <w:pPr>
              <w:spacing w:after="20"/>
              <w:jc w:val="right"/>
            </w:pPr>
            <w:r>
              <w:rPr>
                <w:color w:val="1C3A36"/>
                <w:sz w:val="18"/>
              </w:rPr>
              <w:t>-3.4%</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57.00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-3.4%</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