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71"/>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32"/>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32"/>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71"/>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32"/>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32"/>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32"/>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32"/>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page 12 gives 53.9Mt, against the 54.0 previously carried on trade estimate</w:t>
            </w:r>
          </w:p>
        </w:tc>
        <w:tc>
          <w:tcPr>
            <w:tcW w:type="dxa" w:w="1210"/>
          </w:tcPr>
          <w:p>
            <w:pPr>
              <w:spacing w:after="20"/>
            </w:pPr>
            <w:r>
              <w:rPr>
                <w:color w:val="1C3A36"/>
                <w:sz w:val="14"/>
              </w:rPr>
              <w:t>2026-03-01</w:t>
            </w:r>
          </w:p>
        </w:tc>
      </w:tr>
      <w:tr>
        <w:tc>
          <w:tcPr>
            <w:tcW w:type="dxa" w:w="432"/>
          </w:tcPr>
          <w:p>
            <w:pPr>
              <w:spacing w:after="20"/>
            </w:pPr>
            <w:r>
              <w:rPr>
                <w:color w:val="1C3A36"/>
                <w:sz w:val="14"/>
              </w:rPr>
              <w:t>59</w:t>
            </w:r>
          </w:p>
        </w:tc>
        <w:tc>
          <w:tcPr>
            <w:tcW w:type="dxa" w:w="2448"/>
          </w:tcPr>
          <w:p>
            <w:pPr>
              <w:spacing w:after="20"/>
            </w:pPr>
            <w:r>
              <w:rPr>
                <w:color w:val="1C3A36"/>
                <w:sz w:val="14"/>
              </w:rPr>
              <w:t>egy_exports_mt</w:t>
            </w:r>
          </w:p>
        </w:tc>
        <w:tc>
          <w:tcPr>
            <w:tcW w:type="dxa" w:w="1325"/>
          </w:tcPr>
          <w:p>
            <w:pPr>
              <w:spacing w:after="20"/>
            </w:pPr>
            <w:r>
              <w:rPr>
                <w:color w:val="1C3A36"/>
                <w:sz w:val="14"/>
              </w:rPr>
              <w:t>18.6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page 12. The two products are reported together, which is why the earlier balance failed: it set a cement-plus-clinker export figure against a cement-only production figure</w:t>
            </w:r>
          </w:p>
        </w:tc>
        <w:tc>
          <w:tcPr>
            <w:tcW w:type="dxa" w:w="1210"/>
          </w:tcPr>
          <w:p>
            <w:pPr>
              <w:spacing w:after="20"/>
            </w:pPr>
            <w:r>
              <w:rPr>
                <w:color w:val="1C3A36"/>
                <w:sz w:val="14"/>
              </w:rPr>
              <w:t>2026-03-01</w:t>
            </w:r>
          </w:p>
        </w:tc>
      </w:tr>
      <w:tr>
        <w:tc>
          <w:tcPr>
            <w:tcW w:type="dxa" w:w="432"/>
          </w:tcPr>
          <w:p>
            <w:pPr>
              <w:spacing w:after="20"/>
            </w:pPr>
            <w:r>
              <w:rPr>
                <w:color w:val="1C3A36"/>
                <w:sz w:val="14"/>
              </w:rPr>
              <w:t>60</w:t>
            </w:r>
          </w:p>
        </w:tc>
        <w:tc>
          <w:tcPr>
            <w:tcW w:type="dxa" w:w="2448"/>
          </w:tcPr>
          <w:p>
            <w:pPr>
              <w:spacing w:after="20"/>
            </w:pPr>
            <w:r>
              <w:rPr>
                <w:color w:val="1C3A36"/>
                <w:sz w:val="14"/>
              </w:rPr>
              <w:t>egy_prod_mt</w:t>
            </w:r>
          </w:p>
        </w:tc>
        <w:tc>
          <w:tcPr>
            <w:tcW w:type="dxa" w:w="1325"/>
          </w:tcPr>
          <w:p>
            <w:pPr>
              <w:spacing w:after="20"/>
            </w:pPr>
            <w:r>
              <w:rPr>
                <w:color w:val="1C3A36"/>
                <w:sz w:val="14"/>
              </w:rPr>
              <w:t>72.6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page 12 gives local 53.9Mt and exports 18.6Mt, total 72.6Mt. Revisions 1 to 4 carried 65.0Mt as 'production' against exports of 18.5Mt and consumption of 54Mt, a balance that does not close: 65 less 54 is 11Mt, not 18.5. One reviewer caught the gap and the disclosure now closes it. This changes the sector picture materially — see the utilisation note</w:t>
            </w:r>
          </w:p>
        </w:tc>
        <w:tc>
          <w:tcPr>
            <w:tcW w:type="dxa" w:w="1210"/>
          </w:tcPr>
          <w:p>
            <w:pPr>
              <w:spacing w:after="20"/>
            </w:pPr>
            <w:r>
              <w:rPr>
                <w:color w:val="1C3A36"/>
                <w:sz w:val="14"/>
              </w:rPr>
              <w:t>2026-03-01</w:t>
            </w:r>
          </w:p>
        </w:tc>
      </w:tr>
      <w:tr>
        <w:tc>
          <w:tcPr>
            <w:tcW w:type="dxa" w:w="432"/>
          </w:tcPr>
          <w:p>
            <w:pPr>
              <w:spacing w:after="20"/>
            </w:pPr>
            <w:r>
              <w:rPr>
                <w:color w:val="1C3A36"/>
                <w:sz w:val="14"/>
              </w:rPr>
              <w:t>61</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62</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63</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64</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65</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66</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67</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68</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70</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71</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72</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73</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74</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75</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76</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77</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78</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79</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80</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81</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82</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83</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84</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85</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86</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87</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88</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89</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90</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91</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92</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93</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95</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96</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97</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98</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99</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100</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101</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102</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32"/>
          </w:tcPr>
          <w:p>
            <w:pPr>
              <w:spacing w:after="20"/>
            </w:pPr>
            <w:r>
              <w:rPr>
                <w:color w:val="1C3A36"/>
                <w:sz w:val="14"/>
              </w:rPr>
              <w:t>103</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104</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105</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106</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107</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108</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109</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110</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111</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112</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113</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114</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115</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116</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117</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118</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119</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120</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121</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122</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123</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124</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125</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126</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127</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128</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129</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130</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131</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132</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133</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134</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135</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136</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137</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138</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139</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140</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141</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142</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143</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144</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145</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146</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147</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148</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149</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150</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151</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152</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153</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154</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155</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156</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157</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158</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159</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160</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161</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162</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163</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164</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165</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166</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167</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168</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169</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170</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171</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172</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173</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174</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175</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176</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177</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178</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71"/>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32"/>
          </w:tcPr>
          <w:p>
            <w:pPr>
              <w:spacing w:after="20"/>
            </w:pPr>
            <w:r>
              <w:rPr>
                <w:color w:val="1C3A36"/>
                <w:sz w:val="14"/>
              </w:rPr>
              <w:t>179</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180</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71"/>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32"/>
          </w:tcPr>
          <w:p>
            <w:pPr>
              <w:spacing w:after="20"/>
            </w:pPr>
            <w:r>
              <w:rPr>
                <w:color w:val="1C3A36"/>
                <w:sz w:val="14"/>
              </w:rPr>
              <w:t>181</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71"/>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32"/>
          </w:tcPr>
          <w:p>
            <w:pPr>
              <w:spacing w:after="20"/>
            </w:pPr>
            <w:r>
              <w:rPr>
                <w:color w:val="1C3A36"/>
                <w:sz w:val="14"/>
              </w:rPr>
              <w:t>182</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183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184</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185</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186</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187</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71"/>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188</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71"/>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189</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71"/>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32"/>
          </w:tcPr>
          <w:p>
            <w:pPr>
              <w:spacing w:after="20"/>
            </w:pPr>
            <w:r>
              <w:rPr>
                <w:color w:val="1C3A36"/>
                <w:sz w:val="14"/>
              </w:rPr>
              <w:t>190</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191</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197</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198</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199</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200</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201</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71"/>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32"/>
          </w:tcPr>
          <w:p>
            <w:pPr>
              <w:spacing w:after="20"/>
            </w:pPr>
            <w:r>
              <w:rPr>
                <w:color w:val="1C3A36"/>
                <w:sz w:val="14"/>
              </w:rPr>
              <w:t>202</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203</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204</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71"/>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205</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206</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207</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208</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209</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210</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211</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11.3%</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