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44.46. Free cash flow to equity gives EGP 43.17 and residual income EGP 46.01 — a spread of EGP 2.84 across the three present-value reads. The market is at EGP 52.05. The study is 14.6%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44.46</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43.17</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46.01</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47.47</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34.59</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43.17</w:t>
            </w:r>
          </w:p>
        </w:tc>
        <w:tc>
          <w:tcPr>
            <w:tcW w:type="dxa" w:w="3168"/>
          </w:tcPr>
          <w:p>
            <w:pPr>
              <w:spacing w:after="20"/>
              <w:jc w:val="right"/>
            </w:pPr>
            <w:r>
              <w:rPr>
                <w:color w:val="1C3A36"/>
                <w:sz w:val="18"/>
              </w:rPr>
              <w:t>-17.1%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44.46</w:t>
            </w:r>
          </w:p>
        </w:tc>
        <w:tc>
          <w:tcPr>
            <w:tcW w:type="dxa" w:w="3168"/>
          </w:tcPr>
          <w:p>
            <w:pPr>
              <w:spacing w:after="20"/>
              <w:jc w:val="right"/>
            </w:pPr>
            <w:r>
              <w:rPr>
                <w:color w:val="1C3A36"/>
                <w:sz w:val="18"/>
              </w:rPr>
              <w:t>-14.6%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46.01</w:t>
            </w:r>
          </w:p>
        </w:tc>
        <w:tc>
          <w:tcPr>
            <w:tcW w:type="dxa" w:w="3168"/>
          </w:tcPr>
          <w:p>
            <w:pPr>
              <w:spacing w:after="20"/>
              <w:jc w:val="right"/>
            </w:pPr>
            <w:r>
              <w:rPr>
                <w:color w:val="1C3A36"/>
                <w:sz w:val="18"/>
              </w:rPr>
              <w:t>-11.6%</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(1.63 times, from a 24.7% terminal return against a 17.8% terminal cost of equity and 7.0% growth), the same book is worth EGP 47.47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1.37 times forecast 2026 book and 4.9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34.59.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44.46. Residual income, the relative multiple and book value sit beside it as cross-checks, and free cash flow to equity is published because it is the same flow reached a different way. They are not averaged. The envelope is the range of the three present-value reads — EGP 43.17 at the low end, EGP 46.01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44.46</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43.17</w:t>
            </w:r>
          </w:p>
        </w:tc>
        <w:tc>
          <w:tcPr>
            <w:tcW w:type="dxa" w:w="1872"/>
          </w:tcPr>
          <w:p>
            <w:pPr>
              <w:spacing w:after="20"/>
              <w:jc w:val="right"/>
            </w:pPr>
            <w:r>
              <w:rPr>
                <w:color w:val="1C3A36"/>
                <w:sz w:val="17"/>
              </w:rPr>
              <w:t>-2.9%</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46.01</w:t>
            </w:r>
          </w:p>
        </w:tc>
        <w:tc>
          <w:tcPr>
            <w:tcW w:type="dxa" w:w="1872"/>
          </w:tcPr>
          <w:p>
            <w:pPr>
              <w:spacing w:after="20"/>
              <w:jc w:val="right"/>
            </w:pPr>
            <w:r>
              <w:rPr>
                <w:color w:val="1C3A36"/>
                <w:sz w:val="17"/>
              </w:rPr>
              <w:t>3.5%</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36.8%</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47.47</w:t>
            </w:r>
          </w:p>
        </w:tc>
        <w:tc>
          <w:tcPr>
            <w:tcW w:type="dxa" w:w="1872"/>
          </w:tcPr>
          <w:p>
            <w:pPr>
              <w:spacing w:after="20"/>
              <w:jc w:val="right"/>
            </w:pPr>
            <w:r>
              <w:rPr>
                <w:color w:val="1C3A36"/>
                <w:sz w:val="17"/>
              </w:rPr>
              <w:t>6.8%</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34.59</w:t>
            </w:r>
          </w:p>
        </w:tc>
        <w:tc>
          <w:tcPr>
            <w:tcW w:type="dxa" w:w="1872"/>
          </w:tcPr>
          <w:p>
            <w:pPr>
              <w:spacing w:after="20"/>
              <w:jc w:val="right"/>
            </w:pPr>
            <w:r>
              <w:rPr>
                <w:color w:val="1C3A36"/>
                <w:sz w:val="17"/>
              </w:rPr>
              <w:t>-22.2%</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2.84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57.22 a share rather than EGP 44.46.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27.49%</w:t>
            </w:r>
          </w:p>
        </w:tc>
        <w:tc>
          <w:tcPr>
            <w:tcW w:type="dxa" w:w="1238"/>
          </w:tcPr>
          <w:p>
            <w:pPr>
              <w:spacing w:after="20"/>
              <w:jc w:val="right"/>
            </w:pPr>
            <w:r>
              <w:rPr>
                <w:color w:val="1C3A36"/>
                <w:sz w:val="16"/>
              </w:rPr>
              <w:t>25.55%</w:t>
            </w:r>
          </w:p>
        </w:tc>
        <w:tc>
          <w:tcPr>
            <w:tcW w:type="dxa" w:w="1238"/>
          </w:tcPr>
          <w:p>
            <w:pPr>
              <w:spacing w:after="20"/>
              <w:jc w:val="right"/>
            </w:pPr>
            <w:r>
              <w:rPr>
                <w:color w:val="1C3A36"/>
                <w:sz w:val="16"/>
              </w:rPr>
              <w:t>23.62%</w:t>
            </w:r>
          </w:p>
        </w:tc>
        <w:tc>
          <w:tcPr>
            <w:tcW w:type="dxa" w:w="1238"/>
          </w:tcPr>
          <w:p>
            <w:pPr>
              <w:spacing w:after="20"/>
              <w:jc w:val="right"/>
            </w:pPr>
            <w:r>
              <w:rPr>
                <w:color w:val="1C3A36"/>
                <w:sz w:val="16"/>
              </w:rPr>
              <w:t>21.69%</w:t>
            </w:r>
          </w:p>
        </w:tc>
        <w:tc>
          <w:tcPr>
            <w:tcW w:type="dxa" w:w="1238"/>
          </w:tcPr>
          <w:p>
            <w:pPr>
              <w:spacing w:after="20"/>
              <w:jc w:val="right"/>
            </w:pPr>
            <w:r>
              <w:rPr>
                <w:color w:val="1C3A36"/>
                <w:sz w:val="16"/>
              </w:rPr>
              <w:t>19.76%</w:t>
            </w:r>
          </w:p>
        </w:tc>
        <w:tc>
          <w:tcPr>
            <w:tcW w:type="dxa" w:w="1238"/>
          </w:tcPr>
          <w:p>
            <w:pPr>
              <w:spacing w:after="20"/>
              <w:jc w:val="right"/>
            </w:pPr>
            <w:r>
              <w:rPr>
                <w:color w:val="1C3A36"/>
                <w:sz w:val="16"/>
              </w:rPr>
              <w:t>17.82%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of which the MATURE equity premium</w:t>
            </w:r>
          </w:p>
        </w:tc>
        <w:tc>
          <w:tcPr>
            <w:tcW w:type="dxa" w:w="1224"/>
          </w:tcPr>
          <w:p>
            <w:pPr>
              <w:spacing w:after="20"/>
              <w:jc w:val="right"/>
            </w:pPr>
            <w:r>
              <w:rPr>
                <w:color w:val="1C3A36"/>
                <w:sz w:val="16"/>
              </w:rPr>
              <w:t>4.32%</w:t>
            </w:r>
          </w:p>
        </w:tc>
        <w:tc>
          <w:tcPr>
            <w:tcW w:type="dxa" w:w="5256"/>
          </w:tcPr>
          <w:p>
            <w:pPr>
              <w:spacing w:after="20"/>
              <w:jc w:val="right"/>
            </w:pPr>
            <w:r>
              <w:rPr>
                <w:color w:val="1C3A36"/>
                <w:sz w:val="16"/>
              </w:rPr>
              <w:t>the total Egyptian premium of 9.52% less the country leg below. Beta multiplies THIS and nothing else</w:t>
            </w:r>
          </w:p>
        </w:tc>
      </w:tr>
      <w:tr>
        <w:tc>
          <w:tcPr>
            <w:tcW w:type="dxa" w:w="3600"/>
          </w:tcPr>
          <w:p>
            <w:pPr>
              <w:spacing w:after="20"/>
            </w:pPr>
            <w:r>
              <w:rPr>
                <w:b/>
                <w:color w:val="1C3A36"/>
                <w:sz w:val="16"/>
              </w:rPr>
              <w:t>times the beta above</w:t>
            </w:r>
          </w:p>
        </w:tc>
        <w:tc>
          <w:tcPr>
            <w:tcW w:type="dxa" w:w="1224"/>
          </w:tcPr>
          <w:p>
            <w:pPr>
              <w:spacing w:after="20"/>
              <w:jc w:val="right"/>
            </w:pPr>
            <w:r>
              <w:rPr>
                <w:color w:val="1C3A36"/>
                <w:sz w:val="16"/>
              </w:rPr>
              <w:t>4.64%</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plus the country premium, charged FLAT and once</w:t>
            </w:r>
          </w:p>
        </w:tc>
        <w:tc>
          <w:tcPr>
            <w:tcW w:type="dxa" w:w="1224"/>
          </w:tcPr>
          <w:p>
            <w:pPr>
              <w:spacing w:after="20"/>
              <w:jc w:val="right"/>
            </w:pPr>
            <w:r>
              <w:rPr>
                <w:color w:val="1C3A36"/>
                <w:sz w:val="16"/>
              </w:rPr>
              <w:t>5.20%</w:t>
            </w:r>
          </w:p>
        </w:tc>
        <w:tc>
          <w:tcPr>
            <w:tcW w:type="dxa" w:w="5256"/>
          </w:tcPr>
          <w:p>
            <w:pPr>
              <w:spacing w:after="20"/>
              <w:jc w:val="right"/>
            </w:pPr>
            <w:r>
              <w:rPr>
                <w:color w:val="1C3A36"/>
                <w:sz w:val="16"/>
              </w:rPr>
              <w:t>the sovereign default spread scaled to equity volatility. Country risk is a charge on being here; it does not scale with a share's covariance, so it is added beside beta rather than multiplied through it</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29.42%</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17.82%</w:t>
            </w:r>
          </w:p>
        </w:tc>
        <w:tc>
          <w:tcPr>
            <w:tcW w:type="dxa" w:w="5256"/>
          </w:tcPr>
          <w:p>
            <w:pPr>
              <w:spacing w:after="20"/>
              <w:jc w:val="right"/>
            </w:pPr>
            <w:r>
              <w:rPr>
                <w:color w:val="1C3A36"/>
                <w:sz w:val="16"/>
              </w:rPr>
              <w:t>a 10.50% terminal risk-free rate — itself derived as 7.0% terminal inflation plus a 3.5%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30.84%, 142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480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53.99 rather than EGP 44.46.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34.57</w:t>
            </w:r>
          </w:p>
        </w:tc>
        <w:tc>
          <w:tcPr>
            <w:tcW w:type="dxa" w:w="1728"/>
          </w:tcPr>
          <w:p>
            <w:pPr>
              <w:spacing w:after="20"/>
              <w:jc w:val="right"/>
            </w:pPr>
            <w:r>
              <w:rPr>
                <w:color w:val="1C3A36"/>
                <w:sz w:val="17"/>
              </w:rPr>
              <w:t>-22.2%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54.35</w:t>
            </w:r>
          </w:p>
        </w:tc>
        <w:tc>
          <w:tcPr>
            <w:tcW w:type="dxa" w:w="1728"/>
          </w:tcPr>
          <w:p>
            <w:pPr>
              <w:spacing w:after="20"/>
              <w:jc w:val="right"/>
            </w:pPr>
            <w:r>
              <w:rPr>
                <w:color w:val="1C3A36"/>
                <w:sz w:val="17"/>
              </w:rPr>
              <w:t>22.2%</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36.00</w:t>
            </w:r>
          </w:p>
        </w:tc>
        <w:tc>
          <w:tcPr>
            <w:tcW w:type="dxa" w:w="1728"/>
          </w:tcPr>
          <w:p>
            <w:pPr>
              <w:spacing w:after="20"/>
              <w:jc w:val="right"/>
            </w:pPr>
            <w:r>
              <w:rPr>
                <w:color w:val="1C3A36"/>
                <w:sz w:val="17"/>
              </w:rPr>
              <w:t>-19.0%</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52.92</w:t>
            </w:r>
          </w:p>
        </w:tc>
        <w:tc>
          <w:tcPr>
            <w:tcW w:type="dxa" w:w="1728"/>
          </w:tcPr>
          <w:p>
            <w:pPr>
              <w:spacing w:after="20"/>
              <w:jc w:val="right"/>
            </w:pPr>
            <w:r>
              <w:rPr>
                <w:color w:val="1C3A36"/>
                <w:sz w:val="17"/>
              </w:rPr>
              <w:t>19.0%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38.70</w:t>
            </w:r>
          </w:p>
        </w:tc>
        <w:tc>
          <w:tcPr>
            <w:tcW w:type="dxa" w:w="1728"/>
          </w:tcPr>
          <w:p>
            <w:pPr>
              <w:spacing w:after="20"/>
              <w:jc w:val="right"/>
            </w:pPr>
            <w:r>
              <w:rPr>
                <w:color w:val="1C3A36"/>
                <w:sz w:val="17"/>
              </w:rPr>
              <w:t>-13.0%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50.97</w:t>
            </w:r>
          </w:p>
        </w:tc>
        <w:tc>
          <w:tcPr>
            <w:tcW w:type="dxa" w:w="1728"/>
          </w:tcPr>
          <w:p>
            <w:pPr>
              <w:spacing w:after="20"/>
              <w:jc w:val="right"/>
            </w:pPr>
            <w:r>
              <w:rPr>
                <w:color w:val="1C3A36"/>
                <w:sz w:val="17"/>
              </w:rPr>
              <w:t>14.6%</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36.60</w:t>
            </w:r>
          </w:p>
        </w:tc>
        <w:tc>
          <w:tcPr>
            <w:tcW w:type="dxa" w:w="1728"/>
          </w:tcPr>
          <w:p>
            <w:pPr>
              <w:spacing w:after="20"/>
              <w:jc w:val="right"/>
            </w:pPr>
            <w:r>
              <w:rPr>
                <w:color w:val="1C3A36"/>
                <w:sz w:val="17"/>
              </w:rPr>
              <w:t>-17.7%</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55.97</w:t>
            </w:r>
          </w:p>
        </w:tc>
        <w:tc>
          <w:tcPr>
            <w:tcW w:type="dxa" w:w="1728"/>
          </w:tcPr>
          <w:p>
            <w:pPr>
              <w:spacing w:after="20"/>
              <w:jc w:val="right"/>
            </w:pPr>
            <w:r>
              <w:rPr>
                <w:color w:val="1C3A36"/>
                <w:sz w:val="17"/>
              </w:rPr>
              <w:t>25.9%</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46.08</w:t>
            </w:r>
          </w:p>
        </w:tc>
        <w:tc>
          <w:tcPr>
            <w:tcW w:type="dxa" w:w="1728"/>
          </w:tcPr>
          <w:p>
            <w:pPr>
              <w:spacing w:after="20"/>
              <w:jc w:val="right"/>
            </w:pPr>
            <w:r>
              <w:rPr>
                <w:color w:val="1C3A36"/>
                <w:sz w:val="17"/>
              </w:rPr>
              <w:t>3.6%</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43.09</w:t>
            </w:r>
          </w:p>
        </w:tc>
        <w:tc>
          <w:tcPr>
            <w:tcW w:type="dxa" w:w="1728"/>
          </w:tcPr>
          <w:p>
            <w:pPr>
              <w:spacing w:after="20"/>
              <w:jc w:val="right"/>
            </w:pPr>
            <w:r>
              <w:rPr>
                <w:color w:val="1C3A36"/>
                <w:sz w:val="17"/>
              </w:rPr>
              <w:t>-3.1%</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22.2% of the value and fifty on the funding cost 19.0%. The loss charge is worth 11.2% per fifty basis points. Terminal growth is worth almost nothing — 3.6%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44.46, envelope EGP 43.17 to EGP 46.01, which is -14.6%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57.22.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22.2%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9.52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43.17 to EGP 46.01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57.22;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9.52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13.0%.</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190,427</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414,302</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370,689</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43,558</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11.2%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22.2%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17.7%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13.0%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29.42%. That is the entire disagreement — 480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53.99.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480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2.84 a share, which is small. The spread between the study and the market is EGP 7.59 a share, which is not. That shape — three lenses agreeing with each other and disagreeing with the price — is exactly the case where the lenses probably share an assumption. Here they share two: a 29.42%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