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Emirates Integrated Telecommunications Company PJSC (DFM: DU) — Bibliography and Source Register</w:t>
      </w:r>
    </w:p>
    <w:p>
      <w:pPr>
        <w:spacing w:after="100" w:before="0"/>
      </w:pPr>
      <w:r>
        <w:rPr>
          <w:b w:val="0"/>
          <w:i w:val="0"/>
          <w:color w:val="6E7B77"/>
          <w:sz w:val="19"/>
        </w:rPr>
        <w:t>Companion document to the valuation study dated 9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8568"/>
      </w:tblGrid>
      <w:tr>
        <w:tc>
          <w:tcPr>
            <w:tcW w:type="dxa" w:w="1584"/>
            <w:shd w:val="clear" w:color="auto" w:fill="EAF0EE"/>
          </w:tcPr>
          <w:p>
            <w:pPr>
              <w:spacing w:after="20"/>
            </w:pPr>
            <w:r>
              <w:rPr>
                <w:b/>
                <w:color w:val="1C3A36"/>
                <w:sz w:val="16"/>
              </w:rPr>
              <w:t>Layer</w:t>
            </w:r>
          </w:p>
        </w:tc>
        <w:tc>
          <w:tcPr>
            <w:tcW w:type="dxa" w:w="8568"/>
            <w:shd w:val="clear" w:color="auto" w:fill="EAF0EE"/>
          </w:tcPr>
          <w:p>
            <w:pPr>
              <w:spacing w:after="20"/>
            </w:pPr>
            <w:r>
              <w:rPr>
                <w:b/>
                <w:color w:val="1C3A36"/>
                <w:sz w:val="16"/>
              </w:rPr>
              <w:t>What it covers</w:t>
            </w:r>
          </w:p>
        </w:tc>
      </w:tr>
      <w:tr>
        <w:tc>
          <w:tcPr>
            <w:tcW w:type="dxa" w:w="1584"/>
          </w:tcPr>
          <w:p>
            <w:pPr>
              <w:spacing w:after="20"/>
            </w:pPr>
            <w:r>
              <w:rPr>
                <w:color w:val="1C3A36"/>
                <w:sz w:val="16"/>
              </w:rPr>
              <w:t>Company</w:t>
            </w:r>
          </w:p>
        </w:tc>
        <w:tc>
          <w:tcPr>
            <w:tcW w:type="dxa" w:w="8568"/>
          </w:tcPr>
          <w:p>
            <w:pPr>
              <w:spacing w:after="20"/>
            </w:pPr>
            <w:r>
              <w:rPr>
                <w:color w:val="1C3A36"/>
                <w:sz w:val="16"/>
              </w:rPr>
              <w:t>the company's own audited/reviewed statements, filings, releases and investor presentations — the only permitted source for its reported historicals</w:t>
            </w:r>
          </w:p>
        </w:tc>
      </w:tr>
      <w:tr>
        <w:tc>
          <w:tcPr>
            <w:tcW w:type="dxa" w:w="1584"/>
          </w:tcPr>
          <w:p>
            <w:pPr>
              <w:spacing w:after="20"/>
            </w:pPr>
            <w:r>
              <w:rPr>
                <w:color w:val="1C3A36"/>
                <w:sz w:val="16"/>
              </w:rPr>
              <w:t>Industry</w:t>
            </w:r>
          </w:p>
        </w:tc>
        <w:tc>
          <w:tcPr>
            <w:tcW w:type="dxa" w:w="8568"/>
          </w:tcPr>
          <w:p>
            <w:pPr>
              <w:spacing w:after="20"/>
            </w:pPr>
            <w:r>
              <w:rPr>
                <w:color w:val="1C3A36"/>
                <w:sz w:val="16"/>
              </w:rPr>
              <w:t>peers, the regulator, sector pricing and multiples</w:t>
            </w:r>
          </w:p>
        </w:tc>
      </w:tr>
      <w:tr>
        <w:tc>
          <w:tcPr>
            <w:tcW w:type="dxa" w:w="1584"/>
          </w:tcPr>
          <w:p>
            <w:pPr>
              <w:spacing w:after="20"/>
            </w:pPr>
            <w:r>
              <w:rPr>
                <w:color w:val="1C3A36"/>
                <w:sz w:val="16"/>
              </w:rPr>
              <w:t>Country</w:t>
            </w:r>
          </w:p>
        </w:tc>
        <w:tc>
          <w:tcPr>
            <w:tcW w:type="dxa" w:w="8568"/>
          </w:tcPr>
          <w:p>
            <w:pPr>
              <w:spacing w:after="20"/>
            </w:pPr>
            <w:r>
              <w:rPr>
                <w:color w:val="1C3A36"/>
                <w:sz w:val="16"/>
              </w:rPr>
              <w:t>UAE macro, rates, the sovereign, the fiscal regime</w:t>
            </w:r>
          </w:p>
        </w:tc>
      </w:tr>
      <w:tr>
        <w:tc>
          <w:tcPr>
            <w:tcW w:type="dxa" w:w="1584"/>
          </w:tcPr>
          <w:p>
            <w:pPr>
              <w:spacing w:after="20"/>
            </w:pPr>
            <w:r>
              <w:rPr>
                <w:color w:val="1C3A36"/>
                <w:sz w:val="16"/>
              </w:rPr>
              <w:t>Market</w:t>
            </w:r>
          </w:p>
        </w:tc>
        <w:tc>
          <w:tcPr>
            <w:tcW w:type="dxa" w:w="8568"/>
          </w:tcPr>
          <w:p>
            <w:pPr>
              <w:spacing w:after="20"/>
            </w:pPr>
            <w:r>
              <w:rPr>
                <w:color w:val="1C3A36"/>
                <w:sz w:val="16"/>
              </w:rPr>
              <w:t>exchange data: prices, the index, the beta regression</w:t>
            </w:r>
          </w:p>
        </w:tc>
      </w:tr>
      <w:tr>
        <w:tc>
          <w:tcPr>
            <w:tcW w:type="dxa" w:w="1584"/>
          </w:tcPr>
          <w:p>
            <w:pPr>
              <w:spacing w:after="20"/>
            </w:pPr>
            <w:r>
              <w:rPr>
                <w:color w:val="1C3A36"/>
                <w:sz w:val="16"/>
              </w:rPr>
              <w:t>House</w:t>
            </w:r>
          </w:p>
        </w:tc>
        <w:tc>
          <w:tcPr>
            <w:tcW w:type="dxa" w:w="8568"/>
          </w:tcPr>
          <w:p>
            <w:pPr>
              <w:spacing w:after="20"/>
            </w:pPr>
            <w:r>
              <w:rPr>
                <w:color w:val="1C3A36"/>
                <w:sz w:val="16"/>
              </w:rPr>
              <w:t>analyst judgements and constructions, each with its reasoning</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4248"/>
        <w:gridCol w:w="1224"/>
        <w:gridCol w:w="1296"/>
      </w:tblGrid>
      <w:tr>
        <w:tc>
          <w:tcPr>
            <w:tcW w:type="dxa" w:w="3312"/>
            <w:shd w:val="clear" w:color="auto" w:fill="EAF0EE"/>
          </w:tcPr>
          <w:p>
            <w:pPr>
              <w:spacing w:after="20"/>
            </w:pPr>
            <w:r>
              <w:rPr>
                <w:b/>
                <w:color w:val="1C3A36"/>
                <w:sz w:val="16"/>
              </w:rPr>
              <w:t>Document</w:t>
            </w:r>
          </w:p>
        </w:tc>
        <w:tc>
          <w:tcPr>
            <w:tcW w:type="dxa" w:w="4248"/>
            <w:shd w:val="clear" w:color="auto" w:fill="EAF0EE"/>
          </w:tcPr>
          <w:p>
            <w:pPr>
              <w:spacing w:after="20"/>
            </w:pPr>
            <w:r>
              <w:rPr>
                <w:b/>
                <w:color w:val="1C3A36"/>
                <w:sz w:val="16"/>
              </w:rPr>
              <w:t>What it provided</w:t>
            </w:r>
          </w:p>
        </w:tc>
        <w:tc>
          <w:tcPr>
            <w:tcW w:type="dxa" w:w="1224"/>
            <w:shd w:val="clear" w:color="auto" w:fill="EAF0EE"/>
          </w:tcPr>
          <w:p>
            <w:pPr>
              <w:spacing w:after="20"/>
            </w:pPr>
            <w:r>
              <w:rPr>
                <w:b/>
                <w:color w:val="1C3A36"/>
                <w:sz w:val="16"/>
              </w:rPr>
              <w:t>Date</w:t>
            </w:r>
          </w:p>
        </w:tc>
        <w:tc>
          <w:tcPr>
            <w:tcW w:type="dxa" w:w="1296"/>
            <w:shd w:val="clear" w:color="auto" w:fill="EAF0EE"/>
          </w:tcPr>
          <w:p>
            <w:pPr>
              <w:spacing w:after="20"/>
            </w:pPr>
            <w:r>
              <w:rPr>
                <w:b/>
                <w:color w:val="1C3A36"/>
                <w:sz w:val="16"/>
              </w:rPr>
              <w:t>Where read</w:t>
            </w:r>
          </w:p>
        </w:tc>
      </w:tr>
      <w:tr>
        <w:tc>
          <w:tcPr>
            <w:tcW w:type="dxa" w:w="3312"/>
          </w:tcPr>
          <w:p>
            <w:pPr>
              <w:spacing w:after="20"/>
            </w:pPr>
            <w:r>
              <w:rPr>
                <w:color w:val="1C3A36"/>
                <w:sz w:val="16"/>
              </w:rPr>
              <w:t>Integrated Annual Report 2025 (audited consolidated FS; KPMG Lower Gulf, unmodified opinion)</w:t>
            </w:r>
          </w:p>
        </w:tc>
        <w:tc>
          <w:tcPr>
            <w:tcW w:type="dxa" w:w="4248"/>
          </w:tcPr>
          <w:p>
            <w:pPr>
              <w:spacing w:after="20"/>
            </w:pPr>
            <w:r>
              <w:rPr>
                <w:color w:val="1C3A36"/>
                <w:sz w:val="16"/>
              </w:rPr>
              <w:t>FY2025 and re-presented FY2024: every income-statement, balance-sheet, cash-flow and segment line; notes 4-39 incl. borrowings (none), leases, tax/royalty, segments</w:t>
            </w:r>
          </w:p>
        </w:tc>
        <w:tc>
          <w:tcPr>
            <w:tcW w:type="dxa" w:w="1224"/>
          </w:tcPr>
          <w:p>
            <w:pPr>
              <w:spacing w:after="20"/>
            </w:pPr>
            <w:r>
              <w:rPr>
                <w:color w:val="1C3A36"/>
                <w:sz w:val="16"/>
              </w:rPr>
              <w:t>09-Feb-2026</w:t>
            </w:r>
          </w:p>
        </w:tc>
        <w:tc>
          <w:tcPr>
            <w:tcW w:type="dxa" w:w="1296"/>
          </w:tcPr>
          <w:p>
            <w:pPr>
              <w:spacing w:after="20"/>
            </w:pPr>
            <w:r>
              <w:rPr>
                <w:color w:val="1C3A36"/>
                <w:sz w:val="16"/>
              </w:rPr>
              <w:t>investors.du.ae</w:t>
            </w:r>
          </w:p>
        </w:tc>
      </w:tr>
      <w:tr>
        <w:tc>
          <w:tcPr>
            <w:tcW w:type="dxa" w:w="3312"/>
          </w:tcPr>
          <w:p>
            <w:pPr>
              <w:spacing w:after="20"/>
            </w:pPr>
            <w:r>
              <w:rPr>
                <w:color w:val="1C3A36"/>
                <w:sz w:val="16"/>
              </w:rPr>
              <w:t>Annual Report 2024 (audited; PwC, unqualified)</w:t>
            </w:r>
          </w:p>
        </w:tc>
        <w:tc>
          <w:tcPr>
            <w:tcW w:type="dxa" w:w="4248"/>
          </w:tcPr>
          <w:p>
            <w:pPr>
              <w:spacing w:after="20"/>
            </w:pPr>
            <w:r>
              <w:rPr>
                <w:color w:val="1C3A36"/>
                <w:sz w:val="16"/>
              </w:rPr>
              <w:t>FY2024 original presentation and FY2023 comparatives; the FY2023 royalty-accrual disclosure that makes the working-capital series like-for-like</w:t>
            </w:r>
          </w:p>
        </w:tc>
        <w:tc>
          <w:tcPr>
            <w:tcW w:type="dxa" w:w="1224"/>
          </w:tcPr>
          <w:p>
            <w:pPr>
              <w:spacing w:after="20"/>
            </w:pPr>
            <w:r>
              <w:rPr>
                <w:color w:val="1C3A36"/>
                <w:sz w:val="16"/>
              </w:rPr>
              <w:t>10-Feb-2025</w:t>
            </w:r>
          </w:p>
        </w:tc>
        <w:tc>
          <w:tcPr>
            <w:tcW w:type="dxa" w:w="1296"/>
          </w:tcPr>
          <w:p>
            <w:pPr>
              <w:spacing w:after="20"/>
            </w:pPr>
            <w:r>
              <w:rPr>
                <w:color w:val="1C3A36"/>
                <w:sz w:val="16"/>
              </w:rPr>
              <w:t>investors.du.ae</w:t>
            </w:r>
          </w:p>
        </w:tc>
      </w:tr>
      <w:tr>
        <w:tc>
          <w:tcPr>
            <w:tcW w:type="dxa" w:w="3312"/>
          </w:tcPr>
          <w:p>
            <w:pPr>
              <w:spacing w:after="20"/>
            </w:pPr>
            <w:r>
              <w:rPr>
                <w:color w:val="1C3A36"/>
                <w:sz w:val="16"/>
              </w:rPr>
              <w:t>Annual Report 2023 (audited; PwC, unqualified)</w:t>
            </w:r>
          </w:p>
        </w:tc>
        <w:tc>
          <w:tcPr>
            <w:tcW w:type="dxa" w:w="4248"/>
          </w:tcPr>
          <w:p>
            <w:pPr>
              <w:spacing w:after="20"/>
            </w:pPr>
            <w:r>
              <w:rPr>
                <w:color w:val="1C3A36"/>
                <w:sz w:val="16"/>
              </w:rPr>
              <w:t>FY2023 and complete FY2022 comparatives; the pre-2024 royalty construction (Note 27) that defines Framing B</w:t>
            </w:r>
          </w:p>
        </w:tc>
        <w:tc>
          <w:tcPr>
            <w:tcW w:type="dxa" w:w="1224"/>
          </w:tcPr>
          <w:p>
            <w:pPr>
              <w:spacing w:after="20"/>
            </w:pPr>
            <w:r>
              <w:rPr>
                <w:color w:val="1C3A36"/>
                <w:sz w:val="16"/>
              </w:rPr>
              <w:t>13-Feb-2024</w:t>
            </w:r>
          </w:p>
        </w:tc>
        <w:tc>
          <w:tcPr>
            <w:tcW w:type="dxa" w:w="1296"/>
          </w:tcPr>
          <w:p>
            <w:pPr>
              <w:spacing w:after="20"/>
            </w:pPr>
            <w:r>
              <w:rPr>
                <w:color w:val="1C3A36"/>
                <w:sz w:val="16"/>
              </w:rPr>
              <w:t>investors.du.ae</w:t>
            </w:r>
          </w:p>
        </w:tc>
      </w:tr>
      <w:tr>
        <w:tc>
          <w:tcPr>
            <w:tcW w:type="dxa" w:w="3312"/>
          </w:tcPr>
          <w:p>
            <w:pPr>
              <w:spacing w:after="20"/>
            </w:pPr>
            <w:r>
              <w:rPr>
                <w:color w:val="1C3A36"/>
                <w:sz w:val="16"/>
              </w:rPr>
              <w:t>H1-2026 condensed consolidated interim FS (KPMG ISRE 2410 review)</w:t>
            </w:r>
          </w:p>
        </w:tc>
        <w:tc>
          <w:tcPr>
            <w:tcW w:type="dxa" w:w="4248"/>
          </w:tcPr>
          <w:p>
            <w:pPr>
              <w:spacing w:after="20"/>
            </w:pPr>
            <w:r>
              <w:rPr>
                <w:color w:val="1C3A36"/>
                <w:sz w:val="16"/>
              </w:rPr>
              <w:t>H1/Q2-2026 actuals; the 30-Jun-2026 balance sheet; the licence-term note; the royalty-regime note; dividend record</w:t>
            </w:r>
          </w:p>
        </w:tc>
        <w:tc>
          <w:tcPr>
            <w:tcW w:type="dxa" w:w="1224"/>
          </w:tcPr>
          <w:p>
            <w:pPr>
              <w:spacing w:after="20"/>
            </w:pPr>
            <w:r>
              <w:rPr>
                <w:color w:val="1C3A36"/>
                <w:sz w:val="16"/>
              </w:rPr>
              <w:t>22-Jul-2026</w:t>
            </w:r>
          </w:p>
        </w:tc>
        <w:tc>
          <w:tcPr>
            <w:tcW w:type="dxa" w:w="1296"/>
          </w:tcPr>
          <w:p>
            <w:pPr>
              <w:spacing w:after="20"/>
            </w:pPr>
            <w:r>
              <w:rPr>
                <w:color w:val="1C3A36"/>
                <w:sz w:val="16"/>
              </w:rPr>
              <w:t>investors.du.ae</w:t>
            </w:r>
          </w:p>
        </w:tc>
      </w:tr>
      <w:tr>
        <w:tc>
          <w:tcPr>
            <w:tcW w:type="dxa" w:w="3312"/>
          </w:tcPr>
          <w:p>
            <w:pPr>
              <w:spacing w:after="20"/>
            </w:pPr>
            <w:r>
              <w:rPr>
                <w:color w:val="1C3A36"/>
                <w:sz w:val="16"/>
              </w:rPr>
              <w:t>Q1-2026 condensed consolidated interim FS (KPMG review)</w:t>
            </w:r>
          </w:p>
        </w:tc>
        <w:tc>
          <w:tcPr>
            <w:tcW w:type="dxa" w:w="4248"/>
          </w:tcPr>
          <w:p>
            <w:pPr>
              <w:spacing w:after="20"/>
            </w:pPr>
            <w:r>
              <w:rPr>
                <w:color w:val="1C3A36"/>
                <w:sz w:val="16"/>
              </w:rPr>
              <w:t>Q1-2026 actuals</w:t>
            </w:r>
          </w:p>
        </w:tc>
        <w:tc>
          <w:tcPr>
            <w:tcW w:type="dxa" w:w="1224"/>
          </w:tcPr>
          <w:p>
            <w:pPr>
              <w:spacing w:after="20"/>
            </w:pPr>
            <w:r>
              <w:rPr>
                <w:color w:val="1C3A36"/>
                <w:sz w:val="16"/>
              </w:rPr>
              <w:t>22-Apr-2026</w:t>
            </w:r>
          </w:p>
        </w:tc>
        <w:tc>
          <w:tcPr>
            <w:tcW w:type="dxa" w:w="1296"/>
          </w:tcPr>
          <w:p>
            <w:pPr>
              <w:spacing w:after="20"/>
            </w:pPr>
            <w:r>
              <w:rPr>
                <w:color w:val="1C3A36"/>
                <w:sz w:val="16"/>
              </w:rPr>
              <w:t>investors.du.ae</w:t>
            </w:r>
          </w:p>
        </w:tc>
      </w:tr>
      <w:tr>
        <w:tc>
          <w:tcPr>
            <w:tcW w:type="dxa" w:w="3312"/>
          </w:tcPr>
          <w:p>
            <w:pPr>
              <w:spacing w:after="20"/>
            </w:pPr>
            <w:r>
              <w:rPr>
                <w:color w:val="1C3A36"/>
                <w:sz w:val="16"/>
              </w:rPr>
              <w:t>Q2-2026 earnings release + analyst presentation</w:t>
            </w:r>
          </w:p>
        </w:tc>
        <w:tc>
          <w:tcPr>
            <w:tcW w:type="dxa" w:w="4248"/>
          </w:tcPr>
          <w:p>
            <w:pPr>
              <w:spacing w:after="20"/>
            </w:pPr>
            <w:r>
              <w:rPr>
                <w:color w:val="1C3A36"/>
                <w:sz w:val="16"/>
              </w:rPr>
              <w:t>subscribers, ARPU, capex intensity, revised FY2026 guidance, interim dividend</w:t>
            </w:r>
          </w:p>
        </w:tc>
        <w:tc>
          <w:tcPr>
            <w:tcW w:type="dxa" w:w="1224"/>
          </w:tcPr>
          <w:p>
            <w:pPr>
              <w:spacing w:after="20"/>
            </w:pPr>
            <w:r>
              <w:rPr>
                <w:color w:val="1C3A36"/>
                <w:sz w:val="16"/>
              </w:rPr>
              <w:t>23-Jul-2026</w:t>
            </w:r>
          </w:p>
        </w:tc>
        <w:tc>
          <w:tcPr>
            <w:tcW w:type="dxa" w:w="1296"/>
          </w:tcPr>
          <w:p>
            <w:pPr>
              <w:spacing w:after="20"/>
            </w:pPr>
            <w:r>
              <w:rPr>
                <w:color w:val="1C3A36"/>
                <w:sz w:val="16"/>
              </w:rPr>
              <w:t>investors.du.ae</w:t>
            </w:r>
          </w:p>
        </w:tc>
      </w:tr>
      <w:tr>
        <w:tc>
          <w:tcPr>
            <w:tcW w:type="dxa" w:w="3312"/>
          </w:tcPr>
          <w:p>
            <w:pPr>
              <w:spacing w:after="20"/>
            </w:pPr>
            <w:r>
              <w:rPr>
                <w:color w:val="1C3A36"/>
                <w:sz w:val="16"/>
              </w:rPr>
              <w:t>Q4/FY2025 results presentation</w:t>
            </w:r>
          </w:p>
        </w:tc>
        <w:tc>
          <w:tcPr>
            <w:tcW w:type="dxa" w:w="4248"/>
          </w:tcPr>
          <w:p>
            <w:pPr>
              <w:spacing w:after="20"/>
            </w:pPr>
            <w:r>
              <w:rPr>
                <w:color w:val="1C3A36"/>
                <w:sz w:val="16"/>
              </w:rPr>
              <w:t>FY2025 KPIs, subscriber base, original FY2026 guidance, dividend and payout record</w:t>
            </w:r>
          </w:p>
        </w:tc>
        <w:tc>
          <w:tcPr>
            <w:tcW w:type="dxa" w:w="1224"/>
          </w:tcPr>
          <w:p>
            <w:pPr>
              <w:spacing w:after="20"/>
            </w:pPr>
            <w:r>
              <w:rPr>
                <w:color w:val="1C3A36"/>
                <w:sz w:val="16"/>
              </w:rPr>
              <w:t>10-Feb-2026</w:t>
            </w:r>
          </w:p>
        </w:tc>
        <w:tc>
          <w:tcPr>
            <w:tcW w:type="dxa" w:w="1296"/>
          </w:tcPr>
          <w:p>
            <w:pPr>
              <w:spacing w:after="20"/>
            </w:pPr>
            <w:r>
              <w:rPr>
                <w:color w:val="1C3A36"/>
                <w:sz w:val="16"/>
              </w:rPr>
              <w:t>investors.du.ae</w:t>
            </w:r>
          </w:p>
        </w:tc>
      </w:tr>
      <w:tr>
        <w:tc>
          <w:tcPr>
            <w:tcW w:type="dxa" w:w="3312"/>
          </w:tcPr>
          <w:p>
            <w:pPr>
              <w:spacing w:after="20"/>
            </w:pPr>
            <w:r>
              <w:rPr>
                <w:color w:val="1C3A36"/>
                <w:sz w:val="16"/>
              </w:rPr>
              <w:t>UAE MoF T-bond auction results; Emirates Islamic AED yield sheet</w:t>
            </w:r>
          </w:p>
        </w:tc>
        <w:tc>
          <w:tcPr>
            <w:tcW w:type="dxa" w:w="4248"/>
          </w:tcPr>
          <w:p>
            <w:pPr>
              <w:spacing w:after="20"/>
            </w:pPr>
            <w:r>
              <w:rPr>
                <w:color w:val="1C3A36"/>
                <w:sz w:val="16"/>
              </w:rPr>
              <w:t>the AED risk-free anchor and curve context</w:t>
            </w:r>
          </w:p>
        </w:tc>
        <w:tc>
          <w:tcPr>
            <w:tcW w:type="dxa" w:w="1224"/>
          </w:tcPr>
          <w:p>
            <w:pPr>
              <w:spacing w:after="20"/>
            </w:pPr>
            <w:r>
              <w:rPr>
                <w:color w:val="1C3A36"/>
                <w:sz w:val="16"/>
              </w:rPr>
              <w:t>Jul/Aug-2026</w:t>
            </w:r>
          </w:p>
        </w:tc>
        <w:tc>
          <w:tcPr>
            <w:tcW w:type="dxa" w:w="1296"/>
          </w:tcPr>
          <w:p>
            <w:pPr>
              <w:spacing w:after="20"/>
            </w:pPr>
            <w:r>
              <w:rPr>
                <w:color w:val="1C3A36"/>
                <w:sz w:val="16"/>
              </w:rPr>
              <w:t>public market data</w:t>
            </w:r>
          </w:p>
        </w:tc>
      </w:tr>
      <w:tr>
        <w:tc>
          <w:tcPr>
            <w:tcW w:type="dxa" w:w="3312"/>
          </w:tcPr>
          <w:p>
            <w:pPr>
              <w:spacing w:after="20"/>
            </w:pPr>
            <w:r>
              <w:rPr>
                <w:color w:val="1C3A36"/>
                <w:sz w:val="16"/>
              </w:rPr>
              <w:t>Damodaran country risk dataset (ctryprem)</w:t>
            </w:r>
          </w:p>
        </w:tc>
        <w:tc>
          <w:tcPr>
            <w:tcW w:type="dxa" w:w="4248"/>
          </w:tcPr>
          <w:p>
            <w:pPr>
              <w:spacing w:after="20"/>
            </w:pPr>
            <w:r>
              <w:rPr>
                <w:color w:val="1C3A36"/>
                <w:sz w:val="16"/>
              </w:rPr>
              <w:t>UAE rating-based default spread and equity risk premium; the live implied US premium</w:t>
            </w:r>
          </w:p>
        </w:tc>
        <w:tc>
          <w:tcPr>
            <w:tcW w:type="dxa" w:w="1224"/>
          </w:tcPr>
          <w:p>
            <w:pPr>
              <w:spacing w:after="20"/>
            </w:pPr>
            <w:r>
              <w:rPr>
                <w:color w:val="1C3A36"/>
                <w:sz w:val="16"/>
              </w:rPr>
              <w:t>05-Jan-2026 / 01-Aug-2026</w:t>
            </w:r>
          </w:p>
        </w:tc>
        <w:tc>
          <w:tcPr>
            <w:tcW w:type="dxa" w:w="1296"/>
          </w:tcPr>
          <w:p>
            <w:pPr>
              <w:spacing w:after="20"/>
            </w:pPr>
            <w:r>
              <w:rPr>
                <w:color w:val="1C3A36"/>
                <w:sz w:val="16"/>
              </w:rPr>
              <w:t>pages.stern.nyu.edu/~adamodar</w:t>
            </w:r>
          </w:p>
        </w:tc>
      </w:tr>
      <w:tr>
        <w:tc>
          <w:tcPr>
            <w:tcW w:type="dxa" w:w="3312"/>
          </w:tcPr>
          <w:p>
            <w:pPr>
              <w:spacing w:after="20"/>
            </w:pPr>
            <w:r>
              <w:rPr>
                <w:color w:val="1C3A36"/>
                <w:sz w:val="16"/>
              </w:rPr>
              <w:t>DFM official index API + cross-validated Yahoo history</w:t>
            </w:r>
          </w:p>
        </w:tc>
        <w:tc>
          <w:tcPr>
            <w:tcW w:type="dxa" w:w="4248"/>
          </w:tcPr>
          <w:p>
            <w:pPr>
              <w:spacing w:after="20"/>
            </w:pPr>
            <w:r>
              <w:rPr>
                <w:color w:val="1C3A36"/>
                <w:sz w:val="16"/>
              </w:rPr>
              <w:t>the DFM General Index series behind the beta regression (identical closes on all 307 overlapping sessions)</w:t>
            </w:r>
          </w:p>
        </w:tc>
        <w:tc>
          <w:tcPr>
            <w:tcW w:type="dxa" w:w="1224"/>
          </w:tcPr>
          <w:p>
            <w:pPr>
              <w:spacing w:after="20"/>
            </w:pPr>
            <w:r>
              <w:rPr>
                <w:color w:val="1C3A36"/>
                <w:sz w:val="16"/>
              </w:rPr>
              <w:t>2021-2026</w:t>
            </w:r>
          </w:p>
        </w:tc>
        <w:tc>
          <w:tcPr>
            <w:tcW w:type="dxa" w:w="1296"/>
          </w:tcPr>
          <w:p>
            <w:pPr>
              <w:spacing w:after="20"/>
            </w:pPr>
            <w:r>
              <w:rPr>
                <w:color w:val="1C3A36"/>
                <w:sz w:val="16"/>
              </w:rPr>
              <w:t>api2.dfm.ae / finance.yahoo.com</w:t>
            </w:r>
          </w:p>
        </w:tc>
      </w:tr>
      <w:tr>
        <w:tc>
          <w:tcPr>
            <w:tcW w:type="dxa" w:w="3312"/>
          </w:tcPr>
          <w:p>
            <w:pPr>
              <w:spacing w:after="20"/>
            </w:pPr>
            <w:r>
              <w:rPr>
                <w:color w:val="1C3A36"/>
                <w:sz w:val="16"/>
              </w:rPr>
              <w:t>stc USD sukuk curve quotes</w:t>
            </w:r>
          </w:p>
        </w:tc>
        <w:tc>
          <w:tcPr>
            <w:tcW w:type="dxa" w:w="4248"/>
          </w:tcPr>
          <w:p>
            <w:pPr>
              <w:spacing w:after="20"/>
            </w:pPr>
            <w:r>
              <w:rPr>
                <w:color w:val="1C3A36"/>
                <w:sz w:val="16"/>
              </w:rPr>
              <w:t>the GCC telecom credit spread behind the marginal cost of debt</w:t>
            </w:r>
          </w:p>
        </w:tc>
        <w:tc>
          <w:tcPr>
            <w:tcW w:type="dxa" w:w="1224"/>
          </w:tcPr>
          <w:p>
            <w:pPr>
              <w:spacing w:after="20"/>
            </w:pPr>
            <w:r>
              <w:rPr>
                <w:color w:val="1C3A36"/>
                <w:sz w:val="16"/>
              </w:rPr>
              <w:t>06-Aug-2026</w:t>
            </w:r>
          </w:p>
        </w:tc>
        <w:tc>
          <w:tcPr>
            <w:tcW w:type="dxa" w:w="1296"/>
          </w:tcPr>
          <w:p>
            <w:pPr>
              <w:spacing w:after="20"/>
            </w:pPr>
            <w:r>
              <w:rPr>
                <w:color w:val="1C3A36"/>
                <w:sz w:val="16"/>
              </w:rPr>
              <w:t>public market data</w:t>
            </w:r>
          </w:p>
        </w:tc>
      </w:tr>
      <w:tr>
        <w:tc>
          <w:tcPr>
            <w:tcW w:type="dxa" w:w="3312"/>
          </w:tcPr>
          <w:p>
            <w:pPr>
              <w:spacing w:after="20"/>
            </w:pPr>
            <w:r>
              <w:rPr>
                <w:color w:val="1C3A36"/>
                <w:sz w:val="16"/>
              </w:rPr>
              <w:t>Mobily FY2025 and H1-2026 results announcements (Saudi Exchange issuer filings) and FY2025 earnings release</w:t>
            </w:r>
          </w:p>
        </w:tc>
        <w:tc>
          <w:tcPr>
            <w:tcW w:type="dxa" w:w="4248"/>
          </w:tcPr>
          <w:p>
            <w:pPr>
              <w:spacing w:after="20"/>
            </w:pPr>
            <w:r>
              <w:rPr>
                <w:color w:val="1C3A36"/>
                <w:sz w:val="16"/>
              </w:rPr>
              <w:t>the justified price/earnings multiple and the peer dividend-yield anchor, both re-derived from filed earnings after the first edition used a stale aggregator figure: trailing EPS SAR 4.76 = FY2025 4.51 + H1-2026 2.32 - H1-2025 2.07, giving 12.9x on the 06-Aug-2026 close of SAR 61.30 (the market-cap route ties independently)</w:t>
            </w:r>
          </w:p>
        </w:tc>
        <w:tc>
          <w:tcPr>
            <w:tcW w:type="dxa" w:w="1224"/>
          </w:tcPr>
          <w:p>
            <w:pPr>
              <w:spacing w:after="20"/>
            </w:pPr>
            <w:r>
              <w:rPr>
                <w:color w:val="1C3A36"/>
                <w:sz w:val="16"/>
              </w:rPr>
              <w:t>06-Aug-2026</w:t>
            </w:r>
          </w:p>
        </w:tc>
        <w:tc>
          <w:tcPr>
            <w:tcW w:type="dxa" w:w="1296"/>
          </w:tcPr>
          <w:p>
            <w:pPr>
              <w:spacing w:after="20"/>
            </w:pPr>
            <w:r>
              <w:rPr>
                <w:color w:val="1C3A36"/>
                <w:sz w:val="16"/>
              </w:rPr>
              <w:t>saudiexchange.sa / mobily.com.sa</w:t>
            </w:r>
          </w:p>
        </w:tc>
      </w:tr>
      <w:tr>
        <w:tc>
          <w:tcPr>
            <w:tcW w:type="dxa" w:w="3312"/>
          </w:tcPr>
          <w:p>
            <w:pPr>
              <w:spacing w:after="20"/>
            </w:pPr>
            <w:r>
              <w:rPr>
                <w:color w:val="1C3A36"/>
                <w:sz w:val="16"/>
              </w:rPr>
              <w:t>e&amp; FY2025, H1-2025 and H1-2026 results releases</w:t>
            </w:r>
          </w:p>
        </w:tc>
        <w:tc>
          <w:tcPr>
            <w:tcW w:type="dxa" w:w="4248"/>
          </w:tcPr>
          <w:p>
            <w:pPr>
              <w:spacing w:after="20"/>
            </w:pPr>
            <w:r>
              <w:rPr>
                <w:color w:val="1C3A36"/>
                <w:sz w:val="16"/>
              </w:rPr>
              <w:t>the second filing-derived peer multiple: trailing EPS AED 1.33 reported-attributable, 15.7x on the 06-Aug-2026 close of AED 20.98. NOTE the basis trap: e&amp;'s own H1-2026 release quotes the H1-2025 comparative on an ADJUSTED basis, which if used fabricates a 12.6x</w:t>
            </w:r>
          </w:p>
        </w:tc>
        <w:tc>
          <w:tcPr>
            <w:tcW w:type="dxa" w:w="1224"/>
          </w:tcPr>
          <w:p>
            <w:pPr>
              <w:spacing w:after="20"/>
            </w:pPr>
            <w:r>
              <w:rPr>
                <w:color w:val="1C3A36"/>
                <w:sz w:val="16"/>
              </w:rPr>
              <w:t>06-Aug-2026</w:t>
            </w:r>
          </w:p>
        </w:tc>
        <w:tc>
          <w:tcPr>
            <w:tcW w:type="dxa" w:w="1296"/>
          </w:tcPr>
          <w:p>
            <w:pPr>
              <w:spacing w:after="20"/>
            </w:pPr>
            <w:r>
              <w:rPr>
                <w:color w:val="1C3A36"/>
                <w:sz w:val="16"/>
              </w:rPr>
              <w:t>eand.com</w:t>
            </w:r>
          </w:p>
        </w:tc>
      </w:tr>
      <w:tr>
        <w:tc>
          <w:tcPr>
            <w:tcW w:type="dxa" w:w="3312"/>
          </w:tcPr>
          <w:p>
            <w:pPr>
              <w:spacing w:after="20"/>
            </w:pPr>
            <w:r>
              <w:rPr>
                <w:color w:val="1C3A36"/>
                <w:sz w:val="16"/>
              </w:rPr>
              <w:t>du dividend-distribution disclosure to DFM, Ref RME/14/2026</w:t>
            </w:r>
          </w:p>
        </w:tc>
        <w:tc>
          <w:tcPr>
            <w:tcW w:type="dxa" w:w="4248"/>
          </w:tcPr>
          <w:p>
            <w:pPr>
              <w:spacing w:after="20"/>
            </w:pPr>
            <w:r>
              <w:rPr>
                <w:color w:val="1C3A36"/>
                <w:sz w:val="16"/>
              </w:rPr>
              <w:t>the interim dividend timetable that determines which dividends are still in the anchor price: ex-date 31-Jul-2026, record 03-Aug-2026, payment 21-Aug-2026</w:t>
            </w:r>
          </w:p>
        </w:tc>
        <w:tc>
          <w:tcPr>
            <w:tcW w:type="dxa" w:w="1224"/>
          </w:tcPr>
          <w:p>
            <w:pPr>
              <w:spacing w:after="20"/>
            </w:pPr>
            <w:r>
              <w:rPr>
                <w:color w:val="1C3A36"/>
                <w:sz w:val="16"/>
              </w:rPr>
              <w:t>2026-07-31</w:t>
            </w:r>
          </w:p>
        </w:tc>
        <w:tc>
          <w:tcPr>
            <w:tcW w:type="dxa" w:w="1296"/>
          </w:tcPr>
          <w:p>
            <w:pPr>
              <w:spacing w:after="20"/>
            </w:pPr>
            <w:r>
              <w:rPr>
                <w:color w:val="1C3A36"/>
                <w:sz w:val="16"/>
              </w:rPr>
              <w:t>du filing via DFM</w:t>
            </w:r>
          </w:p>
        </w:tc>
      </w:tr>
      <w:tr>
        <w:tc>
          <w:tcPr>
            <w:tcW w:type="dxa" w:w="3312"/>
          </w:tcPr>
          <w:p>
            <w:pPr>
              <w:spacing w:after="20"/>
            </w:pPr>
            <w:r>
              <w:rPr>
                <w:color w:val="1C3A36"/>
                <w:sz w:val="16"/>
              </w:rPr>
              <w:t>du disclosure announcement, "Extension of Federal Royalty Scheme for the Period 2027-2029"</w:t>
            </w:r>
          </w:p>
        </w:tc>
        <w:tc>
          <w:tcPr>
            <w:tcW w:type="dxa" w:w="4248"/>
          </w:tcPr>
          <w:p>
            <w:pPr>
              <w:spacing w:after="20"/>
            </w:pPr>
            <w:r>
              <w:rPr>
                <w:color w:val="1C3A36"/>
                <w:sz w:val="16"/>
              </w:rPr>
              <w:t>the settled 2027-2029 fiscal regime, including the express retention of the AED 1.8bn combined annual floor</w:t>
            </w:r>
          </w:p>
        </w:tc>
        <w:tc>
          <w:tcPr>
            <w:tcW w:type="dxa" w:w="1224"/>
          </w:tcPr>
          <w:p>
            <w:pPr>
              <w:spacing w:after="20"/>
            </w:pPr>
            <w:r>
              <w:rPr>
                <w:color w:val="1C3A36"/>
                <w:sz w:val="16"/>
              </w:rPr>
              <w:t>2026-07-24</w:t>
            </w:r>
          </w:p>
        </w:tc>
        <w:tc>
          <w:tcPr>
            <w:tcW w:type="dxa" w:w="1296"/>
          </w:tcPr>
          <w:p>
            <w:pPr>
              <w:spacing w:after="20"/>
            </w:pPr>
            <w:r>
              <w:rPr>
                <w:color w:val="1C3A36"/>
                <w:sz w:val="16"/>
              </w:rPr>
              <w:t>du company disclosure</w:t>
            </w:r>
          </w:p>
        </w:tc>
      </w:tr>
      <w:tr>
        <w:tc>
          <w:tcPr>
            <w:tcW w:type="dxa" w:w="3312"/>
          </w:tcPr>
          <w:p>
            <w:pPr>
              <w:spacing w:after="20"/>
            </w:pPr>
            <w:r>
              <w:rPr>
                <w:color w:val="1C3A36"/>
                <w:sz w:val="16"/>
              </w:rPr>
              <w:t>IMF World Economic Outlook (Apr-2026) and July-2026 Update</w:t>
            </w:r>
          </w:p>
        </w:tc>
        <w:tc>
          <w:tcPr>
            <w:tcW w:type="dxa" w:w="4248"/>
          </w:tcPr>
          <w:p>
            <w:pPr>
              <w:spacing w:after="20"/>
            </w:pPr>
            <w:r>
              <w:rPr>
                <w:color w:val="1C3A36"/>
                <w:sz w:val="16"/>
              </w:rPr>
              <w:t>UAE and regional growth/inflation; the war's macro baseline</w:t>
            </w:r>
          </w:p>
        </w:tc>
        <w:tc>
          <w:tcPr>
            <w:tcW w:type="dxa" w:w="1224"/>
          </w:tcPr>
          <w:p>
            <w:pPr>
              <w:spacing w:after="20"/>
            </w:pPr>
            <w:r>
              <w:rPr>
                <w:color w:val="1C3A36"/>
                <w:sz w:val="16"/>
              </w:rPr>
              <w:t>Apr/Jul-2026</w:t>
            </w:r>
          </w:p>
        </w:tc>
        <w:tc>
          <w:tcPr>
            <w:tcW w:type="dxa" w:w="1296"/>
          </w:tcPr>
          <w:p>
            <w:pPr>
              <w:spacing w:after="20"/>
            </w:pPr>
            <w:r>
              <w:rPr>
                <w:color w:val="1C3A36"/>
                <w:sz w:val="16"/>
              </w:rPr>
              <w:t>imf.org</w:t>
            </w:r>
          </w:p>
        </w:tc>
      </w:tr>
    </w:tbl>
    <w:p>
      <w:pPr>
        <w:spacing w:after="40"/>
      </w:pPr>
    </w:p>
    <w:p>
      <w:pPr>
        <w:spacing w:after="80" w:before="240"/>
      </w:pPr>
      <w:r>
        <w:rPr>
          <w:b/>
          <w:i w:val="0"/>
          <w:color w:val="1C3A36"/>
          <w:sz w:val="26"/>
        </w:rPr>
        <w:t>The full input register</w:t>
      </w:r>
    </w:p>
    <w:p>
      <w:pPr>
        <w:spacing w:after="60" w:before="160"/>
      </w:pPr>
      <w:r>
        <w:rPr>
          <w:b/>
          <w:i w:val="0"/>
          <w:color w:val="1C3A36"/>
          <w:sz w:val="22"/>
        </w:rPr>
        <w:t>Market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spot</w:t>
            </w:r>
          </w:p>
        </w:tc>
        <w:tc>
          <w:tcPr>
            <w:tcW w:type="dxa" w:w="1656"/>
          </w:tcPr>
          <w:p>
            <w:pPr>
              <w:spacing w:after="20"/>
            </w:pPr>
            <w:r>
              <w:rPr>
                <w:color w:val="1C3A36"/>
                <w:sz w:val="14"/>
              </w:rPr>
              <w:t>12.3</w:t>
            </w:r>
          </w:p>
        </w:tc>
        <w:tc>
          <w:tcPr>
            <w:tcW w:type="dxa" w:w="5904"/>
          </w:tcPr>
          <w:p>
            <w:pPr>
              <w:spacing w:after="20"/>
            </w:pPr>
            <w:r>
              <w:rPr>
                <w:color w:val="1C3A36"/>
                <w:sz w:val="14"/>
              </w:rPr>
              <w:t>Uploaded DFM daily price history for DU, last close 07-Aug-2026</w:t>
            </w:r>
          </w:p>
        </w:tc>
        <w:tc>
          <w:tcPr>
            <w:tcW w:type="dxa" w:w="1080"/>
          </w:tcPr>
          <w:p>
            <w:pPr>
              <w:spacing w:after="20"/>
            </w:pPr>
            <w:r>
              <w:rPr>
                <w:color w:val="1C3A36"/>
                <w:sz w:val="14"/>
              </w:rPr>
              <w:t>2026-08-07</w:t>
            </w:r>
          </w:p>
        </w:tc>
      </w:tr>
      <w:tr>
        <w:tc>
          <w:tcPr>
            <w:tcW w:type="dxa" w:w="1512"/>
          </w:tcPr>
          <w:p>
            <w:pPr>
              <w:spacing w:after="20"/>
            </w:pPr>
            <w:r>
              <w:rPr>
                <w:color w:val="1C3A36"/>
                <w:sz w:val="14"/>
              </w:rPr>
              <w:t>beta</w:t>
            </w:r>
          </w:p>
        </w:tc>
        <w:tc>
          <w:tcPr>
            <w:tcW w:type="dxa" w:w="1656"/>
          </w:tcPr>
          <w:p>
            <w:pPr>
              <w:spacing w:after="20"/>
            </w:pPr>
            <w:r>
              <w:rPr>
                <w:color w:val="1C3A36"/>
                <w:sz w:val="14"/>
              </w:rPr>
              <w:t>0.488</w:t>
            </w:r>
          </w:p>
        </w:tc>
        <w:tc>
          <w:tcPr>
            <w:tcW w:type="dxa" w:w="5904"/>
          </w:tcPr>
          <w:p>
            <w:pPr>
              <w:spacing w:after="20"/>
            </w:pPr>
            <w:r>
              <w:rPr>
                <w:color w:val="1C3A36"/>
                <w:sz w:val="14"/>
              </w:rPr>
              <w:t>Own-stock regression vs the FTSE ADX GENERAL INDEX, adopted per explicit user instruction (10-Aug-2026) as the UAE base market index: DU weekly log-returns, 5-year window, last-common-session weekly sampling on the user-supplied index export (2011..24-Jul-2026): beta 0.488, R2 0.120, n 256, SE 0.083, CI90 [0.35, 0.62] - passes the usability gate (n&gt;=24, R2&gt;=5%, SE&lt;|beta|). Published alternatives: DFM General (DU's own listing venue, the house default) 0.472 (R2 0.202, SE 0.058); equal-weight AE-library composite 0.400. A defensive, negative-net-debt telecom regressing below 0.5 on either UAE index is economically coherent; betas at the CI ends and 0.65/0.80 priors are PRICED in the sensitivity grid</w:t>
            </w:r>
          </w:p>
        </w:tc>
        <w:tc>
          <w:tcPr>
            <w:tcW w:type="dxa" w:w="1080"/>
          </w:tcPr>
          <w:p>
            <w:pPr>
              <w:spacing w:after="20"/>
            </w:pPr>
            <w:r>
              <w:rPr>
                <w:color w:val="1C3A36"/>
                <w:sz w:val="14"/>
              </w:rPr>
              <w:t>2026-08-10</w:t>
            </w:r>
          </w:p>
        </w:tc>
      </w:tr>
    </w:tbl>
    <w:p>
      <w:pPr>
        <w:spacing w:after="40"/>
      </w:pPr>
    </w:p>
    <w:p>
      <w:pPr>
        <w:spacing w:after="60" w:before="160"/>
      </w:pPr>
      <w:r>
        <w:rPr>
          <w:b/>
          <w:i w:val="0"/>
          <w:color w:val="1C3A36"/>
          <w:sz w:val="22"/>
        </w:rPr>
        <w:t>Company layer — 159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shares_mn</w:t>
            </w:r>
          </w:p>
        </w:tc>
        <w:tc>
          <w:tcPr>
            <w:tcW w:type="dxa" w:w="1656"/>
          </w:tcPr>
          <w:p>
            <w:pPr>
              <w:spacing w:after="20"/>
            </w:pPr>
            <w:r>
              <w:rPr>
                <w:color w:val="1C3A36"/>
                <w:sz w:val="14"/>
              </w:rPr>
              <w:t>4,532.9</w:t>
            </w:r>
          </w:p>
        </w:tc>
        <w:tc>
          <w:tcPr>
            <w:tcW w:type="dxa" w:w="5904"/>
          </w:tcPr>
          <w:p>
            <w:pPr>
              <w:spacing w:after="20"/>
            </w:pPr>
            <w:r>
              <w:rPr>
                <w:color w:val="1C3A36"/>
                <w:sz w:val="14"/>
              </w:rPr>
              <w:t>Share capital note 27, audited FY2025 consolidated FS: 4,532,905,989 shares of AED 1 each, authorised, issued and fully paid, unchanged across FY2023-FY2025 and both 2026 interims</w:t>
            </w:r>
          </w:p>
        </w:tc>
        <w:tc>
          <w:tcPr>
            <w:tcW w:type="dxa" w:w="1080"/>
          </w:tcPr>
          <w:p>
            <w:pPr>
              <w:spacing w:after="20"/>
            </w:pPr>
            <w:r>
              <w:rPr>
                <w:color w:val="1C3A36"/>
                <w:sz w:val="14"/>
              </w:rPr>
              <w:t>2026-02-09</w:t>
            </w:r>
          </w:p>
        </w:tc>
      </w:tr>
      <w:tr>
        <w:tc>
          <w:tcPr>
            <w:tcW w:type="dxa" w:w="1512"/>
          </w:tcPr>
          <w:p>
            <w:pPr>
              <w:spacing w:after="20"/>
            </w:pPr>
            <w:r>
              <w:rPr>
                <w:color w:val="1C3A36"/>
                <w:sz w:val="14"/>
              </w:rPr>
              <w:t>div_between</w:t>
            </w:r>
          </w:p>
        </w:tc>
        <w:tc>
          <w:tcPr>
            <w:tcW w:type="dxa" w:w="1656"/>
          </w:tcPr>
          <w:p>
            <w:pPr>
              <w:spacing w:after="20"/>
            </w:pPr>
            <w:r>
              <w:rPr>
                <w:color w:val="1C3A36"/>
                <w:sz w:val="14"/>
              </w:rPr>
              <w:t>0.66</w:t>
            </w:r>
          </w:p>
        </w:tc>
        <w:tc>
          <w:tcPr>
            <w:tcW w:type="dxa" w:w="5904"/>
          </w:tcPr>
          <w:p>
            <w:pPr>
              <w:spacing w:after="20"/>
            </w:pPr>
            <w:r>
              <w:rPr>
                <w:color w:val="1C3A36"/>
                <w:sz w:val="14"/>
              </w:rPr>
              <w:t>Dividends whose EX-DATE falls between the 31-Dec-2025 valuation date and the 07-Aug-2026 anchor, and which are therefore no longer in the share price: the final FY2025 AED 0.40 (AGM 30-Mar-2026, paid 28-Apr-2026) PLUS the H1-2026 interim AED 0.26 — Board-approved 22-Jul-2026, EX-DATE 31-JULY-2026, record 03-Aug-2026, paid 21-Aug-2026, per du's own dividend disclosure to DFM (Ref RME/14/2026). CORRECTED 17-Aug-2026: the prior edition carried only 0.40, on the reasoning that the interim was declared but unpaid at the anchor so it 'stays in the share'. That applied the PAYMENT date; the correct test is the EX-date, which had passed six trading sessions before the anchor. The anchor spot of AED 12.30 is ex the 0.26, so every lens rolled to that anchor must be ex it too</w:t>
            </w:r>
          </w:p>
        </w:tc>
        <w:tc>
          <w:tcPr>
            <w:tcW w:type="dxa" w:w="1080"/>
          </w:tcPr>
          <w:p>
            <w:pPr>
              <w:spacing w:after="20"/>
            </w:pPr>
            <w:r>
              <w:rPr>
                <w:color w:val="1C3A36"/>
                <w:sz w:val="14"/>
              </w:rPr>
              <w:t>2026-07-31</w:t>
            </w:r>
          </w:p>
        </w:tc>
      </w:tr>
      <w:tr>
        <w:tc>
          <w:tcPr>
            <w:tcW w:type="dxa" w:w="1512"/>
          </w:tcPr>
          <w:p>
            <w:pPr>
              <w:spacing w:after="20"/>
            </w:pPr>
            <w:r>
              <w:rPr>
                <w:color w:val="1C3A36"/>
                <w:sz w:val="14"/>
              </w:rPr>
              <w:t>rev_fy23</w:t>
            </w:r>
          </w:p>
        </w:tc>
        <w:tc>
          <w:tcPr>
            <w:tcW w:type="dxa" w:w="1656"/>
          </w:tcPr>
          <w:p>
            <w:pPr>
              <w:spacing w:after="20"/>
            </w:pPr>
            <w:r>
              <w:rPr>
                <w:color w:val="1C3A36"/>
                <w:sz w:val="14"/>
              </w:rPr>
              <w:t>13,636.3</w:t>
            </w:r>
          </w:p>
        </w:tc>
        <w:tc>
          <w:tcPr>
            <w:tcW w:type="dxa" w:w="5904"/>
          </w:tcPr>
          <w:p>
            <w:pPr>
              <w:spacing w:after="20"/>
            </w:pPr>
            <w:r>
              <w:rPr>
                <w:color w:val="1C3A36"/>
                <w:sz w:val="14"/>
              </w:rPr>
              <w:t>Audited consolidated FS, Annual Report 2023, investors.du.ae (PwC, unqualified opinion 13-Feb-2024), consolidated statement of comprehensive income</w:t>
            </w:r>
          </w:p>
        </w:tc>
        <w:tc>
          <w:tcPr>
            <w:tcW w:type="dxa" w:w="1080"/>
          </w:tcPr>
          <w:p>
            <w:pPr>
              <w:spacing w:after="20"/>
            </w:pPr>
            <w:r>
              <w:rPr>
                <w:color w:val="1C3A36"/>
                <w:sz w:val="14"/>
              </w:rPr>
              <w:t>2024-02-13</w:t>
            </w:r>
          </w:p>
        </w:tc>
      </w:tr>
      <w:tr>
        <w:tc>
          <w:tcPr>
            <w:tcW w:type="dxa" w:w="1512"/>
          </w:tcPr>
          <w:p>
            <w:pPr>
              <w:spacing w:after="20"/>
            </w:pPr>
            <w:r>
              <w:rPr>
                <w:color w:val="1C3A36"/>
                <w:sz w:val="14"/>
              </w:rPr>
              <w:t>rev_fy24</w:t>
            </w:r>
          </w:p>
        </w:tc>
        <w:tc>
          <w:tcPr>
            <w:tcW w:type="dxa" w:w="1656"/>
          </w:tcPr>
          <w:p>
            <w:pPr>
              <w:spacing w:after="20"/>
            </w:pPr>
            <w:r>
              <w:rPr>
                <w:color w:val="1C3A36"/>
                <w:sz w:val="14"/>
              </w:rPr>
              <w:t>14,635.9</w:t>
            </w:r>
          </w:p>
        </w:tc>
        <w:tc>
          <w:tcPr>
            <w:tcW w:type="dxa" w:w="5904"/>
          </w:tcPr>
          <w:p>
            <w:pPr>
              <w:spacing w:after="20"/>
            </w:pPr>
            <w:r>
              <w:rPr>
                <w:color w:val="1C3A36"/>
                <w:sz w:val="14"/>
              </w:rPr>
              <w:t>Audited consolidated FS, Integrated Annual Report 2025, investors.du.ae (KPMG Lower Gulf, unmodified opinion 09-Feb-2026), FY2024 comparative (IFRS 18 re-presented, Note 39)</w:t>
            </w:r>
          </w:p>
        </w:tc>
        <w:tc>
          <w:tcPr>
            <w:tcW w:type="dxa" w:w="1080"/>
          </w:tcPr>
          <w:p>
            <w:pPr>
              <w:spacing w:after="20"/>
            </w:pPr>
            <w:r>
              <w:rPr>
                <w:color w:val="1C3A36"/>
                <w:sz w:val="14"/>
              </w:rPr>
              <w:t>2026-02-09</w:t>
            </w:r>
          </w:p>
        </w:tc>
      </w:tr>
      <w:tr>
        <w:tc>
          <w:tcPr>
            <w:tcW w:type="dxa" w:w="1512"/>
          </w:tcPr>
          <w:p>
            <w:pPr>
              <w:spacing w:after="20"/>
            </w:pPr>
            <w:r>
              <w:rPr>
                <w:color w:val="1C3A36"/>
                <w:sz w:val="14"/>
              </w:rPr>
              <w:t>rev_fy25</w:t>
            </w:r>
          </w:p>
        </w:tc>
        <w:tc>
          <w:tcPr>
            <w:tcW w:type="dxa" w:w="1656"/>
          </w:tcPr>
          <w:p>
            <w:pPr>
              <w:spacing w:after="20"/>
            </w:pPr>
            <w:r>
              <w:rPr>
                <w:color w:val="1C3A36"/>
                <w:sz w:val="14"/>
              </w:rPr>
              <w:t>15,905.4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ebitda_fy25</w:t>
            </w:r>
          </w:p>
        </w:tc>
        <w:tc>
          <w:tcPr>
            <w:tcW w:type="dxa" w:w="1656"/>
          </w:tcPr>
          <w:p>
            <w:pPr>
              <w:spacing w:after="20"/>
            </w:pPr>
            <w:r>
              <w:rPr>
                <w:color w:val="1C3A36"/>
                <w:sz w:val="14"/>
              </w:rPr>
              <w:t>7,338.4</w:t>
            </w:r>
          </w:p>
        </w:tc>
        <w:tc>
          <w:tcPr>
            <w:tcW w:type="dxa" w:w="5904"/>
          </w:tcPr>
          <w:p>
            <w:pPr>
              <w:spacing w:after="20"/>
            </w:pPr>
            <w:r>
              <w:rPr>
                <w:color w:val="1C3A36"/>
                <w:sz w:val="14"/>
              </w:rPr>
              <w:t>Audited consolidated FS, Integrated Annual Report 2025, investors.du.ae (KPMG Lower Gulf, unmodified opinion 09-Feb-2026): 'Operating profit before depreciation and amortization' printed on the face of the statement</w:t>
            </w:r>
          </w:p>
        </w:tc>
        <w:tc>
          <w:tcPr>
            <w:tcW w:type="dxa" w:w="1080"/>
          </w:tcPr>
          <w:p>
            <w:pPr>
              <w:spacing w:after="20"/>
            </w:pPr>
            <w:r>
              <w:rPr>
                <w:color w:val="1C3A36"/>
                <w:sz w:val="14"/>
              </w:rPr>
              <w:t>2026-02-09</w:t>
            </w:r>
          </w:p>
        </w:tc>
      </w:tr>
      <w:tr>
        <w:tc>
          <w:tcPr>
            <w:tcW w:type="dxa" w:w="1512"/>
          </w:tcPr>
          <w:p>
            <w:pPr>
              <w:spacing w:after="20"/>
            </w:pPr>
            <w:r>
              <w:rPr>
                <w:color w:val="1C3A36"/>
                <w:sz w:val="14"/>
              </w:rPr>
              <w:t>ebitda_fy24</w:t>
            </w:r>
          </w:p>
        </w:tc>
        <w:tc>
          <w:tcPr>
            <w:tcW w:type="dxa" w:w="1656"/>
          </w:tcPr>
          <w:p>
            <w:pPr>
              <w:spacing w:after="20"/>
            </w:pPr>
            <w:r>
              <w:rPr>
                <w:color w:val="1C3A36"/>
                <w:sz w:val="14"/>
              </w:rPr>
              <w:t>6,469.8</w:t>
            </w:r>
          </w:p>
        </w:tc>
        <w:tc>
          <w:tcPr>
            <w:tcW w:type="dxa" w:w="5904"/>
          </w:tcPr>
          <w:p>
            <w:pPr>
              <w:spacing w:after="20"/>
            </w:pPr>
            <w:r>
              <w:rPr>
                <w:color w:val="1C3A36"/>
                <w:sz w:val="14"/>
              </w:rPr>
              <w:t>Audited consolidated FS, Integrated Annual Report 2025, investors.du.ae (KPMG Lower Gulf, unmodified opinion 09-Feb-2026), FY2024 comparative on the face (IFRS 18)</w:t>
            </w:r>
          </w:p>
        </w:tc>
        <w:tc>
          <w:tcPr>
            <w:tcW w:type="dxa" w:w="1080"/>
          </w:tcPr>
          <w:p>
            <w:pPr>
              <w:spacing w:after="20"/>
            </w:pPr>
            <w:r>
              <w:rPr>
                <w:color w:val="1C3A36"/>
                <w:sz w:val="14"/>
              </w:rPr>
              <w:t>2026-02-09</w:t>
            </w:r>
          </w:p>
        </w:tc>
      </w:tr>
      <w:tr>
        <w:tc>
          <w:tcPr>
            <w:tcW w:type="dxa" w:w="1512"/>
          </w:tcPr>
          <w:p>
            <w:pPr>
              <w:spacing w:after="20"/>
            </w:pPr>
            <w:r>
              <w:rPr>
                <w:color w:val="1C3A36"/>
                <w:sz w:val="14"/>
              </w:rPr>
              <w:t>ebitda_fy23</w:t>
            </w:r>
          </w:p>
        </w:tc>
        <w:tc>
          <w:tcPr>
            <w:tcW w:type="dxa" w:w="1656"/>
          </w:tcPr>
          <w:p>
            <w:pPr>
              <w:spacing w:after="20"/>
            </w:pPr>
            <w:r>
              <w:rPr>
                <w:color w:val="1C3A36"/>
                <w:sz w:val="14"/>
              </w:rPr>
              <w:t>5,799.6</w:t>
            </w:r>
          </w:p>
        </w:tc>
        <w:tc>
          <w:tcPr>
            <w:tcW w:type="dxa" w:w="5904"/>
          </w:tcPr>
          <w:p>
            <w:pPr>
              <w:spacing w:after="20"/>
            </w:pPr>
            <w:r>
              <w:rPr>
                <w:color w:val="1C3A36"/>
                <w:sz w:val="14"/>
              </w:rPr>
              <w:t>DERIVED (flagged): FY2023 statements print no EBITDA line (pre-IFRS 18). Operating profit pre-royalty (rev - opex - ECL + other income = 3,601.324) + D&amp;A 2,198.277, every component audited (Audited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dna_fy23</w:t>
            </w:r>
          </w:p>
        </w:tc>
        <w:tc>
          <w:tcPr>
            <w:tcW w:type="dxa" w:w="1656"/>
          </w:tcPr>
          <w:p>
            <w:pPr>
              <w:spacing w:after="20"/>
            </w:pPr>
            <w:r>
              <w:rPr>
                <w:color w:val="1C3A36"/>
                <w:sz w:val="14"/>
              </w:rPr>
              <w:t>2,198.3</w:t>
            </w:r>
          </w:p>
        </w:tc>
        <w:tc>
          <w:tcPr>
            <w:tcW w:type="dxa" w:w="5904"/>
          </w:tcPr>
          <w:p>
            <w:pPr>
              <w:spacing w:after="20"/>
            </w:pPr>
            <w:r>
              <w:rPr>
                <w:color w:val="1C3A36"/>
                <w:sz w:val="14"/>
              </w:rPr>
              <w:t>Audited consolidated FS, Annual Report 2023, investors.du.ae (PwC, unqualified opinion 13-Feb-2024), Note 26 opex split: PP&amp;E depreciation 1,544.182 + right-of-use depreciation 445.042 + intangibles amortisation 209.053</w:t>
            </w:r>
          </w:p>
        </w:tc>
        <w:tc>
          <w:tcPr>
            <w:tcW w:type="dxa" w:w="1080"/>
          </w:tcPr>
          <w:p>
            <w:pPr>
              <w:spacing w:after="20"/>
            </w:pPr>
            <w:r>
              <w:rPr>
                <w:color w:val="1C3A36"/>
                <w:sz w:val="14"/>
              </w:rPr>
              <w:t>2024-02-13</w:t>
            </w:r>
          </w:p>
        </w:tc>
      </w:tr>
      <w:tr>
        <w:tc>
          <w:tcPr>
            <w:tcW w:type="dxa" w:w="1512"/>
          </w:tcPr>
          <w:p>
            <w:pPr>
              <w:spacing w:after="20"/>
            </w:pPr>
            <w:r>
              <w:rPr>
                <w:color w:val="1C3A36"/>
                <w:sz w:val="14"/>
              </w:rPr>
              <w:t>dna_fy24</w:t>
            </w:r>
          </w:p>
        </w:tc>
        <w:tc>
          <w:tcPr>
            <w:tcW w:type="dxa" w:w="1656"/>
          </w:tcPr>
          <w:p>
            <w:pPr>
              <w:spacing w:after="20"/>
            </w:pPr>
            <w:r>
              <w:rPr>
                <w:color w:val="1C3A36"/>
                <w:sz w:val="14"/>
              </w:rPr>
              <w:t>2,153.6</w:t>
            </w:r>
          </w:p>
        </w:tc>
        <w:tc>
          <w:tcPr>
            <w:tcW w:type="dxa" w:w="5904"/>
          </w:tcPr>
          <w:p>
            <w:pPr>
              <w:spacing w:after="20"/>
            </w:pPr>
            <w:r>
              <w:rPr>
                <w:color w:val="1C3A36"/>
                <w:sz w:val="14"/>
              </w:rPr>
              <w:t>Audited consolidated FS, Annual Report 2024, investors.du.ae (PwC, unqualified opinion 10-Feb-2025), Note 31 split: PP&amp;E 1,569.189 + ROU 374.505 + intangibles 209.896</w:t>
            </w:r>
          </w:p>
        </w:tc>
        <w:tc>
          <w:tcPr>
            <w:tcW w:type="dxa" w:w="1080"/>
          </w:tcPr>
          <w:p>
            <w:pPr>
              <w:spacing w:after="20"/>
            </w:pPr>
            <w:r>
              <w:rPr>
                <w:color w:val="1C3A36"/>
                <w:sz w:val="14"/>
              </w:rPr>
              <w:t>2025-02-10</w:t>
            </w:r>
          </w:p>
        </w:tc>
      </w:tr>
      <w:tr>
        <w:tc>
          <w:tcPr>
            <w:tcW w:type="dxa" w:w="1512"/>
          </w:tcPr>
          <w:p>
            <w:pPr>
              <w:spacing w:after="20"/>
            </w:pPr>
            <w:r>
              <w:rPr>
                <w:color w:val="1C3A36"/>
                <w:sz w:val="14"/>
              </w:rPr>
              <w:t>dna_fy25</w:t>
            </w:r>
          </w:p>
        </w:tc>
        <w:tc>
          <w:tcPr>
            <w:tcW w:type="dxa" w:w="1656"/>
          </w:tcPr>
          <w:p>
            <w:pPr>
              <w:spacing w:after="20"/>
            </w:pPr>
            <w:r>
              <w:rPr>
                <w:color w:val="1C3A36"/>
                <w:sz w:val="14"/>
              </w:rPr>
              <w:t>2,167.9</w:t>
            </w:r>
          </w:p>
        </w:tc>
        <w:tc>
          <w:tcPr>
            <w:tcW w:type="dxa" w:w="5904"/>
          </w:tcPr>
          <w:p>
            <w:pPr>
              <w:spacing w:after="20"/>
            </w:pPr>
            <w:r>
              <w:rPr>
                <w:color w:val="1C3A36"/>
                <w:sz w:val="14"/>
              </w:rPr>
              <w:t>Audited consolidated FS, Integrated Annual Report 2025, investors.du.ae (KPMG Lower Gulf, unmodified opinion 09-Feb-2026), Note 31 split: PP&amp;E 1,557.989 + ROU 364.063 + intangibles 245.881</w:t>
            </w:r>
          </w:p>
        </w:tc>
        <w:tc>
          <w:tcPr>
            <w:tcW w:type="dxa" w:w="1080"/>
          </w:tcPr>
          <w:p>
            <w:pPr>
              <w:spacing w:after="20"/>
            </w:pPr>
            <w:r>
              <w:rPr>
                <w:color w:val="1C3A36"/>
                <w:sz w:val="14"/>
              </w:rPr>
              <w:t>2026-02-09</w:t>
            </w:r>
          </w:p>
        </w:tc>
      </w:tr>
      <w:tr>
        <w:tc>
          <w:tcPr>
            <w:tcW w:type="dxa" w:w="1512"/>
          </w:tcPr>
          <w:p>
            <w:pPr>
              <w:spacing w:after="20"/>
            </w:pPr>
            <w:r>
              <w:rPr>
                <w:color w:val="1C3A36"/>
                <w:sz w:val="14"/>
              </w:rPr>
              <w:t>op_fy25</w:t>
            </w:r>
          </w:p>
        </w:tc>
        <w:tc>
          <w:tcPr>
            <w:tcW w:type="dxa" w:w="1656"/>
          </w:tcPr>
          <w:p>
            <w:pPr>
              <w:spacing w:after="20"/>
            </w:pPr>
            <w:r>
              <w:rPr>
                <w:color w:val="1C3A36"/>
                <w:sz w:val="14"/>
              </w:rPr>
              <w:t>5,170.5</w:t>
            </w:r>
          </w:p>
        </w:tc>
        <w:tc>
          <w:tcPr>
            <w:tcW w:type="dxa" w:w="5904"/>
          </w:tcPr>
          <w:p>
            <w:pPr>
              <w:spacing w:after="20"/>
            </w:pPr>
            <w:r>
              <w:rPr>
                <w:color w:val="1C3A36"/>
                <w:sz w:val="14"/>
              </w:rPr>
              <w:t>Audited consolidated FS, Integrated Annual Report 2025, investors.du.ae (KPMG Lower Gulf, unmodified opinion 09-Feb-2026), operating profit on the face</w:t>
            </w:r>
          </w:p>
        </w:tc>
        <w:tc>
          <w:tcPr>
            <w:tcW w:type="dxa" w:w="1080"/>
          </w:tcPr>
          <w:p>
            <w:pPr>
              <w:spacing w:after="20"/>
            </w:pPr>
            <w:r>
              <w:rPr>
                <w:color w:val="1C3A36"/>
                <w:sz w:val="14"/>
              </w:rPr>
              <w:t>2026-02-09</w:t>
            </w:r>
          </w:p>
        </w:tc>
      </w:tr>
      <w:tr>
        <w:tc>
          <w:tcPr>
            <w:tcW w:type="dxa" w:w="1512"/>
          </w:tcPr>
          <w:p>
            <w:pPr>
              <w:spacing w:after="20"/>
            </w:pPr>
            <w:r>
              <w:rPr>
                <w:color w:val="1C3A36"/>
                <w:sz w:val="14"/>
              </w:rPr>
              <w:t>op_fy24</w:t>
            </w:r>
          </w:p>
        </w:tc>
        <w:tc>
          <w:tcPr>
            <w:tcW w:type="dxa" w:w="1656"/>
          </w:tcPr>
          <w:p>
            <w:pPr>
              <w:spacing w:after="20"/>
            </w:pPr>
            <w:r>
              <w:rPr>
                <w:color w:val="1C3A36"/>
                <w:sz w:val="14"/>
              </w:rPr>
              <w:t>4,316.2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int_inc_fy25</w:t>
            </w:r>
          </w:p>
        </w:tc>
        <w:tc>
          <w:tcPr>
            <w:tcW w:type="dxa" w:w="1656"/>
          </w:tcPr>
          <w:p>
            <w:pPr>
              <w:spacing w:after="20"/>
            </w:pPr>
            <w:r>
              <w:rPr>
                <w:color w:val="1C3A36"/>
                <w:sz w:val="14"/>
              </w:rPr>
              <w:t>74.672</w:t>
            </w:r>
          </w:p>
        </w:tc>
        <w:tc>
          <w:tcPr>
            <w:tcW w:type="dxa" w:w="5904"/>
          </w:tcPr>
          <w:p>
            <w:pPr>
              <w:spacing w:after="20"/>
            </w:pPr>
            <w:r>
              <w:rPr>
                <w:color w:val="1C3A36"/>
                <w:sz w:val="14"/>
              </w:rPr>
              <w:t>Audited consolidated FS, Integrated Annual Report 2025, investors.du.ae (KPMG Lower Gulf, unmodified opinion 09-Feb-2026), interest income (Note 32)</w:t>
            </w:r>
          </w:p>
        </w:tc>
        <w:tc>
          <w:tcPr>
            <w:tcW w:type="dxa" w:w="1080"/>
          </w:tcPr>
          <w:p>
            <w:pPr>
              <w:spacing w:after="20"/>
            </w:pPr>
            <w:r>
              <w:rPr>
                <w:color w:val="1C3A36"/>
                <w:sz w:val="14"/>
              </w:rPr>
              <w:t>2026-02-09</w:t>
            </w:r>
          </w:p>
        </w:tc>
      </w:tr>
      <w:tr>
        <w:tc>
          <w:tcPr>
            <w:tcW w:type="dxa" w:w="1512"/>
          </w:tcPr>
          <w:p>
            <w:pPr>
              <w:spacing w:after="20"/>
            </w:pPr>
            <w:r>
              <w:rPr>
                <w:color w:val="1C3A36"/>
                <w:sz w:val="14"/>
              </w:rPr>
              <w:t>int_inc_fy24</w:t>
            </w:r>
          </w:p>
        </w:tc>
        <w:tc>
          <w:tcPr>
            <w:tcW w:type="dxa" w:w="1656"/>
          </w:tcPr>
          <w:p>
            <w:pPr>
              <w:spacing w:after="20"/>
            </w:pPr>
            <w:r>
              <w:rPr>
                <w:color w:val="1C3A36"/>
                <w:sz w:val="14"/>
              </w:rPr>
              <w:t>82.214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int_exp_fy25</w:t>
            </w:r>
          </w:p>
        </w:tc>
        <w:tc>
          <w:tcPr>
            <w:tcW w:type="dxa" w:w="1656"/>
          </w:tcPr>
          <w:p>
            <w:pPr>
              <w:spacing w:after="20"/>
            </w:pPr>
            <w:r>
              <w:rPr>
                <w:color w:val="1C3A36"/>
                <w:sz w:val="14"/>
              </w:rPr>
              <w:t>95.054</w:t>
            </w:r>
          </w:p>
        </w:tc>
        <w:tc>
          <w:tcPr>
            <w:tcW w:type="dxa" w:w="5904"/>
          </w:tcPr>
          <w:p>
            <w:pPr>
              <w:spacing w:after="20"/>
            </w:pPr>
            <w:r>
              <w:rPr>
                <w:color w:val="1C3A36"/>
                <w:sz w:val="14"/>
              </w:rPr>
              <w:t>Audited consolidated FS, Integrated Annual Report 2025, investors.du.ae (KPMG Lower Gulf, unmodified opinion 09-Feb-2026), interest expense (Note 32; principally lease interest 71.094)</w:t>
            </w:r>
          </w:p>
        </w:tc>
        <w:tc>
          <w:tcPr>
            <w:tcW w:type="dxa" w:w="1080"/>
          </w:tcPr>
          <w:p>
            <w:pPr>
              <w:spacing w:after="20"/>
            </w:pPr>
            <w:r>
              <w:rPr>
                <w:color w:val="1C3A36"/>
                <w:sz w:val="14"/>
              </w:rPr>
              <w:t>2026-02-09</w:t>
            </w:r>
          </w:p>
        </w:tc>
      </w:tr>
      <w:tr>
        <w:tc>
          <w:tcPr>
            <w:tcW w:type="dxa" w:w="1512"/>
          </w:tcPr>
          <w:p>
            <w:pPr>
              <w:spacing w:after="20"/>
            </w:pPr>
            <w:r>
              <w:rPr>
                <w:color w:val="1C3A36"/>
                <w:sz w:val="14"/>
              </w:rPr>
              <w:t>int_exp_fy24</w:t>
            </w:r>
          </w:p>
        </w:tc>
        <w:tc>
          <w:tcPr>
            <w:tcW w:type="dxa" w:w="1656"/>
          </w:tcPr>
          <w:p>
            <w:pPr>
              <w:spacing w:after="20"/>
            </w:pPr>
            <w:r>
              <w:rPr>
                <w:color w:val="1C3A36"/>
                <w:sz w:val="14"/>
              </w:rPr>
              <w:t>89.77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assoc_fy25</w:t>
            </w:r>
          </w:p>
        </w:tc>
        <w:tc>
          <w:tcPr>
            <w:tcW w:type="dxa" w:w="1656"/>
          </w:tcPr>
          <w:p>
            <w:pPr>
              <w:spacing w:after="20"/>
            </w:pPr>
            <w:r>
              <w:rPr>
                <w:color w:val="1C3A36"/>
                <w:sz w:val="14"/>
              </w:rPr>
              <w:t>-0.894</w:t>
            </w:r>
          </w:p>
        </w:tc>
        <w:tc>
          <w:tcPr>
            <w:tcW w:type="dxa" w:w="5904"/>
          </w:tcPr>
          <w:p>
            <w:pPr>
              <w:spacing w:after="20"/>
            </w:pPr>
            <w:r>
              <w:rPr>
                <w:color w:val="1C3A36"/>
                <w:sz w:val="14"/>
              </w:rPr>
              <w:t>Audited consolidated FS, Integrated Annual Report 2025, investors.du.ae (KPMG Lower Gulf, unmodified opinion 09-Feb-2026), share of loss on equity-accounted investments</w:t>
            </w:r>
          </w:p>
        </w:tc>
        <w:tc>
          <w:tcPr>
            <w:tcW w:type="dxa" w:w="1080"/>
          </w:tcPr>
          <w:p>
            <w:pPr>
              <w:spacing w:after="20"/>
            </w:pPr>
            <w:r>
              <w:rPr>
                <w:color w:val="1C3A36"/>
                <w:sz w:val="14"/>
              </w:rPr>
              <w:t>2026-02-09</w:t>
            </w:r>
          </w:p>
        </w:tc>
      </w:tr>
      <w:tr>
        <w:tc>
          <w:tcPr>
            <w:tcW w:type="dxa" w:w="1512"/>
          </w:tcPr>
          <w:p>
            <w:pPr>
              <w:spacing w:after="20"/>
            </w:pPr>
            <w:r>
              <w:rPr>
                <w:color w:val="1C3A36"/>
                <w:sz w:val="14"/>
              </w:rPr>
              <w:t>pbt_fy25</w:t>
            </w:r>
          </w:p>
        </w:tc>
        <w:tc>
          <w:tcPr>
            <w:tcW w:type="dxa" w:w="1656"/>
          </w:tcPr>
          <w:p>
            <w:pPr>
              <w:spacing w:after="20"/>
            </w:pPr>
            <w:r>
              <w:rPr>
                <w:color w:val="1C3A36"/>
                <w:sz w:val="14"/>
              </w:rPr>
              <w:t>5,149.1</w:t>
            </w:r>
          </w:p>
        </w:tc>
        <w:tc>
          <w:tcPr>
            <w:tcW w:type="dxa" w:w="5904"/>
          </w:tcPr>
          <w:p>
            <w:pPr>
              <w:spacing w:after="20"/>
            </w:pPr>
            <w:r>
              <w:rPr>
                <w:color w:val="1C3A36"/>
                <w:sz w:val="14"/>
              </w:rPr>
              <w:t>Audited consolidated FS, Integrated Annual Report 2025, investors.du.ae (KPMG Lower Gulf, unmodified opinion 09-Feb-2026), profit before federal royalty and income tax</w:t>
            </w:r>
          </w:p>
        </w:tc>
        <w:tc>
          <w:tcPr>
            <w:tcW w:type="dxa" w:w="1080"/>
          </w:tcPr>
          <w:p>
            <w:pPr>
              <w:spacing w:after="20"/>
            </w:pPr>
            <w:r>
              <w:rPr>
                <w:color w:val="1C3A36"/>
                <w:sz w:val="14"/>
              </w:rPr>
              <w:t>2026-02-09</w:t>
            </w:r>
          </w:p>
        </w:tc>
      </w:tr>
      <w:tr>
        <w:tc>
          <w:tcPr>
            <w:tcW w:type="dxa" w:w="1512"/>
          </w:tcPr>
          <w:p>
            <w:pPr>
              <w:spacing w:after="20"/>
            </w:pPr>
            <w:r>
              <w:rPr>
                <w:color w:val="1C3A36"/>
                <w:sz w:val="14"/>
              </w:rPr>
              <w:t>pbt_fy24</w:t>
            </w:r>
          </w:p>
        </w:tc>
        <w:tc>
          <w:tcPr>
            <w:tcW w:type="dxa" w:w="1656"/>
          </w:tcPr>
          <w:p>
            <w:pPr>
              <w:spacing w:after="20"/>
            </w:pPr>
            <w:r>
              <w:rPr>
                <w:color w:val="1C3A36"/>
                <w:sz w:val="14"/>
              </w:rPr>
              <w:t>4,306.2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pbt_fy23</w:t>
            </w:r>
          </w:p>
        </w:tc>
        <w:tc>
          <w:tcPr>
            <w:tcW w:type="dxa" w:w="1656"/>
          </w:tcPr>
          <w:p>
            <w:pPr>
              <w:spacing w:after="20"/>
            </w:pPr>
            <w:r>
              <w:rPr>
                <w:color w:val="1C3A36"/>
                <w:sz w:val="14"/>
              </w:rPr>
              <w:t>3,558.5</w:t>
            </w:r>
          </w:p>
        </w:tc>
        <w:tc>
          <w:tcPr>
            <w:tcW w:type="dxa" w:w="5904"/>
          </w:tcPr>
          <w:p>
            <w:pPr>
              <w:spacing w:after="20"/>
            </w:pPr>
            <w:r>
              <w:rPr>
                <w:color w:val="1C3A36"/>
                <w:sz w:val="14"/>
              </w:rPr>
              <w:t>DERIVED (flagged): profit 1,667.851 + total federal royalty 1,890.650 (revenue leg 1,400.199 + profit leg 490.451, Note 27, Audited consolidated FS, Annual Report 2023, investors.du.ae (PwC, unqualified opinion 13-Feb-2024)) — the pre-royalty profit the FY2023 statement layout never prints as one line</w:t>
            </w:r>
          </w:p>
        </w:tc>
        <w:tc>
          <w:tcPr>
            <w:tcW w:type="dxa" w:w="1080"/>
          </w:tcPr>
          <w:p>
            <w:pPr>
              <w:spacing w:after="20"/>
            </w:pPr>
            <w:r>
              <w:rPr>
                <w:color w:val="1C3A36"/>
                <w:sz w:val="14"/>
              </w:rPr>
              <w:t>2024-02-13</w:t>
            </w:r>
          </w:p>
        </w:tc>
      </w:tr>
      <w:tr>
        <w:tc>
          <w:tcPr>
            <w:tcW w:type="dxa" w:w="1512"/>
          </w:tcPr>
          <w:p>
            <w:pPr>
              <w:spacing w:after="20"/>
            </w:pPr>
            <w:r>
              <w:rPr>
                <w:color w:val="1C3A36"/>
                <w:sz w:val="14"/>
              </w:rPr>
              <w:t>royalty_fy25</w:t>
            </w:r>
          </w:p>
        </w:tc>
        <w:tc>
          <w:tcPr>
            <w:tcW w:type="dxa" w:w="1656"/>
          </w:tcPr>
          <w:p>
            <w:pPr>
              <w:spacing w:after="20"/>
            </w:pPr>
            <w:r>
              <w:rPr>
                <w:color w:val="1C3A36"/>
                <w:sz w:val="14"/>
              </w:rPr>
              <w:t>1,956.6</w:t>
            </w:r>
          </w:p>
        </w:tc>
        <w:tc>
          <w:tcPr>
            <w:tcW w:type="dxa" w:w="5904"/>
          </w:tcPr>
          <w:p>
            <w:pPr>
              <w:spacing w:after="20"/>
            </w:pPr>
            <w:r>
              <w:rPr>
                <w:color w:val="1C3A36"/>
                <w:sz w:val="14"/>
              </w:rPr>
              <w:t>Audited consolidated FS, Integrated Annual Report 2025, investors.du.ae (KPMG Lower Gulf, unmodified opinion 09-Feb-2026), federal royalty on the face</w:t>
            </w:r>
          </w:p>
        </w:tc>
        <w:tc>
          <w:tcPr>
            <w:tcW w:type="dxa" w:w="1080"/>
          </w:tcPr>
          <w:p>
            <w:pPr>
              <w:spacing w:after="20"/>
            </w:pPr>
            <w:r>
              <w:rPr>
                <w:color w:val="1C3A36"/>
                <w:sz w:val="14"/>
              </w:rPr>
              <w:t>2026-02-09</w:t>
            </w:r>
          </w:p>
        </w:tc>
      </w:tr>
      <w:tr>
        <w:tc>
          <w:tcPr>
            <w:tcW w:type="dxa" w:w="1512"/>
          </w:tcPr>
          <w:p>
            <w:pPr>
              <w:spacing w:after="20"/>
            </w:pPr>
            <w:r>
              <w:rPr>
                <w:color w:val="1C3A36"/>
                <w:sz w:val="14"/>
              </w:rPr>
              <w:t>royalty_fy24</w:t>
            </w:r>
          </w:p>
        </w:tc>
        <w:tc>
          <w:tcPr>
            <w:tcW w:type="dxa" w:w="1656"/>
          </w:tcPr>
          <w:p>
            <w:pPr>
              <w:spacing w:after="20"/>
            </w:pPr>
            <w:r>
              <w:rPr>
                <w:color w:val="1C3A36"/>
                <w:sz w:val="14"/>
              </w:rPr>
              <w:t>1,571.6</w:t>
            </w:r>
          </w:p>
        </w:tc>
        <w:tc>
          <w:tcPr>
            <w:tcW w:type="dxa" w:w="5904"/>
          </w:tcPr>
          <w:p>
            <w:pPr>
              <w:spacing w:after="20"/>
            </w:pPr>
            <w:r>
              <w:rPr>
                <w:color w:val="1C3A36"/>
                <w:sz w:val="14"/>
              </w:rPr>
              <w:t>Audited consolidated FS, Integrated Annual Report 2025, investors.du.ae (KPMG Lower Gulf, unmodified opinion 09-Feb-2026), FY2024 comparative (IFRS 18)</w:t>
            </w:r>
          </w:p>
        </w:tc>
        <w:tc>
          <w:tcPr>
            <w:tcW w:type="dxa" w:w="1080"/>
          </w:tcPr>
          <w:p>
            <w:pPr>
              <w:spacing w:after="20"/>
            </w:pPr>
            <w:r>
              <w:rPr>
                <w:color w:val="1C3A36"/>
                <w:sz w:val="14"/>
              </w:rPr>
              <w:t>2026-02-09</w:t>
            </w:r>
          </w:p>
        </w:tc>
      </w:tr>
      <w:tr>
        <w:tc>
          <w:tcPr>
            <w:tcW w:type="dxa" w:w="1512"/>
          </w:tcPr>
          <w:p>
            <w:pPr>
              <w:spacing w:after="20"/>
            </w:pPr>
            <w:r>
              <w:rPr>
                <w:color w:val="1C3A36"/>
                <w:sz w:val="14"/>
              </w:rPr>
              <w:t>royalty_fy23</w:t>
            </w:r>
          </w:p>
        </w:tc>
        <w:tc>
          <w:tcPr>
            <w:tcW w:type="dxa" w:w="1656"/>
          </w:tcPr>
          <w:p>
            <w:pPr>
              <w:spacing w:after="20"/>
            </w:pPr>
            <w:r>
              <w:rPr>
                <w:color w:val="1C3A36"/>
                <w:sz w:val="14"/>
              </w:rPr>
              <w:t>1,890.7</w:t>
            </w:r>
          </w:p>
        </w:tc>
        <w:tc>
          <w:tcPr>
            <w:tcW w:type="dxa" w:w="5904"/>
          </w:tcPr>
          <w:p>
            <w:pPr>
              <w:spacing w:after="20"/>
            </w:pPr>
            <w:r>
              <w:rPr>
                <w:color w:val="1C3A36"/>
                <w:sz w:val="14"/>
              </w:rPr>
              <w:t>Audited consolidated FS, Annual Report 2023, investors.du.ae (PwC, unqualified opinion 13-Feb-2024), Note 27: royalty on regulated revenue 1,400.199 + royalty on regulated profit 490.451</w:t>
            </w:r>
          </w:p>
        </w:tc>
        <w:tc>
          <w:tcPr>
            <w:tcW w:type="dxa" w:w="1080"/>
          </w:tcPr>
          <w:p>
            <w:pPr>
              <w:spacing w:after="20"/>
            </w:pPr>
            <w:r>
              <w:rPr>
                <w:color w:val="1C3A36"/>
                <w:sz w:val="14"/>
              </w:rPr>
              <w:t>2024-02-13</w:t>
            </w:r>
          </w:p>
        </w:tc>
      </w:tr>
      <w:tr>
        <w:tc>
          <w:tcPr>
            <w:tcW w:type="dxa" w:w="1512"/>
          </w:tcPr>
          <w:p>
            <w:pPr>
              <w:spacing w:after="20"/>
            </w:pPr>
            <w:r>
              <w:rPr>
                <w:color w:val="1C3A36"/>
                <w:sz w:val="14"/>
              </w:rPr>
              <w:t>tax_fy25</w:t>
            </w:r>
          </w:p>
        </w:tc>
        <w:tc>
          <w:tcPr>
            <w:tcW w:type="dxa" w:w="1656"/>
          </w:tcPr>
          <w:p>
            <w:pPr>
              <w:spacing w:after="20"/>
            </w:pPr>
            <w:r>
              <w:rPr>
                <w:color w:val="1C3A36"/>
                <w:sz w:val="14"/>
              </w:rPr>
              <w:t>287.4</w:t>
            </w:r>
          </w:p>
        </w:tc>
        <w:tc>
          <w:tcPr>
            <w:tcW w:type="dxa" w:w="5904"/>
          </w:tcPr>
          <w:p>
            <w:pPr>
              <w:spacing w:after="20"/>
            </w:pPr>
            <w:r>
              <w:rPr>
                <w:color w:val="1C3A36"/>
                <w:sz w:val="14"/>
              </w:rPr>
              <w:t>Audited consolidated FS, Integrated Annual Report 2025, investors.du.ae (KPMG Lower Gulf, unmodified opinion 09-Feb-2026), income tax expense on the face</w:t>
            </w:r>
          </w:p>
        </w:tc>
        <w:tc>
          <w:tcPr>
            <w:tcW w:type="dxa" w:w="1080"/>
          </w:tcPr>
          <w:p>
            <w:pPr>
              <w:spacing w:after="20"/>
            </w:pPr>
            <w:r>
              <w:rPr>
                <w:color w:val="1C3A36"/>
                <w:sz w:val="14"/>
              </w:rPr>
              <w:t>2026-02-09</w:t>
            </w:r>
          </w:p>
        </w:tc>
      </w:tr>
      <w:tr>
        <w:tc>
          <w:tcPr>
            <w:tcW w:type="dxa" w:w="1512"/>
          </w:tcPr>
          <w:p>
            <w:pPr>
              <w:spacing w:after="20"/>
            </w:pPr>
            <w:r>
              <w:rPr>
                <w:color w:val="1C3A36"/>
                <w:sz w:val="14"/>
              </w:rPr>
              <w:t>tax_fy24</w:t>
            </w:r>
          </w:p>
        </w:tc>
        <w:tc>
          <w:tcPr>
            <w:tcW w:type="dxa" w:w="1656"/>
          </w:tcPr>
          <w:p>
            <w:pPr>
              <w:spacing w:after="20"/>
            </w:pPr>
            <w:r>
              <w:rPr>
                <w:color w:val="1C3A36"/>
                <w:sz w:val="14"/>
              </w:rPr>
              <w:t>247.0</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np_fy23</w:t>
            </w:r>
          </w:p>
        </w:tc>
        <w:tc>
          <w:tcPr>
            <w:tcW w:type="dxa" w:w="1656"/>
          </w:tcPr>
          <w:p>
            <w:pPr>
              <w:spacing w:after="20"/>
            </w:pPr>
            <w:r>
              <w:rPr>
                <w:color w:val="1C3A36"/>
                <w:sz w:val="14"/>
              </w:rPr>
              <w:t>1,667.9</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np_fy24</w:t>
            </w:r>
          </w:p>
        </w:tc>
        <w:tc>
          <w:tcPr>
            <w:tcW w:type="dxa" w:w="1656"/>
          </w:tcPr>
          <w:p>
            <w:pPr>
              <w:spacing w:after="20"/>
            </w:pPr>
            <w:r>
              <w:rPr>
                <w:color w:val="1C3A36"/>
                <w:sz w:val="14"/>
              </w:rPr>
              <w:t>2,487.5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np_fy25</w:t>
            </w:r>
          </w:p>
        </w:tc>
        <w:tc>
          <w:tcPr>
            <w:tcW w:type="dxa" w:w="1656"/>
          </w:tcPr>
          <w:p>
            <w:pPr>
              <w:spacing w:after="20"/>
            </w:pPr>
            <w:r>
              <w:rPr>
                <w:color w:val="1C3A36"/>
                <w:sz w:val="14"/>
              </w:rPr>
              <w:t>2,905.1</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eps_fy23</w:t>
            </w:r>
          </w:p>
        </w:tc>
        <w:tc>
          <w:tcPr>
            <w:tcW w:type="dxa" w:w="1656"/>
          </w:tcPr>
          <w:p>
            <w:pPr>
              <w:spacing w:after="20"/>
            </w:pPr>
            <w:r>
              <w:rPr>
                <w:color w:val="1C3A36"/>
                <w:sz w:val="14"/>
              </w:rPr>
              <w:t>0.37</w:t>
            </w:r>
          </w:p>
        </w:tc>
        <w:tc>
          <w:tcPr>
            <w:tcW w:type="dxa" w:w="5904"/>
          </w:tcPr>
          <w:p>
            <w:pPr>
              <w:spacing w:after="20"/>
            </w:pPr>
            <w:r>
              <w:rPr>
                <w:color w:val="1C3A36"/>
                <w:sz w:val="14"/>
              </w:rPr>
              <w:t>Audited consolidated FS, Annual Report 2023, investors.du.ae (PwC, unqualified opinion 13-Feb-2024), Note 29</w:t>
            </w:r>
          </w:p>
        </w:tc>
        <w:tc>
          <w:tcPr>
            <w:tcW w:type="dxa" w:w="1080"/>
          </w:tcPr>
          <w:p>
            <w:pPr>
              <w:spacing w:after="20"/>
            </w:pPr>
            <w:r>
              <w:rPr>
                <w:color w:val="1C3A36"/>
                <w:sz w:val="14"/>
              </w:rPr>
              <w:t>2024-02-13</w:t>
            </w:r>
          </w:p>
        </w:tc>
      </w:tr>
      <w:tr>
        <w:tc>
          <w:tcPr>
            <w:tcW w:type="dxa" w:w="1512"/>
          </w:tcPr>
          <w:p>
            <w:pPr>
              <w:spacing w:after="20"/>
            </w:pPr>
            <w:r>
              <w:rPr>
                <w:color w:val="1C3A36"/>
                <w:sz w:val="14"/>
              </w:rPr>
              <w:t>eps_fy24</w:t>
            </w:r>
          </w:p>
        </w:tc>
        <w:tc>
          <w:tcPr>
            <w:tcW w:type="dxa" w:w="1656"/>
          </w:tcPr>
          <w:p>
            <w:pPr>
              <w:spacing w:after="20"/>
            </w:pPr>
            <w:r>
              <w:rPr>
                <w:color w:val="1C3A36"/>
                <w:sz w:val="14"/>
              </w:rPr>
              <w:t>0.55</w:t>
            </w:r>
          </w:p>
        </w:tc>
        <w:tc>
          <w:tcPr>
            <w:tcW w:type="dxa" w:w="5904"/>
          </w:tcPr>
          <w:p>
            <w:pPr>
              <w:spacing w:after="20"/>
            </w:pPr>
            <w:r>
              <w:rPr>
                <w:color w:val="1C3A36"/>
                <w:sz w:val="14"/>
              </w:rPr>
              <w:t>Audited consolidated FS, Integrated Annual Report 2025, investors.du.ae (KPMG Lower Gulf, unmodified opinion 09-Feb-2026), Note 33 comparative</w:t>
            </w:r>
          </w:p>
        </w:tc>
        <w:tc>
          <w:tcPr>
            <w:tcW w:type="dxa" w:w="1080"/>
          </w:tcPr>
          <w:p>
            <w:pPr>
              <w:spacing w:after="20"/>
            </w:pPr>
            <w:r>
              <w:rPr>
                <w:color w:val="1C3A36"/>
                <w:sz w:val="14"/>
              </w:rPr>
              <w:t>2026-02-09</w:t>
            </w:r>
          </w:p>
        </w:tc>
      </w:tr>
      <w:tr>
        <w:tc>
          <w:tcPr>
            <w:tcW w:type="dxa" w:w="1512"/>
          </w:tcPr>
          <w:p>
            <w:pPr>
              <w:spacing w:after="20"/>
            </w:pPr>
            <w:r>
              <w:rPr>
                <w:color w:val="1C3A36"/>
                <w:sz w:val="14"/>
              </w:rPr>
              <w:t>eps_fy25</w:t>
            </w:r>
          </w:p>
        </w:tc>
        <w:tc>
          <w:tcPr>
            <w:tcW w:type="dxa" w:w="1656"/>
          </w:tcPr>
          <w:p>
            <w:pPr>
              <w:spacing w:after="20"/>
            </w:pPr>
            <w:r>
              <w:rPr>
                <w:color w:val="1C3A36"/>
                <w:sz w:val="14"/>
              </w:rPr>
              <w:t>0.64</w:t>
            </w:r>
          </w:p>
        </w:tc>
        <w:tc>
          <w:tcPr>
            <w:tcW w:type="dxa" w:w="5904"/>
          </w:tcPr>
          <w:p>
            <w:pPr>
              <w:spacing w:after="20"/>
            </w:pPr>
            <w:r>
              <w:rPr>
                <w:color w:val="1C3A36"/>
                <w:sz w:val="14"/>
              </w:rPr>
              <w:t>Audited consolidated FS, Integrated Annual Report 2025, investors.du.ae (KPMG Lower Gulf, unmodified opinion 09-Feb-2026), Note 33</w:t>
            </w:r>
          </w:p>
        </w:tc>
        <w:tc>
          <w:tcPr>
            <w:tcW w:type="dxa" w:w="1080"/>
          </w:tcPr>
          <w:p>
            <w:pPr>
              <w:spacing w:after="20"/>
            </w:pPr>
            <w:r>
              <w:rPr>
                <w:color w:val="1C3A36"/>
                <w:sz w:val="14"/>
              </w:rPr>
              <w:t>2026-02-09</w:t>
            </w:r>
          </w:p>
        </w:tc>
      </w:tr>
      <w:tr>
        <w:tc>
          <w:tcPr>
            <w:tcW w:type="dxa" w:w="1512"/>
          </w:tcPr>
          <w:p>
            <w:pPr>
              <w:spacing w:after="20"/>
            </w:pPr>
            <w:r>
              <w:rPr>
                <w:color w:val="1C3A36"/>
                <w:sz w:val="14"/>
              </w:rPr>
              <w:t>tax_eff</w:t>
            </w:r>
          </w:p>
        </w:tc>
        <w:tc>
          <w:tcPr>
            <w:tcW w:type="dxa" w:w="1656"/>
          </w:tcPr>
          <w:p>
            <w:pPr>
              <w:spacing w:after="20"/>
            </w:pPr>
            <w:r>
              <w:rPr>
                <w:color w:val="1C3A36"/>
                <w:sz w:val="14"/>
              </w:rPr>
              <w:t>0.4357</w:t>
            </w:r>
          </w:p>
        </w:tc>
        <w:tc>
          <w:tcPr>
            <w:tcW w:type="dxa" w:w="5904"/>
          </w:tcPr>
          <w:p>
            <w:pPr>
              <w:spacing w:after="20"/>
            </w:pPr>
            <w:r>
              <w:rPr>
                <w:color w:val="1C3A36"/>
                <w:sz w:val="14"/>
              </w:rPr>
              <w:t>Combined federal royalty + income tax charge / profit before both, audited FY2025: (1,956.602 + 287.435) / 5,149.122 = 43.57% (Note 26 states 43.6%; FY2024 44.7%). Regime: Cabinet decision 8/38 of 2023 — 38% federal royalty on total UAE regulated and non-regulated profits + 9% corporate income tax, combined floor AED 1.8bn/yr, legislated for 2024-2026</w:t>
            </w:r>
          </w:p>
        </w:tc>
        <w:tc>
          <w:tcPr>
            <w:tcW w:type="dxa" w:w="1080"/>
          </w:tcPr>
          <w:p>
            <w:pPr>
              <w:spacing w:after="20"/>
            </w:pPr>
            <w:r>
              <w:rPr>
                <w:color w:val="1C3A36"/>
                <w:sz w:val="14"/>
              </w:rPr>
              <w:t>2026-02-09</w:t>
            </w:r>
          </w:p>
        </w:tc>
      </w:tr>
      <w:tr>
        <w:tc>
          <w:tcPr>
            <w:tcW w:type="dxa" w:w="1512"/>
          </w:tcPr>
          <w:p>
            <w:pPr>
              <w:spacing w:after="20"/>
            </w:pPr>
            <w:r>
              <w:rPr>
                <w:color w:val="1C3A36"/>
                <w:sz w:val="14"/>
              </w:rPr>
              <w:t>reg_share</w:t>
            </w:r>
          </w:p>
        </w:tc>
        <w:tc>
          <w:tcPr>
            <w:tcW w:type="dxa" w:w="1656"/>
          </w:tcPr>
          <w:p>
            <w:pPr>
              <w:spacing w:after="20"/>
            </w:pPr>
            <w:r>
              <w:rPr>
                <w:color w:val="1C3A36"/>
                <w:sz w:val="14"/>
              </w:rPr>
              <w:t>0.69</w:t>
            </w:r>
          </w:p>
        </w:tc>
        <w:tc>
          <w:tcPr>
            <w:tcW w:type="dxa" w:w="5904"/>
          </w:tcPr>
          <w:p>
            <w:pPr>
              <w:spacing w:after="20"/>
            </w:pPr>
            <w:r>
              <w:rPr>
                <w:color w:val="1C3A36"/>
                <w:sz w:val="14"/>
              </w:rPr>
              <w:t>Regulated revenue share under the PRE-2024 regime, audited FY2023 Note 27: total regulated revenue 9,410.136 / total revenue 13,636.340 = 69.0% — the revenue base for Framing B of the contested judgement</w:t>
            </w:r>
          </w:p>
        </w:tc>
        <w:tc>
          <w:tcPr>
            <w:tcW w:type="dxa" w:w="1080"/>
          </w:tcPr>
          <w:p>
            <w:pPr>
              <w:spacing w:after="20"/>
            </w:pPr>
            <w:r>
              <w:rPr>
                <w:color w:val="1C3A36"/>
                <w:sz w:val="14"/>
              </w:rPr>
              <w:t>2024-02-13</w:t>
            </w:r>
          </w:p>
        </w:tc>
      </w:tr>
      <w:tr>
        <w:tc>
          <w:tcPr>
            <w:tcW w:type="dxa" w:w="1512"/>
          </w:tcPr>
          <w:p>
            <w:pPr>
              <w:spacing w:after="20"/>
            </w:pPr>
            <w:r>
              <w:rPr>
                <w:color w:val="1C3A36"/>
                <w:sz w:val="14"/>
              </w:rPr>
              <w:t>royB_rev_rate</w:t>
            </w:r>
          </w:p>
        </w:tc>
        <w:tc>
          <w:tcPr>
            <w:tcW w:type="dxa" w:w="1656"/>
          </w:tcPr>
          <w:p>
            <w:pPr>
              <w:spacing w:after="20"/>
            </w:pPr>
            <w:r>
              <w:rPr>
                <w:color w:val="1C3A36"/>
                <w:sz w:val="14"/>
              </w:rPr>
              <w:t>0.15</w:t>
            </w:r>
          </w:p>
        </w:tc>
        <w:tc>
          <w:tcPr>
            <w:tcW w:type="dxa" w:w="5904"/>
          </w:tcPr>
          <w:p>
            <w:pPr>
              <w:spacing w:after="20"/>
            </w:pPr>
            <w:r>
              <w:rPr>
                <w:color w:val="1C3A36"/>
                <w:sz w:val="14"/>
              </w:rPr>
              <w:t>Pre-2024 royalty construction, leg 1: 15% of regulated revenue (Audited consolidated FS, Annual Report 2023, investors.du.ae (PwC, unqualified opinion 13-Feb-2024), Note 27)</w:t>
            </w:r>
          </w:p>
        </w:tc>
        <w:tc>
          <w:tcPr>
            <w:tcW w:type="dxa" w:w="1080"/>
          </w:tcPr>
          <w:p>
            <w:pPr>
              <w:spacing w:after="20"/>
            </w:pPr>
            <w:r>
              <w:rPr>
                <w:color w:val="1C3A36"/>
                <w:sz w:val="14"/>
              </w:rPr>
              <w:t>2024-02-13</w:t>
            </w:r>
          </w:p>
        </w:tc>
      </w:tr>
      <w:tr>
        <w:tc>
          <w:tcPr>
            <w:tcW w:type="dxa" w:w="1512"/>
          </w:tcPr>
          <w:p>
            <w:pPr>
              <w:spacing w:after="20"/>
            </w:pPr>
            <w:r>
              <w:rPr>
                <w:color w:val="1C3A36"/>
                <w:sz w:val="14"/>
              </w:rPr>
              <w:t>royB_prof_rate</w:t>
            </w:r>
          </w:p>
        </w:tc>
        <w:tc>
          <w:tcPr>
            <w:tcW w:type="dxa" w:w="1656"/>
          </w:tcPr>
          <w:p>
            <w:pPr>
              <w:spacing w:after="20"/>
            </w:pPr>
            <w:r>
              <w:rPr>
                <w:color w:val="1C3A36"/>
                <w:sz w:val="14"/>
              </w:rPr>
              <w:t>0.3</w:t>
            </w:r>
          </w:p>
        </w:tc>
        <w:tc>
          <w:tcPr>
            <w:tcW w:type="dxa" w:w="5904"/>
          </w:tcPr>
          <w:p>
            <w:pPr>
              <w:spacing w:after="20"/>
            </w:pPr>
            <w:r>
              <w:rPr>
                <w:color w:val="1C3A36"/>
                <w:sz w:val="14"/>
              </w:rPr>
              <w:t>Pre-2024 royalty construction, leg 2: 30% of regulated profit after deducting the revenue-leg royalty (Audited consolidated FS, Annual Report 2023, investors.du.ae (PwC, unqualified opinion 13-Feb-2024), Note 27)</w:t>
            </w:r>
          </w:p>
        </w:tc>
        <w:tc>
          <w:tcPr>
            <w:tcW w:type="dxa" w:w="1080"/>
          </w:tcPr>
          <w:p>
            <w:pPr>
              <w:spacing w:after="20"/>
            </w:pPr>
            <w:r>
              <w:rPr>
                <w:color w:val="1C3A36"/>
                <w:sz w:val="14"/>
              </w:rPr>
              <w:t>2024-02-13</w:t>
            </w:r>
          </w:p>
        </w:tc>
      </w:tr>
      <w:tr>
        <w:tc>
          <w:tcPr>
            <w:tcW w:type="dxa" w:w="1512"/>
          </w:tcPr>
          <w:p>
            <w:pPr>
              <w:spacing w:after="20"/>
            </w:pPr>
            <w:r>
              <w:rPr>
                <w:color w:val="1C3A36"/>
                <w:sz w:val="14"/>
              </w:rPr>
              <w:t>ppe_fy23</w:t>
            </w:r>
          </w:p>
        </w:tc>
        <w:tc>
          <w:tcPr>
            <w:tcW w:type="dxa" w:w="1656"/>
          </w:tcPr>
          <w:p>
            <w:pPr>
              <w:spacing w:after="20"/>
            </w:pPr>
            <w:r>
              <w:rPr>
                <w:color w:val="1C3A36"/>
                <w:sz w:val="14"/>
              </w:rPr>
              <w:t>9,722.7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ppe_fy24</w:t>
            </w:r>
          </w:p>
        </w:tc>
        <w:tc>
          <w:tcPr>
            <w:tcW w:type="dxa" w:w="1656"/>
          </w:tcPr>
          <w:p>
            <w:pPr>
              <w:spacing w:after="20"/>
            </w:pPr>
            <w:r>
              <w:rPr>
                <w:color w:val="1C3A36"/>
                <w:sz w:val="14"/>
              </w:rPr>
              <w:t>9,838.4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ppe_fy25</w:t>
            </w:r>
          </w:p>
        </w:tc>
        <w:tc>
          <w:tcPr>
            <w:tcW w:type="dxa" w:w="1656"/>
          </w:tcPr>
          <w:p>
            <w:pPr>
              <w:spacing w:after="20"/>
            </w:pPr>
            <w:r>
              <w:rPr>
                <w:color w:val="1C3A36"/>
                <w:sz w:val="14"/>
              </w:rPr>
              <w:t>10,288.8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rou_fy23</w:t>
            </w:r>
          </w:p>
        </w:tc>
        <w:tc>
          <w:tcPr>
            <w:tcW w:type="dxa" w:w="1656"/>
          </w:tcPr>
          <w:p>
            <w:pPr>
              <w:spacing w:after="20"/>
            </w:pPr>
            <w:r>
              <w:rPr>
                <w:color w:val="1C3A36"/>
                <w:sz w:val="14"/>
              </w:rPr>
              <w:t>1,597.2</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rou_fy24</w:t>
            </w:r>
          </w:p>
        </w:tc>
        <w:tc>
          <w:tcPr>
            <w:tcW w:type="dxa" w:w="1656"/>
          </w:tcPr>
          <w:p>
            <w:pPr>
              <w:spacing w:after="20"/>
            </w:pPr>
            <w:r>
              <w:rPr>
                <w:color w:val="1C3A36"/>
                <w:sz w:val="14"/>
              </w:rPr>
              <w:t>1,657.2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rou_fy25</w:t>
            </w:r>
          </w:p>
        </w:tc>
        <w:tc>
          <w:tcPr>
            <w:tcW w:type="dxa" w:w="1656"/>
          </w:tcPr>
          <w:p>
            <w:pPr>
              <w:spacing w:after="20"/>
            </w:pPr>
            <w:r>
              <w:rPr>
                <w:color w:val="1C3A36"/>
                <w:sz w:val="14"/>
              </w:rPr>
              <w:t>1,515.4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intang_fy23</w:t>
            </w:r>
          </w:p>
        </w:tc>
        <w:tc>
          <w:tcPr>
            <w:tcW w:type="dxa" w:w="1656"/>
          </w:tcPr>
          <w:p>
            <w:pPr>
              <w:spacing w:after="20"/>
            </w:pPr>
            <w:r>
              <w:rPr>
                <w:color w:val="1C3A36"/>
                <w:sz w:val="14"/>
              </w:rPr>
              <w:t>1,110.8</w:t>
            </w:r>
          </w:p>
        </w:tc>
        <w:tc>
          <w:tcPr>
            <w:tcW w:type="dxa" w:w="5904"/>
          </w:tcPr>
          <w:p>
            <w:pPr>
              <w:spacing w:after="20"/>
            </w:pPr>
            <w:r>
              <w:rPr>
                <w:color w:val="1C3A36"/>
                <w:sz w:val="14"/>
              </w:rPr>
              <w:t>Audited consolidated FS, Annual Report 2023, investors.du.ae (PwC, unqualified opinion 13-Feb-2024) ('Intangible assets and goodwill', one line pre-2024)</w:t>
            </w:r>
          </w:p>
        </w:tc>
        <w:tc>
          <w:tcPr>
            <w:tcW w:type="dxa" w:w="1080"/>
          </w:tcPr>
          <w:p>
            <w:pPr>
              <w:spacing w:after="20"/>
            </w:pPr>
            <w:r>
              <w:rPr>
                <w:color w:val="1C3A36"/>
                <w:sz w:val="14"/>
              </w:rPr>
              <w:t>2024-02-13</w:t>
            </w:r>
          </w:p>
        </w:tc>
      </w:tr>
      <w:tr>
        <w:tc>
          <w:tcPr>
            <w:tcW w:type="dxa" w:w="1512"/>
          </w:tcPr>
          <w:p>
            <w:pPr>
              <w:spacing w:after="20"/>
            </w:pPr>
            <w:r>
              <w:rPr>
                <w:color w:val="1C3A36"/>
                <w:sz w:val="14"/>
              </w:rPr>
              <w:t>intang_fy24</w:t>
            </w:r>
          </w:p>
        </w:tc>
        <w:tc>
          <w:tcPr>
            <w:tcW w:type="dxa" w:w="1656"/>
          </w:tcPr>
          <w:p>
            <w:pPr>
              <w:spacing w:after="20"/>
            </w:pPr>
            <w:r>
              <w:rPr>
                <w:color w:val="1C3A36"/>
                <w:sz w:val="14"/>
              </w:rPr>
              <w:t>846.9</w:t>
            </w:r>
          </w:p>
        </w:tc>
        <w:tc>
          <w:tcPr>
            <w:tcW w:type="dxa" w:w="5904"/>
          </w:tcPr>
          <w:p>
            <w:pPr>
              <w:spacing w:after="20"/>
            </w:pPr>
            <w:r>
              <w:rPr>
                <w:color w:val="1C3A36"/>
                <w:sz w:val="14"/>
              </w:rPr>
              <w:t>Audited consolidated FS, Integrated Annual Report 2025, investors.du.ae (KPMG Lower Gulf, unmodified opinion 09-Feb-2026), FY2024 comparative (intangibles excl. goodwill)</w:t>
            </w:r>
          </w:p>
        </w:tc>
        <w:tc>
          <w:tcPr>
            <w:tcW w:type="dxa" w:w="1080"/>
          </w:tcPr>
          <w:p>
            <w:pPr>
              <w:spacing w:after="20"/>
            </w:pPr>
            <w:r>
              <w:rPr>
                <w:color w:val="1C3A36"/>
                <w:sz w:val="14"/>
              </w:rPr>
              <w:t>2026-02-09</w:t>
            </w:r>
          </w:p>
        </w:tc>
      </w:tr>
      <w:tr>
        <w:tc>
          <w:tcPr>
            <w:tcW w:type="dxa" w:w="1512"/>
          </w:tcPr>
          <w:p>
            <w:pPr>
              <w:spacing w:after="20"/>
            </w:pPr>
            <w:r>
              <w:rPr>
                <w:color w:val="1C3A36"/>
                <w:sz w:val="14"/>
              </w:rPr>
              <w:t>intang_fy25</w:t>
            </w:r>
          </w:p>
        </w:tc>
        <w:tc>
          <w:tcPr>
            <w:tcW w:type="dxa" w:w="1656"/>
          </w:tcPr>
          <w:p>
            <w:pPr>
              <w:spacing w:after="20"/>
            </w:pPr>
            <w:r>
              <w:rPr>
                <w:color w:val="1C3A36"/>
                <w:sz w:val="14"/>
              </w:rPr>
              <w:t>869.6</w:t>
            </w:r>
          </w:p>
        </w:tc>
        <w:tc>
          <w:tcPr>
            <w:tcW w:type="dxa" w:w="5904"/>
          </w:tcPr>
          <w:p>
            <w:pPr>
              <w:spacing w:after="20"/>
            </w:pPr>
            <w:r>
              <w:rPr>
                <w:color w:val="1C3A36"/>
                <w:sz w:val="14"/>
              </w:rPr>
              <w:t>Audited consolidated FS, Integrated Annual Report 2025, investors.du.ae (KPMG Lower Gulf, unmodified opinion 09-Feb-2026) (software 297.272 + capital work in progress 571.459 + TDRA licence NBV 0.869, Note 8)</w:t>
            </w:r>
          </w:p>
        </w:tc>
        <w:tc>
          <w:tcPr>
            <w:tcW w:type="dxa" w:w="1080"/>
          </w:tcPr>
          <w:p>
            <w:pPr>
              <w:spacing w:after="20"/>
            </w:pPr>
            <w:r>
              <w:rPr>
                <w:color w:val="1C3A36"/>
                <w:sz w:val="14"/>
              </w:rPr>
              <w:t>2026-02-09</w:t>
            </w:r>
          </w:p>
        </w:tc>
      </w:tr>
      <w:tr>
        <w:tc>
          <w:tcPr>
            <w:tcW w:type="dxa" w:w="1512"/>
          </w:tcPr>
          <w:p>
            <w:pPr>
              <w:spacing w:after="20"/>
            </w:pPr>
            <w:r>
              <w:rPr>
                <w:color w:val="1C3A36"/>
                <w:sz w:val="14"/>
              </w:rPr>
              <w:t>goodwill_fy25</w:t>
            </w:r>
          </w:p>
        </w:tc>
        <w:tc>
          <w:tcPr>
            <w:tcW w:type="dxa" w:w="1656"/>
          </w:tcPr>
          <w:p>
            <w:pPr>
              <w:spacing w:after="20"/>
            </w:pPr>
            <w:r>
              <w:rPr>
                <w:color w:val="1C3A36"/>
                <w:sz w:val="14"/>
              </w:rPr>
              <w:t>413.2</w:t>
            </w:r>
          </w:p>
        </w:tc>
        <w:tc>
          <w:tcPr>
            <w:tcW w:type="dxa" w:w="5904"/>
          </w:tcPr>
          <w:p>
            <w:pPr>
              <w:spacing w:after="20"/>
            </w:pPr>
            <w:r>
              <w:rPr>
                <w:color w:val="1C3A36"/>
                <w:sz w:val="14"/>
              </w:rPr>
              <w:t>Audited consolidated FS, Integrated Annual Report 2025, investors.du.ae (KPMG Lower Gulf, unmodified opinion 09-Feb-2026), Note 9 (unchanged from FY2024)</w:t>
            </w:r>
          </w:p>
        </w:tc>
        <w:tc>
          <w:tcPr>
            <w:tcW w:type="dxa" w:w="1080"/>
          </w:tcPr>
          <w:p>
            <w:pPr>
              <w:spacing w:after="20"/>
            </w:pPr>
            <w:r>
              <w:rPr>
                <w:color w:val="1C3A36"/>
                <w:sz w:val="14"/>
              </w:rPr>
              <w:t>2026-02-09</w:t>
            </w:r>
          </w:p>
        </w:tc>
      </w:tr>
      <w:tr>
        <w:tc>
          <w:tcPr>
            <w:tcW w:type="dxa" w:w="1512"/>
          </w:tcPr>
          <w:p>
            <w:pPr>
              <w:spacing w:after="20"/>
            </w:pPr>
            <w:r>
              <w:rPr>
                <w:color w:val="1C3A36"/>
                <w:sz w:val="14"/>
              </w:rPr>
              <w:t>inv_fy23</w:t>
            </w:r>
          </w:p>
        </w:tc>
        <w:tc>
          <w:tcPr>
            <w:tcW w:type="dxa" w:w="1656"/>
          </w:tcPr>
          <w:p>
            <w:pPr>
              <w:spacing w:after="20"/>
            </w:pPr>
            <w:r>
              <w:rPr>
                <w:color w:val="1C3A36"/>
                <w:sz w:val="14"/>
              </w:rPr>
              <w:t>101.7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inv_fy24</w:t>
            </w:r>
          </w:p>
        </w:tc>
        <w:tc>
          <w:tcPr>
            <w:tcW w:type="dxa" w:w="1656"/>
          </w:tcPr>
          <w:p>
            <w:pPr>
              <w:spacing w:after="20"/>
            </w:pPr>
            <w:r>
              <w:rPr>
                <w:color w:val="1C3A36"/>
                <w:sz w:val="14"/>
              </w:rPr>
              <w:t>175.6</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inv_fy25</w:t>
            </w:r>
          </w:p>
        </w:tc>
        <w:tc>
          <w:tcPr>
            <w:tcW w:type="dxa" w:w="1656"/>
          </w:tcPr>
          <w:p>
            <w:pPr>
              <w:spacing w:after="20"/>
            </w:pPr>
            <w:r>
              <w:rPr>
                <w:color w:val="1C3A36"/>
                <w:sz w:val="14"/>
              </w:rPr>
              <w:t>175.5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recv_fy23</w:t>
            </w:r>
          </w:p>
        </w:tc>
        <w:tc>
          <w:tcPr>
            <w:tcW w:type="dxa" w:w="1656"/>
          </w:tcPr>
          <w:p>
            <w:pPr>
              <w:spacing w:after="20"/>
            </w:pPr>
            <w:r>
              <w:rPr>
                <w:color w:val="1C3A36"/>
                <w:sz w:val="14"/>
              </w:rPr>
              <w:t>2,224.0</w:t>
            </w:r>
          </w:p>
        </w:tc>
        <w:tc>
          <w:tcPr>
            <w:tcW w:type="dxa" w:w="5904"/>
          </w:tcPr>
          <w:p>
            <w:pPr>
              <w:spacing w:after="20"/>
            </w:pPr>
            <w:r>
              <w:rPr>
                <w:color w:val="1C3A36"/>
                <w:sz w:val="14"/>
              </w:rPr>
              <w:t>Audited consolidated FS, Annual Report 2023, investors.du.ae (PwC, unqualified opinion 13-Feb-2024) ('Trade receivables, contract assets and other assets', current)</w:t>
            </w:r>
          </w:p>
        </w:tc>
        <w:tc>
          <w:tcPr>
            <w:tcW w:type="dxa" w:w="1080"/>
          </w:tcPr>
          <w:p>
            <w:pPr>
              <w:spacing w:after="20"/>
            </w:pPr>
            <w:r>
              <w:rPr>
                <w:color w:val="1C3A36"/>
                <w:sz w:val="14"/>
              </w:rPr>
              <w:t>2024-02-13</w:t>
            </w:r>
          </w:p>
        </w:tc>
      </w:tr>
      <w:tr>
        <w:tc>
          <w:tcPr>
            <w:tcW w:type="dxa" w:w="1512"/>
          </w:tcPr>
          <w:p>
            <w:pPr>
              <w:spacing w:after="20"/>
            </w:pPr>
            <w:r>
              <w:rPr>
                <w:color w:val="1C3A36"/>
                <w:sz w:val="14"/>
              </w:rPr>
              <w:t>recv_fy24</w:t>
            </w:r>
          </w:p>
        </w:tc>
        <w:tc>
          <w:tcPr>
            <w:tcW w:type="dxa" w:w="1656"/>
          </w:tcPr>
          <w:p>
            <w:pPr>
              <w:spacing w:after="20"/>
            </w:pPr>
            <w:r>
              <w:rPr>
                <w:color w:val="1C3A36"/>
                <w:sz w:val="14"/>
              </w:rPr>
              <w:t>2,128.6</w:t>
            </w:r>
          </w:p>
        </w:tc>
        <w:tc>
          <w:tcPr>
            <w:tcW w:type="dxa" w:w="5904"/>
          </w:tcPr>
          <w:p>
            <w:pPr>
              <w:spacing w:after="20"/>
            </w:pPr>
            <w:r>
              <w:rPr>
                <w:color w:val="1C3A36"/>
                <w:sz w:val="14"/>
              </w:rPr>
              <w:t>Audited consolidated FS, Integrated Annual Report 2025, investors.du.ae (KPMG Lower Gulf, unmodified opinion 09-Feb-2026), FY2024 comparative (trade receivables and contract assets, current)</w:t>
            </w:r>
          </w:p>
        </w:tc>
        <w:tc>
          <w:tcPr>
            <w:tcW w:type="dxa" w:w="1080"/>
          </w:tcPr>
          <w:p>
            <w:pPr>
              <w:spacing w:after="20"/>
            </w:pPr>
            <w:r>
              <w:rPr>
                <w:color w:val="1C3A36"/>
                <w:sz w:val="14"/>
              </w:rPr>
              <w:t>2026-02-09</w:t>
            </w:r>
          </w:p>
        </w:tc>
      </w:tr>
      <w:tr>
        <w:tc>
          <w:tcPr>
            <w:tcW w:type="dxa" w:w="1512"/>
          </w:tcPr>
          <w:p>
            <w:pPr>
              <w:spacing w:after="20"/>
            </w:pPr>
            <w:r>
              <w:rPr>
                <w:color w:val="1C3A36"/>
                <w:sz w:val="14"/>
              </w:rPr>
              <w:t>recv_fy25</w:t>
            </w:r>
          </w:p>
        </w:tc>
        <w:tc>
          <w:tcPr>
            <w:tcW w:type="dxa" w:w="1656"/>
          </w:tcPr>
          <w:p>
            <w:pPr>
              <w:spacing w:after="20"/>
            </w:pPr>
            <w:r>
              <w:rPr>
                <w:color w:val="1C3A36"/>
                <w:sz w:val="14"/>
              </w:rPr>
              <w:t>2,222.5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ccost_fy23</w:t>
            </w:r>
          </w:p>
        </w:tc>
        <w:tc>
          <w:tcPr>
            <w:tcW w:type="dxa" w:w="1656"/>
          </w:tcPr>
          <w:p>
            <w:pPr>
              <w:spacing w:after="20"/>
            </w:pPr>
            <w:r>
              <w:rPr>
                <w:color w:val="1C3A36"/>
                <w:sz w:val="14"/>
              </w:rPr>
              <w:t>341.9</w:t>
            </w:r>
          </w:p>
        </w:tc>
        <w:tc>
          <w:tcPr>
            <w:tcW w:type="dxa" w:w="5904"/>
          </w:tcPr>
          <w:p>
            <w:pPr>
              <w:spacing w:after="20"/>
            </w:pPr>
            <w:r>
              <w:rPr>
                <w:color w:val="1C3A36"/>
                <w:sz w:val="14"/>
              </w:rPr>
              <w:t>Audited consolidated FS, Annual Report 2023, investors.du.ae (PwC, unqualified opinion 13-Feb-2024) (contract costs, current)</w:t>
            </w:r>
          </w:p>
        </w:tc>
        <w:tc>
          <w:tcPr>
            <w:tcW w:type="dxa" w:w="1080"/>
          </w:tcPr>
          <w:p>
            <w:pPr>
              <w:spacing w:after="20"/>
            </w:pPr>
            <w:r>
              <w:rPr>
                <w:color w:val="1C3A36"/>
                <w:sz w:val="14"/>
              </w:rPr>
              <w:t>2024-02-13</w:t>
            </w:r>
          </w:p>
        </w:tc>
      </w:tr>
      <w:tr>
        <w:tc>
          <w:tcPr>
            <w:tcW w:type="dxa" w:w="1512"/>
          </w:tcPr>
          <w:p>
            <w:pPr>
              <w:spacing w:after="20"/>
            </w:pPr>
            <w:r>
              <w:rPr>
                <w:color w:val="1C3A36"/>
                <w:sz w:val="14"/>
              </w:rPr>
              <w:t>ccost_fy24</w:t>
            </w:r>
          </w:p>
        </w:tc>
        <w:tc>
          <w:tcPr>
            <w:tcW w:type="dxa" w:w="1656"/>
          </w:tcPr>
          <w:p>
            <w:pPr>
              <w:spacing w:after="20"/>
            </w:pPr>
            <w:r>
              <w:rPr>
                <w:color w:val="1C3A36"/>
                <w:sz w:val="14"/>
              </w:rPr>
              <w:t>361.6</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ccost_fy25</w:t>
            </w:r>
          </w:p>
        </w:tc>
        <w:tc>
          <w:tcPr>
            <w:tcW w:type="dxa" w:w="1656"/>
          </w:tcPr>
          <w:p>
            <w:pPr>
              <w:spacing w:after="20"/>
            </w:pPr>
            <w:r>
              <w:rPr>
                <w:color w:val="1C3A36"/>
                <w:sz w:val="14"/>
              </w:rPr>
              <w:t>442.4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relparty_a_fy23</w:t>
            </w:r>
          </w:p>
        </w:tc>
        <w:tc>
          <w:tcPr>
            <w:tcW w:type="dxa" w:w="1656"/>
          </w:tcPr>
          <w:p>
            <w:pPr>
              <w:spacing w:after="20"/>
            </w:pPr>
            <w:r>
              <w:rPr>
                <w:color w:val="1C3A36"/>
                <w:sz w:val="14"/>
              </w:rPr>
              <w:t>53.449</w:t>
            </w:r>
          </w:p>
        </w:tc>
        <w:tc>
          <w:tcPr>
            <w:tcW w:type="dxa" w:w="5904"/>
          </w:tcPr>
          <w:p>
            <w:pPr>
              <w:spacing w:after="20"/>
            </w:pPr>
            <w:r>
              <w:rPr>
                <w:color w:val="1C3A36"/>
                <w:sz w:val="14"/>
              </w:rPr>
              <w:t>Audited consolidated FS, Annual Report 2023, investors.du.ae (PwC, unqualified opinion 13-Feb-2024) (due from related parties)</w:t>
            </w:r>
          </w:p>
        </w:tc>
        <w:tc>
          <w:tcPr>
            <w:tcW w:type="dxa" w:w="1080"/>
          </w:tcPr>
          <w:p>
            <w:pPr>
              <w:spacing w:after="20"/>
            </w:pPr>
            <w:r>
              <w:rPr>
                <w:color w:val="1C3A36"/>
                <w:sz w:val="14"/>
              </w:rPr>
              <w:t>2024-02-13</w:t>
            </w:r>
          </w:p>
        </w:tc>
      </w:tr>
      <w:tr>
        <w:tc>
          <w:tcPr>
            <w:tcW w:type="dxa" w:w="1512"/>
          </w:tcPr>
          <w:p>
            <w:pPr>
              <w:spacing w:after="20"/>
            </w:pPr>
            <w:r>
              <w:rPr>
                <w:color w:val="1C3A36"/>
                <w:sz w:val="14"/>
              </w:rPr>
              <w:t>relparty_a_fy24</w:t>
            </w:r>
          </w:p>
        </w:tc>
        <w:tc>
          <w:tcPr>
            <w:tcW w:type="dxa" w:w="1656"/>
          </w:tcPr>
          <w:p>
            <w:pPr>
              <w:spacing w:after="20"/>
            </w:pPr>
            <w:r>
              <w:rPr>
                <w:color w:val="1C3A36"/>
                <w:sz w:val="14"/>
              </w:rPr>
              <w:t>21.732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relparty_a_fy25</w:t>
            </w:r>
          </w:p>
        </w:tc>
        <w:tc>
          <w:tcPr>
            <w:tcW w:type="dxa" w:w="1656"/>
          </w:tcPr>
          <w:p>
            <w:pPr>
              <w:spacing w:after="20"/>
            </w:pPr>
            <w:r>
              <w:rPr>
                <w:color w:val="1C3A36"/>
                <w:sz w:val="14"/>
              </w:rPr>
              <w:t>27.481</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othca_fy23</w:t>
            </w:r>
          </w:p>
        </w:tc>
        <w:tc>
          <w:tcPr>
            <w:tcW w:type="dxa" w:w="1656"/>
          </w:tcPr>
          <w:p>
            <w:pPr>
              <w:spacing w:after="20"/>
            </w:pPr>
            <w:r>
              <w:rPr>
                <w:color w:val="1C3A36"/>
                <w:sz w:val="14"/>
              </w:rPr>
              <w:t>0</w:t>
            </w:r>
          </w:p>
        </w:tc>
        <w:tc>
          <w:tcPr>
            <w:tcW w:type="dxa" w:w="5904"/>
          </w:tcPr>
          <w:p>
            <w:pPr>
              <w:spacing w:after="20"/>
            </w:pPr>
            <w:r>
              <w:rPr>
                <w:color w:val="1C3A36"/>
                <w:sz w:val="14"/>
              </w:rPr>
              <w:t>Audited consolidated FS, Annual Report 2023, investors.du.ae (PwC, unqualified opinion 13-Feb-2024) — other non-financial assets are not a separate current line in the FY2023 layout (folded into trade receivables and other assets); carried at zero to avoid double-counting</w:t>
            </w:r>
          </w:p>
        </w:tc>
        <w:tc>
          <w:tcPr>
            <w:tcW w:type="dxa" w:w="1080"/>
          </w:tcPr>
          <w:p>
            <w:pPr>
              <w:spacing w:after="20"/>
            </w:pPr>
            <w:r>
              <w:rPr>
                <w:color w:val="1C3A36"/>
                <w:sz w:val="14"/>
              </w:rPr>
              <w:t>2024-02-13</w:t>
            </w:r>
          </w:p>
        </w:tc>
      </w:tr>
      <w:tr>
        <w:tc>
          <w:tcPr>
            <w:tcW w:type="dxa" w:w="1512"/>
          </w:tcPr>
          <w:p>
            <w:pPr>
              <w:spacing w:after="20"/>
            </w:pPr>
            <w:r>
              <w:rPr>
                <w:color w:val="1C3A36"/>
                <w:sz w:val="14"/>
              </w:rPr>
              <w:t>othca_fy24</w:t>
            </w:r>
          </w:p>
        </w:tc>
        <w:tc>
          <w:tcPr>
            <w:tcW w:type="dxa" w:w="1656"/>
          </w:tcPr>
          <w:p>
            <w:pPr>
              <w:spacing w:after="20"/>
            </w:pPr>
            <w:r>
              <w:rPr>
                <w:color w:val="1C3A36"/>
                <w:sz w:val="14"/>
              </w:rPr>
              <w:t>324.3</w:t>
            </w:r>
          </w:p>
        </w:tc>
        <w:tc>
          <w:tcPr>
            <w:tcW w:type="dxa" w:w="5904"/>
          </w:tcPr>
          <w:p>
            <w:pPr>
              <w:spacing w:after="20"/>
            </w:pPr>
            <w:r>
              <w:rPr>
                <w:color w:val="1C3A36"/>
                <w:sz w:val="14"/>
              </w:rPr>
              <w:t>Audited consolidated FS, Integrated Annual Report 2025, investors.du.ae (KPMG Lower Gulf, unmodified opinion 09-Feb-2026), FY2024 comparative (other non-financial assets, current)</w:t>
            </w:r>
          </w:p>
        </w:tc>
        <w:tc>
          <w:tcPr>
            <w:tcW w:type="dxa" w:w="1080"/>
          </w:tcPr>
          <w:p>
            <w:pPr>
              <w:spacing w:after="20"/>
            </w:pPr>
            <w:r>
              <w:rPr>
                <w:color w:val="1C3A36"/>
                <w:sz w:val="14"/>
              </w:rPr>
              <w:t>2026-02-09</w:t>
            </w:r>
          </w:p>
        </w:tc>
      </w:tr>
      <w:tr>
        <w:tc>
          <w:tcPr>
            <w:tcW w:type="dxa" w:w="1512"/>
          </w:tcPr>
          <w:p>
            <w:pPr>
              <w:spacing w:after="20"/>
            </w:pPr>
            <w:r>
              <w:rPr>
                <w:color w:val="1C3A36"/>
                <w:sz w:val="14"/>
              </w:rPr>
              <w:t>othca_fy25</w:t>
            </w:r>
          </w:p>
        </w:tc>
        <w:tc>
          <w:tcPr>
            <w:tcW w:type="dxa" w:w="1656"/>
          </w:tcPr>
          <w:p>
            <w:pPr>
              <w:spacing w:after="20"/>
            </w:pPr>
            <w:r>
              <w:rPr>
                <w:color w:val="1C3A36"/>
                <w:sz w:val="14"/>
              </w:rPr>
              <w:t>416.8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cash_fy23</w:t>
            </w:r>
          </w:p>
        </w:tc>
        <w:tc>
          <w:tcPr>
            <w:tcW w:type="dxa" w:w="1656"/>
          </w:tcPr>
          <w:p>
            <w:pPr>
              <w:spacing w:after="20"/>
            </w:pPr>
            <w:r>
              <w:rPr>
                <w:color w:val="1C3A36"/>
                <w:sz w:val="14"/>
              </w:rPr>
              <w:t>610.0</w:t>
            </w:r>
          </w:p>
        </w:tc>
        <w:tc>
          <w:tcPr>
            <w:tcW w:type="dxa" w:w="5904"/>
          </w:tcPr>
          <w:p>
            <w:pPr>
              <w:spacing w:after="20"/>
            </w:pPr>
            <w:r>
              <w:rPr>
                <w:color w:val="1C3A36"/>
                <w:sz w:val="14"/>
              </w:rPr>
              <w:t>Audited consolidated FS, Annual Report 2023, investors.du.ae (PwC, unqualified opinion 13-Feb-2024) (cash and bank balances)</w:t>
            </w:r>
          </w:p>
        </w:tc>
        <w:tc>
          <w:tcPr>
            <w:tcW w:type="dxa" w:w="1080"/>
          </w:tcPr>
          <w:p>
            <w:pPr>
              <w:spacing w:after="20"/>
            </w:pPr>
            <w:r>
              <w:rPr>
                <w:color w:val="1C3A36"/>
                <w:sz w:val="14"/>
              </w:rPr>
              <w:t>2024-02-13</w:t>
            </w:r>
          </w:p>
        </w:tc>
      </w:tr>
      <w:tr>
        <w:tc>
          <w:tcPr>
            <w:tcW w:type="dxa" w:w="1512"/>
          </w:tcPr>
          <w:p>
            <w:pPr>
              <w:spacing w:after="20"/>
            </w:pPr>
            <w:r>
              <w:rPr>
                <w:color w:val="1C3A36"/>
                <w:sz w:val="14"/>
              </w:rPr>
              <w:t>cash_fy24</w:t>
            </w:r>
          </w:p>
        </w:tc>
        <w:tc>
          <w:tcPr>
            <w:tcW w:type="dxa" w:w="1656"/>
          </w:tcPr>
          <w:p>
            <w:pPr>
              <w:spacing w:after="20"/>
            </w:pPr>
            <w:r>
              <w:rPr>
                <w:color w:val="1C3A36"/>
                <w:sz w:val="14"/>
              </w:rPr>
              <w:t>984.0</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cash_fy25</w:t>
            </w:r>
          </w:p>
        </w:tc>
        <w:tc>
          <w:tcPr>
            <w:tcW w:type="dxa" w:w="1656"/>
          </w:tcPr>
          <w:p>
            <w:pPr>
              <w:spacing w:after="20"/>
            </w:pPr>
            <w:r>
              <w:rPr>
                <w:color w:val="1C3A36"/>
                <w:sz w:val="14"/>
              </w:rPr>
              <w:t>465.7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deposits_fy23</w:t>
            </w:r>
          </w:p>
        </w:tc>
        <w:tc>
          <w:tcPr>
            <w:tcW w:type="dxa" w:w="1656"/>
          </w:tcPr>
          <w:p>
            <w:pPr>
              <w:spacing w:after="20"/>
            </w:pPr>
            <w:r>
              <w:rPr>
                <w:color w:val="1C3A36"/>
                <w:sz w:val="14"/>
              </w:rPr>
              <w:t>1,326.6</w:t>
            </w:r>
          </w:p>
        </w:tc>
        <w:tc>
          <w:tcPr>
            <w:tcW w:type="dxa" w:w="5904"/>
          </w:tcPr>
          <w:p>
            <w:pPr>
              <w:spacing w:after="20"/>
            </w:pPr>
            <w:r>
              <w:rPr>
                <w:color w:val="1C3A36"/>
                <w:sz w:val="14"/>
              </w:rPr>
              <w:t>Audited consolidated FS, Annual Report 2023, investors.du.ae (PwC, unqualified opinion 13-Feb-2024) (term deposits)</w:t>
            </w:r>
          </w:p>
        </w:tc>
        <w:tc>
          <w:tcPr>
            <w:tcW w:type="dxa" w:w="1080"/>
          </w:tcPr>
          <w:p>
            <w:pPr>
              <w:spacing w:after="20"/>
            </w:pPr>
            <w:r>
              <w:rPr>
                <w:color w:val="1C3A36"/>
                <w:sz w:val="14"/>
              </w:rPr>
              <w:t>2024-02-13</w:t>
            </w:r>
          </w:p>
        </w:tc>
      </w:tr>
      <w:tr>
        <w:tc>
          <w:tcPr>
            <w:tcW w:type="dxa" w:w="1512"/>
          </w:tcPr>
          <w:p>
            <w:pPr>
              <w:spacing w:after="20"/>
            </w:pPr>
            <w:r>
              <w:rPr>
                <w:color w:val="1C3A36"/>
                <w:sz w:val="14"/>
              </w:rPr>
              <w:t>deposits_fy24</w:t>
            </w:r>
          </w:p>
        </w:tc>
        <w:tc>
          <w:tcPr>
            <w:tcW w:type="dxa" w:w="1656"/>
          </w:tcPr>
          <w:p>
            <w:pPr>
              <w:spacing w:after="20"/>
            </w:pPr>
            <w:r>
              <w:rPr>
                <w:color w:val="1C3A36"/>
                <w:sz w:val="14"/>
              </w:rPr>
              <w:t>1,299.3</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deposits_fy25</w:t>
            </w:r>
          </w:p>
        </w:tc>
        <w:tc>
          <w:tcPr>
            <w:tcW w:type="dxa" w:w="1656"/>
          </w:tcPr>
          <w:p>
            <w:pPr>
              <w:spacing w:after="20"/>
            </w:pPr>
            <w:r>
              <w:rPr>
                <w:color w:val="1C3A36"/>
                <w:sz w:val="14"/>
              </w:rPr>
              <w:t>1,784.0</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assets_fy23</w:t>
            </w:r>
          </w:p>
        </w:tc>
        <w:tc>
          <w:tcPr>
            <w:tcW w:type="dxa" w:w="1656"/>
          </w:tcPr>
          <w:p>
            <w:pPr>
              <w:spacing w:after="20"/>
            </w:pPr>
            <w:r>
              <w:rPr>
                <w:color w:val="1C3A36"/>
                <w:sz w:val="14"/>
              </w:rPr>
              <w:t>17,703.7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assets_fy24</w:t>
            </w:r>
          </w:p>
        </w:tc>
        <w:tc>
          <w:tcPr>
            <w:tcW w:type="dxa" w:w="1656"/>
          </w:tcPr>
          <w:p>
            <w:pPr>
              <w:spacing w:after="20"/>
            </w:pPr>
            <w:r>
              <w:rPr>
                <w:color w:val="1C3A36"/>
                <w:sz w:val="14"/>
              </w:rPr>
              <w:t>18,693.3</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assets_fy25</w:t>
            </w:r>
          </w:p>
        </w:tc>
        <w:tc>
          <w:tcPr>
            <w:tcW w:type="dxa" w:w="1656"/>
          </w:tcPr>
          <w:p>
            <w:pPr>
              <w:spacing w:after="20"/>
            </w:pPr>
            <w:r>
              <w:rPr>
                <w:color w:val="1C3A36"/>
                <w:sz w:val="14"/>
              </w:rPr>
              <w:t>19,375.7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pay_fy23</w:t>
            </w:r>
          </w:p>
        </w:tc>
        <w:tc>
          <w:tcPr>
            <w:tcW w:type="dxa" w:w="1656"/>
          </w:tcPr>
          <w:p>
            <w:pPr>
              <w:spacing w:after="20"/>
            </w:pPr>
            <w:r>
              <w:rPr>
                <w:color w:val="1C3A36"/>
                <w:sz w:val="14"/>
              </w:rPr>
              <w:t>5,247.3</w:t>
            </w:r>
          </w:p>
        </w:tc>
        <w:tc>
          <w:tcPr>
            <w:tcW w:type="dxa" w:w="5904"/>
          </w:tcPr>
          <w:p>
            <w:pPr>
              <w:spacing w:after="20"/>
            </w:pPr>
            <w:r>
              <w:rPr>
                <w:color w:val="1C3A36"/>
                <w:sz w:val="14"/>
              </w:rPr>
              <w:t>Audited consolidated FS, Annual Report 2023, investors.du.ae (PwC, unqualified opinion 13-Feb-2024) (trade and other payables — INCLUDES the accrued federal royalty, which the FY2023 layout does not present separately)</w:t>
            </w:r>
          </w:p>
        </w:tc>
        <w:tc>
          <w:tcPr>
            <w:tcW w:type="dxa" w:w="1080"/>
          </w:tcPr>
          <w:p>
            <w:pPr>
              <w:spacing w:after="20"/>
            </w:pPr>
            <w:r>
              <w:rPr>
                <w:color w:val="1C3A36"/>
                <w:sz w:val="14"/>
              </w:rPr>
              <w:t>2024-02-13</w:t>
            </w:r>
          </w:p>
        </w:tc>
      </w:tr>
      <w:tr>
        <w:tc>
          <w:tcPr>
            <w:tcW w:type="dxa" w:w="1512"/>
          </w:tcPr>
          <w:p>
            <w:pPr>
              <w:spacing w:after="20"/>
            </w:pPr>
            <w:r>
              <w:rPr>
                <w:color w:val="1C3A36"/>
                <w:sz w:val="14"/>
              </w:rPr>
              <w:t>roy_accr_fy23</w:t>
            </w:r>
          </w:p>
        </w:tc>
        <w:tc>
          <w:tcPr>
            <w:tcW w:type="dxa" w:w="1656"/>
          </w:tcPr>
          <w:p>
            <w:pPr>
              <w:spacing w:after="20"/>
            </w:pPr>
            <w:r>
              <w:rPr>
                <w:color w:val="1C3A36"/>
                <w:sz w:val="14"/>
              </w:rPr>
              <w:t>2,033.2</w:t>
            </w:r>
          </w:p>
        </w:tc>
        <w:tc>
          <w:tcPr>
            <w:tcW w:type="dxa" w:w="5904"/>
          </w:tcPr>
          <w:p>
            <w:pPr>
              <w:spacing w:after="20"/>
            </w:pPr>
            <w:r>
              <w:rPr>
                <w:color w:val="1C3A36"/>
                <w:sz w:val="14"/>
              </w:rPr>
              <w:t>Audited consolidated FS, Annual Report 2024, investors.du.ae (PwC, unqualified opinion 10-Feb-2025), Note 23 accrued-royalty movement: balance at 1-Jan-2024 = 2,033.172 — the royalty accrual sitting INSIDE FY2023 trade payables, netted out for a like-for-like working-capital series</w:t>
            </w:r>
          </w:p>
        </w:tc>
        <w:tc>
          <w:tcPr>
            <w:tcW w:type="dxa" w:w="1080"/>
          </w:tcPr>
          <w:p>
            <w:pPr>
              <w:spacing w:after="20"/>
            </w:pPr>
            <w:r>
              <w:rPr>
                <w:color w:val="1C3A36"/>
                <w:sz w:val="14"/>
              </w:rPr>
              <w:t>2025-02-10</w:t>
            </w:r>
          </w:p>
        </w:tc>
      </w:tr>
      <w:tr>
        <w:tc>
          <w:tcPr>
            <w:tcW w:type="dxa" w:w="1512"/>
          </w:tcPr>
          <w:p>
            <w:pPr>
              <w:spacing w:after="20"/>
            </w:pPr>
            <w:r>
              <w:rPr>
                <w:color w:val="1C3A36"/>
                <w:sz w:val="14"/>
              </w:rPr>
              <w:t>pay_fy24</w:t>
            </w:r>
          </w:p>
        </w:tc>
        <w:tc>
          <w:tcPr>
            <w:tcW w:type="dxa" w:w="1656"/>
          </w:tcPr>
          <w:p>
            <w:pPr>
              <w:spacing w:after="20"/>
            </w:pPr>
            <w:r>
              <w:rPr>
                <w:color w:val="1C3A36"/>
                <w:sz w:val="14"/>
              </w:rPr>
              <w:t>3,666.1</w:t>
            </w:r>
          </w:p>
        </w:tc>
        <w:tc>
          <w:tcPr>
            <w:tcW w:type="dxa" w:w="5904"/>
          </w:tcPr>
          <w:p>
            <w:pPr>
              <w:spacing w:after="20"/>
            </w:pPr>
            <w:r>
              <w:rPr>
                <w:color w:val="1C3A36"/>
                <w:sz w:val="14"/>
              </w:rPr>
              <w:t>Audited consolidated FS, Integrated Annual Report 2025, investors.du.ae (KPMG Lower Gulf, unmodified opinion 09-Feb-2026), FY2024 comparative (trade and other payables)</w:t>
            </w:r>
          </w:p>
        </w:tc>
        <w:tc>
          <w:tcPr>
            <w:tcW w:type="dxa" w:w="1080"/>
          </w:tcPr>
          <w:p>
            <w:pPr>
              <w:spacing w:after="20"/>
            </w:pPr>
            <w:r>
              <w:rPr>
                <w:color w:val="1C3A36"/>
                <w:sz w:val="14"/>
              </w:rPr>
              <w:t>2026-02-09</w:t>
            </w:r>
          </w:p>
        </w:tc>
      </w:tr>
      <w:tr>
        <w:tc>
          <w:tcPr>
            <w:tcW w:type="dxa" w:w="1512"/>
          </w:tcPr>
          <w:p>
            <w:pPr>
              <w:spacing w:after="20"/>
            </w:pPr>
            <w:r>
              <w:rPr>
                <w:color w:val="1C3A36"/>
                <w:sz w:val="14"/>
              </w:rPr>
              <w:t>pay_fy25</w:t>
            </w:r>
          </w:p>
        </w:tc>
        <w:tc>
          <w:tcPr>
            <w:tcW w:type="dxa" w:w="1656"/>
          </w:tcPr>
          <w:p>
            <w:pPr>
              <w:spacing w:after="20"/>
            </w:pPr>
            <w:r>
              <w:rPr>
                <w:color w:val="1C3A36"/>
                <w:sz w:val="14"/>
              </w:rPr>
              <w:t>3,711.3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roytax_fy24</w:t>
            </w:r>
          </w:p>
        </w:tc>
        <w:tc>
          <w:tcPr>
            <w:tcW w:type="dxa" w:w="1656"/>
          </w:tcPr>
          <w:p>
            <w:pPr>
              <w:spacing w:after="20"/>
            </w:pPr>
            <w:r>
              <w:rPr>
                <w:color w:val="1C3A36"/>
                <w:sz w:val="14"/>
              </w:rPr>
              <w:t>1,923.5</w:t>
            </w:r>
          </w:p>
        </w:tc>
        <w:tc>
          <w:tcPr>
            <w:tcW w:type="dxa" w:w="5904"/>
          </w:tcPr>
          <w:p>
            <w:pPr>
              <w:spacing w:after="20"/>
            </w:pPr>
            <w:r>
              <w:rPr>
                <w:color w:val="1C3A36"/>
                <w:sz w:val="14"/>
              </w:rPr>
              <w:t>Audited consolidated FS, Integrated Annual Report 2025, investors.du.ae (KPMG Lower Gulf, unmodified opinion 09-Feb-2026), FY2024 comparative (federal royalty and income tax, current liability)</w:t>
            </w:r>
          </w:p>
        </w:tc>
        <w:tc>
          <w:tcPr>
            <w:tcW w:type="dxa" w:w="1080"/>
          </w:tcPr>
          <w:p>
            <w:pPr>
              <w:spacing w:after="20"/>
            </w:pPr>
            <w:r>
              <w:rPr>
                <w:color w:val="1C3A36"/>
                <w:sz w:val="14"/>
              </w:rPr>
              <w:t>2026-02-09</w:t>
            </w:r>
          </w:p>
        </w:tc>
      </w:tr>
      <w:tr>
        <w:tc>
          <w:tcPr>
            <w:tcW w:type="dxa" w:w="1512"/>
          </w:tcPr>
          <w:p>
            <w:pPr>
              <w:spacing w:after="20"/>
            </w:pPr>
            <w:r>
              <w:rPr>
                <w:color w:val="1C3A36"/>
                <w:sz w:val="14"/>
              </w:rPr>
              <w:t>roytax_fy25</w:t>
            </w:r>
          </w:p>
        </w:tc>
        <w:tc>
          <w:tcPr>
            <w:tcW w:type="dxa" w:w="1656"/>
          </w:tcPr>
          <w:p>
            <w:pPr>
              <w:spacing w:after="20"/>
            </w:pPr>
            <w:r>
              <w:rPr>
                <w:color w:val="1C3A36"/>
                <w:sz w:val="14"/>
              </w:rPr>
              <w:t>2,283.4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cliab_fy23</w:t>
            </w:r>
          </w:p>
        </w:tc>
        <w:tc>
          <w:tcPr>
            <w:tcW w:type="dxa" w:w="1656"/>
          </w:tcPr>
          <w:p>
            <w:pPr>
              <w:spacing w:after="20"/>
            </w:pPr>
            <w:r>
              <w:rPr>
                <w:color w:val="1C3A36"/>
                <w:sz w:val="14"/>
              </w:rPr>
              <w:t>465.7</w:t>
            </w:r>
          </w:p>
        </w:tc>
        <w:tc>
          <w:tcPr>
            <w:tcW w:type="dxa" w:w="5904"/>
          </w:tcPr>
          <w:p>
            <w:pPr>
              <w:spacing w:after="20"/>
            </w:pPr>
            <w:r>
              <w:rPr>
                <w:color w:val="1C3A36"/>
                <w:sz w:val="14"/>
              </w:rPr>
              <w:t>Audited consolidated FS, Annual Report 2023, investors.du.ae (PwC, unqualified opinion 13-Feb-2024) (contract liabilities, current)</w:t>
            </w:r>
          </w:p>
        </w:tc>
        <w:tc>
          <w:tcPr>
            <w:tcW w:type="dxa" w:w="1080"/>
          </w:tcPr>
          <w:p>
            <w:pPr>
              <w:spacing w:after="20"/>
            </w:pPr>
            <w:r>
              <w:rPr>
                <w:color w:val="1C3A36"/>
                <w:sz w:val="14"/>
              </w:rPr>
              <w:t>2024-02-13</w:t>
            </w:r>
          </w:p>
        </w:tc>
      </w:tr>
      <w:tr>
        <w:tc>
          <w:tcPr>
            <w:tcW w:type="dxa" w:w="1512"/>
          </w:tcPr>
          <w:p>
            <w:pPr>
              <w:spacing w:after="20"/>
            </w:pPr>
            <w:r>
              <w:rPr>
                <w:color w:val="1C3A36"/>
                <w:sz w:val="14"/>
              </w:rPr>
              <w:t>cliab_fy24</w:t>
            </w:r>
          </w:p>
        </w:tc>
        <w:tc>
          <w:tcPr>
            <w:tcW w:type="dxa" w:w="1656"/>
          </w:tcPr>
          <w:p>
            <w:pPr>
              <w:spacing w:after="20"/>
            </w:pPr>
            <w:r>
              <w:rPr>
                <w:color w:val="1C3A36"/>
                <w:sz w:val="14"/>
              </w:rPr>
              <w:t>559.2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cliab_fy25</w:t>
            </w:r>
          </w:p>
        </w:tc>
        <w:tc>
          <w:tcPr>
            <w:tcW w:type="dxa" w:w="1656"/>
          </w:tcPr>
          <w:p>
            <w:pPr>
              <w:spacing w:after="20"/>
            </w:pPr>
            <w:r>
              <w:rPr>
                <w:color w:val="1C3A36"/>
                <w:sz w:val="14"/>
              </w:rPr>
              <w:t>629.7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relparty_l_fy23</w:t>
            </w:r>
          </w:p>
        </w:tc>
        <w:tc>
          <w:tcPr>
            <w:tcW w:type="dxa" w:w="1656"/>
          </w:tcPr>
          <w:p>
            <w:pPr>
              <w:spacing w:after="20"/>
            </w:pPr>
            <w:r>
              <w:rPr>
                <w:color w:val="1C3A36"/>
                <w:sz w:val="14"/>
              </w:rPr>
              <w:t>6.064</w:t>
            </w:r>
          </w:p>
        </w:tc>
        <w:tc>
          <w:tcPr>
            <w:tcW w:type="dxa" w:w="5904"/>
          </w:tcPr>
          <w:p>
            <w:pPr>
              <w:spacing w:after="20"/>
            </w:pPr>
            <w:r>
              <w:rPr>
                <w:color w:val="1C3A36"/>
                <w:sz w:val="14"/>
              </w:rPr>
              <w:t>Audited consolidated FS, Annual Report 2023, investors.du.ae (PwC, unqualified opinion 13-Feb-2024) (due to related parties)</w:t>
            </w:r>
          </w:p>
        </w:tc>
        <w:tc>
          <w:tcPr>
            <w:tcW w:type="dxa" w:w="1080"/>
          </w:tcPr>
          <w:p>
            <w:pPr>
              <w:spacing w:after="20"/>
            </w:pPr>
            <w:r>
              <w:rPr>
                <w:color w:val="1C3A36"/>
                <w:sz w:val="14"/>
              </w:rPr>
              <w:t>2024-02-13</w:t>
            </w:r>
          </w:p>
        </w:tc>
      </w:tr>
      <w:tr>
        <w:tc>
          <w:tcPr>
            <w:tcW w:type="dxa" w:w="1512"/>
          </w:tcPr>
          <w:p>
            <w:pPr>
              <w:spacing w:after="20"/>
            </w:pPr>
            <w:r>
              <w:rPr>
                <w:color w:val="1C3A36"/>
                <w:sz w:val="14"/>
              </w:rPr>
              <w:t>relparty_l_fy24</w:t>
            </w:r>
          </w:p>
        </w:tc>
        <w:tc>
          <w:tcPr>
            <w:tcW w:type="dxa" w:w="1656"/>
          </w:tcPr>
          <w:p>
            <w:pPr>
              <w:spacing w:after="20"/>
            </w:pPr>
            <w:r>
              <w:rPr>
                <w:color w:val="1C3A36"/>
                <w:sz w:val="14"/>
              </w:rPr>
              <w:t>6.717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relparty_l_fy25</w:t>
            </w:r>
          </w:p>
        </w:tc>
        <w:tc>
          <w:tcPr>
            <w:tcW w:type="dxa" w:w="1656"/>
          </w:tcPr>
          <w:p>
            <w:pPr>
              <w:spacing w:after="20"/>
            </w:pPr>
            <w:r>
              <w:rPr>
                <w:color w:val="1C3A36"/>
                <w:sz w:val="14"/>
              </w:rPr>
              <w:t>6.03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lease_fy23</w:t>
            </w:r>
          </w:p>
        </w:tc>
        <w:tc>
          <w:tcPr>
            <w:tcW w:type="dxa" w:w="1656"/>
          </w:tcPr>
          <w:p>
            <w:pPr>
              <w:spacing w:after="20"/>
            </w:pPr>
            <w:r>
              <w:rPr>
                <w:color w:val="1C3A36"/>
                <w:sz w:val="14"/>
              </w:rPr>
              <w:t>2,105.0</w:t>
            </w:r>
          </w:p>
        </w:tc>
        <w:tc>
          <w:tcPr>
            <w:tcW w:type="dxa" w:w="5904"/>
          </w:tcPr>
          <w:p>
            <w:pPr>
              <w:spacing w:after="20"/>
            </w:pPr>
            <w:r>
              <w:rPr>
                <w:color w:val="1C3A36"/>
                <w:sz w:val="14"/>
              </w:rPr>
              <w:t>Audited consolidated FS, Annual Report 2023, investors.du.ae (PwC, unqualified opinion 13-Feb-2024) (lease liabilities: current 649.585 + non-current 1,455.374)</w:t>
            </w:r>
          </w:p>
        </w:tc>
        <w:tc>
          <w:tcPr>
            <w:tcW w:type="dxa" w:w="1080"/>
          </w:tcPr>
          <w:p>
            <w:pPr>
              <w:spacing w:after="20"/>
            </w:pPr>
            <w:r>
              <w:rPr>
                <w:color w:val="1C3A36"/>
                <w:sz w:val="14"/>
              </w:rPr>
              <w:t>2024-02-13</w:t>
            </w:r>
          </w:p>
        </w:tc>
      </w:tr>
      <w:tr>
        <w:tc>
          <w:tcPr>
            <w:tcW w:type="dxa" w:w="1512"/>
          </w:tcPr>
          <w:p>
            <w:pPr>
              <w:spacing w:after="20"/>
            </w:pPr>
            <w:r>
              <w:rPr>
                <w:color w:val="1C3A36"/>
                <w:sz w:val="14"/>
              </w:rPr>
              <w:t>lease_fy24</w:t>
            </w:r>
          </w:p>
        </w:tc>
        <w:tc>
          <w:tcPr>
            <w:tcW w:type="dxa" w:w="1656"/>
          </w:tcPr>
          <w:p>
            <w:pPr>
              <w:spacing w:after="20"/>
            </w:pPr>
            <w:r>
              <w:rPr>
                <w:color w:val="1C3A36"/>
                <w:sz w:val="14"/>
              </w:rPr>
              <w:t>1,998.7</w:t>
            </w:r>
          </w:p>
        </w:tc>
        <w:tc>
          <w:tcPr>
            <w:tcW w:type="dxa" w:w="5904"/>
          </w:tcPr>
          <w:p>
            <w:pPr>
              <w:spacing w:after="20"/>
            </w:pPr>
            <w:r>
              <w:rPr>
                <w:color w:val="1C3A36"/>
                <w:sz w:val="14"/>
              </w:rPr>
              <w:t>Audited consolidated FS, Integrated Annual Report 2025, investors.du.ae (KPMG Lower Gulf, unmodified opinion 09-Feb-2026), FY2024 comparative (561.999 + 1,436.688)</w:t>
            </w:r>
          </w:p>
        </w:tc>
        <w:tc>
          <w:tcPr>
            <w:tcW w:type="dxa" w:w="1080"/>
          </w:tcPr>
          <w:p>
            <w:pPr>
              <w:spacing w:after="20"/>
            </w:pPr>
            <w:r>
              <w:rPr>
                <w:color w:val="1C3A36"/>
                <w:sz w:val="14"/>
              </w:rPr>
              <w:t>2026-02-09</w:t>
            </w:r>
          </w:p>
        </w:tc>
      </w:tr>
      <w:tr>
        <w:tc>
          <w:tcPr>
            <w:tcW w:type="dxa" w:w="1512"/>
          </w:tcPr>
          <w:p>
            <w:pPr>
              <w:spacing w:after="20"/>
            </w:pPr>
            <w:r>
              <w:rPr>
                <w:color w:val="1C3A36"/>
                <w:sz w:val="14"/>
              </w:rPr>
              <w:t>lease_fy25</w:t>
            </w:r>
          </w:p>
        </w:tc>
        <w:tc>
          <w:tcPr>
            <w:tcW w:type="dxa" w:w="1656"/>
          </w:tcPr>
          <w:p>
            <w:pPr>
              <w:spacing w:after="20"/>
            </w:pPr>
            <w:r>
              <w:rPr>
                <w:color w:val="1C3A36"/>
                <w:sz w:val="14"/>
              </w:rPr>
              <w:t>1,938.8</w:t>
            </w:r>
          </w:p>
        </w:tc>
        <w:tc>
          <w:tcPr>
            <w:tcW w:type="dxa" w:w="5904"/>
          </w:tcPr>
          <w:p>
            <w:pPr>
              <w:spacing w:after="20"/>
            </w:pPr>
            <w:r>
              <w:rPr>
                <w:color w:val="1C3A36"/>
                <w:sz w:val="14"/>
              </w:rPr>
              <w:t>Audited consolidated FS, Integrated Annual Report 2025, investors.du.ae (KPMG Lower Gulf, unmodified opinion 09-Feb-2026) (592.141 + 1,346.678)</w:t>
            </w:r>
          </w:p>
        </w:tc>
        <w:tc>
          <w:tcPr>
            <w:tcW w:type="dxa" w:w="1080"/>
          </w:tcPr>
          <w:p>
            <w:pPr>
              <w:spacing w:after="20"/>
            </w:pPr>
            <w:r>
              <w:rPr>
                <w:color w:val="1C3A36"/>
                <w:sz w:val="14"/>
              </w:rPr>
              <w:t>2026-02-09</w:t>
            </w:r>
          </w:p>
        </w:tc>
      </w:tr>
      <w:tr>
        <w:tc>
          <w:tcPr>
            <w:tcW w:type="dxa" w:w="1512"/>
          </w:tcPr>
          <w:p>
            <w:pPr>
              <w:spacing w:after="20"/>
            </w:pPr>
            <w:r>
              <w:rPr>
                <w:color w:val="1C3A36"/>
                <w:sz w:val="14"/>
              </w:rPr>
              <w:t>debt_fy25</w:t>
            </w:r>
          </w:p>
        </w:tc>
        <w:tc>
          <w:tcPr>
            <w:tcW w:type="dxa" w:w="1656"/>
          </w:tcPr>
          <w:p>
            <w:pPr>
              <w:spacing w:after="20"/>
            </w:pPr>
            <w:r>
              <w:rPr>
                <w:color w:val="1C3A36"/>
                <w:sz w:val="14"/>
              </w:rPr>
              <w:t>0</w:t>
            </w:r>
          </w:p>
        </w:tc>
        <w:tc>
          <w:tcPr>
            <w:tcW w:type="dxa" w:w="5904"/>
          </w:tcPr>
          <w:p>
            <w:pPr>
              <w:spacing w:after="20"/>
            </w:pPr>
            <w:r>
              <w:rPr>
                <w:color w:val="1C3A36"/>
                <w:sz w:val="14"/>
              </w:rPr>
              <w:t>Audited consolidated FS, Integrated Annual Report 2025, investors.du.ae (KPMG Lower Gulf, unmodified opinion 09-Feb-2026), Note 4.2 capital-risk table: Total borrowings '–' — ZERO drawn borrowings in every year studied (FY2022-FY2025 and both 2026 interims). The only facility is undrawn: AED 2.0bn 7-year unsecured RCF signed 06-Apr-2026</w:t>
            </w:r>
          </w:p>
        </w:tc>
        <w:tc>
          <w:tcPr>
            <w:tcW w:type="dxa" w:w="1080"/>
          </w:tcPr>
          <w:p>
            <w:pPr>
              <w:spacing w:after="20"/>
            </w:pPr>
            <w:r>
              <w:rPr>
                <w:color w:val="1C3A36"/>
                <w:sz w:val="14"/>
              </w:rPr>
              <w:t>2026-02-09</w:t>
            </w:r>
          </w:p>
        </w:tc>
      </w:tr>
      <w:tr>
        <w:tc>
          <w:tcPr>
            <w:tcW w:type="dxa" w:w="1512"/>
          </w:tcPr>
          <w:p>
            <w:pPr>
              <w:spacing w:after="20"/>
            </w:pPr>
            <w:r>
              <w:rPr>
                <w:color w:val="1C3A36"/>
                <w:sz w:val="14"/>
              </w:rPr>
              <w:t>eq_fy23</w:t>
            </w:r>
          </w:p>
        </w:tc>
        <w:tc>
          <w:tcPr>
            <w:tcW w:type="dxa" w:w="1656"/>
          </w:tcPr>
          <w:p>
            <w:pPr>
              <w:spacing w:after="20"/>
            </w:pPr>
            <w:r>
              <w:rPr>
                <w:color w:val="1C3A36"/>
                <w:sz w:val="14"/>
              </w:rPr>
              <w:t>9,243.2</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eq_fy24</w:t>
            </w:r>
          </w:p>
        </w:tc>
        <w:tc>
          <w:tcPr>
            <w:tcW w:type="dxa" w:w="1656"/>
          </w:tcPr>
          <w:p>
            <w:pPr>
              <w:spacing w:after="20"/>
            </w:pPr>
            <w:r>
              <w:rPr>
                <w:color w:val="1C3A36"/>
                <w:sz w:val="14"/>
              </w:rPr>
              <w:t>9,878.4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eq_fy25</w:t>
            </w:r>
          </w:p>
        </w:tc>
        <w:tc>
          <w:tcPr>
            <w:tcW w:type="dxa" w:w="1656"/>
          </w:tcPr>
          <w:p>
            <w:pPr>
              <w:spacing w:after="20"/>
            </w:pPr>
            <w:r>
              <w:rPr>
                <w:color w:val="1C3A36"/>
                <w:sz w:val="14"/>
              </w:rPr>
              <w:t>10,148.3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ocf_fy23</w:t>
            </w:r>
          </w:p>
        </w:tc>
        <w:tc>
          <w:tcPr>
            <w:tcW w:type="dxa" w:w="1656"/>
          </w:tcPr>
          <w:p>
            <w:pPr>
              <w:spacing w:after="20"/>
            </w:pPr>
            <w:r>
              <w:rPr>
                <w:color w:val="1C3A36"/>
                <w:sz w:val="14"/>
              </w:rPr>
              <w:t>4,425.4</w:t>
            </w:r>
          </w:p>
        </w:tc>
        <w:tc>
          <w:tcPr>
            <w:tcW w:type="dxa" w:w="5904"/>
          </w:tcPr>
          <w:p>
            <w:pPr>
              <w:spacing w:after="20"/>
            </w:pPr>
            <w:r>
              <w:rPr>
                <w:color w:val="1C3A36"/>
                <w:sz w:val="14"/>
              </w:rPr>
              <w:t>Audited consolidated FS, Annual Report 2023, investors.du.ae (PwC, unqualified opinion 13-Feb-2024), net cash generated from operating activities</w:t>
            </w:r>
          </w:p>
        </w:tc>
        <w:tc>
          <w:tcPr>
            <w:tcW w:type="dxa" w:w="1080"/>
          </w:tcPr>
          <w:p>
            <w:pPr>
              <w:spacing w:after="20"/>
            </w:pPr>
            <w:r>
              <w:rPr>
                <w:color w:val="1C3A36"/>
                <w:sz w:val="14"/>
              </w:rPr>
              <w:t>2024-02-13</w:t>
            </w:r>
          </w:p>
        </w:tc>
      </w:tr>
      <w:tr>
        <w:tc>
          <w:tcPr>
            <w:tcW w:type="dxa" w:w="1512"/>
          </w:tcPr>
          <w:p>
            <w:pPr>
              <w:spacing w:after="20"/>
            </w:pPr>
            <w:r>
              <w:rPr>
                <w:color w:val="1C3A36"/>
                <w:sz w:val="14"/>
              </w:rPr>
              <w:t>ocf_fy24</w:t>
            </w:r>
          </w:p>
        </w:tc>
        <w:tc>
          <w:tcPr>
            <w:tcW w:type="dxa" w:w="1656"/>
          </w:tcPr>
          <w:p>
            <w:pPr>
              <w:spacing w:after="20"/>
            </w:pPr>
            <w:r>
              <w:rPr>
                <w:color w:val="1C3A36"/>
                <w:sz w:val="14"/>
              </w:rPr>
              <w:t>4,636.5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ocf_fy25</w:t>
            </w:r>
          </w:p>
        </w:tc>
        <w:tc>
          <w:tcPr>
            <w:tcW w:type="dxa" w:w="1656"/>
          </w:tcPr>
          <w:p>
            <w:pPr>
              <w:spacing w:after="20"/>
            </w:pPr>
            <w:r>
              <w:rPr>
                <w:color w:val="1C3A36"/>
                <w:sz w:val="14"/>
              </w:rPr>
              <w:t>5,229.8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capex_ppe_fy23</w:t>
            </w:r>
          </w:p>
        </w:tc>
        <w:tc>
          <w:tcPr>
            <w:tcW w:type="dxa" w:w="1656"/>
          </w:tcPr>
          <w:p>
            <w:pPr>
              <w:spacing w:after="20"/>
            </w:pPr>
            <w:r>
              <w:rPr>
                <w:color w:val="1C3A36"/>
                <w:sz w:val="14"/>
              </w:rPr>
              <w:t>1,899.9</w:t>
            </w:r>
          </w:p>
        </w:tc>
        <w:tc>
          <w:tcPr>
            <w:tcW w:type="dxa" w:w="5904"/>
          </w:tcPr>
          <w:p>
            <w:pPr>
              <w:spacing w:after="20"/>
            </w:pPr>
            <w:r>
              <w:rPr>
                <w:color w:val="1C3A36"/>
                <w:sz w:val="14"/>
              </w:rPr>
              <w:t>Audited consolidated FS, Annual Report 2023, investors.du.ae (PwC, unqualified opinion 13-Feb-2024), purchase of property, plant and equipment</w:t>
            </w:r>
          </w:p>
        </w:tc>
        <w:tc>
          <w:tcPr>
            <w:tcW w:type="dxa" w:w="1080"/>
          </w:tcPr>
          <w:p>
            <w:pPr>
              <w:spacing w:after="20"/>
            </w:pPr>
            <w:r>
              <w:rPr>
                <w:color w:val="1C3A36"/>
                <w:sz w:val="14"/>
              </w:rPr>
              <w:t>2024-02-13</w:t>
            </w:r>
          </w:p>
        </w:tc>
      </w:tr>
      <w:tr>
        <w:tc>
          <w:tcPr>
            <w:tcW w:type="dxa" w:w="1512"/>
          </w:tcPr>
          <w:p>
            <w:pPr>
              <w:spacing w:after="20"/>
            </w:pPr>
            <w:r>
              <w:rPr>
                <w:color w:val="1C3A36"/>
                <w:sz w:val="14"/>
              </w:rPr>
              <w:t>capex_ppe_fy24</w:t>
            </w:r>
          </w:p>
        </w:tc>
        <w:tc>
          <w:tcPr>
            <w:tcW w:type="dxa" w:w="1656"/>
          </w:tcPr>
          <w:p>
            <w:pPr>
              <w:spacing w:after="20"/>
            </w:pPr>
            <w:r>
              <w:rPr>
                <w:color w:val="1C3A36"/>
                <w:sz w:val="14"/>
              </w:rPr>
              <w:t>1,535.7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capex_ppe_fy25</w:t>
            </w:r>
          </w:p>
        </w:tc>
        <w:tc>
          <w:tcPr>
            <w:tcW w:type="dxa" w:w="1656"/>
          </w:tcPr>
          <w:p>
            <w:pPr>
              <w:spacing w:after="20"/>
            </w:pPr>
            <w:r>
              <w:rPr>
                <w:color w:val="1C3A36"/>
                <w:sz w:val="14"/>
              </w:rPr>
              <w:t>2,038.5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capex_int_fy23</w:t>
            </w:r>
          </w:p>
        </w:tc>
        <w:tc>
          <w:tcPr>
            <w:tcW w:type="dxa" w:w="1656"/>
          </w:tcPr>
          <w:p>
            <w:pPr>
              <w:spacing w:after="20"/>
            </w:pPr>
            <w:r>
              <w:rPr>
                <w:color w:val="1C3A36"/>
                <w:sz w:val="14"/>
              </w:rPr>
              <w:t>327.7</w:t>
            </w:r>
          </w:p>
        </w:tc>
        <w:tc>
          <w:tcPr>
            <w:tcW w:type="dxa" w:w="5904"/>
          </w:tcPr>
          <w:p>
            <w:pPr>
              <w:spacing w:after="20"/>
            </w:pPr>
            <w:r>
              <w:rPr>
                <w:color w:val="1C3A36"/>
                <w:sz w:val="14"/>
              </w:rPr>
              <w:t>Audited consolidated FS, Annual Report 2023, investors.du.ae (PwC, unqualified opinion 13-Feb-2024), purchase of intangible assets</w:t>
            </w:r>
          </w:p>
        </w:tc>
        <w:tc>
          <w:tcPr>
            <w:tcW w:type="dxa" w:w="1080"/>
          </w:tcPr>
          <w:p>
            <w:pPr>
              <w:spacing w:after="20"/>
            </w:pPr>
            <w:r>
              <w:rPr>
                <w:color w:val="1C3A36"/>
                <w:sz w:val="14"/>
              </w:rPr>
              <w:t>2024-02-13</w:t>
            </w:r>
          </w:p>
        </w:tc>
      </w:tr>
      <w:tr>
        <w:tc>
          <w:tcPr>
            <w:tcW w:type="dxa" w:w="1512"/>
          </w:tcPr>
          <w:p>
            <w:pPr>
              <w:spacing w:after="20"/>
            </w:pPr>
            <w:r>
              <w:rPr>
                <w:color w:val="1C3A36"/>
                <w:sz w:val="14"/>
              </w:rPr>
              <w:t>capex_int_fy24</w:t>
            </w:r>
          </w:p>
        </w:tc>
        <w:tc>
          <w:tcPr>
            <w:tcW w:type="dxa" w:w="1656"/>
          </w:tcPr>
          <w:p>
            <w:pPr>
              <w:spacing w:after="20"/>
            </w:pPr>
            <w:r>
              <w:rPr>
                <w:color w:val="1C3A36"/>
                <w:sz w:val="14"/>
              </w:rPr>
              <w:t>384.7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capex_int_fy25</w:t>
            </w:r>
          </w:p>
        </w:tc>
        <w:tc>
          <w:tcPr>
            <w:tcW w:type="dxa" w:w="1656"/>
          </w:tcPr>
          <w:p>
            <w:pPr>
              <w:spacing w:after="20"/>
            </w:pPr>
            <w:r>
              <w:rPr>
                <w:color w:val="1C3A36"/>
                <w:sz w:val="14"/>
              </w:rPr>
              <w:t>314.7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div_paid_fy23</w:t>
            </w:r>
          </w:p>
        </w:tc>
        <w:tc>
          <w:tcPr>
            <w:tcW w:type="dxa" w:w="1656"/>
          </w:tcPr>
          <w:p>
            <w:pPr>
              <w:spacing w:after="20"/>
            </w:pPr>
            <w:r>
              <w:rPr>
                <w:color w:val="1C3A36"/>
                <w:sz w:val="14"/>
              </w:rPr>
              <w:t>1,178.6</w:t>
            </w:r>
          </w:p>
        </w:tc>
        <w:tc>
          <w:tcPr>
            <w:tcW w:type="dxa" w:w="5904"/>
          </w:tcPr>
          <w:p>
            <w:pPr>
              <w:spacing w:after="20"/>
            </w:pPr>
            <w:r>
              <w:rPr>
                <w:color w:val="1C3A36"/>
                <w:sz w:val="14"/>
              </w:rPr>
              <w:t>Audited consolidated FS, Annual Report 2023, investors.du.ae (PwC, unqualified opinion 13-Feb-2024), dividends paid</w:t>
            </w:r>
          </w:p>
        </w:tc>
        <w:tc>
          <w:tcPr>
            <w:tcW w:type="dxa" w:w="1080"/>
          </w:tcPr>
          <w:p>
            <w:pPr>
              <w:spacing w:after="20"/>
            </w:pPr>
            <w:r>
              <w:rPr>
                <w:color w:val="1C3A36"/>
                <w:sz w:val="14"/>
              </w:rPr>
              <w:t>2024-02-13</w:t>
            </w:r>
          </w:p>
        </w:tc>
      </w:tr>
      <w:tr>
        <w:tc>
          <w:tcPr>
            <w:tcW w:type="dxa" w:w="1512"/>
          </w:tcPr>
          <w:p>
            <w:pPr>
              <w:spacing w:after="20"/>
            </w:pPr>
            <w:r>
              <w:rPr>
                <w:color w:val="1C3A36"/>
                <w:sz w:val="14"/>
              </w:rPr>
              <w:t>div_paid_fy24</w:t>
            </w:r>
          </w:p>
        </w:tc>
        <w:tc>
          <w:tcPr>
            <w:tcW w:type="dxa" w:w="1656"/>
          </w:tcPr>
          <w:p>
            <w:pPr>
              <w:spacing w:after="20"/>
            </w:pPr>
            <w:r>
              <w:rPr>
                <w:color w:val="1C3A36"/>
                <w:sz w:val="14"/>
              </w:rPr>
              <w:t>1,858.5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div_paid_fy25</w:t>
            </w:r>
          </w:p>
        </w:tc>
        <w:tc>
          <w:tcPr>
            <w:tcW w:type="dxa" w:w="1656"/>
          </w:tcPr>
          <w:p>
            <w:pPr>
              <w:spacing w:after="20"/>
            </w:pPr>
            <w:r>
              <w:rPr>
                <w:color w:val="1C3A36"/>
                <w:sz w:val="14"/>
              </w:rPr>
              <w:t>2,629.1</w:t>
            </w:r>
          </w:p>
        </w:tc>
        <w:tc>
          <w:tcPr>
            <w:tcW w:type="dxa" w:w="5904"/>
          </w:tcPr>
          <w:p>
            <w:pPr>
              <w:spacing w:after="20"/>
            </w:pPr>
            <w:r>
              <w:rPr>
                <w:color w:val="1C3A36"/>
                <w:sz w:val="14"/>
              </w:rPr>
              <w:t>Audited consolidated FS, Integrated Annual Report 2025, investors.du.ae (KPMG Lower Gulf, unmodified opinion 09-Feb-2026) (final-2024 AED 0.34 + interim-2025 AED 0.24)</w:t>
            </w:r>
          </w:p>
        </w:tc>
        <w:tc>
          <w:tcPr>
            <w:tcW w:type="dxa" w:w="1080"/>
          </w:tcPr>
          <w:p>
            <w:pPr>
              <w:spacing w:after="20"/>
            </w:pPr>
            <w:r>
              <w:rPr>
                <w:color w:val="1C3A36"/>
                <w:sz w:val="14"/>
              </w:rPr>
              <w:t>2026-02-09</w:t>
            </w:r>
          </w:p>
        </w:tc>
      </w:tr>
      <w:tr>
        <w:tc>
          <w:tcPr>
            <w:tcW w:type="dxa" w:w="1512"/>
          </w:tcPr>
          <w:p>
            <w:pPr>
              <w:spacing w:after="20"/>
            </w:pPr>
            <w:r>
              <w:rPr>
                <w:color w:val="1C3A36"/>
                <w:sz w:val="14"/>
              </w:rPr>
              <w:t>lease_paid_fy25</w:t>
            </w:r>
          </w:p>
        </w:tc>
        <w:tc>
          <w:tcPr>
            <w:tcW w:type="dxa" w:w="1656"/>
          </w:tcPr>
          <w:p>
            <w:pPr>
              <w:spacing w:after="20"/>
            </w:pPr>
            <w:r>
              <w:rPr>
                <w:color w:val="1C3A36"/>
                <w:sz w:val="14"/>
              </w:rPr>
              <w:t>282.5</w:t>
            </w:r>
          </w:p>
        </w:tc>
        <w:tc>
          <w:tcPr>
            <w:tcW w:type="dxa" w:w="5904"/>
          </w:tcPr>
          <w:p>
            <w:pPr>
              <w:spacing w:after="20"/>
            </w:pPr>
            <w:r>
              <w:rPr>
                <w:color w:val="1C3A36"/>
                <w:sz w:val="14"/>
              </w:rPr>
              <w:t>Audited consolidated FS, Integrated Annual Report 2025, investors.du.ae (KPMG Lower Gulf, unmodified opinion 09-Feb-2026), repayment of lease liabilities (financing)</w:t>
            </w:r>
          </w:p>
        </w:tc>
        <w:tc>
          <w:tcPr>
            <w:tcW w:type="dxa" w:w="1080"/>
          </w:tcPr>
          <w:p>
            <w:pPr>
              <w:spacing w:after="20"/>
            </w:pPr>
            <w:r>
              <w:rPr>
                <w:color w:val="1C3A36"/>
                <w:sz w:val="14"/>
              </w:rPr>
              <w:t>2026-02-09</w:t>
            </w:r>
          </w:p>
        </w:tc>
      </w:tr>
      <w:tr>
        <w:tc>
          <w:tcPr>
            <w:tcW w:type="dxa" w:w="1512"/>
          </w:tcPr>
          <w:p>
            <w:pPr>
              <w:spacing w:after="20"/>
            </w:pPr>
            <w:r>
              <w:rPr>
                <w:color w:val="1C3A36"/>
                <w:sz w:val="14"/>
              </w:rPr>
              <w:t>investees_bv</w:t>
            </w:r>
          </w:p>
        </w:tc>
        <w:tc>
          <w:tcPr>
            <w:tcW w:type="dxa" w:w="1656"/>
          </w:tcPr>
          <w:p>
            <w:pPr>
              <w:spacing w:after="20"/>
            </w:pPr>
            <w:r>
              <w:rPr>
                <w:color w:val="1C3A36"/>
                <w:sz w:val="14"/>
              </w:rPr>
              <w:t>0.511</w:t>
            </w:r>
          </w:p>
        </w:tc>
        <w:tc>
          <w:tcPr>
            <w:tcW w:type="dxa" w:w="5904"/>
          </w:tcPr>
          <w:p>
            <w:pPr>
              <w:spacing w:after="20"/>
            </w:pPr>
            <w:r>
              <w:rPr>
                <w:color w:val="1C3A36"/>
                <w:sz w:val="14"/>
              </w:rPr>
              <w:t>Audited consolidated FS, Integrated Annual Report 2025, investors.du.ae (KPMG Lower Gulf, unmodified opinion 09-Feb-2026), Note 10: investments accounted for using the equity method, carrying value AED 0.511mn at 31-Dec-2025 (FY2024: 2.716mn). REGISTERED 17-Aug-2026 — this figure was previously typed directly into the bridge, so it was an input with no four-field record and the completeness assertion passed over it</w:t>
            </w:r>
          </w:p>
        </w:tc>
        <w:tc>
          <w:tcPr>
            <w:tcW w:type="dxa" w:w="1080"/>
          </w:tcPr>
          <w:p>
            <w:pPr>
              <w:spacing w:after="20"/>
            </w:pPr>
            <w:r>
              <w:rPr>
                <w:color w:val="1C3A36"/>
                <w:sz w:val="14"/>
              </w:rPr>
              <w:t>2026-02-09</w:t>
            </w:r>
          </w:p>
        </w:tc>
      </w:tr>
      <w:tr>
        <w:tc>
          <w:tcPr>
            <w:tcW w:type="dxa" w:w="1512"/>
          </w:tcPr>
          <w:p>
            <w:pPr>
              <w:spacing w:after="20"/>
            </w:pPr>
            <w:r>
              <w:rPr>
                <w:color w:val="1C3A36"/>
                <w:sz w:val="14"/>
              </w:rPr>
              <w:t>direct_costs_hist</w:t>
            </w:r>
          </w:p>
        </w:tc>
        <w:tc>
          <w:tcPr>
            <w:tcW w:type="dxa" w:w="1656"/>
          </w:tcPr>
          <w:p>
            <w:pPr>
              <w:spacing w:after="20"/>
            </w:pPr>
            <w:r>
              <w:rPr>
                <w:color w:val="1C3A36"/>
                <w:sz w:val="14"/>
              </w:rPr>
              <w:t>FY24: -4,818.4; FY25: -5,259.4</w:t>
            </w:r>
          </w:p>
        </w:tc>
        <w:tc>
          <w:tcPr>
            <w:tcW w:type="dxa" w:w="5904"/>
          </w:tcPr>
          <w:p>
            <w:pPr>
              <w:spacing w:after="20"/>
            </w:pPr>
            <w:r>
              <w:rPr>
                <w:color w:val="1C3A36"/>
                <w:sz w:val="14"/>
              </w:rPr>
              <w:t>Audited consolidated FS, Integrated Annual Report 2025, investors.du.ae (KPMG Lower Gulf, unmodified opinion 09-Feb-2026), face of the income statement: interconnect + commission + devices and other direct services cost</w:t>
            </w:r>
          </w:p>
        </w:tc>
        <w:tc>
          <w:tcPr>
            <w:tcW w:type="dxa" w:w="1080"/>
          </w:tcPr>
          <w:p>
            <w:pPr>
              <w:spacing w:after="20"/>
            </w:pPr>
            <w:r>
              <w:rPr>
                <w:color w:val="1C3A36"/>
                <w:sz w:val="14"/>
              </w:rPr>
              <w:t>2026-02-09</w:t>
            </w:r>
          </w:p>
        </w:tc>
      </w:tr>
      <w:tr>
        <w:tc>
          <w:tcPr>
            <w:tcW w:type="dxa" w:w="1512"/>
          </w:tcPr>
          <w:p>
            <w:pPr>
              <w:spacing w:after="20"/>
            </w:pPr>
            <w:r>
              <w:rPr>
                <w:color w:val="1C3A36"/>
                <w:sz w:val="14"/>
              </w:rPr>
              <w:t>dc_nature_hist</w:t>
            </w:r>
          </w:p>
        </w:tc>
        <w:tc>
          <w:tcPr>
            <w:tcW w:type="dxa" w:w="1656"/>
          </w:tcPr>
          <w:p>
            <w:pPr>
              <w:spacing w:after="20"/>
            </w:pPr>
            <w:r>
              <w:rPr>
                <w:color w:val="1C3A36"/>
                <w:sz w:val="14"/>
              </w:rPr>
              <w:t>FY22: interconnect: 2,768.0; commission: 463.8; devices: 1,303.4; FY23: interconnect: 2,729.6; commission: 535.5; devices: 1,405.6; FY24: interconnect: 2,811.2; commission: 596.2; devices: 1,411.0; FY25: interconnect: 2,914.2; commission: 686.4; devices: 1,658.8</w:t>
            </w:r>
          </w:p>
        </w:tc>
        <w:tc>
          <w:tcPr>
            <w:tcW w:type="dxa" w:w="5904"/>
          </w:tcPr>
          <w:p>
            <w:pPr>
              <w:spacing w:after="20"/>
            </w:pPr>
            <w:r>
              <w:rPr>
                <w:color w:val="1C3A36"/>
                <w:sz w:val="14"/>
              </w:rPr>
              <w:t>Operating-expenses note, by nature: Audited consolidated FS, Annual Report 2023, investors.du.ae (PwC, unqualified opinion 13-Feb-2024) Note 26 (FY2022 'Product costs' and FY2023); Audited consolidated FS, Annual Report 2024, investors.du.ae (PwC, unqualified opinion 10-Feb-2025) Note 27 (FY2023-24, where the line is renamed 'Cost of devices and direct services'); Audited consolidated FS, Integrated Annual Report 2025, investors.du.ae (KPMG Lower Gulf, unmodified opinion 09-Feb-2026) face of the income statement (FY2024-25). NOTE A REAL DISCREPANCY: AR2024 Note 27 prints FY2024 devices as 1,402.121 while AR2025 re-presents the same year at 1,410.996 (+8.875). The later filing is taken as the authority, and the FY2024 by-nature lines then foot exactly to the disclosed 4,818.442 total</w:t>
            </w:r>
          </w:p>
        </w:tc>
        <w:tc>
          <w:tcPr>
            <w:tcW w:type="dxa" w:w="1080"/>
          </w:tcPr>
          <w:p>
            <w:pPr>
              <w:spacing w:after="20"/>
            </w:pPr>
            <w:r>
              <w:rPr>
                <w:color w:val="1C3A36"/>
                <w:sz w:val="14"/>
              </w:rPr>
              <w:t>2026-02-09</w:t>
            </w:r>
          </w:p>
        </w:tc>
      </w:tr>
      <w:tr>
        <w:tc>
          <w:tcPr>
            <w:tcW w:type="dxa" w:w="1512"/>
          </w:tcPr>
          <w:p>
            <w:pPr>
              <w:spacing w:after="20"/>
            </w:pPr>
            <w:r>
              <w:rPr>
                <w:color w:val="1C3A36"/>
                <w:sz w:val="14"/>
              </w:rPr>
              <w:t>dc_nature_h1</w:t>
            </w:r>
          </w:p>
        </w:tc>
        <w:tc>
          <w:tcPr>
            <w:tcW w:type="dxa" w:w="1656"/>
          </w:tcPr>
          <w:p>
            <w:pPr>
              <w:spacing w:after="20"/>
            </w:pPr>
            <w:r>
              <w:rPr>
                <w:color w:val="1C3A36"/>
                <w:sz w:val="14"/>
              </w:rPr>
              <w:t>H125: interconnect: 1,442.3; commission: 331.7; devices: 778.3; H126: interconnect: 1,456.8; commission: 359.2; devices: 769.5</w:t>
            </w:r>
          </w:p>
        </w:tc>
        <w:tc>
          <w:tcPr>
            <w:tcW w:type="dxa" w:w="5904"/>
          </w:tcPr>
          <w:p>
            <w:pPr>
              <w:spacing w:after="20"/>
            </w:pPr>
            <w:r>
              <w:rPr>
                <w:color w:val="1C3A36"/>
                <w:sz w:val="14"/>
              </w:rPr>
              <w:t>Reviewed condensed consolidated interim FS for the six months ended 30-Jun-2026, investors.du.ae (KPMG ISRE 2410 review, 22-Jul-2026), face of the income statement: the three direct-cost lines with their H1-2025 comparatives. THE LIKE-FOR-LIKE HALF-YEAR PAIR is what makes a per-unit escalator sourced rather than assumed</w:t>
            </w:r>
          </w:p>
        </w:tc>
        <w:tc>
          <w:tcPr>
            <w:tcW w:type="dxa" w:w="1080"/>
          </w:tcPr>
          <w:p>
            <w:pPr>
              <w:spacing w:after="20"/>
            </w:pPr>
            <w:r>
              <w:rPr>
                <w:color w:val="1C3A36"/>
                <w:sz w:val="14"/>
              </w:rPr>
              <w:t>2026-07-22</w:t>
            </w:r>
          </w:p>
        </w:tc>
      </w:tr>
      <w:tr>
        <w:tc>
          <w:tcPr>
            <w:tcW w:type="dxa" w:w="1512"/>
          </w:tcPr>
          <w:p>
            <w:pPr>
              <w:spacing w:after="20"/>
            </w:pPr>
            <w:r>
              <w:rPr>
                <w:color w:val="1C3A36"/>
                <w:sz w:val="14"/>
              </w:rPr>
              <w:t>seg_dc_hist</w:t>
            </w:r>
          </w:p>
        </w:tc>
        <w:tc>
          <w:tcPr>
            <w:tcW w:type="dxa" w:w="1656"/>
          </w:tcPr>
          <w:p>
            <w:pPr>
              <w:spacing w:after="20"/>
            </w:pPr>
            <w:r>
              <w:rPr>
                <w:color w:val="1C3A36"/>
                <w:sz w:val="14"/>
              </w:rPr>
              <w:t>FY24: mobile: 2,562.5; fixed: 615.1; wholesale: 284.1; ict: 1,356.8; FY25: mobile: 2,771.3; fixed: 621.9; wholesale: 348.7; ict: 1,517.5</w:t>
            </w:r>
          </w:p>
        </w:tc>
        <w:tc>
          <w:tcPr>
            <w:tcW w:type="dxa" w:w="5904"/>
          </w:tcPr>
          <w:p>
            <w:pPr>
              <w:spacing w:after="20"/>
            </w:pPr>
            <w:r>
              <w:rPr>
                <w:color w:val="1C3A36"/>
                <w:sz w:val="14"/>
              </w:rPr>
              <w:t>Audited consolidated FS, Integrated Annual Report 2025, investors.du.ae (KPMG Lower Gulf, unmodified opinion 09-Feb-2026), Note 38: 'interconnect and other direct costs' by segment (segment revenue less segment contribution)</w:t>
            </w:r>
          </w:p>
        </w:tc>
        <w:tc>
          <w:tcPr>
            <w:tcW w:type="dxa" w:w="1080"/>
          </w:tcPr>
          <w:p>
            <w:pPr>
              <w:spacing w:after="20"/>
            </w:pPr>
            <w:r>
              <w:rPr>
                <w:color w:val="1C3A36"/>
                <w:sz w:val="14"/>
              </w:rPr>
              <w:t>2026-02-09</w:t>
            </w:r>
          </w:p>
        </w:tc>
      </w:tr>
      <w:tr>
        <w:tc>
          <w:tcPr>
            <w:tcW w:type="dxa" w:w="1512"/>
          </w:tcPr>
          <w:p>
            <w:pPr>
              <w:spacing w:after="20"/>
            </w:pPr>
            <w:r>
              <w:rPr>
                <w:color w:val="1C3A36"/>
                <w:sz w:val="14"/>
              </w:rPr>
              <w:t>seg_dc_h1</w:t>
            </w:r>
          </w:p>
        </w:tc>
        <w:tc>
          <w:tcPr>
            <w:tcW w:type="dxa" w:w="1656"/>
          </w:tcPr>
          <w:p>
            <w:pPr>
              <w:spacing w:after="20"/>
            </w:pPr>
            <w:r>
              <w:rPr>
                <w:color w:val="1C3A36"/>
                <w:sz w:val="14"/>
              </w:rPr>
              <w:t>H125: mobile: 1,357.5; fixed: 313.5; wholesale: 178.9; ict: 702.4; H126: mobile: 1,371.2; fixed: 303.3; wholesale: 195.9; ict: 715.0</w:t>
            </w:r>
          </w:p>
        </w:tc>
        <w:tc>
          <w:tcPr>
            <w:tcW w:type="dxa" w:w="5904"/>
          </w:tcPr>
          <w:p>
            <w:pPr>
              <w:spacing w:after="20"/>
            </w:pPr>
            <w:r>
              <w:rPr>
                <w:color w:val="1C3A36"/>
                <w:sz w:val="14"/>
              </w:rPr>
              <w:t>Reviewed condensed consolidated interim FS for the six months ended 30-Jun-2026, investors.du.ae (KPMG ISRE 2410 review, 22-Jul-2026), Note 17 segment analysis: segment revenue less segment contribution ('gross margin'), for the six months ended 30-Jun-2026 and the 30-Jun-2025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h1_25_seg</w:t>
            </w:r>
          </w:p>
        </w:tc>
        <w:tc>
          <w:tcPr>
            <w:tcW w:type="dxa" w:w="1656"/>
          </w:tcPr>
          <w:p>
            <w:pPr>
              <w:spacing w:after="20"/>
            </w:pPr>
            <w:r>
              <w:rPr>
                <w:color w:val="1C3A36"/>
                <w:sz w:val="14"/>
              </w:rPr>
              <w:t>mobile: 3,457.1; fixed: 2,140.3; wholesale: 1,283.3; ict: 869.6</w:t>
            </w:r>
          </w:p>
        </w:tc>
        <w:tc>
          <w:tcPr>
            <w:tcW w:type="dxa" w:w="5904"/>
          </w:tcPr>
          <w:p>
            <w:pPr>
              <w:spacing w:after="20"/>
            </w:pPr>
            <w:r>
              <w:rPr>
                <w:color w:val="1C3A36"/>
                <w:sz w:val="14"/>
              </w:rPr>
              <w:t>Reviewed condensed consolidated interim FS for the six months ended 30-Jun-2026, investors.du.ae (KPMG ISRE 2410 review, 22-Jul-2026), Note 17: H1-2025 comparative segment revenue; foots to 7,750.295</w:t>
            </w:r>
          </w:p>
        </w:tc>
        <w:tc>
          <w:tcPr>
            <w:tcW w:type="dxa" w:w="1080"/>
          </w:tcPr>
          <w:p>
            <w:pPr>
              <w:spacing w:after="20"/>
            </w:pPr>
            <w:r>
              <w:rPr>
                <w:color w:val="1C3A36"/>
                <w:sz w:val="14"/>
              </w:rPr>
              <w:t>2026-07-22</w:t>
            </w:r>
          </w:p>
        </w:tc>
      </w:tr>
      <w:tr>
        <w:tc>
          <w:tcPr>
            <w:tcW w:type="dxa" w:w="1512"/>
          </w:tcPr>
          <w:p>
            <w:pPr>
              <w:spacing w:after="20"/>
            </w:pPr>
            <w:r>
              <w:rPr>
                <w:color w:val="1C3A36"/>
                <w:sz w:val="14"/>
              </w:rPr>
              <w:t>subs_prepaid</w:t>
            </w:r>
          </w:p>
        </w:tc>
        <w:tc>
          <w:tcPr>
            <w:tcW w:type="dxa" w:w="1656"/>
          </w:tcPr>
          <w:p>
            <w:pPr>
              <w:spacing w:after="20"/>
            </w:pPr>
            <w:r>
              <w:rPr>
                <w:color w:val="1C3A36"/>
                <w:sz w:val="14"/>
              </w:rPr>
              <w:t>Q4_2024: 7,116; Q1_2025: 7,292; Q2_2025: 7,254; Q3_2025: 7,248; Q4_2025: 7,726; Q1_2026: 7,670; Q2_2026: 7,227</w:t>
            </w:r>
          </w:p>
        </w:tc>
        <w:tc>
          <w:tcPr>
            <w:tcW w:type="dxa" w:w="5904"/>
          </w:tcPr>
          <w:p>
            <w:pPr>
              <w:spacing w:after="20"/>
            </w:pPr>
            <w:r>
              <w:rPr>
                <w:color w:val="1C3A36"/>
                <w:sz w:val="14"/>
              </w:rPr>
              <w:t>Company Q2-2026 earnings release + analyst presentation, investors.du.ae (COMPANY_IR) + prior quarterly decks: prepaid mobile customers ('000). REGISTERED 17-Aug-2026 — du discloses the mobile base SPLIT by prepaid and postpaid every quarter, and the prior edition modelled only the total</w:t>
            </w:r>
          </w:p>
        </w:tc>
        <w:tc>
          <w:tcPr>
            <w:tcW w:type="dxa" w:w="1080"/>
          </w:tcPr>
          <w:p>
            <w:pPr>
              <w:spacing w:after="20"/>
            </w:pPr>
            <w:r>
              <w:rPr>
                <w:color w:val="1C3A36"/>
                <w:sz w:val="14"/>
              </w:rPr>
              <w:t>2026-07-23</w:t>
            </w:r>
          </w:p>
        </w:tc>
      </w:tr>
      <w:tr>
        <w:tc>
          <w:tcPr>
            <w:tcW w:type="dxa" w:w="1512"/>
          </w:tcPr>
          <w:p>
            <w:pPr>
              <w:spacing w:after="20"/>
            </w:pPr>
            <w:r>
              <w:rPr>
                <w:color w:val="1C3A36"/>
                <w:sz w:val="14"/>
              </w:rPr>
              <w:t>subs_postpaid</w:t>
            </w:r>
          </w:p>
        </w:tc>
        <w:tc>
          <w:tcPr>
            <w:tcW w:type="dxa" w:w="1656"/>
          </w:tcPr>
          <w:p>
            <w:pPr>
              <w:spacing w:after="20"/>
            </w:pPr>
            <w:r>
              <w:rPr>
                <w:color w:val="1C3A36"/>
                <w:sz w:val="14"/>
              </w:rPr>
              <w:t>Q4_2024: 1,800; Q1_2025: 1,845; Q2_2025: 1,884; Q3_2025: 1,922; Q4_2025: 1,979; Q1_2026: 2,023; Q2_2026: 2,053</w:t>
            </w:r>
          </w:p>
        </w:tc>
        <w:tc>
          <w:tcPr>
            <w:tcW w:type="dxa" w:w="5904"/>
          </w:tcPr>
          <w:p>
            <w:pPr>
              <w:spacing w:after="20"/>
            </w:pPr>
            <w:r>
              <w:rPr>
                <w:color w:val="1C3A36"/>
                <w:sz w:val="14"/>
              </w:rPr>
              <w:t>Company Q2-2026 earnings release + analyst presentation, investors.du.ae (COMPANY_IR) + prior quarterly decks: postpaid mobile customers ('000)</w:t>
            </w:r>
          </w:p>
        </w:tc>
        <w:tc>
          <w:tcPr>
            <w:tcW w:type="dxa" w:w="1080"/>
          </w:tcPr>
          <w:p>
            <w:pPr>
              <w:spacing w:after="20"/>
            </w:pPr>
            <w:r>
              <w:rPr>
                <w:color w:val="1C3A36"/>
                <w:sz w:val="14"/>
              </w:rPr>
              <w:t>2026-07-23</w:t>
            </w:r>
          </w:p>
        </w:tc>
      </w:tr>
      <w:tr>
        <w:tc>
          <w:tcPr>
            <w:tcW w:type="dxa" w:w="1512"/>
          </w:tcPr>
          <w:p>
            <w:pPr>
              <w:spacing w:after="20"/>
            </w:pPr>
            <w:r>
              <w:rPr>
                <w:color w:val="1C3A36"/>
                <w:sz w:val="14"/>
              </w:rPr>
              <w:t>arpu_leg_disclosed</w:t>
            </w:r>
          </w:p>
        </w:tc>
        <w:tc>
          <w:tcPr>
            <w:tcW w:type="dxa" w:w="1656"/>
          </w:tcPr>
          <w:p>
            <w:pPr>
              <w:spacing w:after="20"/>
            </w:pPr>
            <w:r>
              <w:rPr>
                <w:color w:val="1C3A36"/>
                <w:sz w:val="14"/>
              </w:rPr>
              <w:t>0</w:t>
            </w:r>
          </w:p>
        </w:tc>
        <w:tc>
          <w:tcPr>
            <w:tcW w:type="dxa" w:w="5904"/>
          </w:tcPr>
          <w:p>
            <w:pPr>
              <w:spacing w:after="20"/>
            </w:pPr>
            <w:r>
              <w:rPr>
                <w:color w:val="1C3A36"/>
                <w:sz w:val="14"/>
              </w:rPr>
              <w:t>NEGATIVE RESULT, dated 17-Aug-2026: du discloses a SINGLE BLENDED mobile ARPU line in its quarterly KPI table and nowhere publishes prepaid or postpaid ARPU separately — checked across the Q2-2026, Q1-2026 and Q4-2025 earnings releases and analyst presentations and the FY2025 annual report, and confirmed against the audited segment note (Note 38, interim Note 17), which splits Mobile/Fixed and never prepaid/postpaid. The value 0.0 records the count of separately disclosed leg ARPUs. CORRECTED 17-Aug-2026: an earlier draft of this note called the omission a du-specific choice against a sector norm. It is the REGIONAL norm — e&amp; (du's own duopoly counterparty), stc and Mobily all publish the subscriber split with a single blended ARPU, exactly as du does; Ooredoo is the sole Gulf exception. ACCESS CAVEAT, logged not papered over: investors.du.ae is intermittent from this environment (HTTP 200 on a direct request during this session, HTTP 503 on every attempt in a parallel verification pass), so the deck-level negative rests on the documents captured in this study's own first-hand extract of the Q2-2026 presentation rather than on a fresh re-read. Consequence: the mobile price driver is built on the blended figure and the two-leg split is shown to be UNIDENTIFIED rather than estimated (see the identification test in the derivation log)</w:t>
            </w:r>
          </w:p>
        </w:tc>
        <w:tc>
          <w:tcPr>
            <w:tcW w:type="dxa" w:w="1080"/>
          </w:tcPr>
          <w:p>
            <w:pPr>
              <w:spacing w:after="20"/>
            </w:pPr>
            <w:r>
              <w:rPr>
                <w:color w:val="1C3A36"/>
                <w:sz w:val="14"/>
              </w:rPr>
              <w:t>2026-08-17</w:t>
            </w:r>
          </w:p>
        </w:tc>
      </w:tr>
      <w:tr>
        <w:tc>
          <w:tcPr>
            <w:tcW w:type="dxa" w:w="1512"/>
          </w:tcPr>
          <w:p>
            <w:pPr>
              <w:spacing w:after="20"/>
            </w:pPr>
            <w:r>
              <w:rPr>
                <w:color w:val="1C3A36"/>
                <w:sz w:val="14"/>
              </w:rPr>
              <w:t>arpu_mobile_q</w:t>
            </w:r>
          </w:p>
        </w:tc>
        <w:tc>
          <w:tcPr>
            <w:tcW w:type="dxa" w:w="1656"/>
          </w:tcPr>
          <w:p>
            <w:pPr>
              <w:spacing w:after="20"/>
            </w:pPr>
            <w:r>
              <w:rPr>
                <w:color w:val="1C3A36"/>
                <w:sz w:val="14"/>
              </w:rPr>
              <w:t>Q4_2024: 65.8; Q1_2025: 63.5; Q2_2025: 63.3; Q3_2025: 64.5; Q4_2025: 65.3; Q1_2026: 63.4; Q2_2026: 63.4; FY_2024: 62.5; FY_2025: 63.3</w:t>
            </w:r>
          </w:p>
        </w:tc>
        <w:tc>
          <w:tcPr>
            <w:tcW w:type="dxa" w:w="5904"/>
          </w:tcPr>
          <w:p>
            <w:pPr>
              <w:spacing w:after="20"/>
            </w:pPr>
            <w:r>
              <w:rPr>
                <w:color w:val="1C3A36"/>
                <w:sz w:val="14"/>
              </w:rPr>
              <w:t>du quarterly analyst presentation, mobile segment KPI slide (Q2-2026 deck slide 12) — the full blended-ARPU series, AED/month. REGISTERED 17-Aug-2026: the prior edition carried only three points and its driver note described the company as printing '63.3-63.4', which understates the real dispersion — the quarterly series ranges 63.3 to 65.8 and fell from 65.3 (Q4-2025) to 63.4 (Q2-2026). FY2025 63.3 is corroborated independently by the Q4-FY2025 earnings release, and the subscribers x ARPU build reproduces audited mobile segment revenue to within 0.05%, so the level is not in doubt</w:t>
            </w:r>
          </w:p>
        </w:tc>
        <w:tc>
          <w:tcPr>
            <w:tcW w:type="dxa" w:w="1080"/>
          </w:tcPr>
          <w:p>
            <w:pPr>
              <w:spacing w:after="20"/>
            </w:pPr>
            <w:r>
              <w:rPr>
                <w:color w:val="1C3A36"/>
                <w:sz w:val="14"/>
              </w:rPr>
              <w:t>2026-07-23</w:t>
            </w:r>
          </w:p>
        </w:tc>
      </w:tr>
      <w:tr>
        <w:tc>
          <w:tcPr>
            <w:tcW w:type="dxa" w:w="1512"/>
          </w:tcPr>
          <w:p>
            <w:pPr>
              <w:spacing w:after="20"/>
            </w:pPr>
            <w:r>
              <w:rPr>
                <w:color w:val="1C3A36"/>
                <w:sz w:val="14"/>
              </w:rPr>
              <w:t>subs_mobile_h1_25</w:t>
            </w:r>
          </w:p>
        </w:tc>
        <w:tc>
          <w:tcPr>
            <w:tcW w:type="dxa" w:w="1656"/>
          </w:tcPr>
          <w:p>
            <w:pPr>
              <w:spacing w:after="20"/>
            </w:pPr>
            <w:r>
              <w:rPr>
                <w:color w:val="1C3A36"/>
                <w:sz w:val="14"/>
              </w:rPr>
              <w:t>9,138.0</w:t>
            </w:r>
          </w:p>
        </w:tc>
        <w:tc>
          <w:tcPr>
            <w:tcW w:type="dxa" w:w="5904"/>
          </w:tcPr>
          <w:p>
            <w:pPr>
              <w:spacing w:after="20"/>
            </w:pPr>
            <w:r>
              <w:rPr>
                <w:color w:val="1C3A36"/>
                <w:sz w:val="14"/>
              </w:rPr>
              <w:t>Mobile customers at 30-Jun-2025 ('000), du Q2-2025 quarterly disclosure — needed to put the H1-2025 comparative cost on the same average-base denominator as H1-2026</w:t>
            </w:r>
          </w:p>
        </w:tc>
        <w:tc>
          <w:tcPr>
            <w:tcW w:type="dxa" w:w="1080"/>
          </w:tcPr>
          <w:p>
            <w:pPr>
              <w:spacing w:after="20"/>
            </w:pPr>
            <w:r>
              <w:rPr>
                <w:color w:val="1C3A36"/>
                <w:sz w:val="14"/>
              </w:rPr>
              <w:t>2025-07-23</w:t>
            </w:r>
          </w:p>
        </w:tc>
      </w:tr>
      <w:tr>
        <w:tc>
          <w:tcPr>
            <w:tcW w:type="dxa" w:w="1512"/>
          </w:tcPr>
          <w:p>
            <w:pPr>
              <w:spacing w:after="20"/>
            </w:pPr>
            <w:r>
              <w:rPr>
                <w:color w:val="1C3A36"/>
                <w:sz w:val="14"/>
              </w:rPr>
              <w:t>subs_fixed_h1_25</w:t>
            </w:r>
          </w:p>
        </w:tc>
        <w:tc>
          <w:tcPr>
            <w:tcW w:type="dxa" w:w="1656"/>
          </w:tcPr>
          <w:p>
            <w:pPr>
              <w:spacing w:after="20"/>
            </w:pPr>
            <w:r>
              <w:rPr>
                <w:color w:val="1C3A36"/>
                <w:sz w:val="14"/>
              </w:rPr>
              <w:t>706.0</w:t>
            </w:r>
          </w:p>
        </w:tc>
        <w:tc>
          <w:tcPr>
            <w:tcW w:type="dxa" w:w="5904"/>
          </w:tcPr>
          <w:p>
            <w:pPr>
              <w:spacing w:after="20"/>
            </w:pPr>
            <w:r>
              <w:rPr>
                <w:color w:val="1C3A36"/>
                <w:sz w:val="14"/>
              </w:rPr>
              <w:t>Fixed customers at 30-Jun-2025 ('000), same source</w:t>
            </w:r>
          </w:p>
        </w:tc>
        <w:tc>
          <w:tcPr>
            <w:tcW w:type="dxa" w:w="1080"/>
          </w:tcPr>
          <w:p>
            <w:pPr>
              <w:spacing w:after="20"/>
            </w:pPr>
            <w:r>
              <w:rPr>
                <w:color w:val="1C3A36"/>
                <w:sz w:val="14"/>
              </w:rPr>
              <w:t>2025-07-23</w:t>
            </w:r>
          </w:p>
        </w:tc>
      </w:tr>
      <w:tr>
        <w:tc>
          <w:tcPr>
            <w:tcW w:type="dxa" w:w="1512"/>
          </w:tcPr>
          <w:p>
            <w:pPr>
              <w:spacing w:after="20"/>
            </w:pPr>
            <w:r>
              <w:rPr>
                <w:color w:val="1C3A36"/>
                <w:sz w:val="14"/>
              </w:rPr>
              <w:t>opex_before_dna_hist</w:t>
            </w:r>
          </w:p>
        </w:tc>
        <w:tc>
          <w:tcPr>
            <w:tcW w:type="dxa" w:w="1656"/>
          </w:tcPr>
          <w:p>
            <w:pPr>
              <w:spacing w:after="20"/>
            </w:pPr>
            <w:r>
              <w:rPr>
                <w:color w:val="1C3A36"/>
                <w:sz w:val="14"/>
              </w:rPr>
              <w:t>FY24: -3,347.6; FY25: -3,307.6</w:t>
            </w:r>
          </w:p>
        </w:tc>
        <w:tc>
          <w:tcPr>
            <w:tcW w:type="dxa" w:w="5904"/>
          </w:tcPr>
          <w:p>
            <w:pPr>
              <w:spacing w:after="20"/>
            </w:pPr>
            <w:r>
              <w:rPr>
                <w:color w:val="1C3A36"/>
                <w:sz w:val="14"/>
              </w:rPr>
              <w:t>Audited consolidated FS, Integrated Annual Report 2025, investors.du.ae (KPMG Lower Gulf, unmodified opinion 09-Feb-2026), total net operating expenses before depreciation and amortization</w:t>
            </w:r>
          </w:p>
        </w:tc>
        <w:tc>
          <w:tcPr>
            <w:tcW w:type="dxa" w:w="1080"/>
          </w:tcPr>
          <w:p>
            <w:pPr>
              <w:spacing w:after="20"/>
            </w:pPr>
            <w:r>
              <w:rPr>
                <w:color w:val="1C3A36"/>
                <w:sz w:val="14"/>
              </w:rPr>
              <w:t>2026-02-09</w:t>
            </w:r>
          </w:p>
        </w:tc>
      </w:tr>
      <w:tr>
        <w:tc>
          <w:tcPr>
            <w:tcW w:type="dxa" w:w="1512"/>
          </w:tcPr>
          <w:p>
            <w:pPr>
              <w:spacing w:after="20"/>
            </w:pPr>
            <w:r>
              <w:rPr>
                <w:color w:val="1C3A36"/>
                <w:sz w:val="14"/>
              </w:rPr>
              <w:t>int_inc_fy23</w:t>
            </w:r>
          </w:p>
        </w:tc>
        <w:tc>
          <w:tcPr>
            <w:tcW w:type="dxa" w:w="1656"/>
          </w:tcPr>
          <w:p>
            <w:pPr>
              <w:spacing w:after="20"/>
            </w:pPr>
            <w:r>
              <w:rPr>
                <w:color w:val="1C3A36"/>
                <w:sz w:val="14"/>
              </w:rPr>
              <w:t>61.327</w:t>
            </w:r>
          </w:p>
        </w:tc>
        <w:tc>
          <w:tcPr>
            <w:tcW w:type="dxa" w:w="5904"/>
          </w:tcPr>
          <w:p>
            <w:pPr>
              <w:spacing w:after="20"/>
            </w:pPr>
            <w:r>
              <w:rPr>
                <w:color w:val="1C3A36"/>
                <w:sz w:val="14"/>
              </w:rPr>
              <w:t>Audited consolidated FS, Annual Report 2023, investors.du.ae (PwC, unqualified opinion 13-Feb-2024), finance income</w:t>
            </w:r>
          </w:p>
        </w:tc>
        <w:tc>
          <w:tcPr>
            <w:tcW w:type="dxa" w:w="1080"/>
          </w:tcPr>
          <w:p>
            <w:pPr>
              <w:spacing w:after="20"/>
            </w:pPr>
            <w:r>
              <w:rPr>
                <w:color w:val="1C3A36"/>
                <w:sz w:val="14"/>
              </w:rPr>
              <w:t>2024-02-13</w:t>
            </w:r>
          </w:p>
        </w:tc>
      </w:tr>
      <w:tr>
        <w:tc>
          <w:tcPr>
            <w:tcW w:type="dxa" w:w="1512"/>
          </w:tcPr>
          <w:p>
            <w:pPr>
              <w:spacing w:after="20"/>
            </w:pPr>
            <w:r>
              <w:rPr>
                <w:color w:val="1C3A36"/>
                <w:sz w:val="14"/>
              </w:rPr>
              <w:t>int_exp_fy23</w:t>
            </w:r>
          </w:p>
        </w:tc>
        <w:tc>
          <w:tcPr>
            <w:tcW w:type="dxa" w:w="1656"/>
          </w:tcPr>
          <w:p>
            <w:pPr>
              <w:spacing w:after="20"/>
            </w:pPr>
            <w:r>
              <w:rPr>
                <w:color w:val="1C3A36"/>
                <w:sz w:val="14"/>
              </w:rPr>
              <w:t>101.4</w:t>
            </w:r>
          </w:p>
        </w:tc>
        <w:tc>
          <w:tcPr>
            <w:tcW w:type="dxa" w:w="5904"/>
          </w:tcPr>
          <w:p>
            <w:pPr>
              <w:spacing w:after="20"/>
            </w:pPr>
            <w:r>
              <w:rPr>
                <w:color w:val="1C3A36"/>
                <w:sz w:val="14"/>
              </w:rPr>
              <w:t>Audited consolidated FS, Annual Report 2023, investors.du.ae (PwC, unqualified opinion 13-Feb-2024), finance costs</w:t>
            </w:r>
          </w:p>
        </w:tc>
        <w:tc>
          <w:tcPr>
            <w:tcW w:type="dxa" w:w="1080"/>
          </w:tcPr>
          <w:p>
            <w:pPr>
              <w:spacing w:after="20"/>
            </w:pPr>
            <w:r>
              <w:rPr>
                <w:color w:val="1C3A36"/>
                <w:sz w:val="14"/>
              </w:rPr>
              <w:t>2024-02-13</w:t>
            </w:r>
          </w:p>
        </w:tc>
      </w:tr>
      <w:tr>
        <w:tc>
          <w:tcPr>
            <w:tcW w:type="dxa" w:w="1512"/>
          </w:tcPr>
          <w:p>
            <w:pPr>
              <w:spacing w:after="20"/>
            </w:pPr>
            <w:r>
              <w:rPr>
                <w:color w:val="1C3A36"/>
                <w:sz w:val="14"/>
              </w:rPr>
              <w:t>assoc_hist</w:t>
            </w:r>
          </w:p>
        </w:tc>
        <w:tc>
          <w:tcPr>
            <w:tcW w:type="dxa" w:w="1656"/>
          </w:tcPr>
          <w:p>
            <w:pPr>
              <w:spacing w:after="20"/>
            </w:pPr>
            <w:r>
              <w:rPr>
                <w:color w:val="1C3A36"/>
                <w:sz w:val="14"/>
              </w:rPr>
              <w:t>FY23: -2.72; FY24: -2.427; FY25: -0.894</w:t>
            </w:r>
          </w:p>
        </w:tc>
        <w:tc>
          <w:tcPr>
            <w:tcW w:type="dxa" w:w="5904"/>
          </w:tcPr>
          <w:p>
            <w:pPr>
              <w:spacing w:after="20"/>
            </w:pPr>
            <w:r>
              <w:rPr>
                <w:color w:val="1C3A36"/>
                <w:sz w:val="14"/>
              </w:rPr>
              <w:t>Share of loss of associate and joint venture: Audited consolidated FS, Annual Report 2023, investors.du.ae (PwC, unqualified opinion 13-Feb-2024) (FY2023); Audited consolidated FS, Integrated Annual Report 2025, investors.du.ae (KPMG Lower Gulf, unmodified opinion 09-Feb-2026) (FY2024 comparative and FY2025)</w:t>
            </w:r>
          </w:p>
        </w:tc>
        <w:tc>
          <w:tcPr>
            <w:tcW w:type="dxa" w:w="1080"/>
          </w:tcPr>
          <w:p>
            <w:pPr>
              <w:spacing w:after="20"/>
            </w:pPr>
            <w:r>
              <w:rPr>
                <w:color w:val="1C3A36"/>
                <w:sz w:val="14"/>
              </w:rPr>
              <w:t>2026-02-09</w:t>
            </w:r>
          </w:p>
        </w:tc>
      </w:tr>
      <w:tr>
        <w:tc>
          <w:tcPr>
            <w:tcW w:type="dxa" w:w="1512"/>
          </w:tcPr>
          <w:p>
            <w:pPr>
              <w:spacing w:after="20"/>
            </w:pPr>
            <w:r>
              <w:rPr>
                <w:color w:val="1C3A36"/>
                <w:sz w:val="14"/>
              </w:rPr>
              <w:t>dep_ppe_hist</w:t>
            </w:r>
          </w:p>
        </w:tc>
        <w:tc>
          <w:tcPr>
            <w:tcW w:type="dxa" w:w="1656"/>
          </w:tcPr>
          <w:p>
            <w:pPr>
              <w:spacing w:after="20"/>
            </w:pPr>
            <w:r>
              <w:rPr>
                <w:color w:val="1C3A36"/>
                <w:sz w:val="14"/>
              </w:rPr>
              <w:t>FY23: 1,544.2; FY24: 1,569.2; FY25: 1,558.0</w:t>
            </w:r>
          </w:p>
        </w:tc>
        <w:tc>
          <w:tcPr>
            <w:tcW w:type="dxa" w:w="5904"/>
          </w:tcPr>
          <w:p>
            <w:pPr>
              <w:spacing w:after="20"/>
            </w:pPr>
            <w:r>
              <w:rPr>
                <w:color w:val="1C3A36"/>
                <w:sz w:val="14"/>
              </w:rPr>
              <w:t>Depreciation and impairment of property, plant and equipment: Audited consolidated FS, Annual Report 2023, investors.du.ae (PwC, unqualified opinion 13-Feb-2024) Note 26 (FY2023); Audited consolidated FS, Integrated Annual Report 2025, investors.du.ae (KPMG Lower Gulf, unmodified opinion 09-Feb-2026) Note 31 (FY2024-25)</w:t>
            </w:r>
          </w:p>
        </w:tc>
        <w:tc>
          <w:tcPr>
            <w:tcW w:type="dxa" w:w="1080"/>
          </w:tcPr>
          <w:p>
            <w:pPr>
              <w:spacing w:after="20"/>
            </w:pPr>
            <w:r>
              <w:rPr>
                <w:color w:val="1C3A36"/>
                <w:sz w:val="14"/>
              </w:rPr>
              <w:t>2026-02-09</w:t>
            </w:r>
          </w:p>
        </w:tc>
      </w:tr>
      <w:tr>
        <w:tc>
          <w:tcPr>
            <w:tcW w:type="dxa" w:w="1512"/>
          </w:tcPr>
          <w:p>
            <w:pPr>
              <w:spacing w:after="20"/>
            </w:pPr>
            <w:r>
              <w:rPr>
                <w:color w:val="1C3A36"/>
                <w:sz w:val="14"/>
              </w:rPr>
              <w:t>amort_hist</w:t>
            </w:r>
          </w:p>
        </w:tc>
        <w:tc>
          <w:tcPr>
            <w:tcW w:type="dxa" w:w="1656"/>
          </w:tcPr>
          <w:p>
            <w:pPr>
              <w:spacing w:after="20"/>
            </w:pPr>
            <w:r>
              <w:rPr>
                <w:color w:val="1C3A36"/>
                <w:sz w:val="14"/>
              </w:rPr>
              <w:t>FY23: 209.1; FY24: 209.9; FY25: 245.9</w:t>
            </w:r>
          </w:p>
        </w:tc>
        <w:tc>
          <w:tcPr>
            <w:tcW w:type="dxa" w:w="5904"/>
          </w:tcPr>
          <w:p>
            <w:pPr>
              <w:spacing w:after="20"/>
            </w:pPr>
            <w:r>
              <w:rPr>
                <w:color w:val="1C3A36"/>
                <w:sz w:val="14"/>
              </w:rPr>
              <w:t>Amortisation and impairment of intangible assets, same notes as above</w:t>
            </w:r>
          </w:p>
        </w:tc>
        <w:tc>
          <w:tcPr>
            <w:tcW w:type="dxa" w:w="1080"/>
          </w:tcPr>
          <w:p>
            <w:pPr>
              <w:spacing w:after="20"/>
            </w:pPr>
            <w:r>
              <w:rPr>
                <w:color w:val="1C3A36"/>
                <w:sz w:val="14"/>
              </w:rPr>
              <w:t>2026-02-09</w:t>
            </w:r>
          </w:p>
        </w:tc>
      </w:tr>
      <w:tr>
        <w:tc>
          <w:tcPr>
            <w:tcW w:type="dxa" w:w="1512"/>
          </w:tcPr>
          <w:p>
            <w:pPr>
              <w:spacing w:after="20"/>
            </w:pPr>
            <w:r>
              <w:rPr>
                <w:color w:val="1C3A36"/>
                <w:sz w:val="14"/>
              </w:rPr>
              <w:t>capex_cash_hist</w:t>
            </w:r>
          </w:p>
        </w:tc>
        <w:tc>
          <w:tcPr>
            <w:tcW w:type="dxa" w:w="1656"/>
          </w:tcPr>
          <w:p>
            <w:pPr>
              <w:spacing w:after="20"/>
            </w:pPr>
            <w:r>
              <w:rPr>
                <w:color w:val="1C3A36"/>
                <w:sz w:val="14"/>
              </w:rPr>
              <w:t>FY23: 2,227.6; FY24: 1,920.5; FY25: 2,353.2</w:t>
            </w:r>
          </w:p>
        </w:tc>
        <w:tc>
          <w:tcPr>
            <w:tcW w:type="dxa" w:w="5904"/>
          </w:tcPr>
          <w:p>
            <w:pPr>
              <w:spacing w:after="20"/>
            </w:pPr>
            <w:r>
              <w:rPr>
                <w:color w:val="1C3A36"/>
                <w:sz w:val="14"/>
              </w:rPr>
              <w:t>Cash capital expenditure = purchase of PP&amp;E + purchase of intangible assets, audited consolidated statements of cash flows (AR2023 for FY2023; AR2025 for the FY2024 comparative and FY2025)</w:t>
            </w:r>
          </w:p>
        </w:tc>
        <w:tc>
          <w:tcPr>
            <w:tcW w:type="dxa" w:w="1080"/>
          </w:tcPr>
          <w:p>
            <w:pPr>
              <w:spacing w:after="20"/>
            </w:pPr>
            <w:r>
              <w:rPr>
                <w:color w:val="1C3A36"/>
                <w:sz w:val="14"/>
              </w:rPr>
              <w:t>2026-02-09</w:t>
            </w:r>
          </w:p>
        </w:tc>
      </w:tr>
      <w:tr>
        <w:tc>
          <w:tcPr>
            <w:tcW w:type="dxa" w:w="1512"/>
          </w:tcPr>
          <w:p>
            <w:pPr>
              <w:spacing w:after="20"/>
            </w:pPr>
            <w:r>
              <w:rPr>
                <w:color w:val="1C3A36"/>
                <w:sz w:val="14"/>
              </w:rPr>
              <w:t>tax_paid_hist</w:t>
            </w:r>
          </w:p>
        </w:tc>
        <w:tc>
          <w:tcPr>
            <w:tcW w:type="dxa" w:w="1656"/>
          </w:tcPr>
          <w:p>
            <w:pPr>
              <w:spacing w:after="20"/>
            </w:pPr>
            <w:r>
              <w:rPr>
                <w:color w:val="1C3A36"/>
                <w:sz w:val="14"/>
              </w:rPr>
              <w:t>FY24: -1,928.9; FY25: -1,883.4</w:t>
            </w:r>
          </w:p>
        </w:tc>
        <w:tc>
          <w:tcPr>
            <w:tcW w:type="dxa" w:w="5904"/>
          </w:tcPr>
          <w:p>
            <w:pPr>
              <w:spacing w:after="20"/>
            </w:pPr>
            <w:r>
              <w:rPr>
                <w:color w:val="1C3A36"/>
                <w:sz w:val="14"/>
              </w:rPr>
              <w:t>Federal royalty paid + income tax paid, audited consolidated statements of cash flows (Audited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ocf_hist</w:t>
            </w:r>
          </w:p>
        </w:tc>
        <w:tc>
          <w:tcPr>
            <w:tcW w:type="dxa" w:w="1656"/>
          </w:tcPr>
          <w:p>
            <w:pPr>
              <w:spacing w:after="20"/>
            </w:pPr>
            <w:r>
              <w:rPr>
                <w:color w:val="1C3A36"/>
                <w:sz w:val="14"/>
              </w:rPr>
              <w:t>FY24: 4,636.5; FY25: 5,229.8</w:t>
            </w:r>
          </w:p>
        </w:tc>
        <w:tc>
          <w:tcPr>
            <w:tcW w:type="dxa" w:w="5904"/>
          </w:tcPr>
          <w:p>
            <w:pPr>
              <w:spacing w:after="20"/>
            </w:pPr>
            <w:r>
              <w:rPr>
                <w:color w:val="1C3A36"/>
                <w:sz w:val="14"/>
              </w:rPr>
              <w:t>Audited consolidated FS, Integrated Annual Report 2025, investors.du.ae (KPMG Lower Gulf, unmodified opinion 09-Feb-2026), net cash generated from operating activities</w:t>
            </w:r>
          </w:p>
        </w:tc>
        <w:tc>
          <w:tcPr>
            <w:tcW w:type="dxa" w:w="1080"/>
          </w:tcPr>
          <w:p>
            <w:pPr>
              <w:spacing w:after="20"/>
            </w:pPr>
            <w:r>
              <w:rPr>
                <w:color w:val="1C3A36"/>
                <w:sz w:val="14"/>
              </w:rPr>
              <w:t>2026-02-09</w:t>
            </w:r>
          </w:p>
        </w:tc>
      </w:tr>
      <w:tr>
        <w:tc>
          <w:tcPr>
            <w:tcW w:type="dxa" w:w="1512"/>
          </w:tcPr>
          <w:p>
            <w:pPr>
              <w:spacing w:after="20"/>
            </w:pPr>
            <w:r>
              <w:rPr>
                <w:color w:val="1C3A36"/>
                <w:sz w:val="14"/>
              </w:rPr>
              <w:t>div_paid_hist</w:t>
            </w:r>
          </w:p>
        </w:tc>
        <w:tc>
          <w:tcPr>
            <w:tcW w:type="dxa" w:w="1656"/>
          </w:tcPr>
          <w:p>
            <w:pPr>
              <w:spacing w:after="20"/>
            </w:pPr>
            <w:r>
              <w:rPr>
                <w:color w:val="1C3A36"/>
                <w:sz w:val="14"/>
              </w:rPr>
              <w:t>FY24: -1,858.5; FY25: -2,629.1</w:t>
            </w:r>
          </w:p>
        </w:tc>
        <w:tc>
          <w:tcPr>
            <w:tcW w:type="dxa" w:w="5904"/>
          </w:tcPr>
          <w:p>
            <w:pPr>
              <w:spacing w:after="20"/>
            </w:pPr>
            <w:r>
              <w:rPr>
                <w:color w:val="1C3A36"/>
                <w:sz w:val="14"/>
              </w:rPr>
              <w:t>Audited consolidated FS, Integrated Annual Report 2025, investors.du.ae (KPMG Lower Gulf, unmodified opinion 09-Feb-2026), dividends paid (financing activities)</w:t>
            </w:r>
          </w:p>
        </w:tc>
        <w:tc>
          <w:tcPr>
            <w:tcW w:type="dxa" w:w="1080"/>
          </w:tcPr>
          <w:p>
            <w:pPr>
              <w:spacing w:after="20"/>
            </w:pPr>
            <w:r>
              <w:rPr>
                <w:color w:val="1C3A36"/>
                <w:sz w:val="14"/>
              </w:rPr>
              <w:t>2026-02-09</w:t>
            </w:r>
          </w:p>
        </w:tc>
      </w:tr>
      <w:tr>
        <w:tc>
          <w:tcPr>
            <w:tcW w:type="dxa" w:w="1512"/>
          </w:tcPr>
          <w:p>
            <w:pPr>
              <w:spacing w:after="20"/>
            </w:pPr>
            <w:r>
              <w:rPr>
                <w:color w:val="1C3A36"/>
                <w:sz w:val="14"/>
              </w:rPr>
              <w:t>subs_mobile_hist_display</w:t>
            </w:r>
          </w:p>
        </w:tc>
        <w:tc>
          <w:tcPr>
            <w:tcW w:type="dxa" w:w="1656"/>
          </w:tcPr>
          <w:p>
            <w:pPr>
              <w:spacing w:after="20"/>
            </w:pPr>
            <w:r>
              <w:rPr>
                <w:color w:val="1C3A36"/>
                <w:sz w:val="14"/>
              </w:rPr>
              <w:t>FY23: 8,554.0; FY24: 8,916.0; FY25: 9,704.0</w:t>
            </w:r>
          </w:p>
        </w:tc>
        <w:tc>
          <w:tcPr>
            <w:tcW w:type="dxa" w:w="5904"/>
          </w:tcPr>
          <w:p>
            <w:pPr>
              <w:spacing w:after="20"/>
            </w:pPr>
            <w:r>
              <w:rPr>
                <w:color w:val="1C3A36"/>
                <w:sz w:val="14"/>
              </w:rPr>
              <w:t>Company Q2-2026 earnings release + analyst presentation, investors.du.ae (COMPANY_IR) and the Q4/FY2025 deck: mobile customers at 31-Dec-2024 and 31-Dec-2025 ('000)</w:t>
            </w:r>
          </w:p>
        </w:tc>
        <w:tc>
          <w:tcPr>
            <w:tcW w:type="dxa" w:w="1080"/>
          </w:tcPr>
          <w:p>
            <w:pPr>
              <w:spacing w:after="20"/>
            </w:pPr>
            <w:r>
              <w:rPr>
                <w:color w:val="1C3A36"/>
                <w:sz w:val="14"/>
              </w:rPr>
              <w:t>2026-02-10</w:t>
            </w:r>
          </w:p>
        </w:tc>
      </w:tr>
      <w:tr>
        <w:tc>
          <w:tcPr>
            <w:tcW w:type="dxa" w:w="1512"/>
          </w:tcPr>
          <w:p>
            <w:pPr>
              <w:spacing w:after="20"/>
            </w:pPr>
            <w:r>
              <w:rPr>
                <w:color w:val="1C3A36"/>
                <w:sz w:val="14"/>
              </w:rPr>
              <w:t>subs_fixed_hist_display</w:t>
            </w:r>
          </w:p>
        </w:tc>
        <w:tc>
          <w:tcPr>
            <w:tcW w:type="dxa" w:w="1656"/>
          </w:tcPr>
          <w:p>
            <w:pPr>
              <w:spacing w:after="20"/>
            </w:pPr>
            <w:r>
              <w:rPr>
                <w:color w:val="1C3A36"/>
                <w:sz w:val="14"/>
              </w:rPr>
              <w:t>FY23: 604.0; FY24: 682.0; FY25: 735.0</w:t>
            </w:r>
          </w:p>
        </w:tc>
        <w:tc>
          <w:tcPr>
            <w:tcW w:type="dxa" w:w="5904"/>
          </w:tcPr>
          <w:p>
            <w:pPr>
              <w:spacing w:after="20"/>
            </w:pPr>
            <w:r>
              <w:rPr>
                <w:color w:val="1C3A36"/>
                <w:sz w:val="14"/>
              </w:rPr>
              <w:t>Company Q2-2026 earnings release + analyst presentation, investors.du.ae (COMPANY_IR) and the Q4/FY2025 deck: fixed customers at 31-Dec-2024 and 31-Dec-2025 ('000)</w:t>
            </w:r>
          </w:p>
        </w:tc>
        <w:tc>
          <w:tcPr>
            <w:tcW w:type="dxa" w:w="1080"/>
          </w:tcPr>
          <w:p>
            <w:pPr>
              <w:spacing w:after="20"/>
            </w:pPr>
            <w:r>
              <w:rPr>
                <w:color w:val="1C3A36"/>
                <w:sz w:val="14"/>
              </w:rPr>
              <w:t>2026-02-10</w:t>
            </w:r>
          </w:p>
        </w:tc>
      </w:tr>
      <w:tr>
        <w:tc>
          <w:tcPr>
            <w:tcW w:type="dxa" w:w="1512"/>
          </w:tcPr>
          <w:p>
            <w:pPr>
              <w:spacing w:after="20"/>
            </w:pPr>
            <w:r>
              <w:rPr>
                <w:color w:val="1C3A36"/>
                <w:sz w:val="14"/>
              </w:rPr>
              <w:t>arpu_hist_display</w:t>
            </w:r>
          </w:p>
        </w:tc>
        <w:tc>
          <w:tcPr>
            <w:tcW w:type="dxa" w:w="1656"/>
          </w:tcPr>
          <w:p>
            <w:pPr>
              <w:spacing w:after="20"/>
            </w:pPr>
            <w:r>
              <w:rPr>
                <w:color w:val="1C3A36"/>
                <w:sz w:val="14"/>
              </w:rPr>
              <w:t>FY24: 65.8; FY25: 63.3</w:t>
            </w:r>
          </w:p>
        </w:tc>
        <w:tc>
          <w:tcPr>
            <w:tcW w:type="dxa" w:w="5904"/>
          </w:tcPr>
          <w:p>
            <w:pPr>
              <w:spacing w:after="20"/>
            </w:pPr>
            <w:r>
              <w:rPr>
                <w:color w:val="1C3A36"/>
                <w:sz w:val="14"/>
              </w:rPr>
              <w:t>Blended mobile ARPU (AED/month): Q4-2024 print 65.8 and the FY2025 average 63.3, both from the company's quarterly analyst decks</w:t>
            </w:r>
          </w:p>
        </w:tc>
        <w:tc>
          <w:tcPr>
            <w:tcW w:type="dxa" w:w="1080"/>
          </w:tcPr>
          <w:p>
            <w:pPr>
              <w:spacing w:after="20"/>
            </w:pPr>
            <w:r>
              <w:rPr>
                <w:color w:val="1C3A36"/>
                <w:sz w:val="14"/>
              </w:rPr>
              <w:t>2026-02-10</w:t>
            </w:r>
          </w:p>
        </w:tc>
      </w:tr>
      <w:tr>
        <w:tc>
          <w:tcPr>
            <w:tcW w:type="dxa" w:w="1512"/>
          </w:tcPr>
          <w:p>
            <w:pPr>
              <w:spacing w:after="20"/>
            </w:pPr>
            <w:r>
              <w:rPr>
                <w:color w:val="1C3A36"/>
                <w:sz w:val="14"/>
              </w:rPr>
              <w:t>lease_int_fy25</w:t>
            </w:r>
          </w:p>
        </w:tc>
        <w:tc>
          <w:tcPr>
            <w:tcW w:type="dxa" w:w="1656"/>
          </w:tcPr>
          <w:p>
            <w:pPr>
              <w:spacing w:after="20"/>
            </w:pPr>
            <w:r>
              <w:rPr>
                <w:color w:val="1C3A36"/>
                <w:sz w:val="14"/>
              </w:rPr>
              <w:t>71.094</w:t>
            </w:r>
          </w:p>
        </w:tc>
        <w:tc>
          <w:tcPr>
            <w:tcW w:type="dxa" w:w="5904"/>
          </w:tcPr>
          <w:p>
            <w:pPr>
              <w:spacing w:after="20"/>
            </w:pPr>
            <w:r>
              <w:rPr>
                <w:color w:val="1C3A36"/>
                <w:sz w:val="14"/>
              </w:rPr>
              <w:t>Audited consolidated FS, Integrated Annual Report 2025, investors.du.ae (KPMG Lower Gulf, unmodified opinion 09-Feb-2026), interest paid on lease liabilities</w:t>
            </w:r>
          </w:p>
        </w:tc>
        <w:tc>
          <w:tcPr>
            <w:tcW w:type="dxa" w:w="1080"/>
          </w:tcPr>
          <w:p>
            <w:pPr>
              <w:spacing w:after="20"/>
            </w:pPr>
            <w:r>
              <w:rPr>
                <w:color w:val="1C3A36"/>
                <w:sz w:val="14"/>
              </w:rPr>
              <w:t>2026-02-09</w:t>
            </w:r>
          </w:p>
        </w:tc>
      </w:tr>
      <w:tr>
        <w:tc>
          <w:tcPr>
            <w:tcW w:type="dxa" w:w="1512"/>
          </w:tcPr>
          <w:p>
            <w:pPr>
              <w:spacing w:after="20"/>
            </w:pPr>
            <w:r>
              <w:rPr>
                <w:color w:val="1C3A36"/>
                <w:sz w:val="14"/>
              </w:rPr>
              <w:t>dps_fy23</w:t>
            </w:r>
          </w:p>
        </w:tc>
        <w:tc>
          <w:tcPr>
            <w:tcW w:type="dxa" w:w="1656"/>
          </w:tcPr>
          <w:p>
            <w:pPr>
              <w:spacing w:after="20"/>
            </w:pPr>
            <w:r>
              <w:rPr>
                <w:color w:val="1C3A36"/>
                <w:sz w:val="14"/>
              </w:rPr>
              <w:t>0.34</w:t>
            </w:r>
          </w:p>
        </w:tc>
        <w:tc>
          <w:tcPr>
            <w:tcW w:type="dxa" w:w="5904"/>
          </w:tcPr>
          <w:p>
            <w:pPr>
              <w:spacing w:after="20"/>
            </w:pPr>
            <w:r>
              <w:rPr>
                <w:color w:val="1C3A36"/>
                <w:sz w:val="14"/>
              </w:rPr>
              <w:t>Audited consolidated FS, Annual Report 2023, investors.du.ae (PwC, unqualified opinion 13-Feb-2024)/AR24: interim 0.13 (paid 23-Aug-2023) + final 0.21 (paid 18-Apr-2024)</w:t>
            </w:r>
          </w:p>
        </w:tc>
        <w:tc>
          <w:tcPr>
            <w:tcW w:type="dxa" w:w="1080"/>
          </w:tcPr>
          <w:p>
            <w:pPr>
              <w:spacing w:after="20"/>
            </w:pPr>
            <w:r>
              <w:rPr>
                <w:color w:val="1C3A36"/>
                <w:sz w:val="14"/>
              </w:rPr>
              <w:t>2024-04-18</w:t>
            </w:r>
          </w:p>
        </w:tc>
      </w:tr>
      <w:tr>
        <w:tc>
          <w:tcPr>
            <w:tcW w:type="dxa" w:w="1512"/>
          </w:tcPr>
          <w:p>
            <w:pPr>
              <w:spacing w:after="20"/>
            </w:pPr>
            <w:r>
              <w:rPr>
                <w:color w:val="1C3A36"/>
                <w:sz w:val="14"/>
              </w:rPr>
              <w:t>dps_fy24</w:t>
            </w:r>
          </w:p>
        </w:tc>
        <w:tc>
          <w:tcPr>
            <w:tcW w:type="dxa" w:w="1656"/>
          </w:tcPr>
          <w:p>
            <w:pPr>
              <w:spacing w:after="20"/>
            </w:pPr>
            <w:r>
              <w:rPr>
                <w:color w:val="1C3A36"/>
                <w:sz w:val="14"/>
              </w:rPr>
              <w:t>0.54</w:t>
            </w:r>
          </w:p>
        </w:tc>
        <w:tc>
          <w:tcPr>
            <w:tcW w:type="dxa" w:w="5904"/>
          </w:tcPr>
          <w:p>
            <w:pPr>
              <w:spacing w:after="20"/>
            </w:pPr>
            <w:r>
              <w:rPr>
                <w:color w:val="1C3A36"/>
                <w:sz w:val="14"/>
              </w:rPr>
              <w:t>Audited consolidated FS, Annual Report 2024, investors.du.ae (PwC, unqualified opinion 10-Feb-2025)/AR25: interim 0.20 (paid 19-Aug-2024) + final 0.34 (paid 15-Apr-2025); IR: 98% payout</w:t>
            </w:r>
          </w:p>
        </w:tc>
        <w:tc>
          <w:tcPr>
            <w:tcW w:type="dxa" w:w="1080"/>
          </w:tcPr>
          <w:p>
            <w:pPr>
              <w:spacing w:after="20"/>
            </w:pPr>
            <w:r>
              <w:rPr>
                <w:color w:val="1C3A36"/>
                <w:sz w:val="14"/>
              </w:rPr>
              <w:t>2025-04-15</w:t>
            </w:r>
          </w:p>
        </w:tc>
      </w:tr>
      <w:tr>
        <w:tc>
          <w:tcPr>
            <w:tcW w:type="dxa" w:w="1512"/>
          </w:tcPr>
          <w:p>
            <w:pPr>
              <w:spacing w:after="20"/>
            </w:pPr>
            <w:r>
              <w:rPr>
                <w:color w:val="1C3A36"/>
                <w:sz w:val="14"/>
              </w:rPr>
              <w:t>dps_fy25</w:t>
            </w:r>
          </w:p>
        </w:tc>
        <w:tc>
          <w:tcPr>
            <w:tcW w:type="dxa" w:w="1656"/>
          </w:tcPr>
          <w:p>
            <w:pPr>
              <w:spacing w:after="20"/>
            </w:pPr>
            <w:r>
              <w:rPr>
                <w:color w:val="1C3A36"/>
                <w:sz w:val="14"/>
              </w:rPr>
              <w:t>0.64</w:t>
            </w:r>
          </w:p>
        </w:tc>
        <w:tc>
          <w:tcPr>
            <w:tcW w:type="dxa" w:w="5904"/>
          </w:tcPr>
          <w:p>
            <w:pPr>
              <w:spacing w:after="20"/>
            </w:pPr>
            <w:r>
              <w:rPr>
                <w:color w:val="1C3A36"/>
                <w:sz w:val="14"/>
              </w:rPr>
              <w:t>Audited consolidated FS, Integrated Annual Report 2025, investors.du.ae (KPMG Lower Gulf, unmodified opinion 09-Feb-2026): interim 0.24 (paid 21-Aug-2025) + final 0.40 (paid 28-Apr-2026); IR: ~100% payout, the highest dividend and payout in du history</w:t>
            </w:r>
          </w:p>
        </w:tc>
        <w:tc>
          <w:tcPr>
            <w:tcW w:type="dxa" w:w="1080"/>
          </w:tcPr>
          <w:p>
            <w:pPr>
              <w:spacing w:after="20"/>
            </w:pPr>
            <w:r>
              <w:rPr>
                <w:color w:val="1C3A36"/>
                <w:sz w:val="14"/>
              </w:rPr>
              <w:t>2026-04-28</w:t>
            </w:r>
          </w:p>
        </w:tc>
      </w:tr>
      <w:tr>
        <w:tc>
          <w:tcPr>
            <w:tcW w:type="dxa" w:w="1512"/>
          </w:tcPr>
          <w:p>
            <w:pPr>
              <w:spacing w:after="20"/>
            </w:pPr>
            <w:r>
              <w:rPr>
                <w:color w:val="1C3A36"/>
                <w:sz w:val="14"/>
              </w:rPr>
              <w:t>h1_26_rev</w:t>
            </w:r>
          </w:p>
        </w:tc>
        <w:tc>
          <w:tcPr>
            <w:tcW w:type="dxa" w:w="1656"/>
          </w:tcPr>
          <w:p>
            <w:pPr>
              <w:spacing w:after="20"/>
            </w:pPr>
            <w:r>
              <w:rPr>
                <w:color w:val="1C3A36"/>
                <w:sz w:val="14"/>
              </w:rPr>
              <w:t>8,197.6</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h1_25_rev</w:t>
            </w:r>
          </w:p>
        </w:tc>
        <w:tc>
          <w:tcPr>
            <w:tcW w:type="dxa" w:w="1656"/>
          </w:tcPr>
          <w:p>
            <w:pPr>
              <w:spacing w:after="20"/>
            </w:pPr>
            <w:r>
              <w:rPr>
                <w:color w:val="1C3A36"/>
                <w:sz w:val="14"/>
              </w:rPr>
              <w:t>7,750.3</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h1_26_ebitda</w:t>
            </w:r>
          </w:p>
        </w:tc>
        <w:tc>
          <w:tcPr>
            <w:tcW w:type="dxa" w:w="1656"/>
          </w:tcPr>
          <w:p>
            <w:pPr>
              <w:spacing w:after="20"/>
            </w:pPr>
            <w:r>
              <w:rPr>
                <w:color w:val="1C3A36"/>
                <w:sz w:val="14"/>
              </w:rPr>
              <w:t>4,031.9</w:t>
            </w:r>
          </w:p>
        </w:tc>
        <w:tc>
          <w:tcPr>
            <w:tcW w:type="dxa" w:w="5904"/>
          </w:tcPr>
          <w:p>
            <w:pPr>
              <w:spacing w:after="20"/>
            </w:pPr>
            <w:r>
              <w:rPr>
                <w:color w:val="1C3A36"/>
                <w:sz w:val="14"/>
              </w:rPr>
              <w:t>Reviewed condensed consolidated interim FS for the six months ended 30-Jun-2026, investors.du.ae (KPMG ISRE 2410 review, 22-Jul-2026), operating profit before D&amp;A on the face (margin 49.2%)</w:t>
            </w:r>
          </w:p>
        </w:tc>
        <w:tc>
          <w:tcPr>
            <w:tcW w:type="dxa" w:w="1080"/>
          </w:tcPr>
          <w:p>
            <w:pPr>
              <w:spacing w:after="20"/>
            </w:pPr>
            <w:r>
              <w:rPr>
                <w:color w:val="1C3A36"/>
                <w:sz w:val="14"/>
              </w:rPr>
              <w:t>2026-07-22</w:t>
            </w:r>
          </w:p>
        </w:tc>
      </w:tr>
      <w:tr>
        <w:tc>
          <w:tcPr>
            <w:tcW w:type="dxa" w:w="1512"/>
          </w:tcPr>
          <w:p>
            <w:pPr>
              <w:spacing w:after="20"/>
            </w:pPr>
            <w:r>
              <w:rPr>
                <w:color w:val="1C3A36"/>
                <w:sz w:val="14"/>
              </w:rPr>
              <w:t>h1_26_dna</w:t>
            </w:r>
          </w:p>
        </w:tc>
        <w:tc>
          <w:tcPr>
            <w:tcW w:type="dxa" w:w="1656"/>
          </w:tcPr>
          <w:p>
            <w:pPr>
              <w:spacing w:after="20"/>
            </w:pPr>
            <w:r>
              <w:rPr>
                <w:color w:val="1C3A36"/>
                <w:sz w:val="14"/>
              </w:rPr>
              <w:t>1,133.2</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h1_26_np</w:t>
            </w:r>
          </w:p>
        </w:tc>
        <w:tc>
          <w:tcPr>
            <w:tcW w:type="dxa" w:w="1656"/>
          </w:tcPr>
          <w:p>
            <w:pPr>
              <w:spacing w:after="20"/>
            </w:pPr>
            <w:r>
              <w:rPr>
                <w:color w:val="1C3A36"/>
                <w:sz w:val="14"/>
              </w:rPr>
              <w:t>1,632.0</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h1_25_np</w:t>
            </w:r>
          </w:p>
        </w:tc>
        <w:tc>
          <w:tcPr>
            <w:tcW w:type="dxa" w:w="1656"/>
          </w:tcPr>
          <w:p>
            <w:pPr>
              <w:spacing w:after="20"/>
            </w:pPr>
            <w:r>
              <w:rPr>
                <w:color w:val="1C3A36"/>
                <w:sz w:val="14"/>
              </w:rPr>
              <w:t>1,449.3</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h1_25_ebitda</w:t>
            </w:r>
          </w:p>
        </w:tc>
        <w:tc>
          <w:tcPr>
            <w:tcW w:type="dxa" w:w="1656"/>
          </w:tcPr>
          <w:p>
            <w:pPr>
              <w:spacing w:after="20"/>
            </w:pPr>
            <w:r>
              <w:rPr>
                <w:color w:val="1C3A36"/>
                <w:sz w:val="14"/>
              </w:rPr>
              <w:t>3,650.2</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h1_26_capex</w:t>
            </w:r>
          </w:p>
        </w:tc>
        <w:tc>
          <w:tcPr>
            <w:tcW w:type="dxa" w:w="1656"/>
          </w:tcPr>
          <w:p>
            <w:pPr>
              <w:spacing w:after="20"/>
            </w:pPr>
            <w:r>
              <w:rPr>
                <w:color w:val="1C3A36"/>
                <w:sz w:val="14"/>
              </w:rPr>
              <w:t>1,038.0</w:t>
            </w:r>
          </w:p>
        </w:tc>
        <w:tc>
          <w:tcPr>
            <w:tcW w:type="dxa" w:w="5904"/>
          </w:tcPr>
          <w:p>
            <w:pPr>
              <w:spacing w:after="20"/>
            </w:pPr>
            <w:r>
              <w:rPr>
                <w:color w:val="1C3A36"/>
                <w:sz w:val="14"/>
              </w:rPr>
              <w:t>Company Q2-2026 earnings release + analyst presentation, investors.du.ae (COMPANY_IR): cost additions to PP&amp;E + intangibles, H1-2026 (capital intensity 12.7%)</w:t>
            </w:r>
          </w:p>
        </w:tc>
        <w:tc>
          <w:tcPr>
            <w:tcW w:type="dxa" w:w="1080"/>
          </w:tcPr>
          <w:p>
            <w:pPr>
              <w:spacing w:after="20"/>
            </w:pPr>
            <w:r>
              <w:rPr>
                <w:color w:val="1C3A36"/>
                <w:sz w:val="14"/>
              </w:rPr>
              <w:t>2026-07-23</w:t>
            </w:r>
          </w:p>
        </w:tc>
      </w:tr>
      <w:tr>
        <w:tc>
          <w:tcPr>
            <w:tcW w:type="dxa" w:w="1512"/>
          </w:tcPr>
          <w:p>
            <w:pPr>
              <w:spacing w:after="20"/>
            </w:pPr>
            <w:r>
              <w:rPr>
                <w:color w:val="1C3A36"/>
                <w:sz w:val="14"/>
              </w:rPr>
              <w:t>h2_25_rev</w:t>
            </w:r>
          </w:p>
        </w:tc>
        <w:tc>
          <w:tcPr>
            <w:tcW w:type="dxa" w:w="1656"/>
          </w:tcPr>
          <w:p>
            <w:pPr>
              <w:spacing w:after="20"/>
            </w:pPr>
            <w:r>
              <w:rPr>
                <w:color w:val="1C3A36"/>
                <w:sz w:val="14"/>
              </w:rPr>
              <w:t>8,155.1</w:t>
            </w:r>
          </w:p>
        </w:tc>
        <w:tc>
          <w:tcPr>
            <w:tcW w:type="dxa" w:w="5904"/>
          </w:tcPr>
          <w:p>
            <w:pPr>
              <w:spacing w:after="20"/>
            </w:pPr>
            <w:r>
              <w:rPr>
                <w:color w:val="1C3A36"/>
                <w:sz w:val="14"/>
              </w:rPr>
              <w:t>DERIVED (flagged): FY2025 revenue 15,905.421 − H1-2025 7,750.295, both audited/reviewed</w:t>
            </w:r>
          </w:p>
        </w:tc>
        <w:tc>
          <w:tcPr>
            <w:tcW w:type="dxa" w:w="1080"/>
          </w:tcPr>
          <w:p>
            <w:pPr>
              <w:spacing w:after="20"/>
            </w:pPr>
            <w:r>
              <w:rPr>
                <w:color w:val="1C3A36"/>
                <w:sz w:val="14"/>
              </w:rPr>
              <w:t>2026-07-22</w:t>
            </w:r>
          </w:p>
        </w:tc>
      </w:tr>
      <w:tr>
        <w:tc>
          <w:tcPr>
            <w:tcW w:type="dxa" w:w="1512"/>
          </w:tcPr>
          <w:p>
            <w:pPr>
              <w:spacing w:after="20"/>
            </w:pPr>
            <w:r>
              <w:rPr>
                <w:color w:val="1C3A36"/>
                <w:sz w:val="14"/>
              </w:rPr>
              <w:t>h2_25_ebitda</w:t>
            </w:r>
          </w:p>
        </w:tc>
        <w:tc>
          <w:tcPr>
            <w:tcW w:type="dxa" w:w="1656"/>
          </w:tcPr>
          <w:p>
            <w:pPr>
              <w:spacing w:after="20"/>
            </w:pPr>
            <w:r>
              <w:rPr>
                <w:color w:val="1C3A36"/>
                <w:sz w:val="14"/>
              </w:rPr>
              <w:t>3,688.2</w:t>
            </w:r>
          </w:p>
        </w:tc>
        <w:tc>
          <w:tcPr>
            <w:tcW w:type="dxa" w:w="5904"/>
          </w:tcPr>
          <w:p>
            <w:pPr>
              <w:spacing w:after="20"/>
            </w:pPr>
            <w:r>
              <w:rPr>
                <w:color w:val="1C3A36"/>
                <w:sz w:val="14"/>
              </w:rPr>
              <w:t>DERIVED (flagged): FY2025 EBITDA 7,338.388 − H1-2025 3,650.187</w:t>
            </w:r>
          </w:p>
        </w:tc>
        <w:tc>
          <w:tcPr>
            <w:tcW w:type="dxa" w:w="1080"/>
          </w:tcPr>
          <w:p>
            <w:pPr>
              <w:spacing w:after="20"/>
            </w:pPr>
            <w:r>
              <w:rPr>
                <w:color w:val="1C3A36"/>
                <w:sz w:val="14"/>
              </w:rPr>
              <w:t>2026-07-22</w:t>
            </w:r>
          </w:p>
        </w:tc>
      </w:tr>
      <w:tr>
        <w:tc>
          <w:tcPr>
            <w:tcW w:type="dxa" w:w="1512"/>
          </w:tcPr>
          <w:p>
            <w:pPr>
              <w:spacing w:after="20"/>
            </w:pPr>
            <w:r>
              <w:rPr>
                <w:color w:val="1C3A36"/>
                <w:sz w:val="14"/>
              </w:rPr>
              <w:t>h1_26_seg</w:t>
            </w:r>
          </w:p>
        </w:tc>
        <w:tc>
          <w:tcPr>
            <w:tcW w:type="dxa" w:w="1656"/>
          </w:tcPr>
          <w:p>
            <w:pPr>
              <w:spacing w:after="20"/>
            </w:pPr>
            <w:r>
              <w:rPr>
                <w:color w:val="1C3A36"/>
                <w:sz w:val="14"/>
              </w:rPr>
              <w:t>mobile: 3,646.3; fixed: 2,382.6; wholesale: 1,257.6; ict: 911.1</w:t>
            </w:r>
          </w:p>
        </w:tc>
        <w:tc>
          <w:tcPr>
            <w:tcW w:type="dxa" w:w="5904"/>
          </w:tcPr>
          <w:p>
            <w:pPr>
              <w:spacing w:after="20"/>
            </w:pPr>
            <w:r>
              <w:rPr>
                <w:color w:val="1C3A36"/>
                <w:sz w:val="14"/>
              </w:rPr>
              <w:t>Reviewed condensed consolidated interim FS for the six months ended 30-Jun-2026, investors.du.ae (KPMG ISRE 2410 review, 22-Jul-2026), segment revenue for the six months ended 30-Jun-2026 (Note 17 segment analysis); ties exactly to reviewed total revenue 8,197.573. REGISTERED 17-Aug-2026 — previously a typed dict inside the build, so it was an input with no four-field record</w:t>
            </w:r>
          </w:p>
        </w:tc>
        <w:tc>
          <w:tcPr>
            <w:tcW w:type="dxa" w:w="1080"/>
          </w:tcPr>
          <w:p>
            <w:pPr>
              <w:spacing w:after="20"/>
            </w:pPr>
            <w:r>
              <w:rPr>
                <w:color w:val="1C3A36"/>
                <w:sz w:val="14"/>
              </w:rPr>
              <w:t>2026-07-22</w:t>
            </w:r>
          </w:p>
        </w:tc>
      </w:tr>
      <w:tr>
        <w:tc>
          <w:tcPr>
            <w:tcW w:type="dxa" w:w="1512"/>
          </w:tcPr>
          <w:p>
            <w:pPr>
              <w:spacing w:after="20"/>
            </w:pPr>
            <w:r>
              <w:rPr>
                <w:color w:val="1C3A36"/>
                <w:sz w:val="14"/>
              </w:rPr>
              <w:t>subs_mobile_fy23</w:t>
            </w:r>
          </w:p>
        </w:tc>
        <w:tc>
          <w:tcPr>
            <w:tcW w:type="dxa" w:w="1656"/>
          </w:tcPr>
          <w:p>
            <w:pPr>
              <w:spacing w:after="20"/>
            </w:pPr>
            <w:r>
              <w:rPr>
                <w:color w:val="1C3A36"/>
                <w:sz w:val="14"/>
              </w:rPr>
              <w:t>8,554.0</w:t>
            </w:r>
          </w:p>
        </w:tc>
        <w:tc>
          <w:tcPr>
            <w:tcW w:type="dxa" w:w="5904"/>
          </w:tcPr>
          <w:p>
            <w:pPr>
              <w:spacing w:after="20"/>
            </w:pPr>
            <w:r>
              <w:rPr>
                <w:color w:val="1C3A36"/>
                <w:sz w:val="14"/>
              </w:rPr>
              <w:t>Mobile customer base at 31-Dec-2023: 8,554 thousand, du Annual Report 2024 operational highlights (page 6), which prints the 2023 and 2024 bases side by side</w:t>
            </w:r>
          </w:p>
        </w:tc>
        <w:tc>
          <w:tcPr>
            <w:tcW w:type="dxa" w:w="1080"/>
          </w:tcPr>
          <w:p>
            <w:pPr>
              <w:spacing w:after="20"/>
            </w:pPr>
            <w:r>
              <w:rPr>
                <w:color w:val="1C3A36"/>
                <w:sz w:val="14"/>
              </w:rPr>
              <w:t>2025-02-10</w:t>
            </w:r>
          </w:p>
        </w:tc>
      </w:tr>
      <w:tr>
        <w:tc>
          <w:tcPr>
            <w:tcW w:type="dxa" w:w="1512"/>
          </w:tcPr>
          <w:p>
            <w:pPr>
              <w:spacing w:after="20"/>
            </w:pPr>
            <w:r>
              <w:rPr>
                <w:color w:val="1C3A36"/>
                <w:sz w:val="14"/>
              </w:rPr>
              <w:t>subs_fixed_fy23</w:t>
            </w:r>
          </w:p>
        </w:tc>
        <w:tc>
          <w:tcPr>
            <w:tcW w:type="dxa" w:w="1656"/>
          </w:tcPr>
          <w:p>
            <w:pPr>
              <w:spacing w:after="20"/>
            </w:pPr>
            <w:r>
              <w:rPr>
                <w:color w:val="1C3A36"/>
                <w:sz w:val="14"/>
              </w:rPr>
              <w:t>604.0</w:t>
            </w:r>
          </w:p>
        </w:tc>
        <w:tc>
          <w:tcPr>
            <w:tcW w:type="dxa" w:w="5904"/>
          </w:tcPr>
          <w:p>
            <w:pPr>
              <w:spacing w:after="20"/>
            </w:pPr>
            <w:r>
              <w:rPr>
                <w:color w:val="1C3A36"/>
                <w:sz w:val="14"/>
              </w:rPr>
              <w:t>Fixed customer base at 31-Dec-2023: 604 thousand, same source and page. This SETTLES an external challenge that the 682 thousand figure was FY2023: du's own report shows 604 (2023) and 682 (2024)</w:t>
            </w:r>
          </w:p>
        </w:tc>
        <w:tc>
          <w:tcPr>
            <w:tcW w:type="dxa" w:w="1080"/>
          </w:tcPr>
          <w:p>
            <w:pPr>
              <w:spacing w:after="20"/>
            </w:pPr>
            <w:r>
              <w:rPr>
                <w:color w:val="1C3A36"/>
                <w:sz w:val="14"/>
              </w:rPr>
              <w:t>2025-02-10</w:t>
            </w:r>
          </w:p>
        </w:tc>
      </w:tr>
      <w:tr>
        <w:tc>
          <w:tcPr>
            <w:tcW w:type="dxa" w:w="1512"/>
          </w:tcPr>
          <w:p>
            <w:pPr>
              <w:spacing w:after="20"/>
            </w:pPr>
            <w:r>
              <w:rPr>
                <w:color w:val="1C3A36"/>
                <w:sz w:val="14"/>
              </w:rPr>
              <w:t>dps_h1_26</w:t>
            </w:r>
          </w:p>
        </w:tc>
        <w:tc>
          <w:tcPr>
            <w:tcW w:type="dxa" w:w="1656"/>
          </w:tcPr>
          <w:p>
            <w:pPr>
              <w:spacing w:after="20"/>
            </w:pPr>
            <w:r>
              <w:rPr>
                <w:color w:val="1C3A36"/>
                <w:sz w:val="14"/>
              </w:rPr>
              <w:t>0.26</w:t>
            </w:r>
          </w:p>
        </w:tc>
        <w:tc>
          <w:tcPr>
            <w:tcW w:type="dxa" w:w="5904"/>
          </w:tcPr>
          <w:p>
            <w:pPr>
              <w:spacing w:after="20"/>
            </w:pPr>
            <w:r>
              <w:rPr>
                <w:color w:val="1C3A36"/>
                <w:sz w:val="14"/>
              </w:rPr>
              <w:t>Reviewed condensed consolidated interim FS for the six months ended 30-Jun-2026, investors.du.ae (KPMG ISRE 2410 review, 22-Jul-2026) + Q2 earnings release: interim AED 0.26/share approved by the Board 23-Jul-2026 (AED 1,178.556mn), +8.3% y/y</w:t>
            </w:r>
          </w:p>
        </w:tc>
        <w:tc>
          <w:tcPr>
            <w:tcW w:type="dxa" w:w="1080"/>
          </w:tcPr>
          <w:p>
            <w:pPr>
              <w:spacing w:after="20"/>
            </w:pPr>
            <w:r>
              <w:rPr>
                <w:color w:val="1C3A36"/>
                <w:sz w:val="14"/>
              </w:rPr>
              <w:t>2026-07-23</w:t>
            </w:r>
          </w:p>
        </w:tc>
      </w:tr>
      <w:tr>
        <w:tc>
          <w:tcPr>
            <w:tcW w:type="dxa" w:w="1512"/>
          </w:tcPr>
          <w:p>
            <w:pPr>
              <w:spacing w:after="20"/>
            </w:pPr>
            <w:r>
              <w:rPr>
                <w:color w:val="1C3A36"/>
                <w:sz w:val="14"/>
              </w:rPr>
              <w:t>seg_rev_hist</w:t>
            </w:r>
          </w:p>
        </w:tc>
        <w:tc>
          <w:tcPr>
            <w:tcW w:type="dxa" w:w="1656"/>
          </w:tcPr>
          <w:p>
            <w:pPr>
              <w:spacing w:after="20"/>
            </w:pPr>
            <w:r>
              <w:rPr>
                <w:color w:val="1C3A36"/>
                <w:sz w:val="14"/>
              </w:rPr>
              <w:t>FY23: mobile: 7,004.1; fixed: 3,779.8; wholesale: 1,768.4; ict: 1,084.0; FY24: mobile: 6,548.1; fixed: 4,002.7; wholesale: 2,373.1; ict: 1,712.1; FY25: mobile: 7,074.9; fixed: 4,379.7; wholesale: 2,568.2; ict: 1,882.6</w:t>
            </w:r>
          </w:p>
        </w:tc>
        <w:tc>
          <w:tcPr>
            <w:tcW w:type="dxa" w:w="5904"/>
          </w:tcPr>
          <w:p>
            <w:pPr>
              <w:spacing w:after="20"/>
            </w:pPr>
            <w:r>
              <w:rPr>
                <w:color w:val="1C3A36"/>
                <w:sz w:val="14"/>
              </w:rPr>
              <w:t>Segment notes: FY2023 Note 34 (Audited consolidated FS, Annual Report 2023, investors.du.ae (PwC, unqualified opinion 13-Feb-2024), old basis, 'Others' shown under ict); FY2024-FY2025 Note 38 (Audited consolidated FS, Integrated Annual Report 2025, investors.du.ae (KPMG Lower Gulf, unmodified opinion 09-Feb-2026), current basis, FY2024 re-presented)</w:t>
            </w:r>
          </w:p>
        </w:tc>
        <w:tc>
          <w:tcPr>
            <w:tcW w:type="dxa" w:w="1080"/>
          </w:tcPr>
          <w:p>
            <w:pPr>
              <w:spacing w:after="20"/>
            </w:pPr>
            <w:r>
              <w:rPr>
                <w:color w:val="1C3A36"/>
                <w:sz w:val="14"/>
              </w:rPr>
              <w:t>2026-02-09</w:t>
            </w:r>
          </w:p>
        </w:tc>
      </w:tr>
      <w:tr>
        <w:tc>
          <w:tcPr>
            <w:tcW w:type="dxa" w:w="1512"/>
          </w:tcPr>
          <w:p>
            <w:pPr>
              <w:spacing w:after="20"/>
            </w:pPr>
            <w:r>
              <w:rPr>
                <w:color w:val="1C3A36"/>
                <w:sz w:val="14"/>
              </w:rPr>
              <w:t>seg_contrib_hist</w:t>
            </w:r>
          </w:p>
        </w:tc>
        <w:tc>
          <w:tcPr>
            <w:tcW w:type="dxa" w:w="1656"/>
          </w:tcPr>
          <w:p>
            <w:pPr>
              <w:spacing w:after="20"/>
            </w:pPr>
            <w:r>
              <w:rPr>
                <w:color w:val="1C3A36"/>
                <w:sz w:val="14"/>
              </w:rPr>
              <w:t>FY24: mobile: 3,985.6; fixed: 3,387.6; wholesale: 2,089.0; ict: 355.3; FY25: mobile: 4,303.6; fixed: 3,757.9; wholesale: 2,219.5; ict: 365.0</w:t>
            </w:r>
          </w:p>
        </w:tc>
        <w:tc>
          <w:tcPr>
            <w:tcW w:type="dxa" w:w="5904"/>
          </w:tcPr>
          <w:p>
            <w:pPr>
              <w:spacing w:after="20"/>
            </w:pPr>
            <w:r>
              <w:rPr>
                <w:color w:val="1C3A36"/>
                <w:sz w:val="14"/>
              </w:rPr>
              <w:t>Audited consolidated FS, Integrated Annual Report 2025, investors.du.ae (KPMG Lower Gulf, unmodified opinion 09-Feb-2026), Note 38: segment contribution ('gross margin' = revenue less direct costs, before opex and D&amp;A)</w:t>
            </w:r>
          </w:p>
        </w:tc>
        <w:tc>
          <w:tcPr>
            <w:tcW w:type="dxa" w:w="1080"/>
          </w:tcPr>
          <w:p>
            <w:pPr>
              <w:spacing w:after="20"/>
            </w:pPr>
            <w:r>
              <w:rPr>
                <w:color w:val="1C3A36"/>
                <w:sz w:val="14"/>
              </w:rPr>
              <w:t>2026-02-09</w:t>
            </w:r>
          </w:p>
        </w:tc>
      </w:tr>
      <w:tr>
        <w:tc>
          <w:tcPr>
            <w:tcW w:type="dxa" w:w="1512"/>
          </w:tcPr>
          <w:p>
            <w:pPr>
              <w:spacing w:after="20"/>
            </w:pPr>
            <w:r>
              <w:rPr>
                <w:color w:val="1C3A36"/>
                <w:sz w:val="14"/>
              </w:rPr>
              <w:t>subs_mobile</w:t>
            </w:r>
          </w:p>
        </w:tc>
        <w:tc>
          <w:tcPr>
            <w:tcW w:type="dxa" w:w="1656"/>
          </w:tcPr>
          <w:p>
            <w:pPr>
              <w:spacing w:after="20"/>
            </w:pPr>
            <w:r>
              <w:rPr>
                <w:color w:val="1C3A36"/>
                <w:sz w:val="14"/>
              </w:rPr>
              <w:t>Q4_2024: 8,916; Q1_2025: 9,137; Q2_2025: 9,138; Q3_2025: 9,170; Q4_2025: 9,704; Q1_2026: 9,692; Q2_2026: 9,280</w:t>
            </w:r>
          </w:p>
        </w:tc>
        <w:tc>
          <w:tcPr>
            <w:tcW w:type="dxa" w:w="5904"/>
          </w:tcPr>
          <w:p>
            <w:pPr>
              <w:spacing w:after="20"/>
            </w:pPr>
            <w:r>
              <w:rPr>
                <w:color w:val="1C3A36"/>
                <w:sz w:val="14"/>
              </w:rPr>
              <w:t>Company Q2-2026 earnings release + analyst presentation, investors.du.ae (COMPANY_IR) + prior quarterly decks: mobile customers ('000, TDRA 90-day active definition); Q2-2026 net adds −412k (prepaid −442k on the tourism shock, postpaid +30k)</w:t>
            </w:r>
          </w:p>
        </w:tc>
        <w:tc>
          <w:tcPr>
            <w:tcW w:type="dxa" w:w="1080"/>
          </w:tcPr>
          <w:p>
            <w:pPr>
              <w:spacing w:after="20"/>
            </w:pPr>
            <w:r>
              <w:rPr>
                <w:color w:val="1C3A36"/>
                <w:sz w:val="14"/>
              </w:rPr>
              <w:t>2026-07-23</w:t>
            </w:r>
          </w:p>
        </w:tc>
      </w:tr>
      <w:tr>
        <w:tc>
          <w:tcPr>
            <w:tcW w:type="dxa" w:w="1512"/>
          </w:tcPr>
          <w:p>
            <w:pPr>
              <w:spacing w:after="20"/>
            </w:pPr>
            <w:r>
              <w:rPr>
                <w:color w:val="1C3A36"/>
                <w:sz w:val="14"/>
              </w:rPr>
              <w:t>subs_fixed</w:t>
            </w:r>
          </w:p>
        </w:tc>
        <w:tc>
          <w:tcPr>
            <w:tcW w:type="dxa" w:w="1656"/>
          </w:tcPr>
          <w:p>
            <w:pPr>
              <w:spacing w:after="20"/>
            </w:pPr>
            <w:r>
              <w:rPr>
                <w:color w:val="1C3A36"/>
                <w:sz w:val="14"/>
              </w:rPr>
              <w:t>Q4_2024: 682; Q1_2025: 701; Q2_2025: 706; Q3_2025: 718; Q4_2025: 735; Q1_2026: 745; Q2_2026: 744</w:t>
            </w:r>
          </w:p>
        </w:tc>
        <w:tc>
          <w:tcPr>
            <w:tcW w:type="dxa" w:w="5904"/>
          </w:tcPr>
          <w:p>
            <w:pPr>
              <w:spacing w:after="20"/>
            </w:pPr>
            <w:r>
              <w:rPr>
                <w:color w:val="1C3A36"/>
                <w:sz w:val="14"/>
              </w:rPr>
              <w:t>Company Q2-2026 earnings release + analyst presentation, investors.du.ae (COMPANY_IR): fixed customers ('000)</w:t>
            </w:r>
          </w:p>
        </w:tc>
        <w:tc>
          <w:tcPr>
            <w:tcW w:type="dxa" w:w="1080"/>
          </w:tcPr>
          <w:p>
            <w:pPr>
              <w:spacing w:after="20"/>
            </w:pPr>
            <w:r>
              <w:rPr>
                <w:color w:val="1C3A36"/>
                <w:sz w:val="14"/>
              </w:rPr>
              <w:t>2026-07-23</w:t>
            </w:r>
          </w:p>
        </w:tc>
      </w:tr>
      <w:tr>
        <w:tc>
          <w:tcPr>
            <w:tcW w:type="dxa" w:w="1512"/>
          </w:tcPr>
          <w:p>
            <w:pPr>
              <w:spacing w:after="20"/>
            </w:pPr>
            <w:r>
              <w:rPr>
                <w:color w:val="1C3A36"/>
                <w:sz w:val="14"/>
              </w:rPr>
              <w:t>arpu_mobile</w:t>
            </w:r>
          </w:p>
        </w:tc>
        <w:tc>
          <w:tcPr>
            <w:tcW w:type="dxa" w:w="1656"/>
          </w:tcPr>
          <w:p>
            <w:pPr>
              <w:spacing w:after="20"/>
            </w:pPr>
            <w:r>
              <w:rPr>
                <w:color w:val="1C3A36"/>
                <w:sz w:val="14"/>
              </w:rPr>
              <w:t>FY2025: 63.3; Q1_2026: 63.4; Q2_2026: 63.4</w:t>
            </w:r>
          </w:p>
        </w:tc>
        <w:tc>
          <w:tcPr>
            <w:tcW w:type="dxa" w:w="5904"/>
          </w:tcPr>
          <w:p>
            <w:pPr>
              <w:spacing w:after="20"/>
            </w:pPr>
            <w:r>
              <w:rPr>
                <w:color w:val="1C3A36"/>
                <w:sz w:val="14"/>
              </w:rPr>
              <w:t>Company Q2-2026 earnings release + analyst presentation, investors.du.ae (COMPANY_IR): blended mobile ARPU, AED/month</w:t>
            </w:r>
          </w:p>
        </w:tc>
        <w:tc>
          <w:tcPr>
            <w:tcW w:type="dxa" w:w="1080"/>
          </w:tcPr>
          <w:p>
            <w:pPr>
              <w:spacing w:after="20"/>
            </w:pPr>
            <w:r>
              <w:rPr>
                <w:color w:val="1C3A36"/>
                <w:sz w:val="14"/>
              </w:rPr>
              <w:t>2026-07-23</w:t>
            </w:r>
          </w:p>
        </w:tc>
      </w:tr>
      <w:tr>
        <w:tc>
          <w:tcPr>
            <w:tcW w:type="dxa" w:w="1512"/>
          </w:tcPr>
          <w:p>
            <w:pPr>
              <w:spacing w:after="20"/>
            </w:pPr>
            <w:r>
              <w:rPr>
                <w:color w:val="1C3A36"/>
                <w:sz w:val="14"/>
              </w:rPr>
              <w:t>opex_base_fy25</w:t>
            </w:r>
          </w:p>
        </w:tc>
        <w:tc>
          <w:tcPr>
            <w:tcW w:type="dxa" w:w="1656"/>
          </w:tcPr>
          <w:p>
            <w:pPr>
              <w:spacing w:after="20"/>
            </w:pPr>
            <w:r>
              <w:rPr>
                <w:color w:val="1C3A36"/>
                <w:sz w:val="14"/>
              </w:rPr>
              <w:t>network: 963.9; marketing: 292.3; staff: 1,105.3; admin: 189.7; licence: 434.0; other: 133.2; ecl: 211.0; other_inc: -21.716</w:t>
            </w:r>
          </w:p>
        </w:tc>
        <w:tc>
          <w:tcPr>
            <w:tcW w:type="dxa" w:w="5904"/>
          </w:tcPr>
          <w:p>
            <w:pPr>
              <w:spacing w:after="20"/>
            </w:pPr>
            <w:r>
              <w:rPr>
                <w:color w:val="1C3A36"/>
                <w:sz w:val="14"/>
              </w:rPr>
              <w:t>Audited consolidated FS, Integrated Annual Report 2025, investors.du.ae (KPMG Lower Gulf, unmodified opinion 09-Feb-2026), face of the income statement: net operating expenses before D&amp;A by nature (licence = telecommunication licence and related fees, a revenue-linked regulatory charge; ecl = impairment of trade/lease receivables and contract assets net of recoveries)</w:t>
            </w:r>
          </w:p>
        </w:tc>
        <w:tc>
          <w:tcPr>
            <w:tcW w:type="dxa" w:w="1080"/>
          </w:tcPr>
          <w:p>
            <w:pPr>
              <w:spacing w:after="20"/>
            </w:pPr>
            <w:r>
              <w:rPr>
                <w:color w:val="1C3A36"/>
                <w:sz w:val="14"/>
              </w:rPr>
              <w:t>2026-02-09</w:t>
            </w:r>
          </w:p>
        </w:tc>
      </w:tr>
      <w:tr>
        <w:tc>
          <w:tcPr>
            <w:tcW w:type="dxa" w:w="1512"/>
          </w:tcPr>
          <w:p>
            <w:pPr>
              <w:spacing w:after="20"/>
            </w:pPr>
            <w:r>
              <w:rPr>
                <w:color w:val="1C3A36"/>
                <w:sz w:val="14"/>
              </w:rPr>
              <w:t>staff_fy26</w:t>
            </w:r>
          </w:p>
        </w:tc>
        <w:tc>
          <w:tcPr>
            <w:tcW w:type="dxa" w:w="1656"/>
          </w:tcPr>
          <w:p>
            <w:pPr>
              <w:spacing w:after="20"/>
            </w:pPr>
            <w:r>
              <w:rPr>
                <w:color w:val="1C3A36"/>
                <w:sz w:val="14"/>
              </w:rPr>
              <w:t>1,035.2</w:t>
            </w:r>
          </w:p>
        </w:tc>
        <w:tc>
          <w:tcPr>
            <w:tcW w:type="dxa" w:w="5904"/>
          </w:tcPr>
          <w:p>
            <w:pPr>
              <w:spacing w:after="20"/>
            </w:pPr>
            <w:r>
              <w:rPr>
                <w:color w:val="1C3A36"/>
                <w:sz w:val="14"/>
              </w:rPr>
              <w:t>FY2026E staff cost: H1-2026 reviewed actual 471.360 grossed up by the company's OWN disclosed H2/H1 seasonality of 1.1961 (H2-2025 602.018 / H1-2025 503.310, from the audited FY2025 and reviewed H1-2025 statements) = 471.360 + 563.80 = 1,035.16 — which is −6.35% on the audited FY2025 1,105.328, exactly the −6.35% y/y the company printed at the half. CORRECTED 17-Aug-2026: the prior 985.0 applied a ratio of 1.09 while its own note described it as 'the H2-2025 seasonal ratio'; the true ratio is 1.1961, so staff cost was understated by AED 50.2mn and total FY2026E operating expenses fell BELOW the audited FY2025 actual even as revenue rose 4.3% — impossible in a stack where every class escalates, and correctly identified by external audit as falsifying the margin-as-an-output claim</w:t>
            </w:r>
          </w:p>
        </w:tc>
        <w:tc>
          <w:tcPr>
            <w:tcW w:type="dxa" w:w="1080"/>
          </w:tcPr>
          <w:p>
            <w:pPr>
              <w:spacing w:after="20"/>
            </w:pPr>
            <w:r>
              <w:rPr>
                <w:color w:val="1C3A36"/>
                <w:sz w:val="14"/>
              </w:rPr>
              <w:t>2026-08-17</w:t>
            </w:r>
          </w:p>
        </w:tc>
      </w:tr>
      <w:tr>
        <w:tc>
          <w:tcPr>
            <w:tcW w:type="dxa" w:w="1512"/>
          </w:tcPr>
          <w:p>
            <w:pPr>
              <w:spacing w:after="20"/>
            </w:pPr>
            <w:r>
              <w:rPr>
                <w:color w:val="1C3A36"/>
                <w:sz w:val="14"/>
              </w:rPr>
              <w:t>capex_tang_share</w:t>
            </w:r>
          </w:p>
        </w:tc>
        <w:tc>
          <w:tcPr>
            <w:tcW w:type="dxa" w:w="1656"/>
          </w:tcPr>
          <w:p>
            <w:pPr>
              <w:spacing w:after="20"/>
            </w:pPr>
            <w:r>
              <w:rPr>
                <w:color w:val="1C3A36"/>
                <w:sz w:val="14"/>
              </w:rPr>
              <w:t>0.866</w:t>
            </w:r>
          </w:p>
        </w:tc>
        <w:tc>
          <w:tcPr>
            <w:tcW w:type="dxa" w:w="5904"/>
          </w:tcPr>
          <w:p>
            <w:pPr>
              <w:spacing w:after="20"/>
            </w:pPr>
            <w:r>
              <w:rPr>
                <w:color w:val="1C3A36"/>
                <w:sz w:val="14"/>
              </w:rPr>
              <w:t>Tangible share of capex: FY2025 audited 2,038.501 / 2,353.230</w:t>
            </w:r>
          </w:p>
        </w:tc>
        <w:tc>
          <w:tcPr>
            <w:tcW w:type="dxa" w:w="1080"/>
          </w:tcPr>
          <w:p>
            <w:pPr>
              <w:spacing w:after="20"/>
            </w:pPr>
            <w:r>
              <w:rPr>
                <w:color w:val="1C3A36"/>
                <w:sz w:val="14"/>
              </w:rPr>
              <w:t>2026-02-09</w:t>
            </w:r>
          </w:p>
        </w:tc>
      </w:tr>
      <w:tr>
        <w:tc>
          <w:tcPr>
            <w:tcW w:type="dxa" w:w="1512"/>
          </w:tcPr>
          <w:p>
            <w:pPr>
              <w:spacing w:after="20"/>
            </w:pPr>
            <w:r>
              <w:rPr>
                <w:color w:val="1C3A36"/>
                <w:sz w:val="14"/>
              </w:rPr>
              <w:t>dep_rate_ppe</w:t>
            </w:r>
          </w:p>
        </w:tc>
        <w:tc>
          <w:tcPr>
            <w:tcW w:type="dxa" w:w="1656"/>
          </w:tcPr>
          <w:p>
            <w:pPr>
              <w:spacing w:after="20"/>
            </w:pPr>
            <w:r>
              <w:rPr>
                <w:color w:val="1C3A36"/>
                <w:sz w:val="14"/>
              </w:rPr>
              <w:t>0.1583</w:t>
            </w:r>
          </w:p>
        </w:tc>
        <w:tc>
          <w:tcPr>
            <w:tcW w:type="dxa" w:w="5904"/>
          </w:tcPr>
          <w:p>
            <w:pPr>
              <w:spacing w:after="20"/>
            </w:pPr>
            <w:r>
              <w:rPr>
                <w:color w:val="1C3A36"/>
                <w:sz w:val="14"/>
              </w:rPr>
              <w:t>PP&amp;E depreciation rate on OPENING gross-of-additions balance: FY2025 audited PP&amp;E depreciation 1,557.989 / opening PP&amp;E 9,838.448 = 15.83%</w:t>
            </w:r>
          </w:p>
        </w:tc>
        <w:tc>
          <w:tcPr>
            <w:tcW w:type="dxa" w:w="1080"/>
          </w:tcPr>
          <w:p>
            <w:pPr>
              <w:spacing w:after="20"/>
            </w:pPr>
            <w:r>
              <w:rPr>
                <w:color w:val="1C3A36"/>
                <w:sz w:val="14"/>
              </w:rPr>
              <w:t>2026-02-09</w:t>
            </w:r>
          </w:p>
        </w:tc>
      </w:tr>
      <w:tr>
        <w:tc>
          <w:tcPr>
            <w:tcW w:type="dxa" w:w="1512"/>
          </w:tcPr>
          <w:p>
            <w:pPr>
              <w:spacing w:after="20"/>
            </w:pPr>
            <w:r>
              <w:rPr>
                <w:color w:val="1C3A36"/>
                <w:sz w:val="14"/>
              </w:rPr>
              <w:t>amort_rate</w:t>
            </w:r>
          </w:p>
        </w:tc>
        <w:tc>
          <w:tcPr>
            <w:tcW w:type="dxa" w:w="1656"/>
          </w:tcPr>
          <w:p>
            <w:pPr>
              <w:spacing w:after="20"/>
            </w:pPr>
            <w:r>
              <w:rPr>
                <w:color w:val="1C3A36"/>
                <w:sz w:val="14"/>
              </w:rPr>
              <w:t>0.289</w:t>
            </w:r>
          </w:p>
        </w:tc>
        <w:tc>
          <w:tcPr>
            <w:tcW w:type="dxa" w:w="5904"/>
          </w:tcPr>
          <w:p>
            <w:pPr>
              <w:spacing w:after="20"/>
            </w:pPr>
            <w:r>
              <w:rPr>
                <w:color w:val="1C3A36"/>
                <w:sz w:val="14"/>
              </w:rPr>
              <w:t>Intangibles amortisation rate on opening balance: FY2025 amortisation 245.881 / opening intangibles 846.932 = 29.0% (short-lived software; the TDRA licence is fully amortised at NBV 0.869)</w:t>
            </w:r>
          </w:p>
        </w:tc>
        <w:tc>
          <w:tcPr>
            <w:tcW w:type="dxa" w:w="1080"/>
          </w:tcPr>
          <w:p>
            <w:pPr>
              <w:spacing w:after="20"/>
            </w:pPr>
            <w:r>
              <w:rPr>
                <w:color w:val="1C3A36"/>
                <w:sz w:val="14"/>
              </w:rPr>
              <w:t>2026-02-09</w:t>
            </w:r>
          </w:p>
        </w:tc>
      </w:tr>
      <w:tr>
        <w:tc>
          <w:tcPr>
            <w:tcW w:type="dxa" w:w="1512"/>
          </w:tcPr>
          <w:p>
            <w:pPr>
              <w:spacing w:after="20"/>
            </w:pPr>
            <w:r>
              <w:rPr>
                <w:color w:val="1C3A36"/>
                <w:sz w:val="14"/>
              </w:rPr>
              <w:t>guidance_mid</w:t>
            </w:r>
          </w:p>
        </w:tc>
        <w:tc>
          <w:tcPr>
            <w:tcW w:type="dxa" w:w="1656"/>
          </w:tcPr>
          <w:p>
            <w:pPr>
              <w:spacing w:after="20"/>
            </w:pPr>
            <w:r>
              <w:rPr>
                <w:color w:val="1C3A36"/>
                <w:sz w:val="14"/>
              </w:rPr>
              <w:t>0.05</w:t>
            </w:r>
          </w:p>
        </w:tc>
        <w:tc>
          <w:tcPr>
            <w:tcW w:type="dxa" w:w="5904"/>
          </w:tcPr>
          <w:p>
            <w:pPr>
              <w:spacing w:after="20"/>
            </w:pPr>
            <w:r>
              <w:rPr>
                <w:color w:val="1C3A36"/>
                <w:sz w:val="14"/>
              </w:rPr>
              <w:t>Midpoint of du's own FY2026 revenue-growth guidance of 4%-6%, revised and confirmed in the Q2-2026 analyst presentation (slide 16, 'Guidance confirmed for EBITDA margin and slightly adjusted for revenue growth'). Used only to PRICE a critique finding, never as a build driver — reverse-engineering a forecast to a guidance number is the opposite of a ground-up build</w:t>
            </w:r>
          </w:p>
        </w:tc>
        <w:tc>
          <w:tcPr>
            <w:tcW w:type="dxa" w:w="1080"/>
          </w:tcPr>
          <w:p>
            <w:pPr>
              <w:spacing w:after="20"/>
            </w:pPr>
            <w:r>
              <w:rPr>
                <w:color w:val="1C3A36"/>
                <w:sz w:val="14"/>
              </w:rPr>
              <w:t>2026-07-23</w:t>
            </w:r>
          </w:p>
        </w:tc>
      </w:tr>
      <w:tr>
        <w:tc>
          <w:tcPr>
            <w:tcW w:type="dxa" w:w="1512"/>
          </w:tcPr>
          <w:p>
            <w:pPr>
              <w:spacing w:after="20"/>
            </w:pPr>
            <w:r>
              <w:rPr>
                <w:color w:val="1C3A36"/>
                <w:sz w:val="14"/>
              </w:rPr>
              <w:t>mamoura_stake_sold</w:t>
            </w:r>
          </w:p>
        </w:tc>
        <w:tc>
          <w:tcPr>
            <w:tcW w:type="dxa" w:w="1656"/>
          </w:tcPr>
          <w:p>
            <w:pPr>
              <w:spacing w:after="20"/>
            </w:pPr>
            <w:r>
              <w:rPr>
                <w:color w:val="1C3A36"/>
                <w:sz w:val="14"/>
              </w:rPr>
              <w:t>0.0755</w:t>
            </w:r>
          </w:p>
        </w:tc>
        <w:tc>
          <w:tcPr>
            <w:tcW w:type="dxa" w:w="5904"/>
          </w:tcPr>
          <w:p>
            <w:pPr>
              <w:spacing w:after="20"/>
            </w:pPr>
            <w:r>
              <w:rPr>
                <w:color w:val="1C3A36"/>
                <w:sz w:val="14"/>
              </w:rPr>
              <w:t>Mubadala's Mamoura vehicle sold three quarters of its holding in du in the 2025 secondary offering — 7.55% of the company. It widened the free float without changing control, and it drives nothing in this model: it is committed because the company overview states it to a reader</w:t>
            </w:r>
          </w:p>
        </w:tc>
        <w:tc>
          <w:tcPr>
            <w:tcW w:type="dxa" w:w="1080"/>
          </w:tcPr>
          <w:p>
            <w:pPr>
              <w:spacing w:after="20"/>
            </w:pPr>
            <w:r>
              <w:rPr>
                <w:color w:val="1C3A36"/>
                <w:sz w:val="14"/>
              </w:rPr>
              <w:t>2025-12-31</w:t>
            </w:r>
          </w:p>
        </w:tc>
      </w:tr>
      <w:tr>
        <w:tc>
          <w:tcPr>
            <w:tcW w:type="dxa" w:w="1512"/>
          </w:tcPr>
          <w:p>
            <w:pPr>
              <w:spacing w:after="20"/>
            </w:pPr>
            <w:r>
              <w:rPr>
                <w:color w:val="1C3A36"/>
                <w:sz w:val="14"/>
              </w:rPr>
              <w:t>roe_sust</w:t>
            </w:r>
          </w:p>
        </w:tc>
        <w:tc>
          <w:tcPr>
            <w:tcW w:type="dxa" w:w="1656"/>
          </w:tcPr>
          <w:p>
            <w:pPr>
              <w:spacing w:after="20"/>
            </w:pPr>
            <w:r>
              <w:rPr>
                <w:color w:val="1C3A36"/>
                <w:sz w:val="14"/>
              </w:rPr>
              <w:t>0.27</w:t>
            </w:r>
          </w:p>
        </w:tc>
        <w:tc>
          <w:tcPr>
            <w:tcW w:type="dxa" w:w="5904"/>
          </w:tcPr>
          <w:p>
            <w:pPr>
              <w:spacing w:after="20"/>
            </w:pPr>
            <w:r>
              <w:rPr>
                <w:color w:val="1C3A36"/>
                <w:sz w:val="14"/>
              </w:rPr>
              <w:t>Sustainable ROE 27%: audited ROE on average equity FY2023 18.5%, FY2024 26.0%, FY2025 29.0% - the step-up is the 2024 regime change (43.6% take vs 53.1%) plus operating leverage; 27% sits just below the FY2025 print and is consistent with the ~100% payout / 2.5% growth pair (implied retention 9%)</w:t>
            </w:r>
          </w:p>
        </w:tc>
        <w:tc>
          <w:tcPr>
            <w:tcW w:type="dxa" w:w="1080"/>
          </w:tcPr>
          <w:p>
            <w:pPr>
              <w:spacing w:after="20"/>
            </w:pPr>
            <w:r>
              <w:rPr>
                <w:color w:val="1C3A36"/>
                <w:sz w:val="14"/>
              </w:rPr>
              <w:t>2026-08-09</w:t>
            </w:r>
          </w:p>
        </w:tc>
      </w:tr>
    </w:tbl>
    <w:p>
      <w:pPr>
        <w:spacing w:after="40"/>
      </w:pPr>
    </w:p>
    <w:p>
      <w:pPr>
        <w:spacing w:after="60" w:before="160"/>
      </w:pPr>
      <w:r>
        <w:rPr>
          <w:b/>
          <w:i w:val="0"/>
          <w:color w:val="1C3A36"/>
          <w:sz w:val="22"/>
        </w:rPr>
        <w:t>House layer — 29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anchor_days</w:t>
            </w:r>
          </w:p>
        </w:tc>
        <w:tc>
          <w:tcPr>
            <w:tcW w:type="dxa" w:w="1656"/>
          </w:tcPr>
          <w:p>
            <w:pPr>
              <w:spacing w:after="20"/>
            </w:pPr>
            <w:r>
              <w:rPr>
                <w:color w:val="1C3A36"/>
                <w:sz w:val="14"/>
              </w:rPr>
              <w:t>219.0</w:t>
            </w:r>
          </w:p>
        </w:tc>
        <w:tc>
          <w:tcPr>
            <w:tcW w:type="dxa" w:w="5904"/>
          </w:tcPr>
          <w:p>
            <w:pPr>
              <w:spacing w:after="20"/>
            </w:pPr>
            <w:r>
              <w:rPr>
                <w:color w:val="1C3A36"/>
                <w:sz w:val="14"/>
              </w:rPr>
              <w:t>31-Dec-2025 valuation date to the 07-Aug-2026 price anchor</w:t>
            </w:r>
          </w:p>
        </w:tc>
        <w:tc>
          <w:tcPr>
            <w:tcW w:type="dxa" w:w="1080"/>
          </w:tcPr>
          <w:p>
            <w:pPr>
              <w:spacing w:after="20"/>
            </w:pPr>
            <w:r>
              <w:rPr>
                <w:color w:val="1C3A36"/>
                <w:sz w:val="14"/>
              </w:rPr>
              <w:t>2026-08-07</w:t>
            </w:r>
          </w:p>
        </w:tc>
      </w:tr>
      <w:tr>
        <w:tc>
          <w:tcPr>
            <w:tcW w:type="dxa" w:w="1512"/>
          </w:tcPr>
          <w:p>
            <w:pPr>
              <w:spacing w:after="20"/>
            </w:pPr>
            <w:r>
              <w:rPr>
                <w:color w:val="1C3A36"/>
                <w:sz w:val="14"/>
              </w:rPr>
              <w:t>arpu_ratio_norm</w:t>
            </w:r>
          </w:p>
        </w:tc>
        <w:tc>
          <w:tcPr>
            <w:tcW w:type="dxa" w:w="1656"/>
          </w:tcPr>
          <w:p>
            <w:pPr>
              <w:spacing w:after="20"/>
            </w:pPr>
            <w:r>
              <w:rPr>
                <w:color w:val="1C3A36"/>
                <w:sz w:val="14"/>
              </w:rPr>
              <w:t>3</w:t>
            </w:r>
          </w:p>
        </w:tc>
        <w:tc>
          <w:tcPr>
            <w:tcW w:type="dxa" w:w="5904"/>
          </w:tcPr>
          <w:p>
            <w:pPr>
              <w:spacing w:after="20"/>
            </w:pPr>
            <w:r>
              <w:rPr>
                <w:color w:val="1C3A36"/>
                <w:sz w:val="14"/>
              </w:rPr>
              <w:t>Central postpaid/prepaid ARPU ratio used ONLY for the mix decomposition — never to build revenue. Set at the low end of the peer band above, which makes the decomposition's implied per-leg erosion the SMALLEST of the defensible range: a higher ratio implies a larger mix tailwind and therefore worse underlying erosion, so 3.0x is the conservative choice for the risk being flagged</w:t>
            </w:r>
          </w:p>
        </w:tc>
        <w:tc>
          <w:tcPr>
            <w:tcW w:type="dxa" w:w="1080"/>
          </w:tcPr>
          <w:p>
            <w:pPr>
              <w:spacing w:after="20"/>
            </w:pPr>
            <w:r>
              <w:rPr>
                <w:color w:val="1C3A36"/>
                <w:sz w:val="14"/>
              </w:rPr>
              <w:t>2026-08-17</w:t>
            </w:r>
          </w:p>
        </w:tc>
      </w:tr>
      <w:tr>
        <w:tc>
          <w:tcPr>
            <w:tcW w:type="dxa" w:w="1512"/>
          </w:tcPr>
          <w:p>
            <w:pPr>
              <w:spacing w:after="20"/>
            </w:pPr>
            <w:r>
              <w:rPr>
                <w:color w:val="1C3A36"/>
                <w:sz w:val="14"/>
              </w:rPr>
              <w:t>arpu_drift</w:t>
            </w:r>
          </w:p>
        </w:tc>
        <w:tc>
          <w:tcPr>
            <w:tcW w:type="dxa" w:w="1656"/>
          </w:tcPr>
          <w:p>
            <w:pPr>
              <w:spacing w:after="20"/>
            </w:pPr>
            <w:r>
              <w:rPr>
                <w:color w:val="1C3A36"/>
                <w:sz w:val="14"/>
              </w:rPr>
              <w:t>0</w:t>
            </w:r>
          </w:p>
        </w:tc>
        <w:tc>
          <w:tcPr>
            <w:tcW w:type="dxa" w:w="5904"/>
          </w:tcPr>
          <w:p>
            <w:pPr>
              <w:spacing w:after="20"/>
            </w:pPr>
            <w:r>
              <w:rPr>
                <w:color w:val="1C3A36"/>
                <w:sz w:val="14"/>
              </w:rPr>
              <w:t>Annual compounding shift applied to the registered blended mobile ARPU path, zero in the base case. Exists so the mix-exhaustion risk identified by the decomposition below can be PRICED rather than described</w:t>
            </w:r>
          </w:p>
        </w:tc>
        <w:tc>
          <w:tcPr>
            <w:tcW w:type="dxa" w:w="1080"/>
          </w:tcPr>
          <w:p>
            <w:pPr>
              <w:spacing w:after="20"/>
            </w:pPr>
            <w:r>
              <w:rPr>
                <w:color w:val="1C3A36"/>
                <w:sz w:val="14"/>
              </w:rPr>
              <w:t>2026-08-17</w:t>
            </w:r>
          </w:p>
        </w:tc>
      </w:tr>
      <w:tr>
        <w:tc>
          <w:tcPr>
            <w:tcW w:type="dxa" w:w="1512"/>
          </w:tcPr>
          <w:p>
            <w:pPr>
              <w:spacing w:after="20"/>
            </w:pPr>
            <w:r>
              <w:rPr>
                <w:color w:val="1C3A36"/>
                <w:sz w:val="14"/>
              </w:rPr>
              <w:t>subs_mobile_path</w:t>
            </w:r>
          </w:p>
        </w:tc>
        <w:tc>
          <w:tcPr>
            <w:tcW w:type="dxa" w:w="1656"/>
          </w:tcPr>
          <w:p>
            <w:pPr>
              <w:spacing w:after="20"/>
            </w:pPr>
            <w:r>
              <w:rPr>
                <w:color w:val="1C3A36"/>
                <w:sz w:val="14"/>
              </w:rPr>
              <w:t>9,450.0, 9,760.0, 10,010.0, 10,240.0, 10,450.0</w:t>
            </w:r>
          </w:p>
        </w:tc>
        <w:tc>
          <w:tcPr>
            <w:tcW w:type="dxa" w:w="5904"/>
          </w:tcPr>
          <w:p>
            <w:pPr>
              <w:spacing w:after="20"/>
            </w:pPr>
            <w:r>
              <w:rPr>
                <w:color w:val="1C3A36"/>
                <w:sz w:val="14"/>
              </w:rPr>
              <w:t>House forecast, end-of-year mobile subscribers ('000): H2-2026 recovery of +170k from the Q2 trough (gross adds still below pre-conflict per the company's own Q2 commentary), then +310k/+250k/+230k/+210k as tourism and population inflows normalise — well below the +788k of boom-year 2025, above the flat conflict quarter</w:t>
            </w:r>
          </w:p>
        </w:tc>
        <w:tc>
          <w:tcPr>
            <w:tcW w:type="dxa" w:w="1080"/>
          </w:tcPr>
          <w:p>
            <w:pPr>
              <w:spacing w:after="20"/>
            </w:pPr>
            <w:r>
              <w:rPr>
                <w:color w:val="1C3A36"/>
                <w:sz w:val="14"/>
              </w:rPr>
              <w:t>2026-08-09</w:t>
            </w:r>
          </w:p>
        </w:tc>
      </w:tr>
      <w:tr>
        <w:tc>
          <w:tcPr>
            <w:tcW w:type="dxa" w:w="1512"/>
          </w:tcPr>
          <w:p>
            <w:pPr>
              <w:spacing w:after="20"/>
            </w:pPr>
            <w:r>
              <w:rPr>
                <w:color w:val="1C3A36"/>
                <w:sz w:val="14"/>
              </w:rPr>
              <w:t>subs_fixed_path</w:t>
            </w:r>
          </w:p>
        </w:tc>
        <w:tc>
          <w:tcPr>
            <w:tcW w:type="dxa" w:w="1656"/>
          </w:tcPr>
          <w:p>
            <w:pPr>
              <w:spacing w:after="20"/>
            </w:pPr>
            <w:r>
              <w:rPr>
                <w:color w:val="1C3A36"/>
                <w:sz w:val="14"/>
              </w:rPr>
              <w:t>760.0, 790.0, 815.0, 838.0, 858.0</w:t>
            </w:r>
          </w:p>
        </w:tc>
        <w:tc>
          <w:tcPr>
            <w:tcW w:type="dxa" w:w="5904"/>
          </w:tcPr>
          <w:p>
            <w:pPr>
              <w:spacing w:after="20"/>
            </w:pPr>
            <w:r>
              <w:rPr>
                <w:color w:val="1C3A36"/>
                <w:sz w:val="14"/>
              </w:rPr>
              <w:t>House forecast, end-of-year fixed subscribers ('000): +16k in H2-2026 then +30k/+25k/+23k/+20k — continued fibre/FWA share gain at a slowing rate; FY2025 added +53k</w:t>
            </w:r>
          </w:p>
        </w:tc>
        <w:tc>
          <w:tcPr>
            <w:tcW w:type="dxa" w:w="1080"/>
          </w:tcPr>
          <w:p>
            <w:pPr>
              <w:spacing w:after="20"/>
            </w:pPr>
            <w:r>
              <w:rPr>
                <w:color w:val="1C3A36"/>
                <w:sz w:val="14"/>
              </w:rPr>
              <w:t>2026-08-09</w:t>
            </w:r>
          </w:p>
        </w:tc>
      </w:tr>
      <w:tr>
        <w:tc>
          <w:tcPr>
            <w:tcW w:type="dxa" w:w="1512"/>
          </w:tcPr>
          <w:p>
            <w:pPr>
              <w:spacing w:after="20"/>
            </w:pPr>
            <w:r>
              <w:rPr>
                <w:color w:val="1C3A36"/>
                <w:sz w:val="14"/>
              </w:rPr>
              <w:t>arpu_mobile_path</w:t>
            </w:r>
          </w:p>
        </w:tc>
        <w:tc>
          <w:tcPr>
            <w:tcW w:type="dxa" w:w="1656"/>
          </w:tcPr>
          <w:p>
            <w:pPr>
              <w:spacing w:after="20"/>
            </w:pPr>
            <w:r>
              <w:rPr>
                <w:color w:val="1C3A36"/>
                <w:sz w:val="14"/>
              </w:rPr>
              <w:t>63.4, 63.6, 63.8, 64, 64.2</w:t>
            </w:r>
          </w:p>
        </w:tc>
        <w:tc>
          <w:tcPr>
            <w:tcW w:type="dxa" w:w="5904"/>
          </w:tcPr>
          <w:p>
            <w:pPr>
              <w:spacing w:after="20"/>
            </w:pPr>
            <w:r>
              <w:rPr>
                <w:color w:val="1C3A36"/>
                <w:sz w:val="14"/>
              </w:rPr>
              <w:t>House forecast, blended mobile ARPU AED/month: held essentially flat (+0.3%/yr) — postpaid mix gain (+9% y/y postpaid growth) offsetting prepaid dilution. CORRECTED 17-Aug-2026: the prior note said the company 'printed 63.3-63.4', which flattered the stability of the series — the disclosed quarterly range is 63.3 to 65.8, and the last three prints run 65.3 (Q4-2025) -&gt; 63.4 (Q1-2026) -&gt; 63.4 (Q2-2026), i.e. DOWN 2.9% from the recent peak. Holding the path flat is therefore an assumption that the recent decline stops, and the mix decomposition shows why it is fragile; the downside is priced as the mix-exhaustion scenario</w:t>
            </w:r>
          </w:p>
        </w:tc>
        <w:tc>
          <w:tcPr>
            <w:tcW w:type="dxa" w:w="1080"/>
          </w:tcPr>
          <w:p>
            <w:pPr>
              <w:spacing w:after="20"/>
            </w:pPr>
            <w:r>
              <w:rPr>
                <w:color w:val="1C3A36"/>
                <w:sz w:val="14"/>
              </w:rPr>
              <w:t>2026-08-09</w:t>
            </w:r>
          </w:p>
        </w:tc>
      </w:tr>
      <w:tr>
        <w:tc>
          <w:tcPr>
            <w:tcW w:type="dxa" w:w="1512"/>
          </w:tcPr>
          <w:p>
            <w:pPr>
              <w:spacing w:after="20"/>
            </w:pPr>
            <w:r>
              <w:rPr>
                <w:color w:val="1C3A36"/>
                <w:sz w:val="14"/>
              </w:rPr>
              <w:t>arpu_fixed_path</w:t>
            </w:r>
          </w:p>
        </w:tc>
        <w:tc>
          <w:tcPr>
            <w:tcW w:type="dxa" w:w="1656"/>
          </w:tcPr>
          <w:p>
            <w:pPr>
              <w:spacing w:after="20"/>
            </w:pPr>
            <w:r>
              <w:rPr>
                <w:color w:val="1C3A36"/>
                <w:sz w:val="14"/>
              </w:rPr>
              <w:t>537.0, 545.0, 553.0, 561.0, 569.0</w:t>
            </w:r>
          </w:p>
        </w:tc>
        <w:tc>
          <w:tcPr>
            <w:tcW w:type="dxa" w:w="5904"/>
          </w:tcPr>
          <w:p>
            <w:pPr>
              <w:spacing w:after="20"/>
            </w:pPr>
            <w:r>
              <w:rPr>
                <w:color w:val="1C3A36"/>
                <w:sz w:val="14"/>
              </w:rPr>
              <w:t>House forecast, implied fixed revenue per subscriber AED/month (fixed segment revenue / average base — a blend of consumer broadband and enterprise fixed, so a revenue-intensity metric, not a tariff): H1-2026 actual 533; FY2025 515. +1.5%/yr on enterprise/ICT-adjacent mix</w:t>
            </w:r>
          </w:p>
        </w:tc>
        <w:tc>
          <w:tcPr>
            <w:tcW w:type="dxa" w:w="1080"/>
          </w:tcPr>
          <w:p>
            <w:pPr>
              <w:spacing w:after="20"/>
            </w:pPr>
            <w:r>
              <w:rPr>
                <w:color w:val="1C3A36"/>
                <w:sz w:val="14"/>
              </w:rPr>
              <w:t>2026-08-09</w:t>
            </w:r>
          </w:p>
        </w:tc>
      </w:tr>
      <w:tr>
        <w:tc>
          <w:tcPr>
            <w:tcW w:type="dxa" w:w="1512"/>
          </w:tcPr>
          <w:p>
            <w:pPr>
              <w:spacing w:after="20"/>
            </w:pPr>
            <w:r>
              <w:rPr>
                <w:color w:val="1C3A36"/>
                <w:sz w:val="14"/>
              </w:rPr>
              <w:t>seg_g</w:t>
            </w:r>
          </w:p>
        </w:tc>
        <w:tc>
          <w:tcPr>
            <w:tcW w:type="dxa" w:w="1656"/>
          </w:tcPr>
          <w:p>
            <w:pPr>
              <w:spacing w:after="20"/>
            </w:pPr>
            <w:r>
              <w:rPr>
                <w:color w:val="1C3A36"/>
                <w:sz w:val="14"/>
              </w:rPr>
              <w:t>wholesale: -0.008, 0.015, 0.02, 0.02, 0.02; ict: 0.079, 0.11, 0.1, 0.09, 0.08</w:t>
            </w:r>
          </w:p>
        </w:tc>
        <w:tc>
          <w:tcPr>
            <w:tcW w:type="dxa" w:w="5904"/>
          </w:tcPr>
          <w:p>
            <w:pPr>
              <w:spacing w:after="20"/>
            </w:pPr>
            <w:r>
              <w:rPr>
                <w:color w:val="1C3A36"/>
                <w:sz w:val="14"/>
              </w:rPr>
              <w:t>House forecast: wholesale −0.8% in 2026 (H1 actual −2.0% y/y on conflict-hit roaming/transit, partial H2 stabilisation) then +1.5-2%; ICT +7.9% in 2026 (H1 actual +4.8%, Q4-heavy seasonality) accelerating to +11% on the data-centre ramp (Microsoft hyperscale agreement, du Q4-2025 deck) then easing to +8%</w:t>
            </w:r>
          </w:p>
        </w:tc>
        <w:tc>
          <w:tcPr>
            <w:tcW w:type="dxa" w:w="1080"/>
          </w:tcPr>
          <w:p>
            <w:pPr>
              <w:spacing w:after="20"/>
            </w:pPr>
            <w:r>
              <w:rPr>
                <w:color w:val="1C3A36"/>
                <w:sz w:val="14"/>
              </w:rPr>
              <w:t>2026-08-09</w:t>
            </w:r>
          </w:p>
        </w:tc>
      </w:tr>
      <w:tr>
        <w:tc>
          <w:tcPr>
            <w:tcW w:type="dxa" w:w="1512"/>
          </w:tcPr>
          <w:p>
            <w:pPr>
              <w:spacing w:after="20"/>
            </w:pPr>
            <w:r>
              <w:rPr>
                <w:color w:val="1C3A36"/>
                <w:sz w:val="14"/>
              </w:rPr>
              <w:t>esc_dc_inter</w:t>
            </w:r>
          </w:p>
        </w:tc>
        <w:tc>
          <w:tcPr>
            <w:tcW w:type="dxa" w:w="1656"/>
          </w:tcPr>
          <w:p>
            <w:pPr>
              <w:spacing w:after="20"/>
            </w:pPr>
            <w:r>
              <w:rPr>
                <w:color w:val="1C3A36"/>
                <w:sz w:val="14"/>
              </w:rPr>
              <w:t>-0.015</w:t>
            </w:r>
          </w:p>
        </w:tc>
        <w:tc>
          <w:tcPr>
            <w:tcW w:type="dxa" w:w="5904"/>
          </w:tcPr>
          <w:p>
            <w:pPr>
              <w:spacing w:after="20"/>
            </w:pPr>
            <w:r>
              <w:rPr>
                <w:color w:val="1C3A36"/>
                <w:sz w:val="14"/>
              </w:rPr>
              <w:t>Mobile interconnect cost per subscriber per month, -1.5%/yr. MEASURED: 17.54 (H1-2025) -&gt; 16.81 (H1-2026), -4.13% like-for-like. MECHANISM: regulated mobile-termination rates ratchet down and terminated voice/SMS keeps migrating to OTT, so the per-subscriber off-net bill falls even as the base grows. The forecast takes barely a third of the observed decline, on the view that it decays as the OTT substitution matures</w:t>
            </w:r>
          </w:p>
        </w:tc>
        <w:tc>
          <w:tcPr>
            <w:tcW w:type="dxa" w:w="1080"/>
          </w:tcPr>
          <w:p>
            <w:pPr>
              <w:spacing w:after="20"/>
            </w:pPr>
            <w:r>
              <w:rPr>
                <w:color w:val="1C3A36"/>
                <w:sz w:val="14"/>
              </w:rPr>
              <w:t>2026-08-17</w:t>
            </w:r>
          </w:p>
        </w:tc>
      </w:tr>
      <w:tr>
        <w:tc>
          <w:tcPr>
            <w:tcW w:type="dxa" w:w="1512"/>
          </w:tcPr>
          <w:p>
            <w:pPr>
              <w:spacing w:after="20"/>
            </w:pPr>
            <w:r>
              <w:rPr>
                <w:color w:val="1C3A36"/>
                <w:sz w:val="14"/>
              </w:rPr>
              <w:t>esc_dc_comm</w:t>
            </w:r>
          </w:p>
        </w:tc>
        <w:tc>
          <w:tcPr>
            <w:tcW w:type="dxa" w:w="1656"/>
          </w:tcPr>
          <w:p>
            <w:pPr>
              <w:spacing w:after="20"/>
            </w:pPr>
            <w:r>
              <w:rPr>
                <w:color w:val="1C3A36"/>
                <w:sz w:val="14"/>
              </w:rPr>
              <w:t>0.03</w:t>
            </w:r>
          </w:p>
        </w:tc>
        <w:tc>
          <w:tcPr>
            <w:tcW w:type="dxa" w:w="5904"/>
          </w:tcPr>
          <w:p>
            <w:pPr>
              <w:spacing w:after="20"/>
            </w:pPr>
            <w:r>
              <w:rPr>
                <w:color w:val="1C3A36"/>
                <w:sz w:val="14"/>
              </w:rPr>
              <w:t>Mobile commission cost per subscriber per month, +3.0%/yr. MEASURED: 6.12 (H1-2025) -&gt; 6.31 (H1-2026), +2.98% like-for-like, and 5.69 -&gt; 6.14 across FY2024-25. MECHANISM: dealer and retail acquisition/retention commission per subscriber, rising with competitive intensity in a two-player market. The observed rate is carried forward unchanged</w:t>
            </w:r>
          </w:p>
        </w:tc>
        <w:tc>
          <w:tcPr>
            <w:tcW w:type="dxa" w:w="1080"/>
          </w:tcPr>
          <w:p>
            <w:pPr>
              <w:spacing w:after="20"/>
            </w:pPr>
            <w:r>
              <w:rPr>
                <w:color w:val="1C3A36"/>
                <w:sz w:val="14"/>
              </w:rPr>
              <w:t>2026-08-17</w:t>
            </w:r>
          </w:p>
        </w:tc>
      </w:tr>
      <w:tr>
        <w:tc>
          <w:tcPr>
            <w:tcW w:type="dxa" w:w="1512"/>
          </w:tcPr>
          <w:p>
            <w:pPr>
              <w:spacing w:after="20"/>
            </w:pPr>
            <w:r>
              <w:rPr>
                <w:color w:val="1C3A36"/>
                <w:sz w:val="14"/>
              </w:rPr>
              <w:t>esc_dc_dev</w:t>
            </w:r>
          </w:p>
        </w:tc>
        <w:tc>
          <w:tcPr>
            <w:tcW w:type="dxa" w:w="1656"/>
          </w:tcPr>
          <w:p>
            <w:pPr>
              <w:spacing w:after="20"/>
            </w:pPr>
            <w:r>
              <w:rPr>
                <w:color w:val="1C3A36"/>
                <w:sz w:val="14"/>
              </w:rPr>
              <w:t>0</w:t>
            </w:r>
          </w:p>
        </w:tc>
        <w:tc>
          <w:tcPr>
            <w:tcW w:type="dxa" w:w="5904"/>
          </w:tcPr>
          <w:p>
            <w:pPr>
              <w:spacing w:after="20"/>
            </w:pPr>
            <w:r>
              <w:rPr>
                <w:color w:val="1C3A36"/>
                <w:sz w:val="14"/>
              </w:rPr>
              <w:t>Mobile devices and direct-services cost per subscriber per month, held FLAT. MEASURED but NOT extrapolated: 1.40 (H1-2025) -&gt; 0.96 (H1-2026), with 0.52 in FY2024 and 1.26 in FY2025. This is the handset/direct-services residual after ICT takes the bulk of the disclosed devices line — small (under AED 1.5/sub/month) and visibly lumpy, so no trend is read into it</w:t>
            </w:r>
          </w:p>
        </w:tc>
        <w:tc>
          <w:tcPr>
            <w:tcW w:type="dxa" w:w="1080"/>
          </w:tcPr>
          <w:p>
            <w:pPr>
              <w:spacing w:after="20"/>
            </w:pPr>
            <w:r>
              <w:rPr>
                <w:color w:val="1C3A36"/>
                <w:sz w:val="14"/>
              </w:rPr>
              <w:t>2026-08-17</w:t>
            </w:r>
          </w:p>
        </w:tc>
      </w:tr>
      <w:tr>
        <w:tc>
          <w:tcPr>
            <w:tcW w:type="dxa" w:w="1512"/>
          </w:tcPr>
          <w:p>
            <w:pPr>
              <w:spacing w:after="20"/>
            </w:pPr>
            <w:r>
              <w:rPr>
                <w:color w:val="1C3A36"/>
                <w:sz w:val="14"/>
              </w:rPr>
              <w:t>esc_dc_fixed</w:t>
            </w:r>
          </w:p>
        </w:tc>
        <w:tc>
          <w:tcPr>
            <w:tcW w:type="dxa" w:w="1656"/>
          </w:tcPr>
          <w:p>
            <w:pPr>
              <w:spacing w:after="20"/>
            </w:pPr>
            <w:r>
              <w:rPr>
                <w:color w:val="1C3A36"/>
                <w:sz w:val="14"/>
              </w:rPr>
              <w:t>0</w:t>
            </w:r>
          </w:p>
        </w:tc>
        <w:tc>
          <w:tcPr>
            <w:tcW w:type="dxa" w:w="5904"/>
          </w:tcPr>
          <w:p>
            <w:pPr>
              <w:spacing w:after="20"/>
            </w:pPr>
            <w:r>
              <w:rPr>
                <w:color w:val="1C3A36"/>
                <w:sz w:val="14"/>
              </w:rPr>
              <w:t>Fixed capacity and direct cost per subscriber per month, held FLAT at the H1-2026 reviewed rate. MEASURED but NOT extrapolated: 79.71 (FY2024) -&gt; 73.14 (FY2025) -&gt; 68.35 (H1-2026), a -9.21% like-for-like half-year fall. The mechanism (fibre/FWA scale plus enterprise mix) is real but decays at an unmeasurable rate, so the observed improvement is stopped dead rather than projected. Because revenue per subscriber escalates 1.5%/yr against a flat cost, the fixed margin still widens as an OUTPUT</w:t>
            </w:r>
          </w:p>
        </w:tc>
        <w:tc>
          <w:tcPr>
            <w:tcW w:type="dxa" w:w="1080"/>
          </w:tcPr>
          <w:p>
            <w:pPr>
              <w:spacing w:after="20"/>
            </w:pPr>
            <w:r>
              <w:rPr>
                <w:color w:val="1C3A36"/>
                <w:sz w:val="14"/>
              </w:rPr>
              <w:t>2026-08-17</w:t>
            </w:r>
          </w:p>
        </w:tc>
      </w:tr>
      <w:tr>
        <w:tc>
          <w:tcPr>
            <w:tcW w:type="dxa" w:w="1512"/>
          </w:tcPr>
          <w:p>
            <w:pPr>
              <w:spacing w:after="20"/>
            </w:pPr>
            <w:r>
              <w:rPr>
                <w:color w:val="1C3A36"/>
                <w:sz w:val="14"/>
              </w:rPr>
              <w:t>dc_rate_wholesale</w:t>
            </w:r>
          </w:p>
        </w:tc>
        <w:tc>
          <w:tcPr>
            <w:tcW w:type="dxa" w:w="1656"/>
          </w:tcPr>
          <w:p>
            <w:pPr>
              <w:spacing w:after="20"/>
            </w:pPr>
            <w:r>
              <w:rPr>
                <w:color w:val="1C3A36"/>
                <w:sz w:val="14"/>
              </w:rPr>
              <w:t>0.1558</w:t>
            </w:r>
          </w:p>
        </w:tc>
        <w:tc>
          <w:tcPr>
            <w:tcW w:type="dxa" w:w="5904"/>
          </w:tcPr>
          <w:p>
            <w:pPr>
              <w:spacing w:after="20"/>
            </w:pPr>
            <w:r>
              <w:rPr>
                <w:color w:val="1C3A36"/>
                <w:sz w:val="14"/>
              </w:rPr>
              <w:t>Wholesale direct cost as a share of wholesale revenue, held FLAT at the H1-2026 reviewed rate. The series worsens at every observation — 11.97% (FY2024), 13.58% (FY2025), 13.94% (H1-2025), 15.58% (H1-2026) — which du's own Q2 commentary attributes to the conflict-hit roaming and transit mix. The forecast takes NO credit for the recovery that commentary implies, and equally does not project further deterioration</w:t>
            </w:r>
          </w:p>
        </w:tc>
        <w:tc>
          <w:tcPr>
            <w:tcW w:type="dxa" w:w="1080"/>
          </w:tcPr>
          <w:p>
            <w:pPr>
              <w:spacing w:after="20"/>
            </w:pPr>
            <w:r>
              <w:rPr>
                <w:color w:val="1C3A36"/>
                <w:sz w:val="14"/>
              </w:rPr>
              <w:t>2026-08-17</w:t>
            </w:r>
          </w:p>
        </w:tc>
      </w:tr>
      <w:tr>
        <w:tc>
          <w:tcPr>
            <w:tcW w:type="dxa" w:w="1512"/>
          </w:tcPr>
          <w:p>
            <w:pPr>
              <w:spacing w:after="20"/>
            </w:pPr>
            <w:r>
              <w:rPr>
                <w:color w:val="1C3A36"/>
                <w:sz w:val="14"/>
              </w:rPr>
              <w:t>dc_rate_ict</w:t>
            </w:r>
          </w:p>
        </w:tc>
        <w:tc>
          <w:tcPr>
            <w:tcW w:type="dxa" w:w="1656"/>
          </w:tcPr>
          <w:p>
            <w:pPr>
              <w:spacing w:after="20"/>
            </w:pPr>
            <w:r>
              <w:rPr>
                <w:color w:val="1C3A36"/>
                <w:sz w:val="14"/>
              </w:rPr>
              <w:t>0.7848</w:t>
            </w:r>
          </w:p>
        </w:tc>
        <w:tc>
          <w:tcPr>
            <w:tcW w:type="dxa" w:w="5904"/>
          </w:tcPr>
          <w:p>
            <w:pPr>
              <w:spacing w:after="20"/>
            </w:pPr>
            <w:r>
              <w:rPr>
                <w:color w:val="1C3A36"/>
                <w:sz w:val="14"/>
              </w:rPr>
              <w:t>ICT and associated-services direct cost as a share of ICT revenue, held FLAT at the H1-2026 reviewed rate. The history does not support a trend in either direction: 79.25% (FY2024) worsened to 80.61% (FY2025) then improved to 78.48% (H1-2026). The prior edition projected a 2.1pp margin improvement on a data-centre-scale story; that story is not measurable in the disclosed series, so it has been removed and the rate held flat</w:t>
            </w:r>
          </w:p>
        </w:tc>
        <w:tc>
          <w:tcPr>
            <w:tcW w:type="dxa" w:w="1080"/>
          </w:tcPr>
          <w:p>
            <w:pPr>
              <w:spacing w:after="20"/>
            </w:pPr>
            <w:r>
              <w:rPr>
                <w:color w:val="1C3A36"/>
                <w:sz w:val="14"/>
              </w:rPr>
              <w:t>2026-08-17</w:t>
            </w:r>
          </w:p>
        </w:tc>
      </w:tr>
      <w:tr>
        <w:tc>
          <w:tcPr>
            <w:tcW w:type="dxa" w:w="1512"/>
          </w:tcPr>
          <w:p>
            <w:pPr>
              <w:spacing w:after="20"/>
            </w:pPr>
            <w:r>
              <w:rPr>
                <w:color w:val="1C3A36"/>
                <w:sz w:val="14"/>
              </w:rPr>
              <w:t>esc_staff</w:t>
            </w:r>
          </w:p>
        </w:tc>
        <w:tc>
          <w:tcPr>
            <w:tcW w:type="dxa" w:w="1656"/>
          </w:tcPr>
          <w:p>
            <w:pPr>
              <w:spacing w:after="20"/>
            </w:pPr>
            <w:r>
              <w:rPr>
                <w:color w:val="1C3A36"/>
                <w:sz w:val="14"/>
              </w:rPr>
              <w:t>0.02</w:t>
            </w:r>
          </w:p>
        </w:tc>
        <w:tc>
          <w:tcPr>
            <w:tcW w:type="dxa" w:w="5904"/>
          </w:tcPr>
          <w:p>
            <w:pPr>
              <w:spacing w:after="20"/>
            </w:pPr>
            <w:r>
              <w:rPr>
                <w:color w:val="1C3A36"/>
                <w:sz w:val="14"/>
              </w:rPr>
              <w:t>Staff-cost escalator 2.0%/yr — UAE wage inflation proxied by CPI (~2%) on a base the company is actively managing DOWN (H1-2026 staff cost −6.3% y/y, reviewed interims); applied from a rebased FY2026 level</w:t>
            </w:r>
          </w:p>
        </w:tc>
        <w:tc>
          <w:tcPr>
            <w:tcW w:type="dxa" w:w="1080"/>
          </w:tcPr>
          <w:p>
            <w:pPr>
              <w:spacing w:after="20"/>
            </w:pPr>
            <w:r>
              <w:rPr>
                <w:color w:val="1C3A36"/>
                <w:sz w:val="14"/>
              </w:rPr>
              <w:t>2026-08-09</w:t>
            </w:r>
          </w:p>
        </w:tc>
      </w:tr>
      <w:tr>
        <w:tc>
          <w:tcPr>
            <w:tcW w:type="dxa" w:w="1512"/>
          </w:tcPr>
          <w:p>
            <w:pPr>
              <w:spacing w:after="20"/>
            </w:pPr>
            <w:r>
              <w:rPr>
                <w:color w:val="1C3A36"/>
                <w:sz w:val="14"/>
              </w:rPr>
              <w:t>esc_network</w:t>
            </w:r>
          </w:p>
        </w:tc>
        <w:tc>
          <w:tcPr>
            <w:tcW w:type="dxa" w:w="1656"/>
          </w:tcPr>
          <w:p>
            <w:pPr>
              <w:spacing w:after="20"/>
            </w:pPr>
            <w:r>
              <w:rPr>
                <w:color w:val="1C3A36"/>
                <w:sz w:val="14"/>
              </w:rPr>
              <w:t>0.03</w:t>
            </w:r>
          </w:p>
        </w:tc>
        <w:tc>
          <w:tcPr>
            <w:tcW w:type="dxa" w:w="5904"/>
          </w:tcPr>
          <w:p>
            <w:pPr>
              <w:spacing w:after="20"/>
            </w:pPr>
            <w:r>
              <w:rPr>
                <w:color w:val="1C3A36"/>
                <w:sz w:val="14"/>
              </w:rPr>
              <w:t>Network &amp; maintenance escalator 3.0%/yr — grows with network scale (sites, fibre, data centres), proxied by blended subscriber growth plus capacity additions</w:t>
            </w:r>
          </w:p>
        </w:tc>
        <w:tc>
          <w:tcPr>
            <w:tcW w:type="dxa" w:w="1080"/>
          </w:tcPr>
          <w:p>
            <w:pPr>
              <w:spacing w:after="20"/>
            </w:pPr>
            <w:r>
              <w:rPr>
                <w:color w:val="1C3A36"/>
                <w:sz w:val="14"/>
              </w:rPr>
              <w:t>2026-08-09</w:t>
            </w:r>
          </w:p>
        </w:tc>
      </w:tr>
      <w:tr>
        <w:tc>
          <w:tcPr>
            <w:tcW w:type="dxa" w:w="1512"/>
          </w:tcPr>
          <w:p>
            <w:pPr>
              <w:spacing w:after="20"/>
            </w:pPr>
            <w:r>
              <w:rPr>
                <w:color w:val="1C3A36"/>
                <w:sz w:val="14"/>
              </w:rPr>
              <w:t>esc_admin</w:t>
            </w:r>
          </w:p>
        </w:tc>
        <w:tc>
          <w:tcPr>
            <w:tcW w:type="dxa" w:w="1656"/>
          </w:tcPr>
          <w:p>
            <w:pPr>
              <w:spacing w:after="20"/>
            </w:pPr>
            <w:r>
              <w:rPr>
                <w:color w:val="1C3A36"/>
                <w:sz w:val="14"/>
              </w:rPr>
              <w:t>0.02</w:t>
            </w:r>
          </w:p>
        </w:tc>
        <w:tc>
          <w:tcPr>
            <w:tcW w:type="dxa" w:w="5904"/>
          </w:tcPr>
          <w:p>
            <w:pPr>
              <w:spacing w:after="20"/>
            </w:pPr>
            <w:r>
              <w:rPr>
                <w:color w:val="1C3A36"/>
                <w:sz w:val="14"/>
              </w:rPr>
              <w:t>Administrative escalator 2.0%/yr — general UAE cost inflation</w:t>
            </w:r>
          </w:p>
        </w:tc>
        <w:tc>
          <w:tcPr>
            <w:tcW w:type="dxa" w:w="1080"/>
          </w:tcPr>
          <w:p>
            <w:pPr>
              <w:spacing w:after="20"/>
            </w:pPr>
            <w:r>
              <w:rPr>
                <w:color w:val="1C3A36"/>
                <w:sz w:val="14"/>
              </w:rPr>
              <w:t>2026-08-09</w:t>
            </w:r>
          </w:p>
        </w:tc>
      </w:tr>
      <w:tr>
        <w:tc>
          <w:tcPr>
            <w:tcW w:type="dxa" w:w="1512"/>
          </w:tcPr>
          <w:p>
            <w:pPr>
              <w:spacing w:after="20"/>
            </w:pPr>
            <w:r>
              <w:rPr>
                <w:color w:val="1C3A36"/>
                <w:sz w:val="14"/>
              </w:rPr>
              <w:t>esc_other</w:t>
            </w:r>
          </w:p>
        </w:tc>
        <w:tc>
          <w:tcPr>
            <w:tcW w:type="dxa" w:w="1656"/>
          </w:tcPr>
          <w:p>
            <w:pPr>
              <w:spacing w:after="20"/>
            </w:pPr>
            <w:r>
              <w:rPr>
                <w:color w:val="1C3A36"/>
                <w:sz w:val="14"/>
              </w:rPr>
              <w:t>0.02</w:t>
            </w:r>
          </w:p>
        </w:tc>
        <w:tc>
          <w:tcPr>
            <w:tcW w:type="dxa" w:w="5904"/>
          </w:tcPr>
          <w:p>
            <w:pPr>
              <w:spacing w:after="20"/>
            </w:pPr>
            <w:r>
              <w:rPr>
                <w:color w:val="1C3A36"/>
                <w:sz w:val="14"/>
              </w:rPr>
              <w:t>Other operating expense escalator 2.0%/yr</w:t>
            </w:r>
          </w:p>
        </w:tc>
        <w:tc>
          <w:tcPr>
            <w:tcW w:type="dxa" w:w="1080"/>
          </w:tcPr>
          <w:p>
            <w:pPr>
              <w:spacing w:after="20"/>
            </w:pPr>
            <w:r>
              <w:rPr>
                <w:color w:val="1C3A36"/>
                <w:sz w:val="14"/>
              </w:rPr>
              <w:t>2026-08-09</w:t>
            </w:r>
          </w:p>
        </w:tc>
      </w:tr>
      <w:tr>
        <w:tc>
          <w:tcPr>
            <w:tcW w:type="dxa" w:w="1512"/>
          </w:tcPr>
          <w:p>
            <w:pPr>
              <w:spacing w:after="20"/>
            </w:pPr>
            <w:r>
              <w:rPr>
                <w:color w:val="1C3A36"/>
                <w:sz w:val="14"/>
              </w:rPr>
              <w:t>marketing_pct</w:t>
            </w:r>
          </w:p>
        </w:tc>
        <w:tc>
          <w:tcPr>
            <w:tcW w:type="dxa" w:w="1656"/>
          </w:tcPr>
          <w:p>
            <w:pPr>
              <w:spacing w:after="20"/>
            </w:pPr>
            <w:r>
              <w:rPr>
                <w:color w:val="1C3A36"/>
                <w:sz w:val="14"/>
              </w:rPr>
              <w:t>0.018</w:t>
            </w:r>
          </w:p>
        </w:tc>
        <w:tc>
          <w:tcPr>
            <w:tcW w:type="dxa" w:w="5904"/>
          </w:tcPr>
          <w:p>
            <w:pPr>
              <w:spacing w:after="20"/>
            </w:pPr>
            <w:r>
              <w:rPr>
                <w:color w:val="1C3A36"/>
                <w:sz w:val="14"/>
              </w:rPr>
              <w:t>Marketing at 1.80% of revenue (FY2025 actual 1.84%, H1-2026 1.44% — conflict-quarter restraint; forecast between the two)</w:t>
            </w:r>
          </w:p>
        </w:tc>
        <w:tc>
          <w:tcPr>
            <w:tcW w:type="dxa" w:w="1080"/>
          </w:tcPr>
          <w:p>
            <w:pPr>
              <w:spacing w:after="20"/>
            </w:pPr>
            <w:r>
              <w:rPr>
                <w:color w:val="1C3A36"/>
                <w:sz w:val="14"/>
              </w:rPr>
              <w:t>2026-08-09</w:t>
            </w:r>
          </w:p>
        </w:tc>
      </w:tr>
      <w:tr>
        <w:tc>
          <w:tcPr>
            <w:tcW w:type="dxa" w:w="1512"/>
          </w:tcPr>
          <w:p>
            <w:pPr>
              <w:spacing w:after="20"/>
            </w:pPr>
            <w:r>
              <w:rPr>
                <w:color w:val="1C3A36"/>
                <w:sz w:val="14"/>
              </w:rPr>
              <w:t>licence_pct</w:t>
            </w:r>
          </w:p>
        </w:tc>
        <w:tc>
          <w:tcPr>
            <w:tcW w:type="dxa" w:w="1656"/>
          </w:tcPr>
          <w:p>
            <w:pPr>
              <w:spacing w:after="20"/>
            </w:pPr>
            <w:r>
              <w:rPr>
                <w:color w:val="1C3A36"/>
                <w:sz w:val="14"/>
              </w:rPr>
              <w:t>0.027</w:t>
            </w:r>
          </w:p>
        </w:tc>
        <w:tc>
          <w:tcPr>
            <w:tcW w:type="dxa" w:w="5904"/>
          </w:tcPr>
          <w:p>
            <w:pPr>
              <w:spacing w:after="20"/>
            </w:pPr>
            <w:r>
              <w:rPr>
                <w:color w:val="1C3A36"/>
                <w:sz w:val="14"/>
              </w:rPr>
              <w:t>Telecom licence and related fees at 2.70% of revenue (FY2025 2.73%, H1-2026 2.65% — a regulatory revenue-share, so revenue-linked by its own nature)</w:t>
            </w:r>
          </w:p>
        </w:tc>
        <w:tc>
          <w:tcPr>
            <w:tcW w:type="dxa" w:w="1080"/>
          </w:tcPr>
          <w:p>
            <w:pPr>
              <w:spacing w:after="20"/>
            </w:pPr>
            <w:r>
              <w:rPr>
                <w:color w:val="1C3A36"/>
                <w:sz w:val="14"/>
              </w:rPr>
              <w:t>2026-08-09</w:t>
            </w:r>
          </w:p>
        </w:tc>
      </w:tr>
      <w:tr>
        <w:tc>
          <w:tcPr>
            <w:tcW w:type="dxa" w:w="1512"/>
          </w:tcPr>
          <w:p>
            <w:pPr>
              <w:spacing w:after="20"/>
            </w:pPr>
            <w:r>
              <w:rPr>
                <w:color w:val="1C3A36"/>
                <w:sz w:val="14"/>
              </w:rPr>
              <w:t>ecl_pct</w:t>
            </w:r>
          </w:p>
        </w:tc>
        <w:tc>
          <w:tcPr>
            <w:tcW w:type="dxa" w:w="1656"/>
          </w:tcPr>
          <w:p>
            <w:pPr>
              <w:spacing w:after="20"/>
            </w:pPr>
            <w:r>
              <w:rPr>
                <w:color w:val="1C3A36"/>
                <w:sz w:val="14"/>
              </w:rPr>
              <w:t>0.0145</w:t>
            </w:r>
          </w:p>
        </w:tc>
        <w:tc>
          <w:tcPr>
            <w:tcW w:type="dxa" w:w="5904"/>
          </w:tcPr>
          <w:p>
            <w:pPr>
              <w:spacing w:after="20"/>
            </w:pPr>
            <w:r>
              <w:rPr>
                <w:color w:val="1C3A36"/>
                <w:sz w:val="14"/>
              </w:rPr>
              <w:t>Expected-credit-loss charge at 1.45% of revenue (FY2025 1.33%, H1-2026 1.64% — conflict-quarter receivables stress; forecast between the two)</w:t>
            </w:r>
          </w:p>
        </w:tc>
        <w:tc>
          <w:tcPr>
            <w:tcW w:type="dxa" w:w="1080"/>
          </w:tcPr>
          <w:p>
            <w:pPr>
              <w:spacing w:after="20"/>
            </w:pPr>
            <w:r>
              <w:rPr>
                <w:color w:val="1C3A36"/>
                <w:sz w:val="14"/>
              </w:rPr>
              <w:t>2026-08-09</w:t>
            </w:r>
          </w:p>
        </w:tc>
      </w:tr>
      <w:tr>
        <w:tc>
          <w:tcPr>
            <w:tcW w:type="dxa" w:w="1512"/>
          </w:tcPr>
          <w:p>
            <w:pPr>
              <w:spacing w:after="20"/>
            </w:pPr>
            <w:r>
              <w:rPr>
                <w:color w:val="1C3A36"/>
                <w:sz w:val="14"/>
              </w:rPr>
              <w:t>other_inc_path</w:t>
            </w:r>
          </w:p>
        </w:tc>
        <w:tc>
          <w:tcPr>
            <w:tcW w:type="dxa" w:w="1656"/>
          </w:tcPr>
          <w:p>
            <w:pPr>
              <w:spacing w:after="20"/>
            </w:pPr>
            <w:r>
              <w:rPr>
                <w:color w:val="1C3A36"/>
                <w:sz w:val="14"/>
              </w:rPr>
              <w:t>15</w:t>
            </w:r>
          </w:p>
        </w:tc>
        <w:tc>
          <w:tcPr>
            <w:tcW w:type="dxa" w:w="5904"/>
          </w:tcPr>
          <w:p>
            <w:pPr>
              <w:spacing w:after="20"/>
            </w:pPr>
            <w:r>
              <w:rPr>
                <w:color w:val="1C3A36"/>
                <w:sz w:val="14"/>
              </w:rPr>
              <w:t>Other operating income held at AED 15mn/yr (FY2025 21.7, H1-2026 5.8 — lumpy, small)</w:t>
            </w:r>
          </w:p>
        </w:tc>
        <w:tc>
          <w:tcPr>
            <w:tcW w:type="dxa" w:w="1080"/>
          </w:tcPr>
          <w:p>
            <w:pPr>
              <w:spacing w:after="20"/>
            </w:pPr>
            <w:r>
              <w:rPr>
                <w:color w:val="1C3A36"/>
                <w:sz w:val="14"/>
              </w:rPr>
              <w:t>2026-08-09</w:t>
            </w:r>
          </w:p>
        </w:tc>
      </w:tr>
      <w:tr>
        <w:tc>
          <w:tcPr>
            <w:tcW w:type="dxa" w:w="1512"/>
          </w:tcPr>
          <w:p>
            <w:pPr>
              <w:spacing w:after="20"/>
            </w:pPr>
            <w:r>
              <w:rPr>
                <w:color w:val="1C3A36"/>
                <w:sz w:val="14"/>
              </w:rPr>
              <w:t>capex_pct</w:t>
            </w:r>
          </w:p>
        </w:tc>
        <w:tc>
          <w:tcPr>
            <w:tcW w:type="dxa" w:w="1656"/>
          </w:tcPr>
          <w:p>
            <w:pPr>
              <w:spacing w:after="20"/>
            </w:pPr>
            <w:r>
              <w:rPr>
                <w:color w:val="1C3A36"/>
                <w:sz w:val="14"/>
              </w:rPr>
              <w:t>0.155, 0.15, 0.145, 0.135, 0.13</w:t>
            </w:r>
          </w:p>
        </w:tc>
        <w:tc>
          <w:tcPr>
            <w:tcW w:type="dxa" w:w="5904"/>
          </w:tcPr>
          <w:p>
            <w:pPr>
              <w:spacing w:after="20"/>
            </w:pPr>
            <w:r>
              <w:rPr>
                <w:color w:val="1C3A36"/>
                <w:sz w:val="14"/>
              </w:rPr>
              <w:t>Capex (PP&amp;E + intangibles, cash basis) / revenue: FY2025 actual 14.8% (2,353.230 / 15,905.421, audited CF); H1-2026 12.7% with the company stating a back-loaded, data-centre-heavy plan and commitments UP at 2,411.760 (30-Jun-26 note) vs 2,124.526 (FY2025) — 15.5% at the peak of the data-centre build, gliding to 13.0% (no numeric company capex guidance for FY2026 was published; flagged as a house path on sourced commitment evidence)</w:t>
            </w:r>
          </w:p>
        </w:tc>
        <w:tc>
          <w:tcPr>
            <w:tcW w:type="dxa" w:w="1080"/>
          </w:tcPr>
          <w:p>
            <w:pPr>
              <w:spacing w:after="20"/>
            </w:pPr>
            <w:r>
              <w:rPr>
                <w:color w:val="1C3A36"/>
                <w:sz w:val="14"/>
              </w:rPr>
              <w:t>2026-08-09</w:t>
            </w:r>
          </w:p>
        </w:tc>
      </w:tr>
      <w:tr>
        <w:tc>
          <w:tcPr>
            <w:tcW w:type="dxa" w:w="1512"/>
          </w:tcPr>
          <w:p>
            <w:pPr>
              <w:spacing w:after="20"/>
            </w:pPr>
            <w:r>
              <w:rPr>
                <w:color w:val="1C3A36"/>
                <w:sz w:val="14"/>
              </w:rPr>
              <w:t>rou_dep_path</w:t>
            </w:r>
          </w:p>
        </w:tc>
        <w:tc>
          <w:tcPr>
            <w:tcW w:type="dxa" w:w="1656"/>
          </w:tcPr>
          <w:p>
            <w:pPr>
              <w:spacing w:after="20"/>
            </w:pPr>
            <w:r>
              <w:rPr>
                <w:color w:val="1C3A36"/>
                <w:sz w:val="14"/>
              </w:rPr>
              <w:t>355.0, 350.0, 345.0, 340.0, 335.0</w:t>
            </w:r>
          </w:p>
        </w:tc>
        <w:tc>
          <w:tcPr>
            <w:tcW w:type="dxa" w:w="5904"/>
          </w:tcPr>
          <w:p>
            <w:pPr>
              <w:spacing w:after="20"/>
            </w:pPr>
            <w:r>
              <w:rPr>
                <w:color w:val="1C3A36"/>
                <w:sz w:val="14"/>
              </w:rPr>
              <w:t>Right-of-use depreciation: FY2025 actual 364.063, FY2024 374.505, FY2023 445.042 — a gently declining site-lease book; held on that glide. Lease REPLACEMENT capex is set equal to ROU depreciation in the FCFF build (the steady-state assumption; actual FY2025 lease additions were only 96.034, so this is the conservative side)</w:t>
            </w:r>
          </w:p>
        </w:tc>
        <w:tc>
          <w:tcPr>
            <w:tcW w:type="dxa" w:w="1080"/>
          </w:tcPr>
          <w:p>
            <w:pPr>
              <w:spacing w:after="20"/>
            </w:pPr>
            <w:r>
              <w:rPr>
                <w:color w:val="1C3A36"/>
                <w:sz w:val="14"/>
              </w:rPr>
              <w:t>2026-08-09</w:t>
            </w:r>
          </w:p>
        </w:tc>
      </w:tr>
      <w:tr>
        <w:tc>
          <w:tcPr>
            <w:tcW w:type="dxa" w:w="1512"/>
          </w:tcPr>
          <w:p>
            <w:pPr>
              <w:spacing w:after="20"/>
            </w:pPr>
            <w:r>
              <w:rPr>
                <w:color w:val="1C3A36"/>
                <w:sz w:val="14"/>
              </w:rPr>
              <w:t>e1_horizon_years</w:t>
            </w:r>
          </w:p>
        </w:tc>
        <w:tc>
          <w:tcPr>
            <w:tcW w:type="dxa" w:w="1656"/>
          </w:tcPr>
          <w:p>
            <w:pPr>
              <w:spacing w:after="20"/>
            </w:pPr>
            <w:r>
              <w:rPr>
                <w:color w:val="1C3A36"/>
                <w:sz w:val="14"/>
              </w:rPr>
              <w:t>2.4027</w:t>
            </w:r>
          </w:p>
        </w:tc>
        <w:tc>
          <w:tcPr>
            <w:tcW w:type="dxa" w:w="5904"/>
          </w:tcPr>
          <w:p>
            <w:pPr>
              <w:spacing w:after="20"/>
            </w:pPr>
            <w:r>
              <w:rPr>
                <w:color w:val="1C3A36"/>
                <w:sz w:val="14"/>
              </w:rPr>
              <w:t>Years from the 07-Aug-2026 anchor to 31-Dec-2028, the date Expert 1's FY2028 earnings multiple values: 877 calendar days / 365. REGISTERED 17-Aug-2026 after an external critique showed the lens was discounting over a NET 1.40 years, a full year short of anchor consistency</w:t>
            </w:r>
          </w:p>
        </w:tc>
        <w:tc>
          <w:tcPr>
            <w:tcW w:type="dxa" w:w="1080"/>
          </w:tcPr>
          <w:p>
            <w:pPr>
              <w:spacing w:after="20"/>
            </w:pPr>
            <w:r>
              <w:rPr>
                <w:color w:val="1C3A36"/>
                <w:sz w:val="14"/>
              </w:rPr>
              <w:t>2026-08-17</w:t>
            </w:r>
          </w:p>
        </w:tc>
      </w:tr>
      <w:tr>
        <w:tc>
          <w:tcPr>
            <w:tcW w:type="dxa" w:w="1512"/>
          </w:tcPr>
          <w:p>
            <w:pPr>
              <w:spacing w:after="20"/>
            </w:pPr>
            <w:r>
              <w:rPr>
                <w:color w:val="1C3A36"/>
                <w:sz w:val="14"/>
              </w:rPr>
              <w:t>lens_weights</w:t>
            </w:r>
          </w:p>
        </w:tc>
        <w:tc>
          <w:tcPr>
            <w:tcW w:type="dxa" w:w="1656"/>
          </w:tcPr>
          <w:p>
            <w:pPr>
              <w:spacing w:after="20"/>
            </w:pPr>
            <w:r>
              <w:rPr>
                <w:color w:val="1C3A36"/>
                <w:sz w:val="14"/>
              </w:rPr>
              <w:t>dcf: 0.45; relative: 0.25; normalized: 0.2; book: 0.1</w:t>
            </w:r>
          </w:p>
        </w:tc>
        <w:tc>
          <w:tcPr>
            <w:tcW w:type="dxa" w:w="5904"/>
          </w:tcPr>
          <w:p>
            <w:pPr>
              <w:spacing w:after="20"/>
            </w:pPr>
            <w:r>
              <w:rPr>
                <w:color w:val="1C3A36"/>
                <w:sz w:val="14"/>
              </w:rPr>
              <w:t>RETIRED 02-Sep-2026 and kept only as the record of what the retired construction did. These were house synthesis weights copied from an operating-company pattern; they were typed, they had never cleared an out-of-sample test, and they are no longer an input to any published figure. They are consumed in exactly two places, both of which price the retired construction rather than the answer: the Summary's own labelled retired row, and the arithmetic recording how the external weight finding was priced at the time it was raised</w:t>
            </w:r>
          </w:p>
        </w:tc>
        <w:tc>
          <w:tcPr>
            <w:tcW w:type="dxa" w:w="1080"/>
          </w:tcPr>
          <w:p>
            <w:pPr>
              <w:spacing w:after="20"/>
            </w:pPr>
            <w:r>
              <w:rPr>
                <w:color w:val="1C3A36"/>
                <w:sz w:val="14"/>
              </w:rPr>
              <w:t>2026-08-09</w:t>
            </w:r>
          </w:p>
        </w:tc>
      </w:tr>
      <w:tr>
        <w:tc>
          <w:tcPr>
            <w:tcW w:type="dxa" w:w="1512"/>
          </w:tcPr>
          <w:p>
            <w:pPr>
              <w:spacing w:after="20"/>
            </w:pPr>
            <w:r>
              <w:rPr>
                <w:color w:val="1C3A36"/>
                <w:sz w:val="14"/>
              </w:rPr>
              <w:t>kd_term</w:t>
            </w:r>
          </w:p>
        </w:tc>
        <w:tc>
          <w:tcPr>
            <w:tcW w:type="dxa" w:w="1656"/>
          </w:tcPr>
          <w:p>
            <w:pPr>
              <w:spacing w:after="20"/>
            </w:pPr>
            <w:r>
              <w:rPr>
                <w:color w:val="1C3A36"/>
                <w:sz w:val="14"/>
              </w:rPr>
              <w:t>0.049</w:t>
            </w:r>
          </w:p>
        </w:tc>
        <w:tc>
          <w:tcPr>
            <w:tcW w:type="dxa" w:w="5904"/>
          </w:tcPr>
          <w:p>
            <w:pPr>
              <w:spacing w:after="20"/>
            </w:pPr>
            <w:r>
              <w:rPr>
                <w:color w:val="1C3A36"/>
                <w:sz w:val="14"/>
              </w:rPr>
              <w:t>Terminal marginal Kd: terminal AED sovereign 4.30% + 60bp telecom spread, rounded</w:t>
            </w:r>
          </w:p>
        </w:tc>
        <w:tc>
          <w:tcPr>
            <w:tcW w:type="dxa" w:w="1080"/>
          </w:tcPr>
          <w:p>
            <w:pPr>
              <w:spacing w:after="20"/>
            </w:pPr>
            <w:r>
              <w:rPr>
                <w:color w:val="1C3A36"/>
                <w:sz w:val="14"/>
              </w:rPr>
              <w:t>2026-08-09</w:t>
            </w:r>
          </w:p>
        </w:tc>
      </w:tr>
      <w:tr>
        <w:tc>
          <w:tcPr>
            <w:tcW w:type="dxa" w:w="1512"/>
          </w:tcPr>
          <w:p>
            <w:pPr>
              <w:spacing w:after="20"/>
            </w:pPr>
            <w:r>
              <w:rPr>
                <w:color w:val="1C3A36"/>
                <w:sz w:val="14"/>
              </w:rPr>
              <w:t>wd_term</w:t>
            </w:r>
          </w:p>
        </w:tc>
        <w:tc>
          <w:tcPr>
            <w:tcW w:type="dxa" w:w="1656"/>
          </w:tcPr>
          <w:p>
            <w:pPr>
              <w:spacing w:after="20"/>
            </w:pPr>
            <w:r>
              <w:rPr>
                <w:color w:val="1C3A36"/>
                <w:sz w:val="14"/>
              </w:rPr>
              <w:t>0.05</w:t>
            </w:r>
          </w:p>
        </w:tc>
        <w:tc>
          <w:tcPr>
            <w:tcW w:type="dxa" w:w="5904"/>
          </w:tcPr>
          <w:p>
            <w:pPr>
              <w:spacing w:after="20"/>
            </w:pPr>
            <w:r>
              <w:rPr>
                <w:color w:val="1C3A36"/>
                <w:sz w:val="14"/>
              </w:rPr>
              <w:t>Terminal debt weight 5%: the disclosed capital structure is leases-only (~3.4% of EV at spot) and the board's stated posture is an unleveraged balance sheet with an undrawn RCF; 5% allows the lease book plus modest working facilities in perpetuity</w:t>
            </w:r>
          </w:p>
        </w:tc>
        <w:tc>
          <w:tcPr>
            <w:tcW w:type="dxa" w:w="1080"/>
          </w:tcPr>
          <w:p>
            <w:pPr>
              <w:spacing w:after="20"/>
            </w:pPr>
            <w:r>
              <w:rPr>
                <w:color w:val="1C3A36"/>
                <w:sz w:val="14"/>
              </w:rPr>
              <w:t>2026-08-09</w:t>
            </w:r>
          </w:p>
        </w:tc>
      </w:tr>
      <w:tr>
        <w:tc>
          <w:tcPr>
            <w:tcW w:type="dxa" w:w="1512"/>
          </w:tcPr>
          <w:p>
            <w:pPr>
              <w:spacing w:after="20"/>
            </w:pPr>
            <w:r>
              <w:rPr>
                <w:color w:val="1C3A36"/>
                <w:sz w:val="14"/>
              </w:rPr>
              <w:t>rf_path</w:t>
            </w:r>
          </w:p>
        </w:tc>
        <w:tc>
          <w:tcPr>
            <w:tcW w:type="dxa" w:w="1656"/>
          </w:tcPr>
          <w:p>
            <w:pPr>
              <w:spacing w:after="20"/>
            </w:pPr>
            <w:r>
              <w:rPr>
                <w:color w:val="1C3A36"/>
                <w:sz w:val="14"/>
              </w:rPr>
              <w:t>0.0448, 0.0444, 0.0439, 0.0435, 0.043</w:t>
            </w:r>
          </w:p>
        </w:tc>
        <w:tc>
          <w:tcPr>
            <w:tcW w:type="dxa" w:w="5904"/>
          </w:tcPr>
          <w:p>
            <w:pPr>
              <w:spacing w:after="20"/>
            </w:pPr>
            <w:r>
              <w:rPr>
                <w:color w:val="1C3A36"/>
                <w:sz w:val="14"/>
              </w:rPr>
              <w:t>AED risk-free glide path FY2026-&gt;FY2030: linear from the 4.48% live anchor to the 4.30% terminal - the glide fractions for the forward WACC are THIS path's own cumulative progress (the cost-of-money path, since du carries no debt whose Kd could define the glide)</w:t>
            </w:r>
          </w:p>
        </w:tc>
        <w:tc>
          <w:tcPr>
            <w:tcW w:type="dxa" w:w="1080"/>
          </w:tcPr>
          <w:p>
            <w:pPr>
              <w:spacing w:after="20"/>
            </w:pPr>
            <w:r>
              <w:rPr>
                <w:color w:val="1C3A36"/>
                <w:sz w:val="14"/>
              </w:rPr>
              <w:t>2026-08-09</w:t>
            </w:r>
          </w:p>
        </w:tc>
      </w:tr>
    </w:tbl>
    <w:p>
      <w:pPr>
        <w:spacing w:after="40"/>
      </w:pPr>
    </w:p>
    <w:p>
      <w:pPr>
        <w:spacing w:after="60" w:before="160"/>
      </w:pPr>
      <w:r>
        <w:rPr>
          <w:b/>
          <w:i w:val="0"/>
          <w:color w:val="1C3A36"/>
          <w:sz w:val="22"/>
        </w:rPr>
        <w:t>Industry layer — 5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arpu_ratio_peers</w:t>
            </w:r>
          </w:p>
        </w:tc>
        <w:tc>
          <w:tcPr>
            <w:tcW w:type="dxa" w:w="1656"/>
          </w:tcPr>
          <w:p>
            <w:pPr>
              <w:spacing w:after="20"/>
            </w:pPr>
            <w:r>
              <w:rPr>
                <w:color w:val="1C3A36"/>
                <w:sz w:val="14"/>
              </w:rPr>
              <w:t>ooredoo_qatar: 7.22; ooredoo_kuwait: 4.67; ooredoo_oman: 2.92</w:t>
            </w:r>
          </w:p>
        </w:tc>
        <w:tc>
          <w:tcPr>
            <w:tcW w:type="dxa" w:w="5904"/>
          </w:tcPr>
          <w:p>
            <w:pPr>
              <w:spacing w:after="20"/>
            </w:pPr>
            <w:r>
              <w:rPr>
                <w:color w:val="1C3A36"/>
                <w:sz w:val="14"/>
              </w:rPr>
              <w:t>Postpaid/prepaid ARPU ratios at the ONLY Gulf operator that discloses both legs, from Ooredoo's own Q2-2026 disclosure (QAR: Qatar 239.8/33.2, Kuwait 161.5/34.6, Oman 67.2/23.0). Used ONLY to bound the identification test and the mix decomposition — never to build revenue. The 2.9x-7.2x spread across three markets of a SINGLE operator is itself evidence that an imported ratio cannot pin down du's split</w:t>
            </w:r>
          </w:p>
        </w:tc>
        <w:tc>
          <w:tcPr>
            <w:tcW w:type="dxa" w:w="1080"/>
          </w:tcPr>
          <w:p>
            <w:pPr>
              <w:spacing w:after="20"/>
            </w:pPr>
            <w:r>
              <w:rPr>
                <w:color w:val="1C3A36"/>
                <w:sz w:val="14"/>
              </w:rPr>
              <w:t>2026-08-17</w:t>
            </w:r>
          </w:p>
        </w:tc>
      </w:tr>
      <w:tr>
        <w:tc>
          <w:tcPr>
            <w:tcW w:type="dxa" w:w="1512"/>
          </w:tcPr>
          <w:p>
            <w:pPr>
              <w:spacing w:after="20"/>
            </w:pPr>
            <w:r>
              <w:rPr>
                <w:color w:val="1C3A36"/>
                <w:sz w:val="14"/>
              </w:rPr>
              <w:t>pe_provider_refused</w:t>
            </w:r>
          </w:p>
        </w:tc>
        <w:tc>
          <w:tcPr>
            <w:tcW w:type="dxa" w:w="1656"/>
          </w:tcPr>
          <w:p>
            <w:pPr>
              <w:spacing w:after="20"/>
            </w:pPr>
            <w:r>
              <w:rPr>
                <w:color w:val="1C3A36"/>
                <w:sz w:val="14"/>
              </w:rPr>
              <w:t>11,365.0</w:t>
            </w:r>
          </w:p>
        </w:tc>
        <w:tc>
          <w:tcPr>
            <w:tcW w:type="dxa" w:w="5904"/>
          </w:tcPr>
          <w:p>
            <w:pPr>
              <w:spacing w:after="20"/>
            </w:pPr>
            <w:r>
              <w:rPr>
                <w:color w:val="1C3A36"/>
                <w:sz w:val="14"/>
              </w:rPr>
              <w:t>A NEGATIVE RESULT, committed because it is quoted. The data provider returned a price/earnings multiple of 11,365x for Zain, which is corrupt on its face; it was REFUSED rather than carried into a peer median, and that refusal is one of the two reasons this study claims no peer median at all</w:t>
            </w:r>
          </w:p>
        </w:tc>
        <w:tc>
          <w:tcPr>
            <w:tcW w:type="dxa" w:w="1080"/>
          </w:tcPr>
          <w:p>
            <w:pPr>
              <w:spacing w:after="20"/>
            </w:pPr>
            <w:r>
              <w:rPr>
                <w:color w:val="1C3A36"/>
                <w:sz w:val="14"/>
              </w:rPr>
              <w:t>2026-08-06</w:t>
            </w:r>
          </w:p>
        </w:tc>
      </w:tr>
      <w:tr>
        <w:tc>
          <w:tcPr>
            <w:tcW w:type="dxa" w:w="1512"/>
          </w:tcPr>
          <w:p>
            <w:pPr>
              <w:spacing w:after="20"/>
            </w:pPr>
            <w:r>
              <w:rPr>
                <w:color w:val="1C3A36"/>
                <w:sz w:val="14"/>
              </w:rPr>
              <w:t>kd</w:t>
            </w:r>
          </w:p>
        </w:tc>
        <w:tc>
          <w:tcPr>
            <w:tcW w:type="dxa" w:w="1656"/>
          </w:tcPr>
          <w:p>
            <w:pPr>
              <w:spacing w:after="20"/>
            </w:pPr>
            <w:r>
              <w:rPr>
                <w:color w:val="1C3A36"/>
                <w:sz w:val="14"/>
              </w:rPr>
              <w:t>0.051</w:t>
            </w:r>
          </w:p>
        </w:tc>
        <w:tc>
          <w:tcPr>
            <w:tcW w:type="dxa" w:w="5904"/>
          </w:tcPr>
          <w:p>
            <w:pPr>
              <w:spacing w:after="20"/>
            </w:pPr>
            <w:r>
              <w:rPr>
                <w:color w:val="1C3A36"/>
                <w:sz w:val="14"/>
              </w:rPr>
              <w:t>MARGINAL cost of debt, AED, forward-looking: du has ZERO drawn debt and no bonds (audited Note 4.2, all years; H1-2026: AED 2.0bn RCF undrawn), so the marginal rate is constructed: AED sovereign anchor 4.48% (Jan-2031 tranche) + ~60bp A/AA-range GCC telecom spread read from the stc (Aa3/A+) USD sukuk curve (4.63%/4.92%/5.17% at 2.8/4.4/9.4y vs matched UST, 06-Aug-2026) = 5.10%. Sits ABOVE the sovereign as required. The 3.6% IFRS-16 lease-implied rate (FY2025 lease interest 71.094 / average lease book 1,968.8) is the historical incremental-borrowing rate on the lease stock, disclosed for the record, NOT the marginal Kd</w:t>
            </w:r>
          </w:p>
        </w:tc>
        <w:tc>
          <w:tcPr>
            <w:tcW w:type="dxa" w:w="1080"/>
          </w:tcPr>
          <w:p>
            <w:pPr>
              <w:spacing w:after="20"/>
            </w:pPr>
            <w:r>
              <w:rPr>
                <w:color w:val="1C3A36"/>
                <w:sz w:val="14"/>
              </w:rPr>
              <w:t>2026-08-06</w:t>
            </w:r>
          </w:p>
        </w:tc>
      </w:tr>
      <w:tr>
        <w:tc>
          <w:tcPr>
            <w:tcW w:type="dxa" w:w="1512"/>
          </w:tcPr>
          <w:p>
            <w:pPr>
              <w:spacing w:after="20"/>
            </w:pPr>
            <w:r>
              <w:rPr>
                <w:color w:val="1C3A36"/>
                <w:sz w:val="14"/>
              </w:rPr>
              <w:t>pe_just</w:t>
            </w:r>
          </w:p>
        </w:tc>
        <w:tc>
          <w:tcPr>
            <w:tcW w:type="dxa" w:w="1656"/>
          </w:tcPr>
          <w:p>
            <w:pPr>
              <w:spacing w:after="20"/>
            </w:pPr>
            <w:r>
              <w:rPr>
                <w:color w:val="1C3A36"/>
                <w:sz w:val="14"/>
              </w:rPr>
              <w:t>12.9</w:t>
            </w:r>
          </w:p>
        </w:tc>
        <w:tc>
          <w:tcPr>
            <w:tcW w:type="dxa" w:w="5904"/>
          </w:tcPr>
          <w:p>
            <w:pPr>
              <w:spacing w:after="20"/>
            </w:pPr>
            <w:r>
              <w:rPr>
                <w:color w:val="1C3A36"/>
                <w:sz w:val="14"/>
              </w:rPr>
              <w:t>Justified P/E 12.9x, RE-DERIVED FROM ISSUER FILINGS at the 06-Aug-2026 anchor after an external audit showed the prior 15.5x did not exist on any earnings base at that date. Mobily (Etihad Etisalat, Tadawul 7020) - the closest structural analogue, a #2 operator in a GCC duopoly-like market: TTM EPS SAR 4.76 (FY2025 4.51 + H1-2026 2.32 - H1-2025 2.07, each from Mobily's own Saudi Exchange issuer announcements) on a 06-Aug-2026 close of SAR 61.30 = 12.88x; the market-cap route (SAR 47,048mn / TTM net income SAR 3,650mn) independently ties at 12.89x. e&amp; is the only other peer whose multiple derives end-to-end from issuer filings: 15.7x (TTM EPS AED 1.33 reported-attributable, close AED 20.98). NO PEER MEDIAN IS CLAIMED - only two of six peers survive as clean observations, so a median is not supportable: Zain's provider returned a corrupt 11365x and was refused, Omantel's provider P/E and yield are mutually contradictory, and Omantel holds ~21.9% of Zain so they are not independent. (For the record the 5-name median also lands on 12.89x, which is coincidence, not corroboration.) SUPERSEDES 15.5x, which was a January-2026 aggregator read on FY2024 earnings mis-dated as an August-2026 read</w:t>
            </w:r>
          </w:p>
        </w:tc>
        <w:tc>
          <w:tcPr>
            <w:tcW w:type="dxa" w:w="1080"/>
          </w:tcPr>
          <w:p>
            <w:pPr>
              <w:spacing w:after="20"/>
            </w:pPr>
            <w:r>
              <w:rPr>
                <w:color w:val="1C3A36"/>
                <w:sz w:val="14"/>
              </w:rPr>
              <w:t>2026-08-06</w:t>
            </w:r>
          </w:p>
        </w:tc>
      </w:tr>
      <w:tr>
        <w:tc>
          <w:tcPr>
            <w:tcW w:type="dxa" w:w="1512"/>
          </w:tcPr>
          <w:p>
            <w:pPr>
              <w:spacing w:after="20"/>
            </w:pPr>
            <w:r>
              <w:rPr>
                <w:color w:val="1C3A36"/>
                <w:sz w:val="14"/>
              </w:rPr>
              <w:t>div_yield_peer</w:t>
            </w:r>
          </w:p>
        </w:tc>
        <w:tc>
          <w:tcPr>
            <w:tcW w:type="dxa" w:w="1656"/>
          </w:tcPr>
          <w:p>
            <w:pPr>
              <w:spacing w:after="20"/>
            </w:pPr>
            <w:r>
              <w:rPr>
                <w:color w:val="1C3A36"/>
                <w:sz w:val="14"/>
              </w:rPr>
              <w:t>0.0489</w:t>
            </w:r>
          </w:p>
        </w:tc>
        <w:tc>
          <w:tcPr>
            <w:tcW w:type="dxa" w:w="5904"/>
          </w:tcPr>
          <w:p>
            <w:pPr>
              <w:spacing w:after="20"/>
            </w:pPr>
            <w:r>
              <w:rPr>
                <w:color w:val="1C3A36"/>
                <w:sz w:val="14"/>
              </w:rPr>
              <w:t>Peer dividend-yield anchor 4.89% = Mobily's trailing yield at the 06-Aug-2026 close, derived from its own declared distributions - the same name and the same date as the justified P/E, so the two market anchors are consistent. SUPERSEDES 5.2% (stc, aggregator). The published Mobily yield of 2.9% in the prior edition matched neither the issuer data (4.89%) nor this study's own sweep record (3.7%) - a typed numeral that escaped the register, now corrected. Sourceable bracket at the anchor: e&amp; 4.50%, stc 5.07%, Ooredoo 5.70%, Omantel ~6.7% (aggregator, internally inconsistent)</w:t>
            </w:r>
          </w:p>
        </w:tc>
        <w:tc>
          <w:tcPr>
            <w:tcW w:type="dxa" w:w="1080"/>
          </w:tcPr>
          <w:p>
            <w:pPr>
              <w:spacing w:after="20"/>
            </w:pPr>
            <w:r>
              <w:rPr>
                <w:color w:val="1C3A36"/>
                <w:sz w:val="14"/>
              </w:rPr>
              <w:t>2026-08-06</w:t>
            </w:r>
          </w:p>
        </w:tc>
      </w:tr>
    </w:tbl>
    <w:p>
      <w:pPr>
        <w:spacing w:after="40"/>
      </w:pPr>
    </w:p>
    <w:p>
      <w:pPr>
        <w:spacing w:after="60" w:before="160"/>
      </w:pPr>
      <w:r>
        <w:rPr>
          <w:b/>
          <w:i w:val="0"/>
          <w:color w:val="1C3A36"/>
          <w:sz w:val="22"/>
        </w:rPr>
        <w:t>Country layer — 14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rf</w:t>
            </w:r>
          </w:p>
        </w:tc>
        <w:tc>
          <w:tcPr>
            <w:tcW w:type="dxa" w:w="1656"/>
          </w:tcPr>
          <w:p>
            <w:pPr>
              <w:spacing w:after="20"/>
            </w:pPr>
            <w:r>
              <w:rPr>
                <w:color w:val="1C3A36"/>
                <w:sz w:val="14"/>
              </w:rPr>
              <w:t>0.0448</w:t>
            </w:r>
          </w:p>
        </w:tc>
        <w:tc>
          <w:tcPr>
            <w:tcW w:type="dxa" w:w="5904"/>
          </w:tcPr>
          <w:p>
            <w:pPr>
              <w:spacing w:after="20"/>
            </w:pPr>
            <w:r>
              <w:rPr>
                <w:color w:val="1C3A36"/>
                <w:sz w:val="14"/>
              </w:rPr>
              <w:t>AED risk-free anchor: UAE federal AED Treasury BOND, January-2031 tranche, auction yield 4.48%, MoF/WAM results release of 30-Jul-2026, priced at a 4bp spread over the comparable US Treasury. THE SPREAD IS NOT QUOTED VERBATIM (corrected 17-Aug-2026): the MoF sentence is malformed in the original release ('a spread of 24 and 4 to basis points respectively', covering the Oct-2027 and Jan-2031 tranches together), so the 4bp is read from that sentence rather than lifted as a clean quotation, and the prior edition was wrong to present it as one. This is the longest LIQUID recent AED government primary print. There is NO liquid 10-year AED point: the only AED federal tranche maturing beyond January 2031 is the February-2033 Islamic Treasury SUKUK (see rf_alt_long) - a sukuk, NOT a conventional T-Bond, which the prior edition mislabelled. The 10-year peg-extrapolated alternative (Abu Dhabi USD 10y 4.73% Feb-2026 less the ~4bp AED-through-USD basis ~= 4.69%) is carried as rf_alt and PRICED in section 1.8 rather than averaged in</w:t>
            </w:r>
          </w:p>
        </w:tc>
        <w:tc>
          <w:tcPr>
            <w:tcW w:type="dxa" w:w="1080"/>
          </w:tcPr>
          <w:p>
            <w:pPr>
              <w:spacing w:after="20"/>
            </w:pPr>
            <w:r>
              <w:rPr>
                <w:color w:val="1C3A36"/>
                <w:sz w:val="14"/>
              </w:rPr>
              <w:t>2026-07-30</w:t>
            </w:r>
          </w:p>
        </w:tc>
      </w:tr>
      <w:tr>
        <w:tc>
          <w:tcPr>
            <w:tcW w:type="dxa" w:w="1512"/>
          </w:tcPr>
          <w:p>
            <w:pPr>
              <w:spacing w:after="20"/>
            </w:pPr>
            <w:r>
              <w:rPr>
                <w:color w:val="1C3A36"/>
                <w:sz w:val="14"/>
              </w:rPr>
              <w:t>erp_mature_base</w:t>
            </w:r>
          </w:p>
        </w:tc>
        <w:tc>
          <w:tcPr>
            <w:tcW w:type="dxa" w:w="1656"/>
          </w:tcPr>
          <w:p>
            <w:pPr>
              <w:spacing w:after="20"/>
            </w:pPr>
            <w:r>
              <w:rPr>
                <w:color w:val="1C3A36"/>
                <w:sz w:val="14"/>
              </w:rPr>
              <w:t>0.0423</w:t>
            </w:r>
          </w:p>
        </w:tc>
        <w:tc>
          <w:tcPr>
            <w:tcW w:type="dxa" w:w="5904"/>
          </w:tcPr>
          <w:p>
            <w:pPr>
              <w:spacing w:after="20"/>
            </w:pPr>
            <w:r>
              <w:rPr>
                <w:color w:val="1C3A36"/>
                <w:sz w:val="14"/>
              </w:rPr>
              <w:t>Damodaran mature-market equity risk premium base, Jan-2026 edition, read from the original ctryprem file. Both published UAE constructions add their country premium to THIS number: the adopted market-spread basis (4.23% + 6bp) and the alternative rating basis (4.23% + 64bp, Aa2). Quoted four times across the delivered documents and committed here so those quotations reconcile</w:t>
            </w:r>
          </w:p>
        </w:tc>
        <w:tc>
          <w:tcPr>
            <w:tcW w:type="dxa" w:w="1080"/>
          </w:tcPr>
          <w:p>
            <w:pPr>
              <w:spacing w:after="20"/>
            </w:pPr>
            <w:r>
              <w:rPr>
                <w:color w:val="1C3A36"/>
                <w:sz w:val="14"/>
              </w:rPr>
              <w:t>2026-01-01</w:t>
            </w:r>
          </w:p>
        </w:tc>
      </w:tr>
      <w:tr>
        <w:tc>
          <w:tcPr>
            <w:tcW w:type="dxa" w:w="1512"/>
          </w:tcPr>
          <w:p>
            <w:pPr>
              <w:spacing w:after="20"/>
            </w:pPr>
            <w:r>
              <w:rPr>
                <w:color w:val="1C3A36"/>
                <w:sz w:val="14"/>
              </w:rPr>
              <w:t>rf_ad_usd_10y</w:t>
            </w:r>
          </w:p>
        </w:tc>
        <w:tc>
          <w:tcPr>
            <w:tcW w:type="dxa" w:w="1656"/>
          </w:tcPr>
          <w:p>
            <w:pPr>
              <w:spacing w:after="20"/>
            </w:pPr>
            <w:r>
              <w:rPr>
                <w:color w:val="1C3A36"/>
                <w:sz w:val="14"/>
              </w:rPr>
              <w:t>0.0473</w:t>
            </w:r>
          </w:p>
        </w:tc>
        <w:tc>
          <w:tcPr>
            <w:tcW w:type="dxa" w:w="5904"/>
          </w:tcPr>
          <w:p>
            <w:pPr>
              <w:spacing w:after="20"/>
            </w:pPr>
            <w:r>
              <w:rPr>
                <w:color w:val="1C3A36"/>
                <w:sz w:val="14"/>
              </w:rPr>
              <w:t>Abu Dhabi sovereign USD 10-year, Feb-2026 issue, priced at UST+25bp. The peg-extrapolated alternative risk-free anchor is this figure less the ~4bp observed AED-through-USD basis at matched tenor; the AED-equivalent result is registered separately as rf_alt, and this is the USD leg it is built from</w:t>
            </w:r>
          </w:p>
        </w:tc>
        <w:tc>
          <w:tcPr>
            <w:tcW w:type="dxa" w:w="1080"/>
          </w:tcPr>
          <w:p>
            <w:pPr>
              <w:spacing w:after="20"/>
            </w:pPr>
            <w:r>
              <w:rPr>
                <w:color w:val="1C3A36"/>
                <w:sz w:val="14"/>
              </w:rPr>
              <w:t>2026-02-01</w:t>
            </w:r>
          </w:p>
        </w:tc>
      </w:tr>
      <w:tr>
        <w:tc>
          <w:tcPr>
            <w:tcW w:type="dxa" w:w="1512"/>
          </w:tcPr>
          <w:p>
            <w:pPr>
              <w:spacing w:after="20"/>
            </w:pPr>
            <w:r>
              <w:rPr>
                <w:color w:val="1C3A36"/>
                <w:sz w:val="14"/>
              </w:rPr>
              <w:t>g_term</w:t>
            </w:r>
          </w:p>
        </w:tc>
        <w:tc>
          <w:tcPr>
            <w:tcW w:type="dxa" w:w="1656"/>
          </w:tcPr>
          <w:p>
            <w:pPr>
              <w:spacing w:after="20"/>
            </w:pPr>
            <w:r>
              <w:rPr>
                <w:color w:val="1C3A36"/>
                <w:sz w:val="14"/>
              </w:rPr>
              <w:t>0.025</w:t>
            </w:r>
          </w:p>
        </w:tc>
        <w:tc>
          <w:tcPr>
            <w:tcW w:type="dxa" w:w="5904"/>
          </w:tcPr>
          <w:p>
            <w:pPr>
              <w:spacing w:after="20"/>
            </w:pPr>
            <w:r>
              <w:rPr>
                <w:color w:val="1C3A36"/>
                <w:sz w:val="14"/>
              </w:rPr>
              <w:t>Terminal nominal AED growth 2.5%: below the IMF's UAE long-run nominal GDP growth (~4%: real ~4% + CPI ~2% per WEO Apr-2026) and consistent with a mature duopoly telecom growing at population-plus-inflation minus price erosion</w:t>
            </w:r>
          </w:p>
        </w:tc>
        <w:tc>
          <w:tcPr>
            <w:tcW w:type="dxa" w:w="1080"/>
          </w:tcPr>
          <w:p>
            <w:pPr>
              <w:spacing w:after="20"/>
            </w:pPr>
            <w:r>
              <w:rPr>
                <w:color w:val="1C3A36"/>
                <w:sz w:val="14"/>
              </w:rPr>
              <w:t>2026-08-09</w:t>
            </w:r>
          </w:p>
        </w:tc>
      </w:tr>
      <w:tr>
        <w:tc>
          <w:tcPr>
            <w:tcW w:type="dxa" w:w="1512"/>
          </w:tcPr>
          <w:p>
            <w:pPr>
              <w:spacing w:after="20"/>
            </w:pPr>
            <w:r>
              <w:rPr>
                <w:color w:val="1C3A36"/>
                <w:sz w:val="14"/>
              </w:rPr>
              <w:t>rf_alt</w:t>
            </w:r>
          </w:p>
        </w:tc>
        <w:tc>
          <w:tcPr>
            <w:tcW w:type="dxa" w:w="1656"/>
          </w:tcPr>
          <w:p>
            <w:pPr>
              <w:spacing w:after="20"/>
            </w:pPr>
            <w:r>
              <w:rPr>
                <w:color w:val="1C3A36"/>
                <w:sz w:val="14"/>
              </w:rPr>
              <w:t>0.0469</w:t>
            </w:r>
          </w:p>
        </w:tc>
        <w:tc>
          <w:tcPr>
            <w:tcW w:type="dxa" w:w="5904"/>
          </w:tcPr>
          <w:p>
            <w:pPr>
              <w:spacing w:after="20"/>
            </w:pPr>
            <w:r>
              <w:rPr>
                <w:color w:val="1C3A36"/>
                <w:sz w:val="14"/>
              </w:rPr>
              <w:t>Peg-extrapolated 10-year AED proxy: Abu Dhabi sovereign USD 10-year 4.73% (Feb-2026 issue, UST+25bp) less ~4bp observed AED-through-USD basis at matched tenor. The priced alternative construction for the risk-free tenor gap</w:t>
            </w:r>
          </w:p>
        </w:tc>
        <w:tc>
          <w:tcPr>
            <w:tcW w:type="dxa" w:w="1080"/>
          </w:tcPr>
          <w:p>
            <w:pPr>
              <w:spacing w:after="20"/>
            </w:pPr>
            <w:r>
              <w:rPr>
                <w:color w:val="1C3A36"/>
                <w:sz w:val="14"/>
              </w:rPr>
              <w:t>2026-08-06</w:t>
            </w:r>
          </w:p>
        </w:tc>
      </w:tr>
      <w:tr>
        <w:tc>
          <w:tcPr>
            <w:tcW w:type="dxa" w:w="1512"/>
          </w:tcPr>
          <w:p>
            <w:pPr>
              <w:spacing w:after="20"/>
            </w:pPr>
            <w:r>
              <w:rPr>
                <w:color w:val="1C3A36"/>
                <w:sz w:val="14"/>
              </w:rPr>
              <w:t>sov_spread_market_observed</w:t>
            </w:r>
          </w:p>
        </w:tc>
        <w:tc>
          <w:tcPr>
            <w:tcW w:type="dxa" w:w="1656"/>
          </w:tcPr>
          <w:p>
            <w:pPr>
              <w:spacing w:after="20"/>
            </w:pPr>
            <w:r>
              <w:rPr>
                <w:color w:val="1C3A36"/>
                <w:sz w:val="14"/>
              </w:rPr>
              <w:t>0.0004</w:t>
            </w:r>
          </w:p>
        </w:tc>
        <w:tc>
          <w:tcPr>
            <w:tcW w:type="dxa" w:w="5904"/>
          </w:tcPr>
          <w:p>
            <w:pPr>
              <w:spacing w:after="20"/>
            </w:pPr>
            <w:r>
              <w:rPr>
                <w:color w:val="1C3A36"/>
                <w:sz w:val="14"/>
              </w:rPr>
              <w:t>[KEY RENAMED 03-Sep-2026] This entry was keyed "sov_spread_rating",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PRIMARY BASIS (changed 17-Aug-2026): UAE sovereign default spread 4bp, MARKET-OBSERVED on the very instrument this model uses as its risk-free rate. The UAE MoF/WAM auction release records the January-2031 AED T-Bond pricing at 4.48% at a 4bp spread above the comparable US Treasury (read from the release, not quoted verbatim - the sentence is malformed in the original). The prior edition netted Damodaran's RATING-based 42bp instead, which drove rf* to 4.06% - roughly 26bp BELOW the matched-tenor US Treasury. A synthetic default-free dirham rate cannot sit below the default-free dollar rate under a hard peg, and that no-arbitrage test is now asserted in code. The rating basis (42bp with the 4.87% ERP, Ke 6.44%) is retained and published as the alternative construction per the both-bases rule; it is NOT averaged in. Note a floor applied to the rating basis was considered and REJECTED as incoherent: it would net a market spread while adding back a rating-based country premium, the exact same-basis violation the method exists to prevent</w:t>
            </w:r>
          </w:p>
        </w:tc>
        <w:tc>
          <w:tcPr>
            <w:tcW w:type="dxa" w:w="1080"/>
          </w:tcPr>
          <w:p>
            <w:pPr>
              <w:spacing w:after="20"/>
            </w:pPr>
            <w:r>
              <w:rPr>
                <w:color w:val="1C3A36"/>
                <w:sz w:val="14"/>
              </w:rPr>
              <w:t>2026-07-30</w:t>
            </w:r>
          </w:p>
        </w:tc>
      </w:tr>
      <w:tr>
        <w:tc>
          <w:tcPr>
            <w:tcW w:type="dxa" w:w="1512"/>
          </w:tcPr>
          <w:p>
            <w:pPr>
              <w:spacing w:after="20"/>
            </w:pPr>
            <w:r>
              <w:rPr>
                <w:color w:val="1C3A36"/>
                <w:sz w:val="14"/>
              </w:rPr>
              <w:t>erp_market_basis</w:t>
            </w:r>
          </w:p>
        </w:tc>
        <w:tc>
          <w:tcPr>
            <w:tcW w:type="dxa" w:w="1656"/>
          </w:tcPr>
          <w:p>
            <w:pPr>
              <w:spacing w:after="20"/>
            </w:pPr>
            <w:r>
              <w:rPr>
                <w:color w:val="1C3A36"/>
                <w:sz w:val="14"/>
              </w:rPr>
              <w:t>0.0429</w:t>
            </w:r>
          </w:p>
        </w:tc>
        <w:tc>
          <w:tcPr>
            <w:tcW w:type="dxa" w:w="5904"/>
          </w:tcPr>
          <w:p>
            <w:pPr>
              <w:spacing w:after="20"/>
            </w:pPr>
            <w:r>
              <w:rPr>
                <w:color w:val="1C3A36"/>
                <w:sz w:val="14"/>
              </w:rPr>
              <w:t>[KEY RENAMED 03-Sep-2026] This entry was keyed "erp_rating",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PRIMARY BASIS (changed 17-Aug-2026): UAE total equity risk premium 4.29% on the MARKET-spread basis = Damodaran's 4.23% mature-market base (Jan-2026) + a country risk premium of 6bp, scaled off the 4bp market default spread using Damodaran's own CRP/spread multiple (0.64/0.42 = 1.524). Paired with the 4bp netting above so the same basis is stripped as is added back. ALTERNATIVE PUBLISHED: the rating basis, 4.87% = 4.23% + 0.64% CRP (Aa2), paired with the 42bp netting -&gt; Ke 6.44%. A third variant using the live implied US premium (4.28% + 0.06% = 4.34%) is disclosed for completeness. All three sit within 10bp of one another on Ke, which is what the same-basis rule is for</w:t>
            </w:r>
          </w:p>
        </w:tc>
        <w:tc>
          <w:tcPr>
            <w:tcW w:type="dxa" w:w="1080"/>
          </w:tcPr>
          <w:p>
            <w:pPr>
              <w:spacing w:after="20"/>
            </w:pPr>
            <w:r>
              <w:rPr>
                <w:color w:val="1C3A36"/>
                <w:sz w:val="14"/>
              </w:rPr>
              <w:t>2026-08-01</w:t>
            </w:r>
          </w:p>
        </w:tc>
      </w:tr>
      <w:tr>
        <w:tc>
          <w:tcPr>
            <w:tcW w:type="dxa" w:w="1512"/>
          </w:tcPr>
          <w:p>
            <w:pPr>
              <w:spacing w:after="20"/>
            </w:pPr>
            <w:r>
              <w:rPr>
                <w:color w:val="1C3A36"/>
                <w:sz w:val="14"/>
              </w:rPr>
              <w:t>sov_spread_damodaran_rating</w:t>
            </w:r>
          </w:p>
        </w:tc>
        <w:tc>
          <w:tcPr>
            <w:tcW w:type="dxa" w:w="1656"/>
          </w:tcPr>
          <w:p>
            <w:pPr>
              <w:spacing w:after="20"/>
            </w:pPr>
            <w:r>
              <w:rPr>
                <w:color w:val="1C3A36"/>
                <w:sz w:val="14"/>
              </w:rPr>
              <w:t>0.0042</w:t>
            </w:r>
          </w:p>
        </w:tc>
        <w:tc>
          <w:tcPr>
            <w:tcW w:type="dxa" w:w="5904"/>
          </w:tcPr>
          <w:p>
            <w:pPr>
              <w:spacing w:after="20"/>
            </w:pPr>
            <w:r>
              <w:rPr>
                <w:color w:val="1C3A36"/>
                <w:sz w:val="14"/>
              </w:rPr>
              <w:t>[KEY RENAMED 03-Sep-2026] This entry was keyed "sov_spread_mkt",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The RATING-basis default spread, now carried as the ALTERNATIVE construction (it was primary before 17-Aug-2026): Damodaran ctryprem (05-Jan-2026), UAE row, Moody's Aa2, rating-based adjusted default spread 0.42%, paired with the 4.87% rating ERP</w:t>
            </w:r>
          </w:p>
        </w:tc>
        <w:tc>
          <w:tcPr>
            <w:tcW w:type="dxa" w:w="1080"/>
          </w:tcPr>
          <w:p>
            <w:pPr>
              <w:spacing w:after="20"/>
            </w:pPr>
            <w:r>
              <w:rPr>
                <w:color w:val="1C3A36"/>
                <w:sz w:val="14"/>
              </w:rPr>
              <w:t>2026-01-05</w:t>
            </w:r>
          </w:p>
        </w:tc>
      </w:tr>
      <w:tr>
        <w:tc>
          <w:tcPr>
            <w:tcW w:type="dxa" w:w="1512"/>
          </w:tcPr>
          <w:p>
            <w:pPr>
              <w:spacing w:after="20"/>
            </w:pPr>
            <w:r>
              <w:rPr>
                <w:color w:val="1C3A36"/>
                <w:sz w:val="14"/>
              </w:rPr>
              <w:t>erp_rating_basis</w:t>
            </w:r>
          </w:p>
        </w:tc>
        <w:tc>
          <w:tcPr>
            <w:tcW w:type="dxa" w:w="1656"/>
          </w:tcPr>
          <w:p>
            <w:pPr>
              <w:spacing w:after="20"/>
            </w:pPr>
            <w:r>
              <w:rPr>
                <w:color w:val="1C3A36"/>
                <w:sz w:val="14"/>
              </w:rPr>
              <w:t>0.0487</w:t>
            </w:r>
          </w:p>
        </w:tc>
        <w:tc>
          <w:tcPr>
            <w:tcW w:type="dxa" w:w="5904"/>
          </w:tcPr>
          <w:p>
            <w:pPr>
              <w:spacing w:after="20"/>
            </w:pPr>
            <w:r>
              <w:rPr>
                <w:color w:val="1C3A36"/>
                <w:sz w:val="14"/>
              </w:rPr>
              <w:t>[KEY RENAMED 03-Sep-2026] This entry was keyed "erp_mkt",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The RATING-basis total ERP, now the ALTERNATIVE: 4.87% = 4.23% mature + 0.64% CRP (Aa2), Damodaran 05-Jan-2026. Same-basis pair with the 0.42% rating spread</w:t>
            </w:r>
          </w:p>
        </w:tc>
        <w:tc>
          <w:tcPr>
            <w:tcW w:type="dxa" w:w="1080"/>
          </w:tcPr>
          <w:p>
            <w:pPr>
              <w:spacing w:after="20"/>
            </w:pPr>
            <w:r>
              <w:rPr>
                <w:color w:val="1C3A36"/>
                <w:sz w:val="14"/>
              </w:rPr>
              <w:t>2026-01-05</w:t>
            </w:r>
          </w:p>
        </w:tc>
      </w:tr>
      <w:tr>
        <w:tc>
          <w:tcPr>
            <w:tcW w:type="dxa" w:w="1512"/>
          </w:tcPr>
          <w:p>
            <w:pPr>
              <w:spacing w:after="20"/>
            </w:pPr>
            <w:r>
              <w:rPr>
                <w:color w:val="1C3A36"/>
                <w:sz w:val="14"/>
              </w:rPr>
              <w:t>rf_term</w:t>
            </w:r>
          </w:p>
        </w:tc>
        <w:tc>
          <w:tcPr>
            <w:tcW w:type="dxa" w:w="1656"/>
          </w:tcPr>
          <w:p>
            <w:pPr>
              <w:spacing w:after="20"/>
            </w:pPr>
            <w:r>
              <w:rPr>
                <w:color w:val="1C3A36"/>
                <w:sz w:val="14"/>
              </w:rPr>
              <w:t>0.043</w:t>
            </w:r>
          </w:p>
        </w:tc>
        <w:tc>
          <w:tcPr>
            <w:tcW w:type="dxa" w:w="5904"/>
          </w:tcPr>
          <w:p>
            <w:pPr>
              <w:spacing w:after="20"/>
            </w:pPr>
            <w:r>
              <w:rPr>
                <w:color w:val="1C3A36"/>
                <w:sz w:val="14"/>
              </w:rPr>
              <w:t>Terminal AED risk-free 4.30%: Fed long-run neutral ~3% (FOMC dots) implies a ~4.2-4.4% 10y UST through the term premium, and the AED curve prints at/through UST under the peg (Jan-31 tranche +4bp). Below the current 4.48% anchor - the glide is mild easing, not a heroic rate call. Markets currently price possible near-term HIKES (~4% policy by end-2026), which is why the glide is kept shallow</w:t>
            </w:r>
          </w:p>
        </w:tc>
        <w:tc>
          <w:tcPr>
            <w:tcW w:type="dxa" w:w="1080"/>
          </w:tcPr>
          <w:p>
            <w:pPr>
              <w:spacing w:after="20"/>
            </w:pPr>
            <w:r>
              <w:rPr>
                <w:color w:val="1C3A36"/>
                <w:sz w:val="14"/>
              </w:rPr>
              <w:t>2026-08-09</w:t>
            </w:r>
          </w:p>
        </w:tc>
      </w:tr>
      <w:tr>
        <w:tc>
          <w:tcPr>
            <w:tcW w:type="dxa" w:w="1512"/>
          </w:tcPr>
          <w:p>
            <w:pPr>
              <w:spacing w:after="20"/>
            </w:pPr>
            <w:r>
              <w:rPr>
                <w:color w:val="1C3A36"/>
                <w:sz w:val="14"/>
              </w:rPr>
              <w:t>erp_term</w:t>
            </w:r>
          </w:p>
        </w:tc>
        <w:tc>
          <w:tcPr>
            <w:tcW w:type="dxa" w:w="1656"/>
          </w:tcPr>
          <w:p>
            <w:pPr>
              <w:spacing w:after="20"/>
            </w:pPr>
            <w:r>
              <w:rPr>
                <w:color w:val="1C3A36"/>
                <w:sz w:val="14"/>
              </w:rPr>
              <w:t>0.0429</w:t>
            </w:r>
          </w:p>
        </w:tc>
        <w:tc>
          <w:tcPr>
            <w:tcW w:type="dxa" w:w="5904"/>
          </w:tcPr>
          <w:p>
            <w:pPr>
              <w:spacing w:after="20"/>
            </w:pPr>
            <w:r>
              <w:rPr>
                <w:color w:val="1C3A36"/>
                <w:sz w:val="14"/>
              </w:rPr>
              <w:t>Terminal ERP held at the primary market-basis UAE ERP 4.29% (no structural convergence assumed for an Aa2 sovereign already priced at 4bp over US Treasuries)</w:t>
            </w:r>
          </w:p>
        </w:tc>
        <w:tc>
          <w:tcPr>
            <w:tcW w:type="dxa" w:w="1080"/>
          </w:tcPr>
          <w:p>
            <w:pPr>
              <w:spacing w:after="20"/>
            </w:pPr>
            <w:r>
              <w:rPr>
                <w:color w:val="1C3A36"/>
                <w:sz w:val="14"/>
              </w:rPr>
              <w:t>2026-08-01</w:t>
            </w:r>
          </w:p>
        </w:tc>
      </w:tr>
      <w:tr>
        <w:tc>
          <w:tcPr>
            <w:tcW w:type="dxa" w:w="1512"/>
          </w:tcPr>
          <w:p>
            <w:pPr>
              <w:spacing w:after="20"/>
            </w:pPr>
            <w:r>
              <w:rPr>
                <w:color w:val="1C3A36"/>
                <w:sz w:val="14"/>
              </w:rPr>
              <w:t>ust_matched</w:t>
            </w:r>
          </w:p>
        </w:tc>
        <w:tc>
          <w:tcPr>
            <w:tcW w:type="dxa" w:w="1656"/>
          </w:tcPr>
          <w:p>
            <w:pPr>
              <w:spacing w:after="20"/>
            </w:pPr>
            <w:r>
              <w:rPr>
                <w:color w:val="1C3A36"/>
                <w:sz w:val="14"/>
              </w:rPr>
              <w:t>0.0432</w:t>
            </w:r>
          </w:p>
        </w:tc>
        <w:tc>
          <w:tcPr>
            <w:tcW w:type="dxa" w:w="5904"/>
          </w:tcPr>
          <w:p>
            <w:pPr>
              <w:spacing w:after="20"/>
            </w:pPr>
            <w:r>
              <w:rPr>
                <w:color w:val="1C3A36"/>
                <w:sz w:val="14"/>
              </w:rPr>
              <w:t>Matched-tenor US Treasury yield ~4.32% at the anchor (3y 4.25% / 5y 4.35% on 07-Aug-2026, treasury.gov, interpolated to the Jan-2031 tranche's ~4.4-year point). Used ONLY as the no-arbitrage floor test on rf*: under a hard peg a default-free AED rate may not sit below the default-free USD rate at matched tenor. Never used as the risk-free rate itself - the protocol requires the local government bond even for a pegged currency</w:t>
            </w:r>
          </w:p>
        </w:tc>
        <w:tc>
          <w:tcPr>
            <w:tcW w:type="dxa" w:w="1080"/>
          </w:tcPr>
          <w:p>
            <w:pPr>
              <w:spacing w:after="20"/>
            </w:pPr>
            <w:r>
              <w:rPr>
                <w:color w:val="1C3A36"/>
                <w:sz w:val="14"/>
              </w:rPr>
              <w:t>2026-08-07</w:t>
            </w:r>
          </w:p>
        </w:tc>
      </w:tr>
      <w:tr>
        <w:tc>
          <w:tcPr>
            <w:tcW w:type="dxa" w:w="1512"/>
          </w:tcPr>
          <w:p>
            <w:pPr>
              <w:spacing w:after="20"/>
            </w:pPr>
            <w:r>
              <w:rPr>
                <w:color w:val="1C3A36"/>
                <w:sz w:val="14"/>
              </w:rPr>
              <w:t>rf_alt_long</w:t>
            </w:r>
          </w:p>
        </w:tc>
        <w:tc>
          <w:tcPr>
            <w:tcW w:type="dxa" w:w="1656"/>
          </w:tcPr>
          <w:p>
            <w:pPr>
              <w:spacing w:after="20"/>
            </w:pPr>
            <w:r>
              <w:rPr>
                <w:color w:val="1C3A36"/>
                <w:sz w:val="14"/>
              </w:rPr>
              <w:t>0.0413</w:t>
            </w:r>
          </w:p>
        </w:tc>
        <w:tc>
          <w:tcPr>
            <w:tcW w:type="dxa" w:w="5904"/>
          </w:tcPr>
          <w:p>
            <w:pPr>
              <w:spacing w:after="20"/>
            </w:pPr>
            <w:r>
              <w:rPr>
                <w:color w:val="1C3A36"/>
                <w:sz w:val="14"/>
              </w:rPr>
              <w:t>LONGEST-TENOR AED federal alternative, PRICED not averaged: the February-2033 Islamic Treasury Sukuk (7-year), SECOND TAP, yield 4.13% at a 10bp spread over comparable US Treasuries, MoF release 23-Apr-2026. BOTH PRINTS OF THIS INSTRUMENT ARE NOW RECORDED (added 17-Aug-2026) because an external critique cited the other one: the DEBUT issuance was AED 550mn at 3.779%, MoF release 22-Feb-2026, described as priced below par to comparable US Treasuries and as the longest tenor issued under the programme to date. The critique argued the risk-free rate should therefore be 3.779%. It should not: that print is the debut, and the issuer's own re-offer of the SAME instrument two months later cleared 35bp higher, while the Jan-2031 T-Bond rose from 3.90% (31-Jan-2026) through 3.85% (14-Mar) and 4.30% (23-May) to 4.48% (30-Jul). Using a 5.5-month-stale debut print as the current risk-free rate would import a rate environment that no longer existed at the anchor. The honest longest-tenor alternative to 4.48% is therefore 4.13% (-35bp), not 3.779% (-70bp), and it is priced in section 1.8</w:t>
            </w:r>
          </w:p>
        </w:tc>
        <w:tc>
          <w:tcPr>
            <w:tcW w:type="dxa" w:w="1080"/>
          </w:tcPr>
          <w:p>
            <w:pPr>
              <w:spacing w:after="20"/>
            </w:pPr>
            <w:r>
              <w:rPr>
                <w:color w:val="1C3A36"/>
                <w:sz w:val="14"/>
              </w:rPr>
              <w:t>2026-04-23</w:t>
            </w:r>
          </w:p>
        </w:tc>
      </w:tr>
      <w:tr>
        <w:tc>
          <w:tcPr>
            <w:tcW w:type="dxa" w:w="1512"/>
          </w:tcPr>
          <w:p>
            <w:pPr>
              <w:spacing w:after="20"/>
            </w:pPr>
            <w:r>
              <w:rPr>
                <w:color w:val="1C3A36"/>
                <w:sz w:val="14"/>
              </w:rPr>
              <w:t>rf_sukuk_debut</w:t>
            </w:r>
          </w:p>
        </w:tc>
        <w:tc>
          <w:tcPr>
            <w:tcW w:type="dxa" w:w="1656"/>
          </w:tcPr>
          <w:p>
            <w:pPr>
              <w:spacing w:after="20"/>
            </w:pPr>
            <w:r>
              <w:rPr>
                <w:color w:val="1C3A36"/>
                <w:sz w:val="14"/>
              </w:rPr>
              <w:t>0.0378</w:t>
            </w:r>
          </w:p>
        </w:tc>
        <w:tc>
          <w:tcPr>
            <w:tcW w:type="dxa" w:w="5904"/>
          </w:tcPr>
          <w:p>
            <w:pPr>
              <w:spacing w:after="20"/>
            </w:pPr>
            <w:r>
              <w:rPr>
                <w:color w:val="1C3A36"/>
                <w:sz w:val="14"/>
              </w:rPr>
              <w:t>The February-2033 AED Islamic Treasury Sukuk DEBUT print: AED 550mn at 3.779%, MoF release 22-Feb-2026, described as priced below par to comparable US Treasuries and as the longest tenor issued under the programme to date. REGISTERED 17-Aug-2026 solely so that an external critique advocating this figure as the risk-free rate could be PRICED on the real chain before being judged. It is not used in any published valuation: the same instrument's second tap cleared 4.13% two months later (see rf_alt_long)</w:t>
            </w:r>
          </w:p>
        </w:tc>
        <w:tc>
          <w:tcPr>
            <w:tcW w:type="dxa" w:w="1080"/>
          </w:tcPr>
          <w:p>
            <w:pPr>
              <w:spacing w:after="20"/>
            </w:pPr>
            <w:r>
              <w:rPr>
                <w:color w:val="1C3A36"/>
                <w:sz w:val="14"/>
              </w:rPr>
              <w:t>2026-02-22</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Every forecast rests on judgements. Each is stated here with what would overturn it.</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744"/>
      </w:tblGrid>
      <w:tr>
        <w:tc>
          <w:tcPr>
            <w:tcW w:type="dxa" w:w="2664"/>
            <w:shd w:val="clear" w:color="auto" w:fill="EAF0EE"/>
          </w:tcPr>
          <w:p>
            <w:pPr>
              <w:spacing w:after="20"/>
            </w:pPr>
            <w:r>
              <w:rPr>
                <w:b/>
                <w:color w:val="1C3A36"/>
                <w:sz w:val="15"/>
              </w:rPr>
              <w:t>Judgement</w:t>
            </w:r>
          </w:p>
        </w:tc>
        <w:tc>
          <w:tcPr>
            <w:tcW w:type="dxa" w:w="3744"/>
            <w:shd w:val="clear" w:color="auto" w:fill="EAF0EE"/>
          </w:tcPr>
          <w:p>
            <w:pPr>
              <w:spacing w:after="20"/>
            </w:pPr>
            <w:r>
              <w:rPr>
                <w:b/>
                <w:color w:val="1C3A36"/>
                <w:sz w:val="15"/>
              </w:rPr>
              <w:t>Basis</w:t>
            </w:r>
          </w:p>
        </w:tc>
        <w:tc>
          <w:tcPr>
            <w:tcW w:type="dxa" w:w="3744"/>
            <w:shd w:val="clear" w:color="auto" w:fill="EAF0EE"/>
          </w:tcPr>
          <w:p>
            <w:pPr>
              <w:spacing w:after="20"/>
            </w:pPr>
            <w:r>
              <w:rPr>
                <w:b/>
                <w:color w:val="1C3A36"/>
                <w:sz w:val="15"/>
              </w:rPr>
              <w:t>What would overturn it</w:t>
            </w:r>
          </w:p>
        </w:tc>
      </w:tr>
      <w:tr>
        <w:tc>
          <w:tcPr>
            <w:tcW w:type="dxa" w:w="2664"/>
          </w:tcPr>
          <w:p>
            <w:pPr>
              <w:spacing w:after="20"/>
            </w:pPr>
            <w:r>
              <w:rPr>
                <w:color w:val="1C3A36"/>
                <w:sz w:val="15"/>
              </w:rPr>
              <w:t>THE CENTRAL JUDGEMENT — what required return the business deserves. Framing 1 uses du's own measured beta; Framing 2 declines the terminal re-rating that implies and holds du's current trailing EV/EBITDA in perpetuity</w:t>
            </w:r>
          </w:p>
        </w:tc>
        <w:tc>
          <w:tcPr>
            <w:tcW w:type="dxa" w:w="3744"/>
          </w:tcPr>
          <w:p>
            <w:pPr>
              <w:spacing w:after="20"/>
            </w:pPr>
            <w:r>
              <w:rPr>
                <w:color w:val="1C3A36"/>
                <w:sz w:val="15"/>
              </w:rPr>
              <w:t>the beta is du's own 5-year weekly regression, gate-passed; the market multiple is du's own audited figures at the anchor</w:t>
            </w:r>
          </w:p>
        </w:tc>
        <w:tc>
          <w:tcPr>
            <w:tcW w:type="dxa" w:w="3744"/>
          </w:tcPr>
          <w:p>
            <w:pPr>
              <w:spacing w:after="20"/>
            </w:pPr>
            <w:r>
              <w:rPr>
                <w:color w:val="1C3A36"/>
                <w:sz w:val="15"/>
              </w:rPr>
              <w:t>Both are published side by side and never averaged. Either is overturned by the other being right: a sustained re-rating toward the implied exit multiple, or a beta that behaves like the sector's ~0.80 rather than the measured figure</w:t>
            </w:r>
          </w:p>
        </w:tc>
      </w:tr>
      <w:tr>
        <w:tc>
          <w:tcPr>
            <w:tcW w:type="dxa" w:w="2664"/>
          </w:tcPr>
          <w:p>
            <w:pPr>
              <w:spacing w:after="20"/>
            </w:pPr>
            <w:r>
              <w:rPr>
                <w:color w:val="1C3A36"/>
                <w:sz w:val="15"/>
              </w:rPr>
              <w:t>The 2027-2029 fiscal regime is settled at the current take (base case rests on disclosed fact)</w:t>
            </w:r>
          </w:p>
        </w:tc>
        <w:tc>
          <w:tcPr>
            <w:tcW w:type="dxa" w:w="3744"/>
          </w:tcPr>
          <w:p>
            <w:pPr>
              <w:spacing w:after="20"/>
            </w:pPr>
            <w:r>
              <w:rPr>
                <w:color w:val="1C3A36"/>
                <w:sz w:val="15"/>
              </w:rPr>
              <w:t>du's own disclosure of 24-Jul-2026 extending the 38% royalty + 9% corporate tax and retaining the AED 1.8bn combined floor</w:t>
            </w:r>
          </w:p>
        </w:tc>
        <w:tc>
          <w:tcPr>
            <w:tcW w:type="dxa" w:w="3744"/>
          </w:tcPr>
          <w:p>
            <w:pPr>
              <w:spacing w:after="20"/>
            </w:pPr>
            <w:r>
              <w:rPr>
                <w:color w:val="1C3A36"/>
                <w:sz w:val="15"/>
              </w:rPr>
              <w:t>nothing — this is disclosed, not assumed. What IS assumed is the period after 2029, priced as a tail</w:t>
            </w:r>
          </w:p>
        </w:tc>
      </w:tr>
      <w:tr>
        <w:tc>
          <w:tcPr>
            <w:tcW w:type="dxa" w:w="2664"/>
          </w:tcPr>
          <w:p>
            <w:pPr>
              <w:spacing w:after="20"/>
            </w:pPr>
            <w:r>
              <w:rPr>
                <w:color w:val="1C3A36"/>
                <w:sz w:val="15"/>
              </w:rPr>
              <w:t>Mobile recovers to 9,450k subscribers by end-2026, then adds ~210-310k/yr</w:t>
            </w:r>
          </w:p>
        </w:tc>
        <w:tc>
          <w:tcPr>
            <w:tcW w:type="dxa" w:w="3744"/>
          </w:tcPr>
          <w:p>
            <w:pPr>
              <w:spacing w:after="20"/>
            </w:pPr>
            <w:r>
              <w:rPr>
                <w:color w:val="1C3A36"/>
                <w:sz w:val="15"/>
              </w:rPr>
              <w:t>the company's own Q2 commentary (recovery underway, gross adds below pre-war), Dubai population re-acceleration</w:t>
            </w:r>
          </w:p>
        </w:tc>
        <w:tc>
          <w:tcPr>
            <w:tcW w:type="dxa" w:w="3744"/>
          </w:tcPr>
          <w:p>
            <w:pPr>
              <w:spacing w:after="20"/>
            </w:pPr>
            <w:r>
              <w:rPr>
                <w:color w:val="1C3A36"/>
                <w:sz w:val="15"/>
              </w:rPr>
              <w:t>a re-opened conflict, or two quarters of negative total net adds</w:t>
            </w:r>
          </w:p>
        </w:tc>
      </w:tr>
      <w:tr>
        <w:tc>
          <w:tcPr>
            <w:tcW w:type="dxa" w:w="2664"/>
          </w:tcPr>
          <w:p>
            <w:pPr>
              <w:spacing w:after="20"/>
            </w:pPr>
            <w:r>
              <w:rPr>
                <w:color w:val="1C3A36"/>
                <w:sz w:val="15"/>
              </w:rPr>
              <w:t>Blended ARPU held roughly flat — the study's most fragile revenue judgement</w:t>
            </w:r>
          </w:p>
        </w:tc>
        <w:tc>
          <w:tcPr>
            <w:tcW w:type="dxa" w:w="3744"/>
          </w:tcPr>
          <w:p>
            <w:pPr>
              <w:spacing w:after="20"/>
            </w:pPr>
            <w:r>
              <w:rPr>
                <w:color w:val="1C3A36"/>
                <w:sz w:val="15"/>
              </w:rPr>
              <w:t>the last three prints are 65.3 / 63.4 / 63.4, and the mix decomposition shows the flat headline is two offsetting forces: a postpaid mix shift worth about +2.6% against per-leg erosion of about -2.4%. Holding flat assumes both continue</w:t>
            </w:r>
          </w:p>
        </w:tc>
        <w:tc>
          <w:tcPr>
            <w:tcW w:type="dxa" w:w="3744"/>
          </w:tcPr>
          <w:p>
            <w:pPr>
              <w:spacing w:after="20"/>
            </w:pPr>
            <w:r>
              <w:rPr>
                <w:color w:val="1C3A36"/>
                <w:sz w:val="15"/>
              </w:rPr>
              <w:t>a quarter in which the postpaid mix share FALLS back toward 20% while blended ARPU follows it down — the mix-exhaustion case, priced in the sensitivity table</w:t>
            </w:r>
          </w:p>
        </w:tc>
      </w:tr>
      <w:tr>
        <w:tc>
          <w:tcPr>
            <w:tcW w:type="dxa" w:w="2664"/>
          </w:tcPr>
          <w:p>
            <w:pPr>
              <w:spacing w:after="20"/>
            </w:pPr>
            <w:r>
              <w:rPr>
                <w:color w:val="1C3A36"/>
                <w:sz w:val="15"/>
              </w:rPr>
              <w:t>Every direct-cost unit rate is anchored on the H1-2026 reviewed actual and held flat, except mobile interconnect (-1.5%/yr) and mobile commission (+3.0%/yr)</w:t>
            </w:r>
          </w:p>
        </w:tc>
        <w:tc>
          <w:tcPr>
            <w:tcW w:type="dxa" w:w="3744"/>
          </w:tcPr>
          <w:p>
            <w:pPr>
              <w:spacing w:after="20"/>
            </w:pPr>
            <w:r>
              <w:rPr>
                <w:color w:val="1C3A36"/>
                <w:sz w:val="15"/>
              </w:rPr>
              <w:t>the like-for-like half-year pair measures interconnect per subscriber falling 4.2% and commission per subscriber rising 3.1%; three of the four second-half 2025 rates came in cheaper than the first half, so carrying an H1 rate into H2 overstates cost</w:t>
            </w:r>
          </w:p>
        </w:tc>
        <w:tc>
          <w:tcPr>
            <w:tcW w:type="dxa" w:w="3744"/>
          </w:tcPr>
          <w:p>
            <w:pPr>
              <w:spacing w:after="20"/>
            </w:pPr>
            <w:r>
              <w:rPr>
                <w:color w:val="1C3A36"/>
                <w:sz w:val="15"/>
              </w:rPr>
              <w:t>a disclosed reset in any single line — wholesale repricing, an ICT mix collapse, or interconnect per subscriber turning UP in a half-year pair</w:t>
            </w:r>
          </w:p>
        </w:tc>
      </w:tr>
      <w:tr>
        <w:tc>
          <w:tcPr>
            <w:tcW w:type="dxa" w:w="2664"/>
          </w:tcPr>
          <w:p>
            <w:pPr>
              <w:spacing w:after="20"/>
            </w:pPr>
            <w:r>
              <w:rPr>
                <w:color w:val="1C3A36"/>
                <w:sz w:val="15"/>
              </w:rPr>
              <w:t>Capex peaks at 15.5% of revenue then glides to 13%</w:t>
            </w:r>
          </w:p>
        </w:tc>
        <w:tc>
          <w:tcPr>
            <w:tcW w:type="dxa" w:w="3744"/>
          </w:tcPr>
          <w:p>
            <w:pPr>
              <w:spacing w:after="20"/>
            </w:pPr>
            <w:r>
              <w:rPr>
                <w:color w:val="1C3A36"/>
                <w:sz w:val="15"/>
              </w:rPr>
              <w:t>commitments up ~14% in six months; the disclosed data-centre programme; no numeric company guidance (flagged)</w:t>
            </w:r>
          </w:p>
        </w:tc>
        <w:tc>
          <w:tcPr>
            <w:tcW w:type="dxa" w:w="3744"/>
          </w:tcPr>
          <w:p>
            <w:pPr>
              <w:spacing w:after="20"/>
            </w:pPr>
            <w:r>
              <w:rPr>
                <w:color w:val="1C3A36"/>
                <w:sz w:val="15"/>
              </w:rPr>
              <w:t>company capex guidance above the path, or the programme extending past FY2028</w:t>
            </w:r>
          </w:p>
        </w:tc>
      </w:tr>
      <w:tr>
        <w:tc>
          <w:tcPr>
            <w:tcW w:type="dxa" w:w="2664"/>
          </w:tcPr>
          <w:p>
            <w:pPr>
              <w:spacing w:after="20"/>
            </w:pPr>
            <w:r>
              <w:rPr>
                <w:color w:val="1C3A36"/>
                <w:sz w:val="15"/>
              </w:rPr>
              <w:t>Payout stays at 98%</w:t>
            </w:r>
          </w:p>
        </w:tc>
        <w:tc>
          <w:tcPr>
            <w:tcW w:type="dxa" w:w="3744"/>
          </w:tcPr>
          <w:p>
            <w:pPr>
              <w:spacing w:after="20"/>
            </w:pPr>
            <w:r>
              <w:rPr>
                <w:color w:val="1C3A36"/>
                <w:sz w:val="15"/>
              </w:rPr>
              <w:t>FY2024 actual 98%, FY2025 ~100%, interim raised through the war quarter</w:t>
            </w:r>
          </w:p>
        </w:tc>
        <w:tc>
          <w:tcPr>
            <w:tcW w:type="dxa" w:w="3744"/>
          </w:tcPr>
          <w:p>
            <w:pPr>
              <w:spacing w:after="20"/>
            </w:pPr>
            <w:r>
              <w:rPr>
                <w:color w:val="1C3A36"/>
                <w:sz w:val="15"/>
              </w:rPr>
              <w:t>any declared cut</w:t>
            </w:r>
          </w:p>
        </w:tc>
      </w:tr>
      <w:tr>
        <w:tc>
          <w:tcPr>
            <w:tcW w:type="dxa" w:w="2664"/>
          </w:tcPr>
          <w:p>
            <w:pPr>
              <w:spacing w:after="20"/>
            </w:pPr>
            <w:r>
              <w:rPr>
                <w:color w:val="1C3A36"/>
                <w:sz w:val="15"/>
              </w:rPr>
              <w:t>Beta 0.472 from the own-index regression</w:t>
            </w:r>
          </w:p>
        </w:tc>
        <w:tc>
          <w:tcPr>
            <w:tcW w:type="dxa" w:w="3744"/>
          </w:tcPr>
          <w:p>
            <w:pPr>
              <w:spacing w:after="20"/>
            </w:pPr>
            <w:r>
              <w:rPr>
                <w:color w:val="1C3A36"/>
                <w:sz w:val="15"/>
              </w:rPr>
              <w:t>five years weekly, R² 0.20, gate passed, composite cross-check 0.394</w:t>
            </w:r>
          </w:p>
        </w:tc>
        <w:tc>
          <w:tcPr>
            <w:tcW w:type="dxa" w:w="3744"/>
          </w:tcPr>
          <w:p>
            <w:pPr>
              <w:spacing w:after="20"/>
            </w:pPr>
            <w:r>
              <w:rPr>
                <w:color w:val="1C3A36"/>
                <w:sz w:val="15"/>
              </w:rPr>
              <w:t>a structural re-rating of DFM correlations; the 0.57-0.80 alternatives are priced</w:t>
            </w:r>
          </w:p>
        </w:tc>
      </w:tr>
      <w:tr>
        <w:tc>
          <w:tcPr>
            <w:tcW w:type="dxa" w:w="2664"/>
          </w:tcPr>
          <w:p>
            <w:pPr>
              <w:spacing w:after="20"/>
            </w:pPr>
            <w:r>
              <w:rPr>
                <w:color w:val="1C3A36"/>
                <w:sz w:val="15"/>
              </w:rPr>
              <w:t>Terminal growth 2.5%</w:t>
            </w:r>
          </w:p>
        </w:tc>
        <w:tc>
          <w:tcPr>
            <w:tcW w:type="dxa" w:w="3744"/>
          </w:tcPr>
          <w:p>
            <w:pPr>
              <w:spacing w:after="20"/>
            </w:pPr>
            <w:r>
              <w:rPr>
                <w:color w:val="1C3A36"/>
                <w:sz w:val="15"/>
              </w:rPr>
              <w:t>below long-run UAE nominal GDP (~4%+); duopoly at population-plus-inflation minus price erosion</w:t>
            </w:r>
          </w:p>
        </w:tc>
        <w:tc>
          <w:tcPr>
            <w:tcW w:type="dxa" w:w="3744"/>
          </w:tcPr>
          <w:p>
            <w:pPr>
              <w:spacing w:after="20"/>
            </w:pPr>
            <w:r>
              <w:rPr>
                <w:color w:val="1C3A36"/>
                <w:sz w:val="15"/>
              </w:rPr>
              <w:t>sustained sub-2% revenue growth after the recovery completes</w:t>
            </w:r>
          </w:p>
        </w:tc>
      </w:tr>
      <w:tr>
        <w:tc>
          <w:tcPr>
            <w:tcW w:type="dxa" w:w="2664"/>
          </w:tcPr>
          <w:p>
            <w:pPr>
              <w:spacing w:after="20"/>
            </w:pPr>
            <w:r>
              <w:rPr>
                <w:color w:val="1C3A36"/>
                <w:sz w:val="15"/>
              </w:rPr>
              <w:t>Lease replacement charged at right-of-use depreciation</w:t>
            </w:r>
          </w:p>
        </w:tc>
        <w:tc>
          <w:tcPr>
            <w:tcW w:type="dxa" w:w="3744"/>
          </w:tcPr>
          <w:p>
            <w:pPr>
              <w:spacing w:after="20"/>
            </w:pPr>
            <w:r>
              <w:rPr>
                <w:color w:val="1C3A36"/>
                <w:sz w:val="15"/>
              </w:rPr>
              <w:t>conservative: actual FY2025 lease additions ran at a quarter of depreciation</w:t>
            </w:r>
          </w:p>
        </w:tc>
        <w:tc>
          <w:tcPr>
            <w:tcW w:type="dxa" w:w="3744"/>
          </w:tcPr>
          <w:p>
            <w:pPr>
              <w:spacing w:after="20"/>
            </w:pPr>
            <w:r>
              <w:rPr>
                <w:color w:val="1C3A36"/>
                <w:sz w:val="15"/>
              </w:rPr>
              <w:t>a disclosed structural shift to leased infrastructure</w:t>
            </w:r>
          </w:p>
        </w:tc>
      </w:tr>
    </w:tbl>
    <w:p>
      <w:pPr>
        <w:spacing w:after="40"/>
      </w:pPr>
    </w:p>
    <w:p>
      <w:pPr>
        <w:spacing w:after="80" w:before="240"/>
      </w:pPr>
      <w:r>
        <w:rPr>
          <w:b/>
          <w:i w:val="0"/>
          <w:color w:val="1C3A36"/>
          <w:sz w:val="26"/>
        </w:rPr>
        <w:t>Negative results — what could not be sourced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312"/>
        <w:gridCol w:w="3672"/>
      </w:tblGrid>
      <w:tr>
        <w:tc>
          <w:tcPr>
            <w:tcW w:type="dxa" w:w="3168"/>
            <w:shd w:val="clear" w:color="auto" w:fill="EAF0EE"/>
          </w:tcPr>
          <w:p>
            <w:pPr>
              <w:spacing w:after="20"/>
            </w:pPr>
            <w:r>
              <w:rPr>
                <w:b/>
                <w:color w:val="1C3A36"/>
                <w:sz w:val="15"/>
              </w:rPr>
              <w:t>What was sought</w:t>
            </w:r>
          </w:p>
        </w:tc>
        <w:tc>
          <w:tcPr>
            <w:tcW w:type="dxa" w:w="3312"/>
            <w:shd w:val="clear" w:color="auto" w:fill="EAF0EE"/>
          </w:tcPr>
          <w:p>
            <w:pPr>
              <w:spacing w:after="20"/>
            </w:pPr>
            <w:r>
              <w:rPr>
                <w:b/>
                <w:color w:val="1C3A36"/>
                <w:sz w:val="15"/>
              </w:rPr>
              <w:t>Where</w:t>
            </w:r>
          </w:p>
        </w:tc>
        <w:tc>
          <w:tcPr>
            <w:tcW w:type="dxa" w:w="3672"/>
            <w:shd w:val="clear" w:color="auto" w:fill="EAF0EE"/>
          </w:tcPr>
          <w:p>
            <w:pPr>
              <w:spacing w:after="20"/>
            </w:pPr>
            <w:r>
              <w:rPr>
                <w:b/>
                <w:color w:val="1C3A36"/>
                <w:sz w:val="15"/>
              </w:rPr>
              <w:t>Outcome</w:t>
            </w:r>
          </w:p>
        </w:tc>
      </w:tr>
      <w:tr>
        <w:tc>
          <w:tcPr>
            <w:tcW w:type="dxa" w:w="3168"/>
          </w:tcPr>
          <w:p>
            <w:pPr>
              <w:spacing w:after="20"/>
            </w:pPr>
            <w:r>
              <w:rPr>
                <w:color w:val="1C3A36"/>
                <w:sz w:val="15"/>
              </w:rPr>
              <w:t>UAE sovereign 5-year credit-default-swap quote</w:t>
            </w:r>
          </w:p>
        </w:tc>
        <w:tc>
          <w:tcPr>
            <w:tcW w:type="dxa" w:w="3312"/>
          </w:tcPr>
          <w:p>
            <w:pPr>
              <w:spacing w:after="20"/>
            </w:pPr>
            <w:r>
              <w:rPr>
                <w:color w:val="1C3A36"/>
                <w:sz w:val="15"/>
              </w:rPr>
              <w:t>cbonds (403), worldgovernmentbonds (script-only), Damodaran (prints NA for UAE)</w:t>
            </w:r>
          </w:p>
        </w:tc>
        <w:tc>
          <w:tcPr>
            <w:tcW w:type="dxa" w:w="3672"/>
          </w:tcPr>
          <w:p>
            <w:pPr>
              <w:spacing w:after="20"/>
            </w:pPr>
            <w:r>
              <w:rPr>
                <w:color w:val="1C3A36"/>
                <w:sz w:val="15"/>
              </w:rPr>
              <w:t>NOT SOURCED — the market-spread premium basis uses the traded Abu Dhabi USD curve (+25bp) instead, disclosed in section 1.8</w:t>
            </w:r>
          </w:p>
        </w:tc>
      </w:tr>
      <w:tr>
        <w:tc>
          <w:tcPr>
            <w:tcW w:type="dxa" w:w="3168"/>
          </w:tcPr>
          <w:p>
            <w:pPr>
              <w:spacing w:after="20"/>
            </w:pPr>
            <w:r>
              <w:rPr>
                <w:color w:val="1C3A36"/>
                <w:sz w:val="15"/>
              </w:rPr>
              <w:t>Peer EV/EBITDA multiples, clean</w:t>
            </w:r>
          </w:p>
        </w:tc>
        <w:tc>
          <w:tcPr>
            <w:tcW w:type="dxa" w:w="3312"/>
          </w:tcPr>
          <w:p>
            <w:pPr>
              <w:spacing w:after="20"/>
            </w:pPr>
            <w:r>
              <w:rPr>
                <w:color w:val="1C3A36"/>
                <w:sz w:val="15"/>
              </w:rPr>
              <w:t>public aggregators</w:t>
            </w:r>
          </w:p>
        </w:tc>
        <w:tc>
          <w:tcPr>
            <w:tcW w:type="dxa" w:w="3672"/>
          </w:tcPr>
          <w:p>
            <w:pPr>
              <w:spacing w:after="20"/>
            </w:pPr>
            <w:r>
              <w:rPr>
                <w:color w:val="1C3A36"/>
                <w:sz w:val="15"/>
              </w:rPr>
              <w:t>net-debt figures missing or stale — the relative lens runs on P/E and dividend yield only, stated in 1.3</w:t>
            </w:r>
          </w:p>
        </w:tc>
      </w:tr>
      <w:tr>
        <w:tc>
          <w:tcPr>
            <w:tcW w:type="dxa" w:w="3168"/>
          </w:tcPr>
          <w:p>
            <w:pPr>
              <w:spacing w:after="20"/>
            </w:pPr>
            <w:r>
              <w:rPr>
                <w:color w:val="1C3A36"/>
                <w:sz w:val="15"/>
              </w:rPr>
              <w:t>Concluded TDRA licence-renewal terms</w:t>
            </w:r>
          </w:p>
        </w:tc>
        <w:tc>
          <w:tcPr>
            <w:tcW w:type="dxa" w:w="3312"/>
          </w:tcPr>
          <w:p>
            <w:pPr>
              <w:spacing w:after="20"/>
            </w:pPr>
            <w:r>
              <w:rPr>
                <w:color w:val="1C3A36"/>
                <w:sz w:val="15"/>
              </w:rPr>
              <w:t>TDRA site, du IR disclosure list, DFM announcements, press</w:t>
            </w:r>
          </w:p>
        </w:tc>
        <w:tc>
          <w:tcPr>
            <w:tcW w:type="dxa" w:w="3672"/>
          </w:tcPr>
          <w:p>
            <w:pPr>
              <w:spacing w:after="20"/>
            </w:pPr>
            <w:r>
              <w:rPr>
                <w:color w:val="1C3A36"/>
                <w:sz w:val="15"/>
              </w:rPr>
              <w:t>NOT FOUND at the sweep date — the licence note in the H1-2026 interims is the latest primary word; treated as catalyst 2</w:t>
            </w:r>
          </w:p>
        </w:tc>
      </w:tr>
      <w:tr>
        <w:tc>
          <w:tcPr>
            <w:tcW w:type="dxa" w:w="3168"/>
          </w:tcPr>
          <w:p>
            <w:pPr>
              <w:spacing w:after="20"/>
            </w:pPr>
            <w:r>
              <w:rPr>
                <w:color w:val="1C3A36"/>
                <w:sz w:val="15"/>
              </w:rPr>
              <w:t>Post-2029 royalty/corporate-tax regime</w:t>
            </w:r>
          </w:p>
        </w:tc>
        <w:tc>
          <w:tcPr>
            <w:tcW w:type="dxa" w:w="3312"/>
          </w:tcPr>
          <w:p>
            <w:pPr>
              <w:spacing w:after="20"/>
            </w:pPr>
            <w:r>
              <w:rPr>
                <w:color w:val="1C3A36"/>
                <w:sz w:val="15"/>
              </w:rPr>
              <w:t>du filings, e&amp; filings, MoF releases, Cabinet decisions</w:t>
            </w:r>
          </w:p>
        </w:tc>
        <w:tc>
          <w:tcPr>
            <w:tcW w:type="dxa" w:w="3672"/>
          </w:tcPr>
          <w:p>
            <w:pPr>
              <w:spacing w:after="20"/>
            </w:pPr>
            <w:r>
              <w:rPr>
                <w:color w:val="1C3A36"/>
                <w:sz w:val="15"/>
              </w:rPr>
              <w:t>NOT DISCLOSED by anyone — so a reversion after 2029 is carried as a priced tail, not forecast. NOTE: the FIRST EDITION of this study recorded the post-2026 regime as undisclosed by du. That was WRONG — du published its own "Extension of Federal Royalty Scheme for the Period 2027-2029" on 24-Jul-2026, sixteen days before the sweep date, retaining the AED 1.8bn floor. The negative search was stale, not the disclosure absent</w:t>
            </w:r>
          </w:p>
        </w:tc>
      </w:tr>
      <w:tr>
        <w:tc>
          <w:tcPr>
            <w:tcW w:type="dxa" w:w="3168"/>
          </w:tcPr>
          <w:p>
            <w:pPr>
              <w:spacing w:after="20"/>
            </w:pPr>
            <w:r>
              <w:rPr>
                <w:color w:val="1C3A36"/>
                <w:sz w:val="15"/>
              </w:rPr>
              <w:t>Licence FEE / revenue-share terms on the renewed licence</w:t>
            </w:r>
          </w:p>
        </w:tc>
        <w:tc>
          <w:tcPr>
            <w:tcW w:type="dxa" w:w="3312"/>
          </w:tcPr>
          <w:p>
            <w:pPr>
              <w:spacing w:after="20"/>
            </w:pPr>
            <w:r>
              <w:rPr>
                <w:color w:val="1C3A36"/>
                <w:sz w:val="15"/>
              </w:rPr>
              <w:t>TDRA announcement of 12-Aug-2026, du filings</w:t>
            </w:r>
          </w:p>
        </w:tc>
        <w:tc>
          <w:tcPr>
            <w:tcW w:type="dxa" w:w="3672"/>
          </w:tcPr>
          <w:p>
            <w:pPr>
              <w:spacing w:after="20"/>
            </w:pPr>
            <w:r>
              <w:rPr>
                <w:color w:val="1C3A36"/>
                <w:sz w:val="15"/>
              </w:rPr>
              <w:t>NOT DISCLOSED — the 20-year renewal (effective 09-Aug-2026) publishes obligations only, no economics. The study holds the fee ratio at its historical level and flags that as an assumption</w:t>
            </w:r>
          </w:p>
        </w:tc>
      </w:tr>
      <w:tr>
        <w:tc>
          <w:tcPr>
            <w:tcW w:type="dxa" w:w="3168"/>
          </w:tcPr>
          <w:p>
            <w:pPr>
              <w:spacing w:after="20"/>
            </w:pPr>
            <w:r>
              <w:rPr>
                <w:color w:val="1C3A36"/>
                <w:sz w:val="15"/>
              </w:rPr>
              <w:t>Peer EV/EBITDA from issuer filings</w:t>
            </w:r>
          </w:p>
        </w:tc>
        <w:tc>
          <w:tcPr>
            <w:tcW w:type="dxa" w:w="3312"/>
          </w:tcPr>
          <w:p>
            <w:pPr>
              <w:spacing w:after="20"/>
            </w:pPr>
            <w:r>
              <w:rPr>
                <w:color w:val="1C3A36"/>
                <w:sz w:val="15"/>
              </w:rPr>
              <w:t>peer annual reports and results releases</w:t>
            </w:r>
          </w:p>
        </w:tc>
        <w:tc>
          <w:tcPr>
            <w:tcW w:type="dxa" w:w="3672"/>
          </w:tcPr>
          <w:p>
            <w:pPr>
              <w:spacing w:after="20"/>
            </w:pPr>
            <w:r>
              <w:rPr>
                <w:color w:val="1C3A36"/>
                <w:sz w:val="15"/>
              </w:rPr>
              <w:t>net-debt detail per peer not retrieved within scope — the relative lens runs on earnings and dividend yield only, both sourced, rather than on an estimated multiple</w:t>
            </w:r>
          </w:p>
        </w:tc>
      </w:tr>
      <w:tr>
        <w:tc>
          <w:tcPr>
            <w:tcW w:type="dxa" w:w="3168"/>
          </w:tcPr>
          <w:p>
            <w:pPr>
              <w:spacing w:after="20"/>
            </w:pPr>
            <w:r>
              <w:rPr>
                <w:color w:val="1C3A36"/>
                <w:sz w:val="15"/>
              </w:rPr>
              <w:t>Trailing P/E for Zain and a priced multiple for Omantel</w:t>
            </w:r>
          </w:p>
        </w:tc>
        <w:tc>
          <w:tcPr>
            <w:tcW w:type="dxa" w:w="3312"/>
          </w:tcPr>
          <w:p>
            <w:pPr>
              <w:spacing w:after="20"/>
            </w:pPr>
            <w:r>
              <w:rPr>
                <w:color w:val="1C3A36"/>
                <w:sz w:val="15"/>
              </w:rPr>
              <w:t>aggregators and issuer filings</w:t>
            </w:r>
          </w:p>
        </w:tc>
        <w:tc>
          <w:tcPr>
            <w:tcW w:type="dxa" w:w="3672"/>
          </w:tcPr>
          <w:p>
            <w:pPr>
              <w:spacing w:after="20"/>
            </w:pPr>
            <w:r>
              <w:rPr>
                <w:color w:val="1C3A36"/>
                <w:sz w:val="15"/>
              </w:rPr>
              <w:t>REFUSED rather than passed through: the provider returned 11,365x for Zain, and Omantel's quoted multiple and yield are mutually inconsistent. Neither enters the peer frame as a number</w:t>
            </w:r>
          </w:p>
        </w:tc>
      </w:tr>
      <w:tr>
        <w:tc>
          <w:tcPr>
            <w:tcW w:type="dxa" w:w="3168"/>
          </w:tcPr>
          <w:p>
            <w:pPr>
              <w:spacing w:after="20"/>
            </w:pPr>
            <w:r>
              <w:rPr>
                <w:color w:val="1C3A36"/>
                <w:sz w:val="15"/>
              </w:rPr>
              <w:t>Wholesale and ICT unit KPIs (minutes, racks, MW, backlog)</w:t>
            </w:r>
          </w:p>
        </w:tc>
        <w:tc>
          <w:tcPr>
            <w:tcW w:type="dxa" w:w="3312"/>
          </w:tcPr>
          <w:p>
            <w:pPr>
              <w:spacing w:after="20"/>
            </w:pPr>
            <w:r>
              <w:rPr>
                <w:color w:val="1C3A36"/>
                <w:sz w:val="15"/>
              </w:rPr>
              <w:t>AR2023-AR2025, all interims, all decks</w:t>
            </w:r>
          </w:p>
        </w:tc>
        <w:tc>
          <w:tcPr>
            <w:tcW w:type="dxa" w:w="3672"/>
          </w:tcPr>
          <w:p>
            <w:pPr>
              <w:spacing w:after="20"/>
            </w:pPr>
            <w:r>
              <w:rPr>
                <w:color w:val="1C3A36"/>
                <w:sz w:val="15"/>
              </w:rPr>
              <w:t>never disclosed — both segments built top-down, flagged</w:t>
            </w:r>
          </w:p>
        </w:tc>
      </w:tr>
      <w:tr>
        <w:tc>
          <w:tcPr>
            <w:tcW w:type="dxa" w:w="3168"/>
          </w:tcPr>
          <w:p>
            <w:pPr>
              <w:spacing w:after="20"/>
            </w:pPr>
            <w:r>
              <w:rPr>
                <w:color w:val="1C3A36"/>
                <w:sz w:val="15"/>
              </w:rPr>
              <w:t>Numeric FY2026 capex guidance</w:t>
            </w:r>
          </w:p>
        </w:tc>
        <w:tc>
          <w:tcPr>
            <w:tcW w:type="dxa" w:w="3312"/>
          </w:tcPr>
          <w:p>
            <w:pPr>
              <w:spacing w:after="20"/>
            </w:pPr>
            <w:r>
              <w:rPr>
                <w:color w:val="1C3A36"/>
                <w:sz w:val="15"/>
              </w:rPr>
              <w:t>Feb/Apr/Jul-2026 releases and decks</w:t>
            </w:r>
          </w:p>
        </w:tc>
        <w:tc>
          <w:tcPr>
            <w:tcW w:type="dxa" w:w="3672"/>
          </w:tcPr>
          <w:p>
            <w:pPr>
              <w:spacing w:after="20"/>
            </w:pPr>
            <w:r>
              <w:rPr>
                <w:color w:val="1C3A36"/>
                <w:sz w:val="15"/>
              </w:rPr>
              <w:t>not guided — house path anchored on disclosed commitments, flagged</w:t>
            </w:r>
          </w:p>
        </w:tc>
      </w:tr>
      <w:tr>
        <w:tc>
          <w:tcPr>
            <w:tcW w:type="dxa" w:w="3168"/>
          </w:tcPr>
          <w:p>
            <w:pPr>
              <w:spacing w:after="20"/>
            </w:pPr>
            <w:r>
              <w:rPr>
                <w:color w:val="1C3A36"/>
                <w:sz w:val="15"/>
              </w:rPr>
              <w:t>Analyst consensus on du</w:t>
            </w:r>
          </w:p>
        </w:tc>
        <w:tc>
          <w:tcPr>
            <w:tcW w:type="dxa" w:w="3312"/>
          </w:tcPr>
          <w:p>
            <w:pPr>
              <w:spacing w:after="20"/>
            </w:pPr>
            <w:r>
              <w:rPr>
                <w:color w:val="1C3A36"/>
                <w:sz w:val="15"/>
              </w:rPr>
              <w:t>public sources</w:t>
            </w:r>
          </w:p>
        </w:tc>
        <w:tc>
          <w:tcPr>
            <w:tcW w:type="dxa" w:w="3672"/>
          </w:tcPr>
          <w:p>
            <w:pPr>
              <w:spacing w:after="20"/>
            </w:pPr>
            <w:r>
              <w:rPr>
                <w:color w:val="1C3A36"/>
                <w:sz w:val="15"/>
              </w:rPr>
              <w:t>not cleanly retrievable (searches polluted by the exchange's own ticker); noted, not used</w:t>
            </w:r>
          </w:p>
        </w:tc>
      </w:tr>
    </w:tbl>
    <w:p>
      <w:pPr>
        <w:spacing w:after="40"/>
      </w:pPr>
    </w:p>
    <w:p>
      <w:pPr>
        <w:spacing w:after="80" w:before="240"/>
      </w:pPr>
      <w:r>
        <w:rPr>
          <w:b/>
          <w:i w:val="0"/>
          <w:color w:val="1C3A36"/>
          <w:sz w:val="26"/>
        </w:rPr>
        <w:t>Corrections made after external review</w:t>
      </w:r>
    </w:p>
    <w:p>
      <w:pPr>
        <w:spacing w:after="100" w:before="0"/>
      </w:pPr>
      <w:r>
        <w:rPr>
          <w:b w:val="0"/>
          <w:i w:val="0"/>
          <w:color w:val="1C3A36"/>
          <w:sz w:val="20"/>
        </w:rPr>
        <w:t>Four input errors were found by external audit and by re-audit, and are corrected in this edition rather than left standing. First, the justified price/earnings multiple: the first edition used 15.5x, described as a peer median. It was neither a median of the stated peer set nor a current figure — it was a January-2026 aggregator reading built on FY2024 earnings, published with an August-2026 date. Re-derived from the peers' own filings it is 12.9x, and no median is claimed because only two of six peers survive as clean observations. Second, the dividend roll: the first edition netted only the final dividend PAID before the anchor, on the reasoning that the interim was declared but unpaid. The correct test is the EX-date, which had passed six sessions earlier, so AED 0.66 is now netted, not 0.40. Third, the staff-cost input: its own source note said it applied the prior year's second-half seasonal ratio, but the figure used implied 1.09 against a true 1.196 — which pushed total forecast operating expenses BELOW the audited prior-year actual while revenue grew, and made the margin expansion an artefact of one input. Fourth, and most consequential for how this study reads: du had disclosed the 2027-2029 royalty extension itself, before the first edition's sweep date, so the "contested judgement" that edition was built around was not contested. It is recast here as the required return.</w:t>
      </w:r>
    </w:p>
    <w:p>
      <w:pPr>
        <w:spacing w:after="80" w:before="240"/>
      </w:pPr>
      <w:r>
        <w:rPr>
          <w:b/>
          <w:i w:val="0"/>
          <w:color w:val="1C3A36"/>
          <w:sz w:val="26"/>
        </w:rPr>
        <w:t>A note on source discrepancies</w:t>
      </w:r>
    </w:p>
    <w:p>
      <w:pPr>
        <w:spacing w:after="100" w:before="0"/>
      </w:pPr>
      <w:r>
        <w:rPr>
          <w:b w:val="0"/>
          <w:i w:val="0"/>
          <w:color w:val="1C3A36"/>
          <w:sz w:val="20"/>
        </w:rPr>
        <w:t>Three discrepancies a checking reader will find, all explained rather than smoothed: (1) FY2024 EBITDA is 6,469.8 in this study (the IFRS 18 re-presented comparative on the face of the FY2025 statements) but derives as 6,472.2 from the original FY2024 presentation — the re-presented basis is used so FY2024 and FY2025 sit on one presentation. (2) FY2024 federal royalty is 1,571.6 on the re-presented face but 1,675.9 in the original FY2024 statements (which included prior-period adjustments); the re-presented figure is carried, and the FY2024 effective-rate note (44.7%) belongs to the original basis. (3) The company's IR capex (cost-additions basis, 2,274 for FY2025) differs from the cash-flow-statement capex (2,353.2) used in the model; the audited cash basis is used and the IR basis is quoted only where the IR intensity ratios are cited.</w:t>
      </w:r>
    </w:p>
    <w:p>
      <w:pPr>
        <w:spacing w:after="80" w:before="240"/>
      </w:pPr>
      <w:r>
        <w:rPr>
          <w:b/>
          <w:i w:val="0"/>
          <w:color w:val="1C3A36"/>
          <w:sz w:val="26"/>
        </w:rPr>
        <w:t>Disclosure</w:t>
      </w:r>
    </w:p>
    <w:p>
      <w:pPr>
        <w:spacing w:after="100" w:before="0"/>
      </w:pPr>
      <w:r>
        <w:rPr>
          <w:b w:val="0"/>
          <w:i w:val="0"/>
          <w:color w:val="1C3A36"/>
          <w:sz w:val="18"/>
        </w:rPr>
        <w:t>This bibliography is part of an educational analysis and is not investment advice. Sources are quoted for verification; all errors of transcription are the authors' own. © Testahil,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