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Central AED 18.89 per share against a spot of AED 12.30 (+54%), inside a bear-to-bull range of AED 11.03 to 28.65. That central IS the cash-flow lens, not an average of several: the other lenses are published beside it as cross-checks at their own values, and the market-anchored relative lens reads AED 8.86. That gap is the study's honest tension, and section 4 explains rather than dissolves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18.89 — but the terminal that implies values du at 10.1x forward EBITDA in perpetuity, against the 7.6x the market pays for it today. Refuse that re-rating and hold today's multiple instead and the same cash flows are worth AED 14.81. Both are published side by side — the judgement is worth AED 4.08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16.11),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238"/>
        <w:gridCol w:w="1166"/>
      </w:tblGrid>
      <w:tr>
        <w:tc>
          <w:tcPr>
            <w:tcW w:type="dxa" w:w="3672"/>
            <w:shd w:val="clear" w:color="auto" w:fill="EAF0EE"/>
          </w:tcPr>
          <w:p>
            <w:pPr>
              <w:spacing w:after="20"/>
            </w:pPr>
            <w:r>
              <w:rPr>
                <w:b/>
                <w:color w:val="1C3A36"/>
                <w:sz w:val="17"/>
              </w:rPr>
              <w:t>Lens</w:t>
            </w:r>
          </w:p>
        </w:tc>
        <w:tc>
          <w:tcPr>
            <w:tcW w:type="dxa" w:w="1181"/>
            <w:shd w:val="clear" w:color="auto" w:fill="EAF0EE"/>
          </w:tcPr>
          <w:p>
            <w:pPr>
              <w:spacing w:after="20"/>
            </w:pPr>
            <w:r>
              <w:rPr>
                <w:b/>
                <w:color w:val="1C3A36"/>
                <w:sz w:val="17"/>
              </w:rPr>
              <w:t>Bear</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w:t>
            </w:r>
          </w:p>
        </w:tc>
        <w:tc>
          <w:tcPr>
            <w:tcW w:type="dxa" w:w="1166"/>
            <w:shd w:val="clear" w:color="auto" w:fill="EAF0EE"/>
          </w:tcPr>
          <w:p>
            <w:pPr>
              <w:spacing w:after="20"/>
            </w:pPr>
            <w:r>
              <w:rPr>
                <w:b/>
                <w:color w:val="1C3A36"/>
                <w:sz w:val="17"/>
              </w:rPr>
              <w:t>vs price</w:t>
            </w:r>
          </w:p>
        </w:tc>
      </w:tr>
      <w:tr>
        <w:tc>
          <w:tcPr>
            <w:tcW w:type="dxa" w:w="3672"/>
          </w:tcPr>
          <w:p>
            <w:pPr>
              <w:spacing w:after="20"/>
            </w:pPr>
            <w:r>
              <w:rPr>
                <w:color w:val="1C3A36"/>
                <w:sz w:val="17"/>
              </w:rPr>
              <w:t>Discounted cash flow (the answer)</w:t>
            </w:r>
          </w:p>
        </w:tc>
        <w:tc>
          <w:tcPr>
            <w:tcW w:type="dxa" w:w="1181"/>
          </w:tcPr>
          <w:p>
            <w:pPr>
              <w:spacing w:after="20"/>
              <w:jc w:val="right"/>
            </w:pPr>
            <w:r>
              <w:rPr>
                <w:color w:val="1C3A36"/>
                <w:sz w:val="17"/>
              </w:rPr>
              <w:t>11.03</w:t>
            </w:r>
          </w:p>
        </w:tc>
        <w:tc>
          <w:tcPr>
            <w:tcW w:type="dxa" w:w="1181"/>
          </w:tcPr>
          <w:p>
            <w:pPr>
              <w:spacing w:after="20"/>
              <w:jc w:val="right"/>
            </w:pPr>
            <w:r>
              <w:rPr>
                <w:color w:val="1C3A36"/>
                <w:sz w:val="17"/>
              </w:rPr>
              <w:t>18.89</w:t>
            </w:r>
          </w:p>
        </w:tc>
        <w:tc>
          <w:tcPr>
            <w:tcW w:type="dxa" w:w="1181"/>
          </w:tcPr>
          <w:p>
            <w:pPr>
              <w:spacing w:after="20"/>
              <w:jc w:val="right"/>
            </w:pPr>
            <w:r>
              <w:rPr>
                <w:color w:val="1C3A36"/>
                <w:sz w:val="17"/>
              </w:rPr>
              <w:t>28.65</w:t>
            </w:r>
          </w:p>
        </w:tc>
        <w:tc>
          <w:tcPr>
            <w:tcW w:type="dxa" w:w="1238"/>
          </w:tcPr>
          <w:p>
            <w:pPr>
              <w:spacing w:after="20"/>
              <w:jc w:val="right"/>
            </w:pPr>
            <w:r>
              <w:rPr>
                <w:color w:val="1C3A36"/>
                <w:sz w:val="17"/>
              </w:rPr>
              <w:t>THE ANSWER</w:t>
            </w:r>
          </w:p>
        </w:tc>
        <w:tc>
          <w:tcPr>
            <w:tcW w:type="dxa" w:w="1166"/>
          </w:tcPr>
          <w:p>
            <w:pPr>
              <w:spacing w:after="20"/>
              <w:jc w:val="right"/>
            </w:pPr>
            <w:r>
              <w:rPr>
                <w:color w:val="1C3A36"/>
                <w:sz w:val="17"/>
              </w:rPr>
              <w:t>+54%</w:t>
            </w:r>
          </w:p>
        </w:tc>
      </w:tr>
      <w:tr>
        <w:tc>
          <w:tcPr>
            <w:tcW w:type="dxa" w:w="3672"/>
          </w:tcPr>
          <w:p>
            <w:pPr>
              <w:spacing w:after="20"/>
            </w:pPr>
            <w:r>
              <w:rPr>
                <w:color w:val="1C3A36"/>
                <w:sz w:val="17"/>
              </w:rPr>
              <w:t>Relative multiples</w:t>
            </w:r>
          </w:p>
        </w:tc>
        <w:tc>
          <w:tcPr>
            <w:tcW w:type="dxa" w:w="1181"/>
          </w:tcPr>
          <w:p>
            <w:pPr>
              <w:spacing w:after="20"/>
              <w:jc w:val="right"/>
            </w:pPr>
            <w:r>
              <w:rPr>
                <w:color w:val="1C3A36"/>
                <w:sz w:val="17"/>
              </w:rPr>
              <w:t>8.19</w:t>
            </w:r>
          </w:p>
        </w:tc>
        <w:tc>
          <w:tcPr>
            <w:tcW w:type="dxa" w:w="1181"/>
          </w:tcPr>
          <w:p>
            <w:pPr>
              <w:spacing w:after="20"/>
              <w:jc w:val="right"/>
            </w:pPr>
            <w:r>
              <w:rPr>
                <w:color w:val="1C3A36"/>
                <w:sz w:val="17"/>
              </w:rPr>
              <w:t>8.86</w:t>
            </w:r>
          </w:p>
        </w:tc>
        <w:tc>
          <w:tcPr>
            <w:tcW w:type="dxa" w:w="1181"/>
          </w:tcPr>
          <w:p>
            <w:pPr>
              <w:spacing w:after="20"/>
              <w:jc w:val="right"/>
            </w:pPr>
            <w:r>
              <w:rPr>
                <w:color w:val="1C3A36"/>
                <w:sz w:val="17"/>
              </w:rPr>
              <w:t>12.99</w:t>
            </w:r>
          </w:p>
        </w:tc>
        <w:tc>
          <w:tcPr>
            <w:tcW w:type="dxa" w:w="1238"/>
          </w:tcPr>
          <w:p>
            <w:pPr>
              <w:spacing w:after="20"/>
              <w:jc w:val="right"/>
            </w:pPr>
            <w:r>
              <w:rPr>
                <w:color w:val="1C3A36"/>
                <w:sz w:val="17"/>
              </w:rPr>
              <w:t>cross-check</w:t>
            </w:r>
          </w:p>
        </w:tc>
        <w:tc>
          <w:tcPr>
            <w:tcW w:type="dxa" w:w="1166"/>
          </w:tcPr>
          <w:p>
            <w:pPr>
              <w:spacing w:after="20"/>
              <w:jc w:val="right"/>
            </w:pPr>
            <w:r>
              <w:rPr>
                <w:color w:val="1C3A36"/>
                <w:sz w:val="17"/>
              </w:rPr>
              <w:t>-28%</w:t>
            </w:r>
          </w:p>
        </w:tc>
      </w:tr>
      <w:tr>
        <w:tc>
          <w:tcPr>
            <w:tcW w:type="dxa" w:w="3672"/>
          </w:tcPr>
          <w:p>
            <w:pPr>
              <w:spacing w:after="20"/>
            </w:pPr>
            <w:r>
              <w:rPr>
                <w:color w:val="1C3A36"/>
                <w:sz w:val="17"/>
              </w:rPr>
              <w:t>Normalised earnings power</w:t>
            </w:r>
          </w:p>
        </w:tc>
        <w:tc>
          <w:tcPr>
            <w:tcW w:type="dxa" w:w="1181"/>
          </w:tcPr>
          <w:p>
            <w:pPr>
              <w:spacing w:after="20"/>
              <w:jc w:val="right"/>
            </w:pPr>
            <w:r>
              <w:rPr>
                <w:color w:val="1C3A36"/>
                <w:sz w:val="17"/>
              </w:rPr>
              <w:t>8.21</w:t>
            </w:r>
          </w:p>
        </w:tc>
        <w:tc>
          <w:tcPr>
            <w:tcW w:type="dxa" w:w="1181"/>
          </w:tcPr>
          <w:p>
            <w:pPr>
              <w:spacing w:after="20"/>
              <w:jc w:val="right"/>
            </w:pPr>
            <w:r>
              <w:rPr>
                <w:color w:val="1C3A36"/>
                <w:sz w:val="17"/>
              </w:rPr>
              <w:t>8.87</w:t>
            </w:r>
          </w:p>
        </w:tc>
        <w:tc>
          <w:tcPr>
            <w:tcW w:type="dxa" w:w="1181"/>
          </w:tcPr>
          <w:p>
            <w:pPr>
              <w:spacing w:after="20"/>
              <w:jc w:val="right"/>
            </w:pPr>
            <w:r>
              <w:rPr>
                <w:color w:val="1C3A36"/>
                <w:sz w:val="17"/>
              </w:rPr>
              <w:t>13.01</w:t>
            </w:r>
          </w:p>
        </w:tc>
        <w:tc>
          <w:tcPr>
            <w:tcW w:type="dxa" w:w="1238"/>
          </w:tcPr>
          <w:p>
            <w:pPr>
              <w:spacing w:after="20"/>
              <w:jc w:val="right"/>
            </w:pPr>
            <w:r>
              <w:rPr>
                <w:color w:val="1C3A36"/>
                <w:sz w:val="17"/>
              </w:rPr>
              <w:t>not published for this class</w:t>
            </w:r>
          </w:p>
        </w:tc>
        <w:tc>
          <w:tcPr>
            <w:tcW w:type="dxa" w:w="1166"/>
          </w:tcPr>
          <w:p>
            <w:pPr>
              <w:spacing w:after="20"/>
              <w:jc w:val="right"/>
            </w:pPr>
            <w:r>
              <w:rPr>
                <w:color w:val="1C3A36"/>
                <w:sz w:val="17"/>
              </w:rPr>
              <w:t>-28%</w:t>
            </w:r>
          </w:p>
        </w:tc>
      </w:tr>
      <w:tr>
        <w:tc>
          <w:tcPr>
            <w:tcW w:type="dxa" w:w="3672"/>
          </w:tcPr>
          <w:p>
            <w:pPr>
              <w:spacing w:after="20"/>
            </w:pPr>
            <w:r>
              <w:rPr>
                <w:color w:val="1C3A36"/>
                <w:sz w:val="17"/>
              </w:rPr>
              <w:t>Book value &amp; sustainable return</w:t>
            </w:r>
          </w:p>
        </w:tc>
        <w:tc>
          <w:tcPr>
            <w:tcW w:type="dxa" w:w="1181"/>
          </w:tcPr>
          <w:p>
            <w:pPr>
              <w:spacing w:after="20"/>
              <w:jc w:val="right"/>
            </w:pPr>
            <w:r>
              <w:rPr>
                <w:color w:val="1C3A36"/>
                <w:sz w:val="17"/>
              </w:rPr>
              <w:t>10.86</w:t>
            </w:r>
          </w:p>
        </w:tc>
        <w:tc>
          <w:tcPr>
            <w:tcW w:type="dxa" w:w="1181"/>
          </w:tcPr>
          <w:p>
            <w:pPr>
              <w:spacing w:after="20"/>
              <w:jc w:val="right"/>
            </w:pPr>
            <w:r>
              <w:rPr>
                <w:color w:val="1C3A36"/>
                <w:sz w:val="17"/>
              </w:rPr>
              <w:t>14.12</w:t>
            </w:r>
          </w:p>
        </w:tc>
        <w:tc>
          <w:tcPr>
            <w:tcW w:type="dxa" w:w="1181"/>
          </w:tcPr>
          <w:p>
            <w:pPr>
              <w:spacing w:after="20"/>
              <w:jc w:val="right"/>
            </w:pPr>
            <w:r>
              <w:rPr>
                <w:color w:val="1C3A36"/>
                <w:sz w:val="17"/>
              </w:rPr>
              <w:t>15.33</w:t>
            </w:r>
          </w:p>
        </w:tc>
        <w:tc>
          <w:tcPr>
            <w:tcW w:type="dxa" w:w="1238"/>
          </w:tcPr>
          <w:p>
            <w:pPr>
              <w:spacing w:after="20"/>
              <w:jc w:val="right"/>
            </w:pPr>
            <w:r>
              <w:rPr>
                <w:color w:val="1C3A36"/>
                <w:sz w:val="17"/>
              </w:rPr>
              <w:t>a floor, never weighted</w:t>
            </w:r>
          </w:p>
        </w:tc>
        <w:tc>
          <w:tcPr>
            <w:tcW w:type="dxa" w:w="1166"/>
          </w:tcPr>
          <w:p>
            <w:pPr>
              <w:spacing w:after="20"/>
              <w:jc w:val="right"/>
            </w:pPr>
            <w:r>
              <w:rPr>
                <w:color w:val="1C3A36"/>
                <w:sz w:val="17"/>
              </w:rPr>
              <w:t>+15%</w:t>
            </w:r>
          </w:p>
        </w:tc>
      </w:tr>
      <w:tr>
        <w:tc>
          <w:tcPr>
            <w:tcW w:type="dxa" w:w="3672"/>
            <w:shd w:val="clear" w:color="auto" w:fill="F6F1E6"/>
          </w:tcPr>
          <w:p>
            <w:pPr>
              <w:spacing w:after="20"/>
            </w:pPr>
            <w:r>
              <w:rPr>
                <w:b/>
                <w:color w:val="1C3A36"/>
                <w:sz w:val="17"/>
              </w:rPr>
              <w:t>THE CENTRAL — the cash-flow lens, not an average</w:t>
            </w:r>
          </w:p>
        </w:tc>
        <w:tc>
          <w:tcPr>
            <w:tcW w:type="dxa" w:w="1181"/>
            <w:shd w:val="clear" w:color="auto" w:fill="F6F1E6"/>
          </w:tcPr>
          <w:p>
            <w:pPr>
              <w:spacing w:after="20"/>
              <w:jc w:val="right"/>
            </w:pPr>
            <w:r>
              <w:rPr>
                <w:b/>
                <w:color w:val="1C3A36"/>
                <w:sz w:val="17"/>
              </w:rPr>
              <w:t>11.03</w:t>
            </w:r>
          </w:p>
        </w:tc>
        <w:tc>
          <w:tcPr>
            <w:tcW w:type="dxa" w:w="1181"/>
            <w:shd w:val="clear" w:color="auto" w:fill="F6F1E6"/>
          </w:tcPr>
          <w:p>
            <w:pPr>
              <w:spacing w:after="20"/>
              <w:jc w:val="right"/>
            </w:pPr>
            <w:r>
              <w:rPr>
                <w:b/>
                <w:color w:val="1C3A36"/>
                <w:sz w:val="17"/>
              </w:rPr>
              <w:t>18.89</w:t>
            </w:r>
          </w:p>
        </w:tc>
        <w:tc>
          <w:tcPr>
            <w:tcW w:type="dxa" w:w="1181"/>
            <w:shd w:val="clear" w:color="auto" w:fill="F6F1E6"/>
          </w:tcPr>
          <w:p>
            <w:pPr>
              <w:spacing w:after="20"/>
              <w:jc w:val="right"/>
            </w:pPr>
            <w:r>
              <w:rPr>
                <w:b/>
                <w:color w:val="1C3A36"/>
                <w:sz w:val="17"/>
              </w:rPr>
              <w:t>28.65</w:t>
            </w:r>
          </w:p>
        </w:tc>
        <w:tc>
          <w:tcPr>
            <w:tcW w:type="dxa" w:w="1238"/>
            <w:shd w:val="clear" w:color="auto" w:fill="F6F1E6"/>
          </w:tcPr>
          <w:p>
            <w:pPr>
              <w:spacing w:after="20"/>
              <w:jc w:val="right"/>
            </w:pPr>
            <w:r>
              <w:rPr>
                <w:b/>
                <w:color w:val="1C3A36"/>
                <w:sz w:val="17"/>
              </w:rPr>
              <w:t>the class primary</w:t>
            </w:r>
          </w:p>
        </w:tc>
        <w:tc>
          <w:tcPr>
            <w:tcW w:type="dxa" w:w="1166"/>
            <w:shd w:val="clear" w:color="auto" w:fill="F6F1E6"/>
          </w:tcPr>
          <w:p>
            <w:pPr>
              <w:spacing w:after="20"/>
              <w:jc w:val="right"/>
            </w:pPr>
            <w:r>
              <w:rPr>
                <w:b/>
                <w:color w:val="1C3A36"/>
                <w:sz w:val="17"/>
              </w:rPr>
              <w:t>+54%</w:t>
            </w:r>
          </w:p>
        </w:tc>
      </w:tr>
      <w:tr>
        <w:tc>
          <w:tcPr>
            <w:tcW w:type="dxa" w:w="3672"/>
          </w:tcPr>
          <w:p>
            <w:pPr>
              <w:spacing w:after="20"/>
            </w:pPr>
            <w:r>
              <w:rPr>
                <w:color w:val="1C3A36"/>
                <w:sz w:val="17"/>
              </w:rPr>
              <w:t>NOT AVERAGED — the retired 45/25/20/10 blend, published unused</w:t>
            </w:r>
          </w:p>
        </w:tc>
        <w:tc>
          <w:tcPr>
            <w:tcW w:type="dxa" w:w="1181"/>
          </w:tcPr>
          <w:p>
            <w:pPr>
              <w:spacing w:after="20"/>
              <w:jc w:val="right"/>
            </w:pPr>
            <w:r>
              <w:rPr>
                <w:color w:val="1C3A36"/>
                <w:sz w:val="17"/>
              </w:rPr>
            </w:r>
          </w:p>
        </w:tc>
        <w:tc>
          <w:tcPr>
            <w:tcW w:type="dxa" w:w="1181"/>
          </w:tcPr>
          <w:p>
            <w:pPr>
              <w:spacing w:after="20"/>
              <w:jc w:val="right"/>
            </w:pPr>
            <w:r>
              <w:rPr>
                <w:color w:val="1C3A36"/>
                <w:sz w:val="17"/>
              </w:rPr>
              <w:t>13.90</w:t>
            </w:r>
          </w:p>
        </w:tc>
        <w:tc>
          <w:tcPr>
            <w:tcW w:type="dxa" w:w="1181"/>
          </w:tcPr>
          <w:p>
            <w:pPr>
              <w:spacing w:after="20"/>
              <w:jc w:val="right"/>
            </w:pPr>
            <w:r>
              <w:rPr>
                <w:color w:val="1C3A36"/>
                <w:sz w:val="17"/>
              </w:rPr>
            </w:r>
          </w:p>
        </w:tc>
        <w:tc>
          <w:tcPr>
            <w:tcW w:type="dxa" w:w="1238"/>
          </w:tcPr>
          <w:p>
            <w:pPr>
              <w:spacing w:after="20"/>
              <w:jc w:val="right"/>
            </w:pPr>
            <w:r>
              <w:rPr>
                <w:color w:val="1C3A36"/>
                <w:sz w:val="17"/>
              </w:rPr>
              <w:t>retired</w:t>
            </w:r>
          </w:p>
        </w:tc>
        <w:tc>
          <w:tcPr>
            <w:tcW w:type="dxa" w:w="1166"/>
          </w:tcPr>
          <w:p>
            <w:pPr>
              <w:spacing w:after="20"/>
              <w:jc w:val="right"/>
            </w:pPr>
            <w:r>
              <w:rPr>
                <w:color w:val="1C3A36"/>
                <w:sz w:val="17"/>
              </w:rPr>
              <w:t>+13%</w:t>
            </w:r>
          </w:p>
        </w:tc>
      </w:tr>
      <w:tr>
        <w:tc>
          <w:tcPr>
            <w:tcW w:type="dxa" w:w="3672"/>
          </w:tcPr>
          <w:p>
            <w:pPr>
              <w:spacing w:after="20"/>
            </w:pPr>
            <w:r>
              <w:rPr>
                <w:color w:val="1C3A36"/>
                <w:sz w:val="17"/>
              </w:rPr>
              <w:t>Contested judgement, other way — no terminal re-rating</w:t>
            </w:r>
          </w:p>
        </w:tc>
        <w:tc>
          <w:tcPr>
            <w:tcW w:type="dxa" w:w="1181"/>
          </w:tcPr>
          <w:p>
            <w:pPr>
              <w:spacing w:after="20"/>
              <w:jc w:val="right"/>
            </w:pPr>
            <w:r>
              <w:rPr>
                <w:color w:val="1C3A36"/>
                <w:sz w:val="17"/>
              </w:rPr>
            </w:r>
          </w:p>
        </w:tc>
        <w:tc>
          <w:tcPr>
            <w:tcW w:type="dxa" w:w="1181"/>
          </w:tcPr>
          <w:p>
            <w:pPr>
              <w:spacing w:after="20"/>
              <w:jc w:val="right"/>
            </w:pPr>
            <w:r>
              <w:rPr>
                <w:color w:val="1C3A36"/>
                <w:sz w:val="17"/>
              </w:rPr>
              <w:t>14.81</w:t>
            </w:r>
          </w:p>
        </w:tc>
        <w:tc>
          <w:tcPr>
            <w:tcW w:type="dxa" w:w="1181"/>
          </w:tcPr>
          <w:p>
            <w:pPr>
              <w:spacing w:after="20"/>
              <w:jc w:val="right"/>
            </w:pPr>
            <w:r>
              <w:rPr>
                <w:color w:val="1C3A36"/>
                <w:sz w:val="17"/>
              </w:rPr>
            </w:r>
          </w:p>
        </w:tc>
        <w:tc>
          <w:tcPr>
            <w:tcW w:type="dxa" w:w="1238"/>
          </w:tcPr>
          <w:p>
            <w:pPr>
              <w:spacing w:after="20"/>
              <w:jc w:val="right"/>
            </w:pPr>
            <w:r>
              <w:rPr>
                <w:color w:val="1C3A36"/>
                <w:sz w:val="17"/>
              </w:rPr>
              <w:t>both ways, never averaged</w:t>
            </w:r>
          </w:p>
        </w:tc>
        <w:tc>
          <w:tcPr>
            <w:tcW w:type="dxa" w:w="1166"/>
          </w:tcPr>
          <w:p>
            <w:pPr>
              <w:spacing w:after="20"/>
              <w:jc w:val="right"/>
            </w:pPr>
            <w:r>
              <w:rPr>
                <w:color w:val="1C3A36"/>
                <w:sz w:val="17"/>
              </w:rPr>
              <w:t>+20%</w:t>
            </w:r>
          </w:p>
        </w:tc>
      </w:tr>
      <w:tr>
        <w:tc>
          <w:tcPr>
            <w:tcW w:type="dxa" w:w="3672"/>
          </w:tcPr>
          <w:p>
            <w:pPr>
              <w:spacing w:after="20"/>
            </w:pPr>
            <w:r>
              <w:rPr>
                <w:color w:val="1C3A36"/>
                <w:sz w:val="17"/>
              </w:rPr>
              <w:t>Expert panel median (Appendix C)</w:t>
            </w:r>
          </w:p>
        </w:tc>
        <w:tc>
          <w:tcPr>
            <w:tcW w:type="dxa" w:w="1181"/>
          </w:tcPr>
          <w:p>
            <w:pPr>
              <w:spacing w:after="20"/>
              <w:jc w:val="right"/>
            </w:pPr>
            <w:r>
              <w:rPr>
                <w:color w:val="1C3A36"/>
                <w:sz w:val="17"/>
              </w:rPr>
            </w:r>
          </w:p>
        </w:tc>
        <w:tc>
          <w:tcPr>
            <w:tcW w:type="dxa" w:w="1181"/>
          </w:tcPr>
          <w:p>
            <w:pPr>
              <w:spacing w:after="20"/>
              <w:jc w:val="right"/>
            </w:pPr>
            <w:r>
              <w:rPr>
                <w:color w:val="1C3A36"/>
                <w:sz w:val="17"/>
              </w:rPr>
              <w:t>18.46</w:t>
            </w:r>
          </w:p>
        </w:tc>
        <w:tc>
          <w:tcPr>
            <w:tcW w:type="dxa" w:w="1181"/>
          </w:tcPr>
          <w:p>
            <w:pPr>
              <w:spacing w:after="20"/>
              <w:jc w:val="right"/>
            </w:pPr>
            <w:r>
              <w:rPr>
                <w:color w:val="1C3A36"/>
                <w:sz w:val="17"/>
              </w:rPr>
            </w:r>
          </w:p>
        </w:tc>
        <w:tc>
          <w:tcPr>
            <w:tcW w:type="dxa" w:w="1238"/>
          </w:tcPr>
          <w:p>
            <w:pPr>
              <w:spacing w:after="20"/>
              <w:jc w:val="right"/>
            </w:pPr>
            <w:r>
              <w:rPr>
                <w:color w:val="1C3A36"/>
                <w:sz w:val="17"/>
              </w:rPr>
              <w:t>cross-read</w:t>
            </w:r>
          </w:p>
        </w:tc>
        <w:tc>
          <w:tcPr>
            <w:tcW w:type="dxa" w:w="1166"/>
          </w:tcPr>
          <w:p>
            <w:pPr>
              <w:spacing w:after="20"/>
              <w:jc w:val="right"/>
            </w:pPr>
            <w:r>
              <w:rPr>
                <w:color w:val="1C3A36"/>
                <w:sz w:val="17"/>
              </w:rPr>
              <w:t>+50%</w:t>
            </w:r>
          </w:p>
        </w:tc>
      </w:tr>
      <w:tr>
        <w:tc>
          <w:tcPr>
            <w:tcW w:type="dxa" w:w="3672"/>
          </w:tcPr>
          <w:p>
            <w:pPr>
              <w:spacing w:after="20"/>
            </w:pPr>
            <w:r>
              <w:rPr>
                <w:color w:val="1C3A36"/>
                <w:sz w:val="17"/>
              </w:rPr>
              <w:t>DCF terminal value share of enterprise value: 83%</w:t>
            </w:r>
          </w:p>
        </w:tc>
        <w:tc>
          <w:tcPr>
            <w:tcW w:type="dxa" w:w="1181"/>
          </w:tcPr>
          <w:p>
            <w:pPr>
              <w:spacing w:after="20"/>
              <w:jc w:val="right"/>
            </w:pPr>
            <w:r>
              <w:rPr>
                <w:color w:val="1C3A36"/>
                <w:sz w:val="17"/>
              </w:rPr>
            </w:r>
          </w:p>
        </w:tc>
        <w:tc>
          <w:tcPr>
            <w:tcW w:type="dxa" w:w="1181"/>
          </w:tcPr>
          <w:p>
            <w:pPr>
              <w:spacing w:after="20"/>
              <w:jc w:val="right"/>
            </w:pPr>
            <w:r>
              <w:rPr>
                <w:color w:val="1C3A36"/>
                <w:sz w:val="17"/>
              </w:rPr>
            </w:r>
          </w:p>
        </w:tc>
        <w:tc>
          <w:tcPr>
            <w:tcW w:type="dxa" w:w="1181"/>
          </w:tcPr>
          <w:p>
            <w:pPr>
              <w:spacing w:after="20"/>
              <w:jc w:val="right"/>
            </w:pPr>
            <w:r>
              <w:rPr>
                <w:color w:val="1C3A36"/>
                <w:sz w:val="17"/>
              </w:rPr>
            </w:r>
          </w:p>
        </w:tc>
        <w:tc>
          <w:tcPr>
            <w:tcW w:type="dxa" w:w="1238"/>
          </w:tcPr>
          <w:p>
            <w:pPr>
              <w:spacing w:after="20"/>
              <w:jc w:val="right"/>
            </w:pPr>
            <w:r>
              <w:rPr>
                <w:color w:val="1C3A36"/>
                <w:sz w:val="17"/>
              </w:rPr>
            </w:r>
          </w:p>
        </w:tc>
        <w:tc>
          <w:tcPr>
            <w:tcW w:type="dxa" w:w="1166"/>
          </w:tcPr>
          <w:p>
            <w:pPr>
              <w:spacing w:after="20"/>
              <w:jc w:val="right"/>
            </w:pPr>
            <w:r>
              <w:rPr>
                <w:color w:val="1C3A36"/>
                <w:sz w:val="17"/>
              </w:rPr>
            </w:r>
          </w:p>
        </w:tc>
      </w:tr>
      <w:tr>
        <w:tc>
          <w:tcPr>
            <w:tcW w:type="dxa" w:w="3672"/>
          </w:tcPr>
          <w:p>
            <w:pPr>
              <w:spacing w:after="20"/>
            </w:pPr>
            <w:r>
              <w:rPr>
                <w:color w:val="1C3A36"/>
                <w:sz w:val="17"/>
              </w:rPr>
              <w:t>Market price (2026-08-07)</w:t>
            </w:r>
          </w:p>
        </w:tc>
        <w:tc>
          <w:tcPr>
            <w:tcW w:type="dxa" w:w="1181"/>
          </w:tcPr>
          <w:p>
            <w:pPr>
              <w:spacing w:after="20"/>
              <w:jc w:val="right"/>
            </w:pPr>
            <w:r>
              <w:rPr>
                <w:color w:val="1C3A36"/>
                <w:sz w:val="17"/>
              </w:rPr>
            </w:r>
          </w:p>
        </w:tc>
        <w:tc>
          <w:tcPr>
            <w:tcW w:type="dxa" w:w="1181"/>
          </w:tcPr>
          <w:p>
            <w:pPr>
              <w:spacing w:after="20"/>
              <w:jc w:val="right"/>
            </w:pPr>
            <w:r>
              <w:rPr>
                <w:color w:val="1C3A36"/>
                <w:sz w:val="17"/>
              </w:rPr>
              <w:t>12.30</w:t>
            </w:r>
          </w:p>
        </w:tc>
        <w:tc>
          <w:tcPr>
            <w:tcW w:type="dxa" w:w="1181"/>
          </w:tcPr>
          <w:p>
            <w:pPr>
              <w:spacing w:after="20"/>
              <w:jc w:val="right"/>
            </w:pPr>
            <w:r>
              <w:rPr>
                <w:color w:val="1C3A36"/>
                <w:sz w:val="17"/>
              </w:rPr>
            </w:r>
          </w:p>
        </w:tc>
        <w:tc>
          <w:tcPr>
            <w:tcW w:type="dxa" w:w="1238"/>
          </w:tcPr>
          <w:p>
            <w:pPr>
              <w:spacing w:after="20"/>
              <w:jc w:val="right"/>
            </w:pPr>
            <w:r>
              <w:rPr>
                <w:color w:val="1C3A36"/>
                <w:sz w:val="17"/>
              </w:rPr>
            </w:r>
          </w:p>
        </w:tc>
        <w:tc>
          <w:tcPr>
            <w:tcW w:type="dxa" w:w="1166"/>
          </w:tcPr>
          <w:p>
            <w:pPr>
              <w:spacing w:after="20"/>
              <w:jc w:val="right"/>
            </w:pPr>
            <w:r>
              <w:rPr>
                <w:color w:val="1C3A36"/>
                <w:sz w:val="17"/>
              </w:rPr>
            </w:r>
          </w:p>
        </w:tc>
      </w:tr>
    </w:tbl>
    <w:p>
      <w:pPr>
        <w:spacing w:after="40"/>
      </w:pPr>
    </w:p>
    <w:p>
      <w:pPr>
        <w:spacing w:after="200" w:before="0"/>
      </w:pPr>
      <w:r>
        <w:rPr>
          <w:b w:val="0"/>
          <w:i/>
          <w:color w:val="6E7B77"/>
          <w:sz w:val="17"/>
        </w:rPr>
        <w:t>Table 1 — the valuation summary. The central is the cash-flow lens itself, AED 18.89, and its bear and bull columns are that same lens under its own two paths on one clock — NOT an envelope of four methods and NOT a weighted average of them. The other lenses are cross-checks, published at their own values so a reader sees the disagreement rather than a number in which it has been dissolved; the book lens is a disclosed floor and is never weighted, and normalised earnings power is not among this class's permitted cross-checks and is shown only so its removal is visible. The retired blend of AED 13.90 is printed for the same reason and feeds nothing. Every lens value is dated at the 2026-08-07 anchor, net of the AED 0.66 of dividends whose ex-dates fall between the 31-Dec-2025 valuation date and that anchor (the 0.40 final, paid 28-Apr-2026, and the 0.26 interim, ex 31-Jul-2026). The terminal value is 83%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One lens carries the answer and the rest are cross-checks. For an integrated telecom operator the primary is the discounted cash flow: the company is a licence and a network generating a distributable cash stream, so the value is the present value of that stream and nothing else measures it directly. Relative multiples are published beside it as a cross-check, the book lens as a disclosed floor that is never weighted, and normalised earnings power is shown but is NOT among this class's permitted cross-checks — it is computed here only so that its removal from the answer is visible rather than silent. The four are never averaged: an earlier edition of this study published a 45/25/20/10 weighted blend, and what those weights concealed was the SIZE of this study's disagreement with the market rather than its direction — the blend read +13% against the price where the cash-flow lens reads +54%, so a reader saw about a quarter of the disagreement actually held.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7,937</w:t>
            </w:r>
          </w:p>
        </w:tc>
        <w:tc>
          <w:tcPr>
            <w:tcW w:type="dxa" w:w="1354"/>
            <w:shd w:val="clear" w:color="auto" w:fill="F6F1E6"/>
          </w:tcPr>
          <w:p>
            <w:pPr>
              <w:spacing w:after="20"/>
              <w:jc w:val="right"/>
            </w:pPr>
            <w:r>
              <w:rPr>
                <w:b/>
                <w:color w:val="1C3A36"/>
                <w:sz w:val="17"/>
              </w:rPr>
              <w:t>8,239</w:t>
            </w:r>
          </w:p>
        </w:tc>
        <w:tc>
          <w:tcPr>
            <w:tcW w:type="dxa" w:w="1354"/>
            <w:shd w:val="clear" w:color="auto" w:fill="F6F1E6"/>
          </w:tcPr>
          <w:p>
            <w:pPr>
              <w:spacing w:after="20"/>
              <w:jc w:val="right"/>
            </w:pPr>
            <w:r>
              <w:rPr>
                <w:b/>
                <w:color w:val="1C3A36"/>
                <w:sz w:val="17"/>
              </w:rPr>
              <w:t>8,624</w:t>
            </w:r>
          </w:p>
        </w:tc>
        <w:tc>
          <w:tcPr>
            <w:tcW w:type="dxa" w:w="1354"/>
            <w:shd w:val="clear" w:color="auto" w:fill="F6F1E6"/>
          </w:tcPr>
          <w:p>
            <w:pPr>
              <w:spacing w:after="20"/>
              <w:jc w:val="right"/>
            </w:pPr>
            <w:r>
              <w:rPr>
                <w:b/>
                <w:color w:val="1C3A36"/>
                <w:sz w:val="17"/>
              </w:rPr>
              <w:t>8,977</w:t>
            </w:r>
          </w:p>
        </w:tc>
        <w:tc>
          <w:tcPr>
            <w:tcW w:type="dxa" w:w="1354"/>
            <w:shd w:val="clear" w:color="auto" w:fill="F6F1E6"/>
          </w:tcPr>
          <w:p>
            <w:pPr>
              <w:spacing w:after="20"/>
              <w:jc w:val="right"/>
            </w:pPr>
            <w:r>
              <w:rPr>
                <w:b/>
                <w:color w:val="1C3A36"/>
                <w:sz w:val="17"/>
              </w:rPr>
              <w:t>9,309</w:t>
            </w:r>
          </w:p>
        </w:tc>
      </w:tr>
      <w:tr>
        <w:tc>
          <w:tcPr>
            <w:tcW w:type="dxa" w:w="3312"/>
          </w:tcPr>
          <w:p>
            <w:pPr>
              <w:spacing w:after="20"/>
            </w:pPr>
            <w:r>
              <w:rPr>
                <w:color w:val="1C3A36"/>
                <w:sz w:val="17"/>
              </w:rPr>
              <w:t>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5,702</w:t>
            </w:r>
          </w:p>
        </w:tc>
        <w:tc>
          <w:tcPr>
            <w:tcW w:type="dxa" w:w="1354"/>
            <w:shd w:val="clear" w:color="auto" w:fill="F6F1E6"/>
          </w:tcPr>
          <w:p>
            <w:pPr>
              <w:spacing w:after="20"/>
              <w:jc w:val="right"/>
            </w:pPr>
            <w:r>
              <w:rPr>
                <w:b/>
                <w:color w:val="1C3A36"/>
                <w:sz w:val="17"/>
              </w:rPr>
              <w:t>5,887</w:t>
            </w:r>
          </w:p>
        </w:tc>
        <w:tc>
          <w:tcPr>
            <w:tcW w:type="dxa" w:w="1354"/>
            <w:shd w:val="clear" w:color="auto" w:fill="F6F1E6"/>
          </w:tcPr>
          <w:p>
            <w:pPr>
              <w:spacing w:after="20"/>
              <w:jc w:val="right"/>
            </w:pPr>
            <w:r>
              <w:rPr>
                <w:b/>
                <w:color w:val="1C3A36"/>
                <w:sz w:val="17"/>
              </w:rPr>
              <w:t>6,176</w:t>
            </w:r>
          </w:p>
        </w:tc>
        <w:tc>
          <w:tcPr>
            <w:tcW w:type="dxa" w:w="1354"/>
            <w:shd w:val="clear" w:color="auto" w:fill="F6F1E6"/>
          </w:tcPr>
          <w:p>
            <w:pPr>
              <w:spacing w:after="20"/>
              <w:jc w:val="right"/>
            </w:pPr>
            <w:r>
              <w:rPr>
                <w:b/>
                <w:color w:val="1C3A36"/>
                <w:sz w:val="17"/>
              </w:rPr>
              <w:t>6,446</w:t>
            </w:r>
          </w:p>
        </w:tc>
        <w:tc>
          <w:tcPr>
            <w:tcW w:type="dxa" w:w="1354"/>
            <w:shd w:val="clear" w:color="auto" w:fill="F6F1E6"/>
          </w:tcPr>
          <w:p>
            <w:pPr>
              <w:spacing w:after="20"/>
              <w:jc w:val="right"/>
            </w:pPr>
            <w:r>
              <w:rPr>
                <w:b/>
                <w:color w:val="1C3A36"/>
                <w:sz w:val="17"/>
              </w:rPr>
              <w:t>6,727</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3,218</w:t>
            </w:r>
          </w:p>
        </w:tc>
        <w:tc>
          <w:tcPr>
            <w:tcW w:type="dxa" w:w="1354"/>
          </w:tcPr>
          <w:p>
            <w:pPr>
              <w:spacing w:after="20"/>
              <w:jc w:val="right"/>
            </w:pPr>
            <w:r>
              <w:rPr>
                <w:color w:val="1C3A36"/>
                <w:sz w:val="17"/>
              </w:rPr>
              <w:t>3,322</w:t>
            </w:r>
          </w:p>
        </w:tc>
        <w:tc>
          <w:tcPr>
            <w:tcW w:type="dxa" w:w="1354"/>
          </w:tcPr>
          <w:p>
            <w:pPr>
              <w:spacing w:after="20"/>
              <w:jc w:val="right"/>
            </w:pPr>
            <w:r>
              <w:rPr>
                <w:color w:val="1C3A36"/>
                <w:sz w:val="17"/>
              </w:rPr>
              <w:t>3,485</w:t>
            </w:r>
          </w:p>
        </w:tc>
        <w:tc>
          <w:tcPr>
            <w:tcW w:type="dxa" w:w="1354"/>
          </w:tcPr>
          <w:p>
            <w:pPr>
              <w:spacing w:after="20"/>
              <w:jc w:val="right"/>
            </w:pPr>
            <w:r>
              <w:rPr>
                <w:color w:val="1C3A36"/>
                <w:sz w:val="17"/>
              </w:rPr>
              <w:t>3,638</w:t>
            </w:r>
          </w:p>
        </w:tc>
        <w:tc>
          <w:tcPr>
            <w:tcW w:type="dxa" w:w="1354"/>
          </w:tcPr>
          <w:p>
            <w:pPr>
              <w:spacing w:after="20"/>
              <w:jc w:val="right"/>
            </w:pPr>
            <w:r>
              <w:rPr>
                <w:color w:val="1C3A36"/>
                <w:sz w:val="17"/>
              </w:rPr>
              <w:t>3,796</w:t>
            </w:r>
          </w:p>
        </w:tc>
      </w:tr>
      <w:tr>
        <w:tc>
          <w:tcPr>
            <w:tcW w:type="dxa" w:w="3312"/>
          </w:tcPr>
          <w:p>
            <w:pPr>
              <w:spacing w:after="20"/>
            </w:pPr>
            <w:r>
              <w:rPr>
                <w:color w:val="1C3A36"/>
                <w:sz w:val="17"/>
              </w:rPr>
              <w:t>depreciation &amp; amortisation added back</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change in working capital — a release adds, a build subtracts</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2,927</w:t>
            </w:r>
          </w:p>
        </w:tc>
        <w:tc>
          <w:tcPr>
            <w:tcW w:type="dxa" w:w="1354"/>
            <w:shd w:val="clear" w:color="auto" w:fill="F6F1E6"/>
          </w:tcPr>
          <w:p>
            <w:pPr>
              <w:spacing w:after="20"/>
              <w:jc w:val="right"/>
            </w:pPr>
            <w:r>
              <w:rPr>
                <w:b/>
                <w:color w:val="1C3A36"/>
                <w:sz w:val="17"/>
              </w:rPr>
              <w:t>3,131</w:t>
            </w:r>
          </w:p>
        </w:tc>
        <w:tc>
          <w:tcPr>
            <w:tcW w:type="dxa" w:w="1354"/>
            <w:shd w:val="clear" w:color="auto" w:fill="F6F1E6"/>
          </w:tcPr>
          <w:p>
            <w:pPr>
              <w:spacing w:after="20"/>
              <w:jc w:val="right"/>
            </w:pPr>
            <w:r>
              <w:rPr>
                <w:b/>
                <w:color w:val="1C3A36"/>
                <w:sz w:val="17"/>
              </w:rPr>
              <w:t>3,373</w:t>
            </w:r>
          </w:p>
        </w:tc>
        <w:tc>
          <w:tcPr>
            <w:tcW w:type="dxa" w:w="1354"/>
            <w:shd w:val="clear" w:color="auto" w:fill="F6F1E6"/>
          </w:tcPr>
          <w:p>
            <w:pPr>
              <w:spacing w:after="20"/>
              <w:jc w:val="right"/>
            </w:pPr>
            <w:r>
              <w:rPr>
                <w:b/>
                <w:color w:val="1C3A36"/>
                <w:sz w:val="17"/>
              </w:rPr>
              <w:t>3,687</w:t>
            </w:r>
          </w:p>
        </w:tc>
        <w:tc>
          <w:tcPr>
            <w:tcW w:type="dxa" w:w="1354"/>
            <w:shd w:val="clear" w:color="auto" w:fill="F6F1E6"/>
          </w:tcPr>
          <w:p>
            <w:pPr>
              <w:spacing w:after="20"/>
              <w:jc w:val="right"/>
            </w:pPr>
            <w:r>
              <w:rPr>
                <w:b/>
                <w:color w:val="1C3A36"/>
                <w:sz w:val="17"/>
              </w:rPr>
              <w:t>3,900</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2,750</w:t>
            </w:r>
          </w:p>
        </w:tc>
        <w:tc>
          <w:tcPr>
            <w:tcW w:type="dxa" w:w="1354"/>
            <w:shd w:val="clear" w:color="auto" w:fill="F6F1E6"/>
          </w:tcPr>
          <w:p>
            <w:pPr>
              <w:spacing w:after="20"/>
              <w:jc w:val="right"/>
            </w:pPr>
            <w:r>
              <w:rPr>
                <w:b/>
                <w:color w:val="1C3A36"/>
                <w:sz w:val="17"/>
              </w:rPr>
              <w:t>2,766</w:t>
            </w:r>
          </w:p>
        </w:tc>
        <w:tc>
          <w:tcPr>
            <w:tcW w:type="dxa" w:w="1354"/>
            <w:shd w:val="clear" w:color="auto" w:fill="F6F1E6"/>
          </w:tcPr>
          <w:p>
            <w:pPr>
              <w:spacing w:after="20"/>
              <w:jc w:val="right"/>
            </w:pPr>
            <w:r>
              <w:rPr>
                <w:b/>
                <w:color w:val="1C3A36"/>
                <w:sz w:val="17"/>
              </w:rPr>
              <w:t>2,804</w:t>
            </w:r>
          </w:p>
        </w:tc>
        <w:tc>
          <w:tcPr>
            <w:tcW w:type="dxa" w:w="1354"/>
            <w:shd w:val="clear" w:color="auto" w:fill="F6F1E6"/>
          </w:tcPr>
          <w:p>
            <w:pPr>
              <w:spacing w:after="20"/>
              <w:jc w:val="right"/>
            </w:pPr>
            <w:r>
              <w:rPr>
                <w:b/>
                <w:color w:val="1C3A36"/>
                <w:sz w:val="17"/>
              </w:rPr>
              <w:t>2,885</w:t>
            </w:r>
          </w:p>
        </w:tc>
        <w:tc>
          <w:tcPr>
            <w:tcW w:type="dxa" w:w="1354"/>
            <w:shd w:val="clear" w:color="auto" w:fill="F6F1E6"/>
          </w:tcPr>
          <w:p>
            <w:pPr>
              <w:spacing w:after="20"/>
              <w:jc w:val="right"/>
            </w:pPr>
            <w:r>
              <w:rPr>
                <w:b/>
                <w:color w:val="1C3A36"/>
                <w:sz w:val="17"/>
              </w:rPr>
              <w:t>2,874</w:t>
            </w:r>
          </w:p>
        </w:tc>
      </w:tr>
    </w:tbl>
    <w:p>
      <w:pPr>
        <w:spacing w:after="40"/>
      </w:pPr>
    </w:p>
    <w:p>
      <w:pPr>
        <w:spacing w:after="200" w:before="0"/>
      </w:pPr>
      <w:r>
        <w:rPr>
          <w:b w:val="0"/>
          <w:i/>
          <w:color w:val="6E7B77"/>
          <w:sz w:val="17"/>
        </w:rPr>
        <w:t>Table 2 — the FCFF waterfall. EBITDA margin holds near 47.8%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27.4% = 9.1% of NOPAT — capitalised at the terminal cost of capital of 6.17% less growth. That yields a terminal value of AED 96,248mn, whose present value is AED 70,929mn — 83% of enterprise value. A reader should sit with that number: at a 6.17%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14,079</w:t>
            </w:r>
          </w:p>
        </w:tc>
        <w:tc>
          <w:tcPr>
            <w:tcW w:type="dxa" w:w="1872"/>
          </w:tcPr>
          <w:p>
            <w:pPr>
              <w:spacing w:after="20"/>
              <w:jc w:val="right"/>
            </w:pPr>
            <w:r>
              <w:rPr>
                <w:color w:val="1C3A36"/>
                <w:sz w:val="18"/>
              </w:rPr>
              <w:t>3.11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70,929</w:t>
            </w:r>
          </w:p>
        </w:tc>
        <w:tc>
          <w:tcPr>
            <w:tcW w:type="dxa" w:w="1872"/>
          </w:tcPr>
          <w:p>
            <w:pPr>
              <w:spacing w:after="20"/>
              <w:jc w:val="right"/>
            </w:pPr>
            <w:r>
              <w:rPr>
                <w:color w:val="1C3A36"/>
                <w:sz w:val="18"/>
              </w:rPr>
              <w:t>15.65</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85,009</w:t>
            </w:r>
          </w:p>
        </w:tc>
        <w:tc>
          <w:tcPr>
            <w:tcW w:type="dxa" w:w="1872"/>
            <w:shd w:val="clear" w:color="auto" w:fill="F6F1E6"/>
          </w:tcPr>
          <w:p>
            <w:pPr>
              <w:spacing w:after="20"/>
              <w:jc w:val="right"/>
            </w:pPr>
            <w:r>
              <w:rPr>
                <w:b/>
                <w:color w:val="1C3A36"/>
                <w:sz w:val="18"/>
              </w:rPr>
              <w:t>18.75</w:t>
            </w:r>
          </w:p>
        </w:tc>
      </w:tr>
      <w:tr>
        <w:tc>
          <w:tcPr>
            <w:tcW w:type="dxa" w:w="5832"/>
          </w:tcPr>
          <w:p>
            <w:pPr>
              <w:spacing w:after="20"/>
            </w:pPr>
            <w:r>
              <w:rPr>
                <w:color w:val="1C3A36"/>
                <w:sz w:val="18"/>
              </w:rPr>
              <w:t>Terminal value share of enterprise value: 83%</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85,320</w:t>
            </w:r>
          </w:p>
        </w:tc>
        <w:tc>
          <w:tcPr>
            <w:tcW w:type="dxa" w:w="1872"/>
            <w:shd w:val="clear" w:color="auto" w:fill="F6F1E6"/>
          </w:tcPr>
          <w:p>
            <w:pPr>
              <w:spacing w:after="20"/>
              <w:jc w:val="right"/>
            </w:pPr>
            <w:r>
              <w:rPr>
                <w:b/>
                <w:color w:val="1C3A36"/>
                <w:sz w:val="18"/>
              </w:rPr>
              <w:t>18.82</w:t>
            </w:r>
          </w:p>
        </w:tc>
      </w:tr>
      <w:tr>
        <w:tc>
          <w:tcPr>
            <w:tcW w:type="dxa" w:w="5832"/>
          </w:tcPr>
          <w:p>
            <w:pPr>
              <w:spacing w:after="20"/>
            </w:pPr>
            <w:r>
              <w:rPr>
                <w:color w:val="1C3A36"/>
                <w:sz w:val="18"/>
              </w:rPr>
              <w:t>× anchor accretion (1+Ke)^(219/365) = 1.0387,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18.89</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11.03 (ARPU −5%, a quarter-million fewer subscribers, margins −3%, +100bp on the discount rate, terminal growth 2.0%), bull AED 28.65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− 2.5%) / (6.35% − 2.5%) = 6.36×, i.e. AED 14.12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one reason it is published as a disclosed floor and carries no weight in the answer at all.</w:t>
      </w:r>
    </w:p>
    <w:p>
      <w:pPr>
        <w:spacing w:after="80" w:before="200"/>
      </w:pPr>
      <w:r>
        <w:rPr>
          <w:b/>
          <w:i w:val="0"/>
          <w:color w:val="1C3A36"/>
          <w:sz w:val="24"/>
        </w:rPr>
        <w:t>1.3  Relative multiples</w:t>
      </w:r>
    </w:p>
    <w:p>
      <w:pPr>
        <w:spacing w:after="120" w:before="0"/>
      </w:pPr>
      <w:r>
        <w:rPr>
          <w:b w:val="0"/>
          <w:i w:val="0"/>
          <w:color w:val="1C3A36"/>
          <w:sz w:val="21"/>
        </w:rPr>
        <w:t>du trades at 19.2× its FY2025 earnings and 7.6× FY2025 EBITDA — and on the more current basis, including the reviewed first half of 2026, at 18.1× and 7.2×.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12.30</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18.1×</w:t>
            </w:r>
          </w:p>
        </w:tc>
        <w:tc>
          <w:tcPr>
            <w:tcW w:type="dxa" w:w="864"/>
          </w:tcPr>
          <w:p>
            <w:pPr>
              <w:spacing w:after="20"/>
              <w:jc w:val="right"/>
            </w:pPr>
            <w:r>
              <w:rPr>
                <w:color w:val="1C3A36"/>
                <w:sz w:val="16"/>
              </w:rPr>
              <w:t>5.2%</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18.1× it trades ABOVE every peer in the set.</w:t>
      </w:r>
    </w:p>
    <w:p>
      <w:pPr>
        <w:spacing w:after="120" w:before="0"/>
      </w:pPr>
      <w:r>
        <w:rPr>
          <w:b w:val="0"/>
          <w:i w:val="0"/>
          <w:color w:val="1C3A36"/>
          <w:sz w:val="21"/>
        </w:rPr>
        <w:t>Applied to FY2026E earnings per share of AED 0.71 and rolled to the anchor: AED 8.86 per share [bear 12× → AED 8.19; bull 18.5× → AED 12.99]. A second, independent market cross-check from the dividend: du's FY2026E dividend of AED 0.70 at Mobily's own trailing yield (4.9%) is worth AED 14.24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47.9%) applied to CURRENT-scale revenue (FY2026E, AED 16,593mn), less FY2026E depreciation, plus FY2026E net finance income, taxed at the combined 43.6%: normalised earnings of AED 3,225mn, or AED 0.71 per share. At the justified 12.9× and rolled to the anchor: AED 8.87 [12× → 8.21; 18.5× → 13.01]. It reads within a few fils of the relative lens, and that is worth being blunt about rather than presenting as corroboration: du's current year IS close to mid-cycle — the war knocked the top line, not the margin, and the first half of 2026 printed the best margin in the company's history — so normalising changes the earnings base by less than a fil. The two market-anchored lenses are therefore ONE reading of one multiple against one earnings number, not two independent reads — which is one reason neither is the answer here, and why an earlier edition that gave the pair 45% of a weighted central between them was counting one reading twice. The synthesis in 1.5 and the comparison in section 4 should be read on that basis.</w:t>
      </w:r>
    </w:p>
    <w:p>
      <w:pPr>
        <w:spacing w:after="80" w:before="200"/>
      </w:pPr>
      <w:r>
        <w:rPr>
          <w:b/>
          <w:i w:val="0"/>
          <w:color w:val="1C3A36"/>
          <w:sz w:val="24"/>
        </w:rPr>
        <w:t>1.5  Synthesis — one lens is the answer, the rest are cross-checks</w:t>
      </w:r>
    </w:p>
    <w:p>
      <w:pPr>
        <w:spacing w:after="200" w:before="0"/>
      </w:pPr>
      <w:r>
        <w:rPr>
          <w:b w:val="0"/>
          <w:i w:val="0"/>
          <w:color w:val="1C3A36"/>
          <w:sz w:val="21"/>
        </w:rPr>
        <w:t>The central is AED 18.89 (+54% to spot) and it is the cash-flow lens itself. Its range, AED 11.03 to AED 28.65, is that same lens under its own bear and bull paths on one clock — the present-value reads of one method, not the spread between four different ones. The cross-checks are published at their own values and disagree: the two market-anchored lenses read roughly at the market, the book floor at AED 14.12. Section 4 takes that disagreement seriously — it is a statement about the discount rate, not about the forecast — and the disagreement is shown rather than averaged away, because a number produced by averaging several methods is not more robust than the best of them: it is a new method with weights nobody tested, and it imports every weakness of the weakest lens at whatever weight somebody typed. Here the arithmetic of that is exact and is why the blend was retired: the retired 45/25/20/10 central of AED 13.90 read +13% against the price where the answer reads +54%.</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held roughly flat (AED 63.4 → 64.2).</w:t>
      </w:r>
    </w:p>
    <w:p>
      <w:pPr>
        <w:spacing w:after="80" w:before="200"/>
      </w:pPr>
      <w:r>
        <w:rPr>
          <w:b/>
          <w:i w:val="0"/>
          <w:color w:val="1C3A36"/>
          <w:sz w:val="24"/>
        </w:rPr>
        <w:t>Why the flat ARPU path is this study's most fragile revenue judgement</w:t>
      </w:r>
    </w:p>
    <w:p>
      <w:pPr>
        <w:spacing w:after="120" w:before="0"/>
      </w:pPr>
      <w:r>
        <w:rPr>
          <w:b w:val="0"/>
          <w:i w:val="0"/>
          <w:color w:val="1C3A36"/>
          <w:sz w:val="21"/>
        </w:rPr>
        <w:t>The company prints one blended mobile ARPU, and it has barely moved: AED 63.3 in FY2025 and 63.4 in the second quarter of 2026. Read on its own, that looks like pricing stability. It is not. du also discloses the customer base split between prepaid and postpaid every quarter, and that mix moved sharply: the postpaid share went from 20.3% to 22.1% in two quarters — not because postpaid surged, but because prepaid COLLAPSED, losing 499 thousand customers against 74 thousand postpaid gained. Those were largely low-value visitor SIMs, the cheapest customers on the book.</w:t>
      </w:r>
    </w:p>
    <w:p>
      <w:pPr>
        <w:spacing w:after="120" w:before="0"/>
      </w:pPr>
      <w:r>
        <w:rPr>
          <w:b w:val="0"/>
          <w:i w:val="0"/>
          <w:color w:val="1C3A36"/>
          <w:sz w:val="21"/>
        </w:rPr>
        <w:t>A postpaid customer is worth a multiple of a prepaid one. So a mix shift of that size is a mechanical tailwind to the blended figure. At the ratio observed at the one Gulf operator that discloses both legs, the mix shift alone would have lifted blended ARPU about +2.6%. The company reported +0.2%. The arithmetic only closes if each leg's OWN price fell about -2.4% over the same span. In other words the flat headline is not stability — it is two forces of similar size pulling in opposite directions, and the disclosure is not granular enough to separate them.</w:t>
      </w:r>
    </w:p>
    <w:p>
      <w:pPr>
        <w:spacing w:after="120" w:before="0"/>
      </w:pPr>
      <w:r>
        <w:rPr>
          <w:b w:val="0"/>
          <w:i w:val="0"/>
          <w:color w:val="1C3A36"/>
          <w:sz w:val="21"/>
        </w:rPr>
        <w:t>This matters because of what the forecast assumes elsewhere. The subscriber path in this study has prepaid RECOVERING as tourism normalises. A recovering prepaid base pushes the postpaid share back down, which removes the tailwind — and if the underlying per-leg erosion continues, the blended figure falls rather than holding flat. Holding the path flat is therefore a joint assumption that BOTH forces persist and keep cancelling. Section 1.9 prices the alternative directly: if the blended path instead erodes at the rate the decomposition implies, the cash-flow lens reads AED 15.62 rather than AED 18.89, -17%. It is the largest single downside in the study that does not come from the discount rate.</w:t>
      </w:r>
    </w:p>
    <w:p>
      <w:pPr>
        <w:spacing w:after="120" w:before="0"/>
      </w:pPr>
      <w:r>
        <w:rPr>
          <w:b w:val="0"/>
          <w:i w:val="0"/>
          <w:color w:val="1C3A36"/>
          <w:sz w:val="21"/>
        </w:rPr>
        <w:t>A reader will reasonably ask why the two legs are not simply modelled separately. Because they cannot be identified. du publishes no prepaid or postpaid ARPU anywhere — not in the earnings releases, not in the presentations, not in the audited segment note, which splits Mobile from Fixed and never splits mobile itself. That is the regional norm rather than a du quirk: e&amp;, stc and Mobily all publish the subscriber split with a single blended price, and Ooredoo is the sole Gulf exception. The mix did move, which in principle pins down the ratio between the legs if both prices were stable — so this study solved for that ratio on all 21 available quarter pairs. The answers range from -45× to 17×. 9 of the 21 imply a NEGATIVE ratio and 2 imply a postpaid customer worth LESS than a prepaid one; both are impossible. An estimate that swings that far depending on which two quarters are chosen is not measuring anything. So the split is NOT built. Building it would replace one disclosed number with two undisclosed ones joined by an imported assumption, and — because the arithmetic is mix-preserving — would reproduce exactly the same revenue while looking more precise. The gap is flagged instead, and the risk it creates is priced.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That intensity metric is itself an implied figure — segment revenue over the average base — so it is a weaker construction than the mobile one and is labelled as such rather than presented as a price.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How the cost side is built — cost per unit, and why no margin is an input</w:t>
      </w:r>
    </w:p>
    <w:p>
      <w:pPr>
        <w:spacing w:after="120" w:before="0"/>
      </w:pPr>
      <w:r>
        <w:rPr>
          <w:b w:val="0"/>
          <w:i w:val="0"/>
          <w:color w:val="1C3A36"/>
          <w:sz w:val="21"/>
        </w:rPr>
        <w:t>The company discloses its direct costs twice over, and never joins them up. On the face of the income statement they are split by NATURE into three lines — interconnect, commission, and devices and other direct services. In the segment note they are split by SEGMENT, one "interconnect and other direct costs" line each for Mobile, Fixed, Wholesale and ICT. Both views are published every period; the cross-tabulation between them never is.</w:t>
      </w:r>
    </w:p>
    <w:p>
      <w:pPr>
        <w:spacing w:after="120" w:before="0"/>
      </w:pPr>
      <w:r>
        <w:rPr>
          <w:b w:val="0"/>
          <w:i w:val="0"/>
          <w:color w:val="1C3A36"/>
          <w:sz w:val="21"/>
        </w:rPr>
        <w:t>That cross-tabulation is recoverable, and recovering it is what lets the cost side be built per unit rather than as a margin. Two structural facts do the work: Fixed and Wholesale carry no consumer acquisition channel and no handset sales, so their direct cost is interconnect and capacity; and commission is dealer and retail commission on the consumer mobile base, so it is a mobile cost. Given those, mobile interconnect falls out of total interconnect as a residual, and the mobile device line falls out of mobile's own segment total. The test that this is not a convenient fiction is that the residual device cost must come out POSITIVE and small in every period, and ICT's own direct cost plus that residual must foot exactly to the disclosed devices line. Both hold in all four disclosed periods, and the model asserts them rather than trusting them.</w:t>
      </w:r>
    </w:p>
    <w:p>
      <w:pPr>
        <w:spacing w:after="120" w:before="0"/>
      </w:pPr>
      <w:r>
        <w:rPr>
          <w:b w:val="0"/>
          <w:i w:val="0"/>
          <w:color w:val="1C3A36"/>
          <w:sz w:val="21"/>
        </w:rPr>
        <w:t>What emerges is a genuine per-unit cost stack for the mobile business, with each line moving for its own reason: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368"/>
        <w:gridCol w:w="1368"/>
        <w:gridCol w:w="1368"/>
        <w:gridCol w:w="1368"/>
      </w:tblGrid>
      <w:tr>
        <w:tc>
          <w:tcPr>
            <w:tcW w:type="dxa" w:w="4464"/>
            <w:shd w:val="clear" w:color="auto" w:fill="EAF0EE"/>
          </w:tcPr>
          <w:p>
            <w:pPr>
              <w:spacing w:after="20"/>
            </w:pPr>
            <w:r>
              <w:rPr>
                <w:b/>
                <w:color w:val="1C3A36"/>
                <w:sz w:val="16"/>
              </w:rPr>
              <w:t>AED per mobile subscriber per month</w:t>
            </w:r>
          </w:p>
        </w:tc>
        <w:tc>
          <w:tcPr>
            <w:tcW w:type="dxa" w:w="1368"/>
            <w:shd w:val="clear" w:color="auto" w:fill="EAF0EE"/>
          </w:tcPr>
          <w:p>
            <w:pPr>
              <w:spacing w:after="20"/>
            </w:pPr>
            <w:r>
              <w:rPr>
                <w:b/>
                <w:color w:val="1C3A36"/>
                <w:sz w:val="16"/>
              </w:rPr>
              <w:t>FY2024A</w:t>
            </w:r>
          </w:p>
        </w:tc>
        <w:tc>
          <w:tcPr>
            <w:tcW w:type="dxa" w:w="1368"/>
            <w:shd w:val="clear" w:color="auto" w:fill="EAF0EE"/>
          </w:tcPr>
          <w:p>
            <w:pPr>
              <w:spacing w:after="20"/>
            </w:pPr>
            <w:r>
              <w:rPr>
                <w:b/>
                <w:color w:val="1C3A36"/>
                <w:sz w:val="16"/>
              </w:rPr>
              <w:t>FY2025A</w:t>
            </w:r>
          </w:p>
        </w:tc>
        <w:tc>
          <w:tcPr>
            <w:tcW w:type="dxa" w:w="1368"/>
            <w:shd w:val="clear" w:color="auto" w:fill="EAF0EE"/>
          </w:tcPr>
          <w:p>
            <w:pPr>
              <w:spacing w:after="20"/>
            </w:pPr>
            <w:r>
              <w:rPr>
                <w:b/>
                <w:color w:val="1C3A36"/>
                <w:sz w:val="16"/>
              </w:rPr>
              <w:t>H1-2025A</w:t>
            </w:r>
          </w:p>
        </w:tc>
        <w:tc>
          <w:tcPr>
            <w:tcW w:type="dxa" w:w="1368"/>
            <w:shd w:val="clear" w:color="auto" w:fill="EAF0EE"/>
          </w:tcPr>
          <w:p>
            <w:pPr>
              <w:spacing w:after="20"/>
            </w:pPr>
            <w:r>
              <w:rPr>
                <w:b/>
                <w:color w:val="1C3A36"/>
                <w:sz w:val="16"/>
              </w:rPr>
              <w:t>H1-2026A</w:t>
            </w:r>
          </w:p>
        </w:tc>
      </w:tr>
      <w:tr>
        <w:tc>
          <w:tcPr>
            <w:tcW w:type="dxa" w:w="4464"/>
          </w:tcPr>
          <w:p>
            <w:pPr>
              <w:spacing w:after="20"/>
            </w:pPr>
            <w:r>
              <w:rPr>
                <w:color w:val="1C3A36"/>
                <w:sz w:val="16"/>
              </w:rPr>
              <w:t>Interconnect</w:t>
            </w:r>
          </w:p>
        </w:tc>
        <w:tc>
          <w:tcPr>
            <w:tcW w:type="dxa" w:w="1368"/>
          </w:tcPr>
          <w:p>
            <w:pPr>
              <w:spacing w:after="20"/>
              <w:jc w:val="right"/>
            </w:pPr>
            <w:r>
              <w:rPr>
                <w:color w:val="1C3A36"/>
                <w:sz w:val="16"/>
              </w:rPr>
              <w:t>18.24</w:t>
            </w:r>
          </w:p>
        </w:tc>
        <w:tc>
          <w:tcPr>
            <w:tcW w:type="dxa" w:w="1368"/>
          </w:tcPr>
          <w:p>
            <w:pPr>
              <w:spacing w:after="20"/>
              <w:jc w:val="right"/>
            </w:pPr>
            <w:r>
              <w:rPr>
                <w:color w:val="1C3A36"/>
                <w:sz w:val="16"/>
              </w:rPr>
              <w:t>17.40</w:t>
            </w:r>
          </w:p>
        </w:tc>
        <w:tc>
          <w:tcPr>
            <w:tcW w:type="dxa" w:w="1368"/>
          </w:tcPr>
          <w:p>
            <w:pPr>
              <w:spacing w:after="20"/>
              <w:jc w:val="right"/>
            </w:pPr>
            <w:r>
              <w:rPr>
                <w:color w:val="1C3A36"/>
                <w:sz w:val="16"/>
              </w:rPr>
              <w:t>17.54</w:t>
            </w:r>
          </w:p>
        </w:tc>
        <w:tc>
          <w:tcPr>
            <w:tcW w:type="dxa" w:w="1368"/>
          </w:tcPr>
          <w:p>
            <w:pPr>
              <w:spacing w:after="20"/>
              <w:jc w:val="right"/>
            </w:pPr>
            <w:r>
              <w:rPr>
                <w:color w:val="1C3A36"/>
                <w:sz w:val="16"/>
              </w:rPr>
              <w:t>16.81</w:t>
            </w:r>
          </w:p>
        </w:tc>
      </w:tr>
      <w:tr>
        <w:tc>
          <w:tcPr>
            <w:tcW w:type="dxa" w:w="4464"/>
          </w:tcPr>
          <w:p>
            <w:pPr>
              <w:spacing w:after="20"/>
            </w:pPr>
            <w:r>
              <w:rPr>
                <w:color w:val="1C3A36"/>
                <w:sz w:val="16"/>
              </w:rPr>
              <w:t>Commission</w:t>
            </w:r>
          </w:p>
        </w:tc>
        <w:tc>
          <w:tcPr>
            <w:tcW w:type="dxa" w:w="1368"/>
          </w:tcPr>
          <w:p>
            <w:pPr>
              <w:spacing w:after="20"/>
              <w:jc w:val="right"/>
            </w:pPr>
            <w:r>
              <w:rPr>
                <w:color w:val="1C3A36"/>
                <w:sz w:val="16"/>
              </w:rPr>
              <w:t>5.69</w:t>
            </w:r>
          </w:p>
        </w:tc>
        <w:tc>
          <w:tcPr>
            <w:tcW w:type="dxa" w:w="1368"/>
          </w:tcPr>
          <w:p>
            <w:pPr>
              <w:spacing w:after="20"/>
              <w:jc w:val="right"/>
            </w:pPr>
            <w:r>
              <w:rPr>
                <w:color w:val="1C3A36"/>
                <w:sz w:val="16"/>
              </w:rPr>
              <w:t>6.14</w:t>
            </w:r>
          </w:p>
        </w:tc>
        <w:tc>
          <w:tcPr>
            <w:tcW w:type="dxa" w:w="1368"/>
          </w:tcPr>
          <w:p>
            <w:pPr>
              <w:spacing w:after="20"/>
              <w:jc w:val="right"/>
            </w:pPr>
            <w:r>
              <w:rPr>
                <w:color w:val="1C3A36"/>
                <w:sz w:val="16"/>
              </w:rPr>
              <w:t>6.12</w:t>
            </w:r>
          </w:p>
        </w:tc>
        <w:tc>
          <w:tcPr>
            <w:tcW w:type="dxa" w:w="1368"/>
          </w:tcPr>
          <w:p>
            <w:pPr>
              <w:spacing w:after="20"/>
              <w:jc w:val="right"/>
            </w:pPr>
            <w:r>
              <w:rPr>
                <w:color w:val="1C3A36"/>
                <w:sz w:val="16"/>
              </w:rPr>
              <w:t>6.31</w:t>
            </w:r>
          </w:p>
        </w:tc>
      </w:tr>
      <w:tr>
        <w:tc>
          <w:tcPr>
            <w:tcW w:type="dxa" w:w="4464"/>
          </w:tcPr>
          <w:p>
            <w:pPr>
              <w:spacing w:after="20"/>
            </w:pPr>
            <w:r>
              <w:rPr>
                <w:color w:val="1C3A36"/>
                <w:sz w:val="16"/>
              </w:rPr>
              <w:t>Devices and other direct services</w:t>
            </w:r>
          </w:p>
        </w:tc>
        <w:tc>
          <w:tcPr>
            <w:tcW w:type="dxa" w:w="1368"/>
          </w:tcPr>
          <w:p>
            <w:pPr>
              <w:spacing w:after="20"/>
              <w:jc w:val="right"/>
            </w:pPr>
            <w:r>
              <w:rPr>
                <w:color w:val="1C3A36"/>
                <w:sz w:val="16"/>
              </w:rPr>
              <w:t>0.52</w:t>
            </w:r>
          </w:p>
        </w:tc>
        <w:tc>
          <w:tcPr>
            <w:tcW w:type="dxa" w:w="1368"/>
          </w:tcPr>
          <w:p>
            <w:pPr>
              <w:spacing w:after="20"/>
              <w:jc w:val="right"/>
            </w:pPr>
            <w:r>
              <w:rPr>
                <w:color w:val="1C3A36"/>
                <w:sz w:val="16"/>
              </w:rPr>
              <w:t>1.26</w:t>
            </w:r>
          </w:p>
        </w:tc>
        <w:tc>
          <w:tcPr>
            <w:tcW w:type="dxa" w:w="1368"/>
          </w:tcPr>
          <w:p>
            <w:pPr>
              <w:spacing w:after="20"/>
              <w:jc w:val="right"/>
            </w:pPr>
            <w:r>
              <w:rPr>
                <w:color w:val="1C3A36"/>
                <w:sz w:val="16"/>
              </w:rPr>
              <w:t>1.40</w:t>
            </w:r>
          </w:p>
        </w:tc>
        <w:tc>
          <w:tcPr>
            <w:tcW w:type="dxa" w:w="1368"/>
          </w:tcPr>
          <w:p>
            <w:pPr>
              <w:spacing w:after="20"/>
              <w:jc w:val="right"/>
            </w:pPr>
            <w:r>
              <w:rPr>
                <w:color w:val="1C3A36"/>
                <w:sz w:val="16"/>
              </w:rPr>
              <w:t>0.96</w:t>
            </w:r>
          </w:p>
        </w:tc>
      </w:tr>
      <w:tr>
        <w:tc>
          <w:tcPr>
            <w:tcW w:type="dxa" w:w="4464"/>
          </w:tcPr>
          <w:p>
            <w:pPr>
              <w:spacing w:after="20"/>
            </w:pPr>
            <w:r>
              <w:rPr>
                <w:color w:val="1C3A36"/>
                <w:sz w:val="16"/>
              </w:rPr>
              <w:t>Total mobile direct cost per subscriber</w:t>
            </w:r>
          </w:p>
        </w:tc>
        <w:tc>
          <w:tcPr>
            <w:tcW w:type="dxa" w:w="1368"/>
          </w:tcPr>
          <w:p>
            <w:pPr>
              <w:spacing w:after="20"/>
              <w:jc w:val="right"/>
            </w:pPr>
            <w:r>
              <w:rPr>
                <w:color w:val="1C3A36"/>
                <w:sz w:val="16"/>
              </w:rPr>
              <w:t>24.45</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25.06</w:t>
            </w:r>
          </w:p>
        </w:tc>
        <w:tc>
          <w:tcPr>
            <w:tcW w:type="dxa" w:w="1368"/>
          </w:tcPr>
          <w:p>
            <w:pPr>
              <w:spacing w:after="20"/>
              <w:jc w:val="right"/>
            </w:pPr>
            <w:r>
              <w:rPr>
                <w:color w:val="1C3A36"/>
                <w:sz w:val="16"/>
              </w:rPr>
              <w:t>24.08</w:t>
            </w:r>
          </w:p>
        </w:tc>
      </w:tr>
      <w:tr>
        <w:tc>
          <w:tcPr>
            <w:tcW w:type="dxa" w:w="4464"/>
          </w:tcPr>
          <w:p>
            <w:pPr>
              <w:spacing w:after="20"/>
            </w:pPr>
            <w:r>
              <w:rPr>
                <w:color w:val="1C3A36"/>
                <w:sz w:val="16"/>
              </w:rPr>
              <w:t>Fixed capacity cost per subscription</w:t>
            </w:r>
          </w:p>
        </w:tc>
        <w:tc>
          <w:tcPr>
            <w:tcW w:type="dxa" w:w="1368"/>
          </w:tcPr>
          <w:p>
            <w:pPr>
              <w:spacing w:after="20"/>
              <w:jc w:val="right"/>
            </w:pPr>
            <w:r>
              <w:rPr>
                <w:color w:val="1C3A36"/>
                <w:sz w:val="16"/>
              </w:rPr>
              <w:t>79.71</w:t>
            </w:r>
          </w:p>
        </w:tc>
        <w:tc>
          <w:tcPr>
            <w:tcW w:type="dxa" w:w="1368"/>
          </w:tcPr>
          <w:p>
            <w:pPr>
              <w:spacing w:after="20"/>
              <w:jc w:val="right"/>
            </w:pPr>
            <w:r>
              <w:rPr>
                <w:color w:val="1C3A36"/>
                <w:sz w:val="16"/>
              </w:rPr>
              <w:t>73.14</w:t>
            </w:r>
          </w:p>
        </w:tc>
        <w:tc>
          <w:tcPr>
            <w:tcW w:type="dxa" w:w="1368"/>
          </w:tcPr>
          <w:p>
            <w:pPr>
              <w:spacing w:after="20"/>
              <w:jc w:val="right"/>
            </w:pPr>
            <w:r>
              <w:rPr>
                <w:color w:val="1C3A36"/>
                <w:sz w:val="16"/>
              </w:rPr>
              <w:t>75.29</w:t>
            </w:r>
          </w:p>
        </w:tc>
        <w:tc>
          <w:tcPr>
            <w:tcW w:type="dxa" w:w="1368"/>
          </w:tcPr>
          <w:p>
            <w:pPr>
              <w:spacing w:after="20"/>
              <w:jc w:val="right"/>
            </w:pPr>
            <w:r>
              <w:rPr>
                <w:color w:val="1C3A36"/>
                <w:sz w:val="16"/>
              </w:rPr>
              <w:t>68.35</w:t>
            </w:r>
          </w:p>
        </w:tc>
      </w:tr>
      <w:tr>
        <w:tc>
          <w:tcPr>
            <w:tcW w:type="dxa" w:w="4464"/>
          </w:tcPr>
          <w:p>
            <w:pPr>
              <w:spacing w:after="20"/>
            </w:pPr>
            <w:r>
              <w:rPr>
                <w:color w:val="1C3A36"/>
                <w:sz w:val="16"/>
              </w:rPr>
              <w:t>Wholesale direct cost / own revenue</w:t>
            </w:r>
          </w:p>
        </w:tc>
        <w:tc>
          <w:tcPr>
            <w:tcW w:type="dxa" w:w="1368"/>
          </w:tcPr>
          <w:p>
            <w:pPr>
              <w:spacing w:after="20"/>
              <w:jc w:val="right"/>
            </w:pPr>
            <w:r>
              <w:rPr>
                <w:color w:val="1C3A36"/>
                <w:sz w:val="16"/>
              </w:rPr>
              <w:t>12.0%</w:t>
            </w:r>
          </w:p>
        </w:tc>
        <w:tc>
          <w:tcPr>
            <w:tcW w:type="dxa" w:w="1368"/>
          </w:tcPr>
          <w:p>
            <w:pPr>
              <w:spacing w:after="20"/>
              <w:jc w:val="right"/>
            </w:pPr>
            <w:r>
              <w:rPr>
                <w:color w:val="1C3A36"/>
                <w:sz w:val="16"/>
              </w:rPr>
              <w:t>13.6%</w:t>
            </w:r>
          </w:p>
        </w:tc>
        <w:tc>
          <w:tcPr>
            <w:tcW w:type="dxa" w:w="1368"/>
          </w:tcPr>
          <w:p>
            <w:pPr>
              <w:spacing w:after="20"/>
              <w:jc w:val="right"/>
            </w:pPr>
            <w:r>
              <w:rPr>
                <w:color w:val="1C3A36"/>
                <w:sz w:val="16"/>
              </w:rPr>
              <w:t>13.9%</w:t>
            </w:r>
          </w:p>
        </w:tc>
        <w:tc>
          <w:tcPr>
            <w:tcW w:type="dxa" w:w="1368"/>
          </w:tcPr>
          <w:p>
            <w:pPr>
              <w:spacing w:after="20"/>
              <w:jc w:val="right"/>
            </w:pPr>
            <w:r>
              <w:rPr>
                <w:color w:val="1C3A36"/>
                <w:sz w:val="16"/>
              </w:rPr>
              <w:t>15.6%</w:t>
            </w:r>
          </w:p>
        </w:tc>
      </w:tr>
      <w:tr>
        <w:tc>
          <w:tcPr>
            <w:tcW w:type="dxa" w:w="4464"/>
          </w:tcPr>
          <w:p>
            <w:pPr>
              <w:spacing w:after="20"/>
            </w:pPr>
            <w:r>
              <w:rPr>
                <w:color w:val="1C3A36"/>
                <w:sz w:val="16"/>
              </w:rPr>
              <w:t>ICT direct cost / own revenue</w:t>
            </w:r>
          </w:p>
        </w:tc>
        <w:tc>
          <w:tcPr>
            <w:tcW w:type="dxa" w:w="1368"/>
          </w:tcPr>
          <w:p>
            <w:pPr>
              <w:spacing w:after="20"/>
              <w:jc w:val="right"/>
            </w:pPr>
            <w:r>
              <w:rPr>
                <w:color w:val="1C3A36"/>
                <w:sz w:val="16"/>
              </w:rPr>
              <w:t>79.2%</w:t>
            </w:r>
          </w:p>
        </w:tc>
        <w:tc>
          <w:tcPr>
            <w:tcW w:type="dxa" w:w="1368"/>
          </w:tcPr>
          <w:p>
            <w:pPr>
              <w:spacing w:after="20"/>
              <w:jc w:val="right"/>
            </w:pPr>
            <w:r>
              <w:rPr>
                <w:color w:val="1C3A36"/>
                <w:sz w:val="16"/>
              </w:rPr>
              <w:t>80.6%</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78.5%</w:t>
            </w:r>
          </w:p>
        </w:tc>
      </w:tr>
    </w:tbl>
    <w:p>
      <w:pPr>
        <w:spacing w:after="40"/>
      </w:pPr>
    </w:p>
    <w:p>
      <w:pPr>
        <w:spacing w:after="200" w:before="0"/>
      </w:pPr>
      <w:r>
        <w:rPr>
          <w:b w:val="0"/>
          <w:i/>
          <w:color w:val="6E7B77"/>
          <w:sz w:val="17"/>
        </w:rPr>
        <w:t>Table 6 — the direct-cost stack per unit, recovered from the company's own two disclosures. The two half-year columns are the important ones: they are like-for-like, so they measure DIRECTION rather than mixing seasonality into a year-on-year change.</w:t>
      </w:r>
    </w:p>
    <w:p>
      <w:pPr>
        <w:spacing w:after="120" w:before="0"/>
      </w:pPr>
      <w:r>
        <w:rPr>
          <w:b w:val="0"/>
          <w:i w:val="0"/>
          <w:color w:val="1C3A36"/>
          <w:sz w:val="21"/>
        </w:rPr>
        <w:t>The like-for-like half-years give each line a measured direction, and only two of them get to move in the forecast. Interconnect per subscriber fell -4.1%, and there is a named mechanism for it: regulated mobile-termination rates ratchet down, and terminated voice and SMS keep migrating to messaging apps, so the off-net bill per customer falls even as the base grows. The forecast takes -1.5% a year — barely a third of the observed fall, on the view that it decays as the substitution matures. Commission per subscriber rose +3.0%, which is the cost of winning and keeping a customer in a two-player market rising; the observed rate of +3.0% is carried forward unchanged. Everything else is anchored on the H1-2026 reviewed actual and held FLAT — including the fixed capacity cost, which fell -9.2% like-for-like. Stopping that improvement dead rather than projecting it is deliberate: the mechanism is real but decays at a rate the disclosure cannot size.</w:t>
      </w:r>
    </w:p>
    <w:p>
      <w:pPr>
        <w:spacing w:after="120" w:before="0"/>
      </w:pPr>
      <w:r>
        <w:rPr>
          <w:b w:val="0"/>
          <w:i w:val="0"/>
          <w:color w:val="1C3A36"/>
          <w:sz w:val="21"/>
        </w:rPr>
        <w:t>Two of those choices deserve to be challenged, so here is the evidence for them. Holding the H1-2026 rate through the second half of 2026 could flatter the year if second halves are structurally cheaper. They are: measured on 2025, the second-half rates came in at AED 25.01 per mobile subscriber against 25.06 in the first half, AED 71.33 against 75.29 on fixed, and 13.2% against 13.9% on wholesale. Three of the four were CHEAPER in the second half, so carrying a first-half rate forward overstates cost rather than understating it. And the wholesale rate has worsened at every single observation — 12.0%, 13.6%, 13.9%, 15.6% — which the company attributes to the conflict-hit roaming and transit mix. The forecast takes no credit for the recovery that attribution implies, and equally does not project further decay.</w:t>
      </w:r>
    </w:p>
    <w:p>
      <w:pPr>
        <w:spacing w:after="120" w:before="0"/>
      </w:pPr>
      <w:r>
        <w:rPr>
          <w:b w:val="0"/>
          <w:i w:val="0"/>
          <w:color w:val="1C3A36"/>
          <w:sz w:val="21"/>
        </w:rPr>
        <w:t>Wholesale and ICT cannot be built per unit at all, because no volume measure for either is disclosed anywhere in the filings. Both therefore carry a cost RATE on their own revenue, anchored on the reviewed half-year. That is the weakest part of the cost build and is labelled as such: it is the finest level the disclosure supports, not the level the method would prefer. The ICT rate in particular is held flat rather than improving, which reverses a judgement in the previous edition of this study — that edition projected a 2.1 percentage point margin gain on a data-centre-scale argument, and the disclosed series does not support a trend in either direction (79.2% worsened to 80.6% before improving to 78.5%). A story that cannot be measured has been removed from the model.</w:t>
      </w:r>
    </w:p>
    <w:p>
      <w:pPr>
        <w:spacing w:after="120" w:before="0"/>
      </w:pPr>
      <w:r>
        <w:rPr>
          <w:b w:val="0"/>
          <w:i w:val="0"/>
          <w:color w:val="1C3A36"/>
          <w:sz w:val="21"/>
        </w:rPr>
        <w:t>The consequence is the point of the whole exercise: NO margin in this study is an input. Contribution margin by segment, group gross margin and group EBITDA margin are all computed from volumes times unit costs, and they can therefore disagree with each other in informative ways. They do. Group gross margin declines across the forecast, 67.9% to 67.2%, while NOT ONE segment margin declines. That is entirely mix: ICT is the fastest-growing segment and by a wide margin the thinnest, so it dilutes the group as it succeeds. A single blended margin assumption — which is what the previous edition of this study used — cannot produce that result, and a reader looking at it would have no way to tell dilution-by-growth apart from erosion. That distinction is the argument for building the cost side this way.</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7,937</w:t>
            </w:r>
          </w:p>
        </w:tc>
        <w:tc>
          <w:tcPr>
            <w:tcW w:type="dxa" w:w="1037"/>
          </w:tcPr>
          <w:p>
            <w:pPr>
              <w:spacing w:after="20"/>
              <w:jc w:val="right"/>
            </w:pPr>
            <w:r>
              <w:rPr>
                <w:color w:val="1C3A36"/>
                <w:sz w:val="16"/>
              </w:rPr>
              <w:t>8,239</w:t>
            </w:r>
          </w:p>
        </w:tc>
        <w:tc>
          <w:tcPr>
            <w:tcW w:type="dxa" w:w="1037"/>
          </w:tcPr>
          <w:p>
            <w:pPr>
              <w:spacing w:after="20"/>
              <w:jc w:val="right"/>
            </w:pPr>
            <w:r>
              <w:rPr>
                <w:color w:val="1C3A36"/>
                <w:sz w:val="16"/>
              </w:rPr>
              <w:t>8,624</w:t>
            </w:r>
          </w:p>
        </w:tc>
        <w:tc>
          <w:tcPr>
            <w:tcW w:type="dxa" w:w="1037"/>
          </w:tcPr>
          <w:p>
            <w:pPr>
              <w:spacing w:after="20"/>
              <w:jc w:val="right"/>
            </w:pPr>
            <w:r>
              <w:rPr>
                <w:color w:val="1C3A36"/>
                <w:sz w:val="16"/>
              </w:rPr>
              <w:t>8,977</w:t>
            </w:r>
          </w:p>
        </w:tc>
        <w:tc>
          <w:tcPr>
            <w:tcW w:type="dxa" w:w="1037"/>
          </w:tcPr>
          <w:p>
            <w:pPr>
              <w:spacing w:after="20"/>
              <w:jc w:val="right"/>
            </w:pPr>
            <w:r>
              <w:rPr>
                <w:color w:val="1C3A36"/>
                <w:sz w:val="16"/>
              </w:rPr>
              <w:t>9,309</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r>
    </w:tbl>
    <w:p>
      <w:pPr>
        <w:spacing w:after="40"/>
      </w:pPr>
    </w:p>
    <w:p>
      <w:pPr>
        <w:spacing w:after="200" w:before="0"/>
      </w:pPr>
      <w:r>
        <w:rPr>
          <w:b w:val="0"/>
          <w:i/>
          <w:color w:val="6E7B77"/>
          <w:sz w:val="17"/>
        </w:rPr>
        <w:t>Table 7 — the build's output. FY2026E growth of +4.3% lands inside the company's own revised 4-6% guidance. EVERY MARGIN IN THIS TABLE IS AN OUTPUT. Nothing about profitability is assumed: each cost line is grown on its own physical driver and the margin is whatever is left. On the direct-cost side that means mobile carries three separate per-subscriber costs — interconnect, which falls as termination rates ratchet down and terminated traffic migrates to messaging apps; commission, which rises with the cost of winning and keeping a customer; and a small, lumpy device line held flat — while fixed carries a per-subscriber capacity cost and wholesale and ICT carry a cost rate on their own revenue, because the company discloses no volume unit for either. On the operating-cost side, wages escalate on UAE wage inflation, network on network scale, the licence fee and credit losses on revenue, administration on CPI — never one blended index across physically different costs. Two things a reader should be able to see. First, the group gross margin 67.9% -&gt; 67.2% DECLINES even though not one segment margin declines: that is mix, not erosion — ICT is the fastest-growing segment and by far the thinnest, so it dilutes the group as it grows. A single blended margin assumption cannot show that, which is the argument for building this way. Second, total operating expenses before depreciation RISE 0.7% in FY2026E against the audited 2025 figure. In an earlier edition of this study they fell, because the staff line was built on a mis-stated seasonal ratio — which made margin expansion an artefact of one input rather than an output of the build.</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group EBITDA margin is flat-to-slightly-rising as an OUTPUT: segment margins widen modestly on the per-unit cost build while ICT — the fastest-growing and thinnest segment — dilutes the group as it grows. The two effects very nearly cancel, which is a result of the build rather than an assumption in it.</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2.5%</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10.09x forward EBITDA</w:t>
            </w:r>
          </w:p>
        </w:tc>
        <w:tc>
          <w:tcPr>
            <w:tcW w:type="dxa" w:w="3600"/>
          </w:tcPr>
          <w:p>
            <w:pPr>
              <w:spacing w:after="20"/>
              <w:jc w:val="right"/>
            </w:pPr>
            <w:r>
              <w:rPr>
                <w:color w:val="1C3A36"/>
                <w:sz w:val="17"/>
              </w:rPr>
              <w:t>7.56x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18.89</w:t>
            </w:r>
          </w:p>
        </w:tc>
        <w:tc>
          <w:tcPr>
            <w:tcW w:type="dxa" w:w="3600"/>
          </w:tcPr>
          <w:p>
            <w:pPr>
              <w:spacing w:after="20"/>
              <w:jc w:val="right"/>
            </w:pPr>
            <w:r>
              <w:rPr>
                <w:color w:val="1C3A36"/>
                <w:sz w:val="17"/>
              </w:rPr>
              <w:t>14.81</w:t>
            </w:r>
          </w:p>
        </w:tc>
      </w:tr>
      <w:tr>
        <w:tc>
          <w:tcPr>
            <w:tcW w:type="dxa" w:w="2808"/>
          </w:tcPr>
          <w:p>
            <w:pPr>
              <w:spacing w:after="20"/>
            </w:pPr>
            <w:r>
              <w:rPr>
                <w:color w:val="1C3A36"/>
                <w:sz w:val="17"/>
              </w:rPr>
              <w:t>THE CENTRAL — which IS the cash-flow lens, not a blend of it</w:t>
            </w:r>
          </w:p>
        </w:tc>
        <w:tc>
          <w:tcPr>
            <w:tcW w:type="dxa" w:w="3672"/>
          </w:tcPr>
          <w:p>
            <w:pPr>
              <w:spacing w:after="20"/>
              <w:jc w:val="right"/>
            </w:pPr>
            <w:r>
              <w:rPr>
                <w:color w:val="1C3A36"/>
                <w:sz w:val="17"/>
              </w:rPr>
              <w:t>18.89</w:t>
            </w:r>
          </w:p>
        </w:tc>
        <w:tc>
          <w:tcPr>
            <w:tcW w:type="dxa" w:w="3600"/>
          </w:tcPr>
          <w:p>
            <w:pPr>
              <w:spacing w:after="20"/>
              <w:jc w:val="right"/>
            </w:pPr>
            <w:r>
              <w:rPr>
                <w:color w:val="1C3A36"/>
                <w:sz w:val="17"/>
              </w:rPr>
              <w:t>14.81</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4.08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8 — the study's central judgement, both ways. The cash-flow lens rests on du's own measured beta of 0.488, which prices its equity at 6.53%. That is internally consistent — but the terminal it produces values du at 10.09 times forward EBITDA forever, against the 7.56 times the market pays today: a 34% re-rating embedded in a figure presented as intrinsic value. Framing 2 simply declines to assume it. This is the honest form of the observation that 83%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1.60 per share, so the regression's own 90% interval (0.35 to 0.62) spans AED 16.41 to 22.40, and a sector-average 0.80 gives AED 13.89. On the terminal leg: each turn of the exit multiple is worth about AED 1.61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16.11 per share, against AED 18.89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0.61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6.41%</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9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6.32%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18.89 to AED 13.89 — close to the spot price. The market, at 19.2×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LONGER AND HIGHER: Jan-2031 AED print vs a 10-year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17.90 vs 18.89 (-0.99)</w:t>
            </w:r>
          </w:p>
        </w:tc>
      </w:tr>
      <w:tr>
        <w:tc>
          <w:tcPr>
            <w:tcW w:type="dxa" w:w="3384"/>
          </w:tcPr>
          <w:p>
            <w:pPr>
              <w:spacing w:after="20"/>
            </w:pPr>
            <w:r>
              <w:rPr>
                <w:color w:val="1C3A36"/>
                <w:sz w:val="16"/>
              </w:rPr>
              <w:t>Risk-free tenor, LONGER AND LOWER: the Feb-2033 AED sukuk, the only federal tranche beyond Jan-2031</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4.13%</w:t>
            </w:r>
          </w:p>
        </w:tc>
        <w:tc>
          <w:tcPr>
            <w:tcW w:type="dxa" w:w="3024"/>
          </w:tcPr>
          <w:p>
            <w:pPr>
              <w:spacing w:after="20"/>
              <w:jc w:val="right"/>
            </w:pPr>
            <w:r>
              <w:rPr>
                <w:color w:val="1C3A36"/>
                <w:sz w:val="16"/>
              </w:rPr>
              <w:t>20.82 vs 18.89 (1.92)</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6.41% vs 6.32%;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18.89 vs 13.89</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10.09x implied</w:t>
            </w:r>
          </w:p>
        </w:tc>
        <w:tc>
          <w:tcPr>
            <w:tcW w:type="dxa" w:w="1584"/>
          </w:tcPr>
          <w:p>
            <w:pPr>
              <w:spacing w:after="20"/>
              <w:jc w:val="right"/>
            </w:pPr>
            <w:r>
              <w:rPr>
                <w:color w:val="1C3A36"/>
                <w:sz w:val="16"/>
              </w:rPr>
              <w:t>7.56x held</w:t>
            </w:r>
          </w:p>
        </w:tc>
        <w:tc>
          <w:tcPr>
            <w:tcW w:type="dxa" w:w="3024"/>
          </w:tcPr>
          <w:p>
            <w:pPr>
              <w:spacing w:after="20"/>
              <w:jc w:val="right"/>
            </w:pPr>
            <w:r>
              <w:rPr>
                <w:color w:val="1C3A36"/>
                <w:sz w:val="16"/>
              </w:rPr>
              <w:t>18.89 vs 14.81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51.1%</w:t>
            </w:r>
          </w:p>
        </w:tc>
        <w:tc>
          <w:tcPr>
            <w:tcW w:type="dxa" w:w="3024"/>
          </w:tcPr>
          <w:p>
            <w:pPr>
              <w:spacing w:after="20"/>
              <w:jc w:val="right"/>
            </w:pPr>
            <w:r>
              <w:rPr>
                <w:color w:val="1C3A36"/>
                <w:sz w:val="16"/>
              </w:rPr>
              <w:t>18.89 vs 16.11</w:t>
            </w:r>
          </w:p>
        </w:tc>
      </w:tr>
    </w:tbl>
    <w:p>
      <w:pPr>
        <w:spacing w:after="40"/>
      </w:pPr>
    </w:p>
    <w:p>
      <w:pPr>
        <w:spacing w:after="200" w:before="0"/>
      </w:pPr>
      <w:r>
        <w:rPr>
          <w:b w:val="0"/>
          <w:i/>
          <w:color w:val="6E7B77"/>
          <w:sz w:val="17"/>
        </w:rPr>
        <w:t>Table 10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120" w:before="0"/>
      </w:pPr>
      <w:r>
        <w:rPr>
          <w:b w:val="0"/>
          <w:i w:val="0"/>
          <w:color w:val="1C3A36"/>
          <w:sz w:val="21"/>
        </w:rPr>
        <w:t>The risk-free rate deserves its own paragraph, because it is the input an external review of this study contested hardest and because the resolution runs against that review. There is no liquid ten-year dirham government point at all: the UAE federal curve's longest conventional Treasury bond matures in January 2031, and the ONLY federal tranche beyond it is a February-2033 Islamic Treasury Sukuk — a different instrument type, which an earlier edition of this study mislabelled as a bond. That sukuk has been sold twice. Its debut, in February 2026, cleared 3.779%. A second tap of the SAME instrument two months later cleared 4.13% — 35 basis points higher. The review argued for the debut print, which would put the cash-flow lens at AED 23.18 rather than AED 18.89, +23%. That is far too large to wave away, so it was re-derived from the issuer's own auction releases rather than argued about.</w:t>
      </w:r>
    </w:p>
    <w:p>
      <w:pPr>
        <w:spacing w:after="120" w:before="0"/>
      </w:pPr>
      <w:r>
        <w:rPr>
          <w:b w:val="0"/>
          <w:i w:val="0"/>
          <w:color w:val="1C3A36"/>
          <w:sz w:val="21"/>
        </w:rPr>
        <w:t>The debut print does not survive that re-derivation. It is five and a half months older than this study's anchor, the issuer's own re-offer of the identical instrument contradicted it, and the Jan-2031 bond moved 3.90% → 3.85% → 4.30% → 4.48% across the same window. Using a stale debut as the current risk-free rate would import a rate environment that had ceased to exist. The rate used therefore stays at the most recent primary print on the longest liquid tenor, 4.48% — but the honest observation is that the tenor choice is a genuine RANGE, not a point: the two defensible longer alternatives sit on either side of it, worth 1.92 and -0.99 a share, so both are published in the table above rather than one being selected. One further correction belongs here: the spread on that auction is read FROM the ministry's release, not quoted from it. The original sentence is malformed, covering two tranches at once, and an earlier edition of this study presented it as a clean quotation. It was not.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The centre cell reproduces the headline cash-flow lens exactly, which is the check a sensitivity grid has to pass before any other cell in it means anything. Note what the grid says as a whole: across the entire plausible range of terminal discount rate and terminal growth, every cell sits ABOVE the spot price of AED 12.30 — the lowest, at a 7.17% terminal cost of capital and 1.5% growth, still reads AED 13.2. For the market to be right on this lens, something outside this grid has to be wrong — the fiscal regime, the terminal multiple, or the cash flows themselves. Sections 1.7 and 4 take that seriously rather than treating the grid as vindication.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22.40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16.41</w:t>
            </w:r>
          </w:p>
        </w:tc>
        <w:tc>
          <w:tcPr>
            <w:tcW w:type="dxa" w:w="1008"/>
          </w:tcPr>
          <w:p>
            <w:pPr>
              <w:spacing w:after="20"/>
              <w:jc w:val="right"/>
            </w:pPr>
            <w:r>
              <w:rPr>
                <w:color w:val="1C3A36"/>
                <w:sz w:val="16"/>
              </w:rPr>
              <w:t>15.93</w:t>
            </w:r>
          </w:p>
        </w:tc>
        <w:tc>
          <w:tcPr>
            <w:tcW w:type="dxa" w:w="1008"/>
          </w:tcPr>
          <w:p>
            <w:pPr>
              <w:spacing w:after="20"/>
              <w:jc w:val="right"/>
            </w:pPr>
            <w:r>
              <w:rPr>
                <w:color w:val="1C3A36"/>
                <w:sz w:val="16"/>
              </w:rPr>
              <w:t>13.89</w:t>
            </w:r>
          </w:p>
        </w:tc>
        <w:tc>
          <w:tcPr>
            <w:tcW w:type="dxa" w:w="1008"/>
          </w:tcPr>
          <w:p>
            <w:pPr>
              <w:spacing w:after="20"/>
              <w:jc w:val="right"/>
            </w:pPr>
            <w:r>
              <w:rPr>
                <w:color w:val="1C3A36"/>
                <w:sz w:val="16"/>
              </w:rPr>
              <w:t>8.51</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20.23</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17.60</w:t>
            </w:r>
          </w:p>
        </w:tc>
        <w:tc>
          <w:tcPr>
            <w:tcW w:type="dxa" w:w="1008"/>
          </w:tcPr>
          <w:p>
            <w:pPr>
              <w:spacing w:after="20"/>
              <w:jc w:val="right"/>
            </w:pPr>
            <w:r>
              <w:rPr>
                <w:color w:val="1C3A36"/>
                <w:sz w:val="16"/>
              </w:rPr>
              <w:t>16.47</w:t>
            </w:r>
          </w:p>
        </w:tc>
        <w:tc>
          <w:tcPr>
            <w:tcW w:type="dxa" w:w="1008"/>
          </w:tcPr>
          <w:p>
            <w:pPr>
              <w:spacing w:after="20"/>
              <w:jc w:val="right"/>
            </w:pPr>
            <w:r>
              <w:rPr>
                <w:color w:val="1C3A36"/>
                <w:sz w:val="16"/>
              </w:rPr>
              <w:t>15.31</w:t>
            </w:r>
          </w:p>
        </w:tc>
        <w:tc>
          <w:tcPr>
            <w:tcW w:type="dxa" w:w="1008"/>
          </w:tcPr>
          <w:p>
            <w:pPr>
              <w:spacing w:after="20"/>
              <w:jc w:val="right"/>
            </w:pPr>
            <w:r>
              <w:rPr>
                <w:color w:val="1C3A36"/>
                <w:sz w:val="16"/>
              </w:rPr>
              <w:t>4.92</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16.00</w:t>
            </w:r>
          </w:p>
        </w:tc>
        <w:tc>
          <w:tcPr>
            <w:tcW w:type="dxa" w:w="1008"/>
          </w:tcPr>
          <w:p>
            <w:pPr>
              <w:spacing w:after="20"/>
              <w:jc w:val="right"/>
            </w:pPr>
            <w:r>
              <w:rPr>
                <w:color w:val="1C3A36"/>
                <w:sz w:val="16"/>
              </w:rPr>
              <w:t>17.45</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21.78</w:t>
            </w:r>
          </w:p>
        </w:tc>
        <w:tc>
          <w:tcPr>
            <w:tcW w:type="dxa" w:w="1008"/>
          </w:tcPr>
          <w:p>
            <w:pPr>
              <w:spacing w:after="20"/>
              <w:jc w:val="right"/>
            </w:pPr>
            <w:r>
              <w:rPr>
                <w:color w:val="1C3A36"/>
                <w:sz w:val="16"/>
              </w:rPr>
              <w:t>5.77</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17.95</w:t>
            </w:r>
          </w:p>
        </w:tc>
        <w:tc>
          <w:tcPr>
            <w:tcW w:type="dxa" w:w="1008"/>
          </w:tcPr>
          <w:p>
            <w:pPr>
              <w:spacing w:after="20"/>
              <w:jc w:val="right"/>
            </w:pPr>
            <w:r>
              <w:rPr>
                <w:color w:val="1C3A36"/>
                <w:sz w:val="16"/>
              </w:rPr>
              <w:t>18.42</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19.36</w:t>
            </w:r>
          </w:p>
        </w:tc>
        <w:tc>
          <w:tcPr>
            <w:tcW w:type="dxa" w:w="1008"/>
          </w:tcPr>
          <w:p>
            <w:pPr>
              <w:spacing w:after="20"/>
              <w:jc w:val="right"/>
            </w:pPr>
            <w:r>
              <w:rPr>
                <w:color w:val="1C3A36"/>
                <w:sz w:val="16"/>
              </w:rPr>
              <w:t>19.83</w:t>
            </w:r>
          </w:p>
        </w:tc>
        <w:tc>
          <w:tcPr>
            <w:tcW w:type="dxa" w:w="1008"/>
          </w:tcPr>
          <w:p>
            <w:pPr>
              <w:spacing w:after="20"/>
              <w:jc w:val="right"/>
            </w:pPr>
            <w:r>
              <w:rPr>
                <w:color w:val="1C3A36"/>
                <w:sz w:val="16"/>
              </w:rPr>
              <w:t>1.88</w:t>
            </w:r>
          </w:p>
        </w:tc>
      </w:tr>
      <w:tr>
        <w:tc>
          <w:tcPr>
            <w:tcW w:type="dxa" w:w="3744"/>
          </w:tcPr>
          <w:p>
            <w:pPr>
              <w:spacing w:after="20"/>
            </w:pPr>
            <w:r>
              <w:rPr>
                <w:color w:val="1C3A36"/>
                <w:sz w:val="16"/>
              </w:rPr>
              <w:t>Direct cost per unit (×)  (0.94 / 0.97 / 1.00 / 1.03 / 1.06)</w:t>
            </w:r>
          </w:p>
        </w:tc>
        <w:tc>
          <w:tcPr>
            <w:tcW w:type="dxa" w:w="1008"/>
          </w:tcPr>
          <w:p>
            <w:pPr>
              <w:spacing w:after="20"/>
              <w:jc w:val="right"/>
            </w:pPr>
            <w:r>
              <w:rPr>
                <w:color w:val="1C3A36"/>
                <w:sz w:val="16"/>
              </w:rPr>
              <w:t>20.08</w:t>
            </w:r>
          </w:p>
        </w:tc>
        <w:tc>
          <w:tcPr>
            <w:tcW w:type="dxa" w:w="1008"/>
          </w:tcPr>
          <w:p>
            <w:pPr>
              <w:spacing w:after="20"/>
              <w:jc w:val="right"/>
            </w:pPr>
            <w:r>
              <w:rPr>
                <w:color w:val="1C3A36"/>
                <w:sz w:val="16"/>
              </w:rPr>
              <w:t>19.48</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18.30</w:t>
            </w:r>
          </w:p>
        </w:tc>
        <w:tc>
          <w:tcPr>
            <w:tcW w:type="dxa" w:w="1008"/>
          </w:tcPr>
          <w:p>
            <w:pPr>
              <w:spacing w:after="20"/>
              <w:jc w:val="right"/>
            </w:pPr>
            <w:r>
              <w:rPr>
                <w:color w:val="1C3A36"/>
                <w:sz w:val="16"/>
              </w:rPr>
              <w:t>17.70</w:t>
            </w:r>
          </w:p>
        </w:tc>
        <w:tc>
          <w:tcPr>
            <w:tcW w:type="dxa" w:w="1008"/>
          </w:tcPr>
          <w:p>
            <w:pPr>
              <w:spacing w:after="20"/>
              <w:jc w:val="right"/>
            </w:pPr>
            <w:r>
              <w:rPr>
                <w:color w:val="1C3A36"/>
                <w:sz w:val="16"/>
              </w:rPr>
              <w:t>2.37</w:t>
            </w:r>
          </w:p>
        </w:tc>
      </w:tr>
      <w:tr>
        <w:tc>
          <w:tcPr>
            <w:tcW w:type="dxa" w:w="3744"/>
          </w:tcPr>
          <w:p>
            <w:pPr>
              <w:spacing w:after="20"/>
            </w:pPr>
            <w:r>
              <w:rPr>
                <w:color w:val="1C3A36"/>
                <w:sz w:val="16"/>
              </w:rPr>
              <w:t>Blended ARPU drift (%/yr)  (-2.5% / -1.5% / +0.0% / +0.5% / +1.0%)</w:t>
            </w:r>
          </w:p>
        </w:tc>
        <w:tc>
          <w:tcPr>
            <w:tcW w:type="dxa" w:w="1008"/>
          </w:tcPr>
          <w:p>
            <w:pPr>
              <w:spacing w:after="20"/>
              <w:jc w:val="right"/>
            </w:pPr>
            <w:r>
              <w:rPr>
                <w:color w:val="1C3A36"/>
                <w:sz w:val="16"/>
              </w:rPr>
              <w:t>15.47</w:t>
            </w:r>
          </w:p>
        </w:tc>
        <w:tc>
          <w:tcPr>
            <w:tcW w:type="dxa" w:w="1008"/>
          </w:tcPr>
          <w:p>
            <w:pPr>
              <w:spacing w:after="20"/>
              <w:jc w:val="right"/>
            </w:pPr>
            <w:r>
              <w:rPr>
                <w:color w:val="1C3A36"/>
                <w:sz w:val="16"/>
              </w:rPr>
              <w:t>16.81</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19.61</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4.86</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19.92</w:t>
            </w:r>
          </w:p>
        </w:tc>
        <w:tc>
          <w:tcPr>
            <w:tcW w:type="dxa" w:w="1008"/>
          </w:tcPr>
          <w:p>
            <w:pPr>
              <w:spacing w:after="20"/>
              <w:jc w:val="right"/>
            </w:pPr>
            <w:r>
              <w:rPr>
                <w:color w:val="1C3A36"/>
                <w:sz w:val="16"/>
              </w:rPr>
              <w:t>19.40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18.21</w:t>
            </w:r>
          </w:p>
        </w:tc>
        <w:tc>
          <w:tcPr>
            <w:tcW w:type="dxa" w:w="1008"/>
          </w:tcPr>
          <w:p>
            <w:pPr>
              <w:spacing w:after="20"/>
              <w:jc w:val="right"/>
            </w:pPr>
            <w:r>
              <w:rPr>
                <w:color w:val="1C3A36"/>
                <w:sz w:val="16"/>
              </w:rPr>
              <w:t>17.53</w:t>
            </w:r>
          </w:p>
        </w:tc>
        <w:tc>
          <w:tcPr>
            <w:tcW w:type="dxa" w:w="1008"/>
          </w:tcPr>
          <w:p>
            <w:pPr>
              <w:spacing w:after="20"/>
              <w:jc w:val="right"/>
            </w:pPr>
            <w:r>
              <w:rPr>
                <w:color w:val="1C3A36"/>
                <w:sz w:val="16"/>
              </w:rPr>
              <w:t>2.39</w:t>
            </w:r>
          </w:p>
        </w:tc>
      </w:tr>
      <w:tr>
        <w:tc>
          <w:tcPr>
            <w:tcW w:type="dxa" w:w="3744"/>
          </w:tcPr>
          <w:p>
            <w:pPr>
              <w:spacing w:after="20"/>
            </w:pPr>
            <w:r>
              <w:rPr>
                <w:color w:val="1C3A36"/>
                <w:sz w:val="16"/>
              </w:rPr>
              <w:t>Terminal ROIC  (18% / 22% / 27% / 30% / 34%)</w:t>
            </w:r>
          </w:p>
        </w:tc>
        <w:tc>
          <w:tcPr>
            <w:tcW w:type="dxa" w:w="1008"/>
          </w:tcPr>
          <w:p>
            <w:pPr>
              <w:spacing w:after="20"/>
              <w:jc w:val="right"/>
            </w:pPr>
            <w:r>
              <w:rPr>
                <w:color w:val="1C3A36"/>
                <w:sz w:val="16"/>
              </w:rPr>
              <w:t>18.04</w:t>
            </w:r>
          </w:p>
        </w:tc>
        <w:tc>
          <w:tcPr>
            <w:tcW w:type="dxa" w:w="1008"/>
          </w:tcPr>
          <w:p>
            <w:pPr>
              <w:spacing w:after="20"/>
              <w:jc w:val="right"/>
            </w:pPr>
            <w:r>
              <w:rPr>
                <w:color w:val="1C3A36"/>
                <w:sz w:val="16"/>
              </w:rPr>
              <w:t>18.49</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19.03</w:t>
            </w:r>
          </w:p>
        </w:tc>
        <w:tc>
          <w:tcPr>
            <w:tcW w:type="dxa" w:w="1008"/>
          </w:tcPr>
          <w:p>
            <w:pPr>
              <w:spacing w:after="20"/>
              <w:jc w:val="right"/>
            </w:pPr>
            <w:r>
              <w:rPr>
                <w:color w:val="1C3A36"/>
                <w:sz w:val="16"/>
              </w:rPr>
              <w:t>19.21</w:t>
            </w:r>
          </w:p>
        </w:tc>
        <w:tc>
          <w:tcPr>
            <w:tcW w:type="dxa" w:w="1008"/>
          </w:tcPr>
          <w:p>
            <w:pPr>
              <w:spacing w:after="20"/>
              <w:jc w:val="right"/>
            </w:pPr>
            <w:r>
              <w:rPr>
                <w:color w:val="1C3A36"/>
                <w:sz w:val="16"/>
              </w:rPr>
              <w:t>1.17</w:t>
            </w:r>
          </w:p>
        </w:tc>
      </w:tr>
    </w:tbl>
    <w:p>
      <w:pPr>
        <w:spacing w:after="40"/>
      </w:pPr>
    </w:p>
    <w:p>
      <w:pPr>
        <w:spacing w:after="200" w:before="0"/>
      </w:pPr>
      <w:r>
        <w:rPr>
          <w:b w:val="0"/>
          <w:i/>
          <w:color w:val="6E7B77"/>
          <w:sz w:val="17"/>
        </w:rPr>
        <w:t>Table 11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0"/>
      </w:pPr>
      <w:r>
        <w:rPr>
          <w:b w:val="0"/>
          <w:i w:val="0"/>
          <w:color w:val="1C3A36"/>
          <w:sz w:val="21"/>
        </w:rPr>
        <w:t>Two rows deserve a note. The ARPU-drift row is not a generic price sensitivity: it is the mix-exhaustion case set out in 1.6, and it is the largest operating downside in the study — AED 15.47 at -2.5% a year against AED 18.89 in the base. The direct-cost row now scales COST PER UNIT rather than a margin, so it is a driver rather than an assumption being nudged.</w:t>
      </w:r>
    </w:p>
    <w:p>
      <w:pPr>
        <w:spacing w:after="120" w:before="0"/>
      </w:pPr>
      <w:r>
        <w:rPr>
          <w:b w:val="0"/>
          <w:i w:val="0"/>
          <w:color w:val="1C3A36"/>
          <w:sz w:val="21"/>
        </w:rPr>
        <w:t>One further test belongs here, because an external review asked for it: what is revenue at the company's guided midpoint worth? The build lands at +4.3% against a guided 4-6%, so the +5.0% midpoint is worth about AED 107mn of FY2026 revenue. The answer depends less on the revenue than on HOW it is won. Won on price, with no incremental unit cost or capex behind it, the cash-flow lens reads AED 19.54; won on volume, carrying both, it reads AED 19.68. On the same five-year revenue the price route is worth AED 0.20 more per share than the volume route. The build deliberately stays below the midpoint: it is driven by the disclosed subscriber and ARPU paths, and reverse-engineering a forecast to a guidance number is the opposite of building it from the ground up.</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the last twelve months of trading.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+35.9%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18.89;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18.89; the two market-anchored lenses read AED 8.86 and AED 8.87; the book lens AED 14.12.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16.11); the measured beta understates the true risk of a single-market, single-licence operator (beta 0.80 alone takes the DCF to AED 13.89); or terminal reinvestment needs are heavier than 9.1% of profit. The central of AED 18.89 does NOT split the difference: it is the cash-flow lens, published with the cross-checks that disagree with it printed beside it at their own values, so a reader can judge the disagreement instead of receiving a number in which it has already been settled by a weight. An earlier edition of this study did settle it that way and reported AED 13.90, +13% against the price rather than the +54% this study actually holds — and the two market-anchored lenses that carried 45% of that blend are, as 1.4 shows, one reading of one multiple, not two.</w:t>
      </w:r>
    </w:p>
    <w:p>
      <w:pPr>
        <w:spacing w:after="120" w:before="0"/>
      </w:pPr>
      <w:r>
        <w:rPr>
          <w:b w:val="0"/>
          <w:i w:val="0"/>
          <w:color w:val="1C3A36"/>
          <w:sz w:val="21"/>
        </w:rPr>
        <w:t>An external review asked what those weights were worth, and it was right to. Priced against the blend this study published at the time, AED 13.90: moving the market-anchored family from 45% down to a quarter and giving the freed weight to the cash-flow lens read AED 15.91, and giving it to the book lens read AED 14.95 — up to 2.01 a share, and 0.95 between the two destinations. Not immaterial, and the answer was not to choose the weights better. The scheme is gone: the cash-flow lens IS the central at AED 18.89 and the other lenses are published beside it at their own values, so there is no weight left to set. The arithmetic above is kept as the record of what the retired construction did.</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18.89 versus AED 16.11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0.61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0.70; at the regional benchmark yield that alone is worth AED 14.24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18.89 sits OUTSIDE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Even at the cone's top, AED 15.32, the share would still sit -19% against this study's central and only just above the book floor of AED 14.12 — three months of price movement does not settle a disagreement of this size either way.</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83%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The flat ARPU path, and the risk hidden inside it. </w:t>
      </w:r>
      <w:r>
        <w:rPr>
          <w:color w:val="1C3A36"/>
          <w:sz w:val="21"/>
        </w:rPr>
        <w:t>The single most fragile revenue judgement in this study is that blended mobile ARPU holds roughly flat. Section 1.6 decomposes why: the flat reported figure is a postpaid mix tailwind worth about +2.6% set against per-leg price erosion of about -2.4%. Both must persist, and keep cancelling, for the path to hold. The mix shift came from a collapse in low-value visitor prepaid SIMs, and this study's own subscriber path assumes prepaid RECOVERS — which removes the tailwind and leaves the erosion exposed. Priced: the cash-flow lens falls to AED 15.62 (-17%). We cannot separate the two legs because du publishes no prepaid or postpaid ARPU, and solving for the ratio across all 21 available quarter pairs gives answers from -45× to 17× — so the gap is flagged, not filled.</w:t>
      </w:r>
    </w:p>
    <w:p>
      <w:pPr>
        <w:pStyle w:val="ListBullet"/>
        <w:spacing w:after="60"/>
      </w:pPr>
      <w:r>
        <w:rPr>
          <w:b/>
          <w:color w:val="1C3A36"/>
          <w:sz w:val="21"/>
        </w:rPr>
        <w:t xml:space="preserve">What we cannot build from the disclosure. </w:t>
      </w:r>
      <w:r>
        <w:rPr>
          <w:color w:val="1C3A36"/>
          <w:sz w:val="21"/>
        </w:rPr>
        <w:t>Wholesale and ICT direct costs carry a rate on their own revenue rather than a cost per unit, because no volume measure for either segment is disclosed anywhere in the filings. That is the weakest part of an otherwise per-unit cost build. The ICT rate is held flat rather than improving, which withdraws a data-centre-scale margin story the previous edition of this study carried: the disclosed series does not support a trend in either direction, and an unmeasurable story has no place in the model.</w:t>
      </w:r>
    </w:p>
    <w:p>
      <w:pPr>
        <w:pStyle w:val="ListBullet"/>
        <w:spacing w:after="60"/>
      </w:pPr>
      <w:r>
        <w:rPr>
          <w:b/>
          <w:color w:val="1C3A36"/>
          <w:sz w:val="21"/>
        </w:rPr>
        <w:t xml:space="preserve">The second half of 2026 is a forecast, not a print. </w:t>
      </w:r>
      <w:r>
        <w:rPr>
          <w:color w:val="1C3A36"/>
          <w:sz w:val="21"/>
        </w:rPr>
        <w:t>The FY2026E EBITDA margin of 47.8% sits above the company's own guided 46-47%, so the claim that has to stand up is the implied SECOND-HALF margin of 46.5%. The first half improved +2.1 points year on year; the implied second half improves only +1.3 points, so the forecast already assumes the year-on-year gain roughly halves. Reaching the guided midpoint would instead require a second-half margin of 43.9%, a year-on-year DETERIORATION against a first half that improved. Possible, and priced in 1.9 — but not what the filings point to.</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 quarter in which the postpaid share of the mobile base FALLS back toward 20% while blended ARPU follows it down — the mix-exhaustion case above; mobile interconnect cost per subscriber turning UP in a like-for-like half-year pair, which would remove the only cost tailwind in the build;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7,937</w:t>
            </w:r>
          </w:p>
        </w:tc>
        <w:tc>
          <w:tcPr>
            <w:tcW w:type="dxa" w:w="907"/>
            <w:shd w:val="clear" w:color="auto" w:fill="F6F1E6"/>
          </w:tcPr>
          <w:p>
            <w:pPr>
              <w:spacing w:after="20"/>
              <w:jc w:val="right"/>
            </w:pPr>
            <w:r>
              <w:rPr>
                <w:b/>
                <w:color w:val="1C3A36"/>
                <w:sz w:val="16"/>
              </w:rPr>
              <w:t>8,239</w:t>
            </w:r>
          </w:p>
        </w:tc>
        <w:tc>
          <w:tcPr>
            <w:tcW w:type="dxa" w:w="907"/>
            <w:shd w:val="clear" w:color="auto" w:fill="F6F1E6"/>
          </w:tcPr>
          <w:p>
            <w:pPr>
              <w:spacing w:after="20"/>
              <w:jc w:val="right"/>
            </w:pPr>
            <w:r>
              <w:rPr>
                <w:b/>
                <w:color w:val="1C3A36"/>
                <w:sz w:val="16"/>
              </w:rPr>
              <w:t>8,624</w:t>
            </w:r>
          </w:p>
        </w:tc>
        <w:tc>
          <w:tcPr>
            <w:tcW w:type="dxa" w:w="907"/>
            <w:shd w:val="clear" w:color="auto" w:fill="F6F1E6"/>
          </w:tcPr>
          <w:p>
            <w:pPr>
              <w:spacing w:after="20"/>
              <w:jc w:val="right"/>
            </w:pPr>
            <w:r>
              <w:rPr>
                <w:b/>
                <w:color w:val="1C3A36"/>
                <w:sz w:val="16"/>
              </w:rPr>
              <w:t>8,977</w:t>
            </w:r>
          </w:p>
        </w:tc>
        <w:tc>
          <w:tcPr>
            <w:tcW w:type="dxa" w:w="907"/>
            <w:shd w:val="clear" w:color="auto" w:fill="F6F1E6"/>
          </w:tcPr>
          <w:p>
            <w:pPr>
              <w:spacing w:after="20"/>
              <w:jc w:val="right"/>
            </w:pPr>
            <w:r>
              <w:rPr>
                <w:b/>
                <w:color w:val="1C3A36"/>
                <w:sz w:val="16"/>
              </w:rPr>
              <w:t>9,309</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5,702</w:t>
            </w:r>
          </w:p>
        </w:tc>
        <w:tc>
          <w:tcPr>
            <w:tcW w:type="dxa" w:w="907"/>
          </w:tcPr>
          <w:p>
            <w:pPr>
              <w:spacing w:after="20"/>
              <w:jc w:val="right"/>
            </w:pPr>
            <w:r>
              <w:rPr>
                <w:color w:val="1C3A36"/>
                <w:sz w:val="16"/>
              </w:rPr>
              <w:t>5,887</w:t>
            </w:r>
          </w:p>
        </w:tc>
        <w:tc>
          <w:tcPr>
            <w:tcW w:type="dxa" w:w="907"/>
          </w:tcPr>
          <w:p>
            <w:pPr>
              <w:spacing w:after="20"/>
              <w:jc w:val="right"/>
            </w:pPr>
            <w:r>
              <w:rPr>
                <w:color w:val="1C3A36"/>
                <w:sz w:val="16"/>
              </w:rPr>
              <w:t>6,176</w:t>
            </w:r>
          </w:p>
        </w:tc>
        <w:tc>
          <w:tcPr>
            <w:tcW w:type="dxa" w:w="907"/>
          </w:tcPr>
          <w:p>
            <w:pPr>
              <w:spacing w:after="20"/>
              <w:jc w:val="right"/>
            </w:pPr>
            <w:r>
              <w:rPr>
                <w:color w:val="1C3A36"/>
                <w:sz w:val="16"/>
              </w:rPr>
              <w:t>6,446</w:t>
            </w:r>
          </w:p>
        </w:tc>
        <w:tc>
          <w:tcPr>
            <w:tcW w:type="dxa" w:w="907"/>
          </w:tcPr>
          <w:p>
            <w:pPr>
              <w:spacing w:after="20"/>
              <w:jc w:val="right"/>
            </w:pPr>
            <w:r>
              <w:rPr>
                <w:color w:val="1C3A36"/>
                <w:sz w:val="16"/>
              </w:rPr>
              <w:t>6,727</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5,706</w:t>
            </w:r>
          </w:p>
        </w:tc>
        <w:tc>
          <w:tcPr>
            <w:tcW w:type="dxa" w:w="907"/>
          </w:tcPr>
          <w:p>
            <w:pPr>
              <w:spacing w:after="20"/>
              <w:jc w:val="right"/>
            </w:pPr>
            <w:r>
              <w:rPr>
                <w:color w:val="1C3A36"/>
                <w:sz w:val="16"/>
              </w:rPr>
              <w:t>5,884</w:t>
            </w:r>
          </w:p>
        </w:tc>
        <w:tc>
          <w:tcPr>
            <w:tcW w:type="dxa" w:w="907"/>
          </w:tcPr>
          <w:p>
            <w:pPr>
              <w:spacing w:after="20"/>
              <w:jc w:val="right"/>
            </w:pPr>
            <w:r>
              <w:rPr>
                <w:color w:val="1C3A36"/>
                <w:sz w:val="16"/>
              </w:rPr>
              <w:t>6,168</w:t>
            </w:r>
          </w:p>
        </w:tc>
        <w:tc>
          <w:tcPr>
            <w:tcW w:type="dxa" w:w="907"/>
          </w:tcPr>
          <w:p>
            <w:pPr>
              <w:spacing w:after="20"/>
              <w:jc w:val="right"/>
            </w:pPr>
            <w:r>
              <w:rPr>
                <w:color w:val="1C3A36"/>
                <w:sz w:val="16"/>
              </w:rPr>
              <w:t>6,438</w:t>
            </w:r>
          </w:p>
        </w:tc>
        <w:tc>
          <w:tcPr>
            <w:tcW w:type="dxa" w:w="907"/>
          </w:tcPr>
          <w:p>
            <w:pPr>
              <w:spacing w:after="20"/>
              <w:jc w:val="right"/>
            </w:pPr>
            <w:r>
              <w:rPr>
                <w:color w:val="1C3A36"/>
                <w:sz w:val="16"/>
              </w:rPr>
              <w:t>6,723</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-2,486</w:t>
            </w:r>
          </w:p>
        </w:tc>
        <w:tc>
          <w:tcPr>
            <w:tcW w:type="dxa" w:w="907"/>
            <w:shd w:val="clear" w:color="auto" w:fill="F6F1E6"/>
          </w:tcPr>
          <w:p>
            <w:pPr>
              <w:spacing w:after="20"/>
              <w:jc w:val="right"/>
            </w:pPr>
            <w:r>
              <w:rPr>
                <w:b/>
                <w:color w:val="1C3A36"/>
                <w:sz w:val="16"/>
              </w:rPr>
              <w:t>-2,564</w:t>
            </w:r>
          </w:p>
        </w:tc>
        <w:tc>
          <w:tcPr>
            <w:tcW w:type="dxa" w:w="907"/>
            <w:shd w:val="clear" w:color="auto" w:fill="F6F1E6"/>
          </w:tcPr>
          <w:p>
            <w:pPr>
              <w:spacing w:after="20"/>
              <w:jc w:val="right"/>
            </w:pPr>
            <w:r>
              <w:rPr>
                <w:b/>
                <w:color w:val="1C3A36"/>
                <w:sz w:val="16"/>
              </w:rPr>
              <w:t>-2,688</w:t>
            </w:r>
          </w:p>
        </w:tc>
        <w:tc>
          <w:tcPr>
            <w:tcW w:type="dxa" w:w="907"/>
            <w:shd w:val="clear" w:color="auto" w:fill="F6F1E6"/>
          </w:tcPr>
          <w:p>
            <w:pPr>
              <w:spacing w:after="20"/>
              <w:jc w:val="right"/>
            </w:pPr>
            <w:r>
              <w:rPr>
                <w:b/>
                <w:color w:val="1C3A36"/>
                <w:sz w:val="16"/>
              </w:rPr>
              <w:t>-2,805</w:t>
            </w:r>
          </w:p>
        </w:tc>
        <w:tc>
          <w:tcPr>
            <w:tcW w:type="dxa" w:w="907"/>
            <w:shd w:val="clear" w:color="auto" w:fill="F6F1E6"/>
          </w:tcPr>
          <w:p>
            <w:pPr>
              <w:spacing w:after="20"/>
              <w:jc w:val="right"/>
            </w:pPr>
            <w:r>
              <w:rPr>
                <w:b/>
                <w:color w:val="1C3A36"/>
                <w:sz w:val="16"/>
              </w:rPr>
              <w:t>-2,929</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3,220</w:t>
            </w:r>
          </w:p>
        </w:tc>
        <w:tc>
          <w:tcPr>
            <w:tcW w:type="dxa" w:w="907"/>
          </w:tcPr>
          <w:p>
            <w:pPr>
              <w:spacing w:after="20"/>
              <w:jc w:val="right"/>
            </w:pPr>
            <w:r>
              <w:rPr>
                <w:color w:val="1C3A36"/>
                <w:sz w:val="16"/>
              </w:rPr>
              <w:t>3,320</w:t>
            </w:r>
          </w:p>
        </w:tc>
        <w:tc>
          <w:tcPr>
            <w:tcW w:type="dxa" w:w="907"/>
          </w:tcPr>
          <w:p>
            <w:pPr>
              <w:spacing w:after="20"/>
              <w:jc w:val="right"/>
            </w:pPr>
            <w:r>
              <w:rPr>
                <w:color w:val="1C3A36"/>
                <w:sz w:val="16"/>
              </w:rPr>
              <w:t>3,481</w:t>
            </w:r>
          </w:p>
        </w:tc>
        <w:tc>
          <w:tcPr>
            <w:tcW w:type="dxa" w:w="907"/>
          </w:tcPr>
          <w:p>
            <w:pPr>
              <w:spacing w:after="20"/>
              <w:jc w:val="right"/>
            </w:pPr>
            <w:r>
              <w:rPr>
                <w:color w:val="1C3A36"/>
                <w:sz w:val="16"/>
              </w:rPr>
              <w:t>3,633</w:t>
            </w:r>
          </w:p>
        </w:tc>
        <w:tc>
          <w:tcPr>
            <w:tcW w:type="dxa" w:w="907"/>
          </w:tcPr>
          <w:p>
            <w:pPr>
              <w:spacing w:after="20"/>
              <w:jc w:val="right"/>
            </w:pPr>
            <w:r>
              <w:rPr>
                <w:color w:val="1C3A36"/>
                <w:sz w:val="16"/>
              </w:rPr>
              <w:t>3,794</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0.80</w:t>
            </w:r>
          </w:p>
        </w:tc>
        <w:tc>
          <w:tcPr>
            <w:tcW w:type="dxa" w:w="907"/>
          </w:tcPr>
          <w:p>
            <w:pPr>
              <w:spacing w:after="20"/>
              <w:jc w:val="right"/>
            </w:pPr>
            <w:r>
              <w:rPr>
                <w:color w:val="1C3A36"/>
                <w:sz w:val="16"/>
              </w:rPr>
              <w:t>0.84</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0.79</w:t>
            </w:r>
          </w:p>
        </w:tc>
        <w:tc>
          <w:tcPr>
            <w:tcW w:type="dxa" w:w="907"/>
          </w:tcPr>
          <w:p>
            <w:pPr>
              <w:spacing w:after="20"/>
              <w:jc w:val="right"/>
            </w:pPr>
            <w:r>
              <w:rPr>
                <w:color w:val="1C3A36"/>
                <w:sz w:val="16"/>
              </w:rPr>
              <w:t>0.82</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2,023</w:t>
            </w:r>
          </w:p>
        </w:tc>
        <w:tc>
          <w:tcPr>
            <w:tcW w:type="dxa" w:w="907"/>
          </w:tcPr>
          <w:p>
            <w:pPr>
              <w:spacing w:after="20"/>
              <w:jc w:val="right"/>
            </w:pPr>
            <w:r>
              <w:rPr>
                <w:color w:val="1C3A36"/>
                <w:sz w:val="16"/>
              </w:rPr>
              <w:t>1,899</w:t>
            </w:r>
          </w:p>
        </w:tc>
        <w:tc>
          <w:tcPr>
            <w:tcW w:type="dxa" w:w="907"/>
          </w:tcPr>
          <w:p>
            <w:pPr>
              <w:spacing w:after="20"/>
              <w:jc w:val="right"/>
            </w:pPr>
            <w:r>
              <w:rPr>
                <w:color w:val="1C3A36"/>
                <w:sz w:val="16"/>
              </w:rPr>
              <w:t>1,856</w:t>
            </w:r>
          </w:p>
        </w:tc>
        <w:tc>
          <w:tcPr>
            <w:tcW w:type="dxa" w:w="907"/>
          </w:tcPr>
          <w:p>
            <w:pPr>
              <w:spacing w:after="20"/>
              <w:jc w:val="right"/>
            </w:pPr>
            <w:r>
              <w:rPr>
                <w:color w:val="1C3A36"/>
                <w:sz w:val="16"/>
              </w:rPr>
              <w:t>1,979</w:t>
            </w:r>
          </w:p>
        </w:tc>
        <w:tc>
          <w:tcPr>
            <w:tcW w:type="dxa" w:w="907"/>
          </w:tcPr>
          <w:p>
            <w:pPr>
              <w:spacing w:after="20"/>
              <w:jc w:val="right"/>
            </w:pPr>
            <w:r>
              <w:rPr>
                <w:color w:val="1C3A36"/>
                <w:sz w:val="16"/>
              </w:rPr>
              <w:t>2,158</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10,213</w:t>
            </w:r>
          </w:p>
        </w:tc>
        <w:tc>
          <w:tcPr>
            <w:tcW w:type="dxa" w:w="907"/>
            <w:shd w:val="clear" w:color="auto" w:fill="F6F1E6"/>
          </w:tcPr>
          <w:p>
            <w:pPr>
              <w:spacing w:after="20"/>
              <w:jc w:val="right"/>
            </w:pPr>
            <w:r>
              <w:rPr>
                <w:b/>
                <w:color w:val="1C3A36"/>
                <w:sz w:val="16"/>
              </w:rPr>
              <w:t>10,279</w:t>
            </w:r>
          </w:p>
        </w:tc>
        <w:tc>
          <w:tcPr>
            <w:tcW w:type="dxa" w:w="907"/>
            <w:shd w:val="clear" w:color="auto" w:fill="F6F1E6"/>
          </w:tcPr>
          <w:p>
            <w:pPr>
              <w:spacing w:after="20"/>
              <w:jc w:val="right"/>
            </w:pPr>
            <w:r>
              <w:rPr>
                <w:b/>
                <w:color w:val="1C3A36"/>
                <w:sz w:val="16"/>
              </w:rPr>
              <w:t>10,349</w:t>
            </w:r>
          </w:p>
        </w:tc>
        <w:tc>
          <w:tcPr>
            <w:tcW w:type="dxa" w:w="907"/>
            <w:shd w:val="clear" w:color="auto" w:fill="F6F1E6"/>
          </w:tcPr>
          <w:p>
            <w:pPr>
              <w:spacing w:after="20"/>
              <w:jc w:val="right"/>
            </w:pPr>
            <w:r>
              <w:rPr>
                <w:b/>
                <w:color w:val="1C3A36"/>
                <w:sz w:val="16"/>
              </w:rPr>
              <w:t>10,421</w:t>
            </w:r>
          </w:p>
        </w:tc>
        <w:tc>
          <w:tcPr>
            <w:tcW w:type="dxa" w:w="907"/>
            <w:shd w:val="clear" w:color="auto" w:fill="F6F1E6"/>
          </w:tcPr>
          <w:p>
            <w:pPr>
              <w:spacing w:after="20"/>
              <w:jc w:val="right"/>
            </w:pPr>
            <w:r>
              <w:rPr>
                <w:b/>
                <w:color w:val="1C3A36"/>
                <w:sz w:val="16"/>
              </w:rPr>
              <w:t>10,497</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84</w:t>
            </w:r>
          </w:p>
        </w:tc>
        <w:tc>
          <w:tcPr>
            <w:tcW w:type="dxa" w:w="907"/>
          </w:tcPr>
          <w:p>
            <w:pPr>
              <w:spacing w:after="20"/>
              <w:jc w:val="right"/>
            </w:pPr>
            <w:r>
              <w:rPr>
                <w:color w:val="1C3A36"/>
                <w:sz w:val="16"/>
              </w:rPr>
              <w:t>-40</w:t>
            </w:r>
          </w:p>
        </w:tc>
        <w:tc>
          <w:tcPr>
            <w:tcW w:type="dxa" w:w="907"/>
          </w:tcPr>
          <w:p>
            <w:pPr>
              <w:spacing w:after="20"/>
              <w:jc w:val="right"/>
            </w:pPr>
            <w:r>
              <w:rPr>
                <w:color w:val="1C3A36"/>
                <w:sz w:val="16"/>
              </w:rPr>
              <w:t>-83</w:t>
            </w:r>
          </w:p>
        </w:tc>
        <w:tc>
          <w:tcPr>
            <w:tcW w:type="dxa" w:w="907"/>
          </w:tcPr>
          <w:p>
            <w:pPr>
              <w:spacing w:after="20"/>
              <w:jc w:val="right"/>
            </w:pPr>
            <w:r>
              <w:rPr>
                <w:color w:val="1C3A36"/>
                <w:sz w:val="16"/>
              </w:rPr>
              <w:t>40</w:t>
            </w:r>
          </w:p>
        </w:tc>
        <w:tc>
          <w:tcPr>
            <w:tcW w:type="dxa" w:w="907"/>
          </w:tcPr>
          <w:p>
            <w:pPr>
              <w:spacing w:after="20"/>
              <w:jc w:val="right"/>
            </w:pPr>
            <w:r>
              <w:rPr>
                <w:color w:val="1C3A36"/>
                <w:sz w:val="16"/>
              </w:rPr>
              <w:t>219</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10,497mn by FY2030E. The cash walk is the stress line: at a near-total payout plus the data-centre capex peak, cash and term deposits fall from AED 2,250mn to AED 2,158mn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16.11</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0.61/share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13.89</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cross-checks published beside the central in the summary table</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0.77</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i.e. at 31-Dec-2028 (EPS × multiple)</w:t>
            </w:r>
          </w:p>
        </w:tc>
        <w:tc>
          <w:tcPr>
            <w:tcW w:type="dxa" w:w="3312"/>
          </w:tcPr>
          <w:p>
            <w:pPr>
              <w:spacing w:after="20"/>
              <w:jc w:val="right"/>
            </w:pPr>
            <w:r>
              <w:rPr>
                <w:color w:val="1C3A36"/>
                <w:sz w:val="18"/>
              </w:rPr>
              <w:t>11.52</w:t>
            </w:r>
          </w:p>
        </w:tc>
      </w:tr>
      <w:tr>
        <w:tc>
          <w:tcPr>
            <w:tcW w:type="dxa" w:w="6192"/>
            <w:shd w:val="clear" w:color="auto" w:fill="F6F1E6"/>
          </w:tcPr>
          <w:p>
            <w:pPr>
              <w:spacing w:after="20"/>
            </w:pPr>
            <w:r>
              <w:rPr>
                <w:b/>
                <w:color w:val="1C3A36"/>
                <w:sz w:val="18"/>
              </w:rPr>
              <w:t>discounted 2.40 years — 31-Dec-2028 back to the anchor — at the 6.53% cost of equity</w:t>
            </w:r>
          </w:p>
        </w:tc>
        <w:tc>
          <w:tcPr>
            <w:tcW w:type="dxa" w:w="3312"/>
            <w:shd w:val="clear" w:color="auto" w:fill="F6F1E6"/>
          </w:tcPr>
          <w:p>
            <w:pPr>
              <w:spacing w:after="20"/>
              <w:jc w:val="right"/>
            </w:pPr>
            <w:r>
              <w:rPr>
                <w:b/>
                <w:color w:val="1C3A36"/>
                <w:sz w:val="18"/>
              </w:rPr>
              <w:t>9.89</w:t>
            </w:r>
          </w:p>
        </w:tc>
      </w:tr>
      <w:tr>
        <w:tc>
          <w:tcPr>
            <w:tcW w:type="dxa" w:w="6192"/>
          </w:tcPr>
          <w:p>
            <w:pPr>
              <w:spacing w:after="20"/>
            </w:pPr>
            <w:r>
              <w:rPr>
                <w:color w:val="1C3A36"/>
                <w:sz w:val="18"/>
              </w:rPr>
              <w:t>plus the present value of dividends receivable between the anchor and FY2028</w:t>
            </w:r>
          </w:p>
        </w:tc>
        <w:tc>
          <w:tcPr>
            <w:tcW w:type="dxa" w:w="3312"/>
          </w:tcPr>
          <w:p>
            <w:pPr>
              <w:spacing w:after="20"/>
              <w:jc w:val="right"/>
            </w:pPr>
            <w:r>
              <w:rPr>
                <w:color w:val="1C3A36"/>
                <w:sz w:val="18"/>
              </w:rPr>
              <w:t>1.64</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11.54</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9.56 – 13.19</w:t>
            </w:r>
          </w:p>
        </w:tc>
      </w:tr>
    </w:tbl>
    <w:p>
      <w:pPr>
        <w:spacing w:after="40"/>
      </w:pPr>
    </w:p>
    <w:p>
      <w:pPr>
        <w:spacing w:after="120" w:before="0"/>
      </w:pPr>
      <w:r>
        <w:rPr>
          <w:b w:val="0"/>
          <w:i w:val="0"/>
          <w:color w:val="1C3A36"/>
          <w:sz w:val="21"/>
        </w:rPr>
        <w:t>This construction was CORRECTED after external review, and the reviewer was right. The previous edition discounted two years from a 31-Dec-2025 base and then applied the same anchor-accretion factor the other lenses use, which nets to 1.40 years of discounting — a full year short of the 2.40 years that actually separate the anchor from the date these earnings arrive. Correcting the horizon on its own, though, changes almost nothing (AED 9.89) and would introduce a second, larger error: discounting a 2028 equity value straight to today silently discards the dividends paid in between, which for a company distributing essentially all of its earnings is worth AED 1.64 per share. Both defects sat in the same three lines. Fixed together, this lens moves from AED 9.88 to AED 11.54. The reviewer's premise was correct and their conclusion — that the lens was overstated — was wrong in sign.</w:t>
      </w:r>
    </w:p>
    <w:p>
      <w:pPr>
        <w:spacing w:after="120" w:before="0"/>
      </w:pPr>
      <w:r>
        <w:rPr>
          <w:b w:val="0"/>
          <w:i w:val="0"/>
          <w:color w:val="1C3A36"/>
          <w:sz w:val="21"/>
        </w:rPr>
        <w:t>Named sensitivity: the multiple. Each turn of the multiple is worth AED 0.66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0.70</w:t>
            </w:r>
          </w:p>
        </w:tc>
      </w:tr>
      <w:tr>
        <w:tc>
          <w:tcPr>
            <w:tcW w:type="dxa" w:w="6192"/>
          </w:tcPr>
          <w:p>
            <w:pPr>
              <w:spacing w:after="20"/>
            </w:pPr>
            <w:r>
              <w:rPr>
                <w:color w:val="1C3A36"/>
                <w:sz w:val="18"/>
              </w:rPr>
              <w:t>grown at 2.5% into a perpetuity at the terminal cost of equity 6.35%</w:t>
            </w:r>
          </w:p>
        </w:tc>
        <w:tc>
          <w:tcPr>
            <w:tcW w:type="dxa" w:w="3312"/>
          </w:tcPr>
          <w:p>
            <w:pPr>
              <w:spacing w:after="20"/>
              <w:jc w:val="right"/>
            </w:pPr>
            <w:r>
              <w:rPr>
                <w:color w:val="1C3A36"/>
                <w:sz w:val="18"/>
              </w:rPr>
              <w:t>18.52</w:t>
            </w:r>
          </w:p>
        </w:tc>
      </w:tr>
      <w:tr>
        <w:tc>
          <w:tcPr>
            <w:tcW w:type="dxa" w:w="6192"/>
          </w:tcPr>
          <w:p>
            <w:pPr>
              <w:spacing w:after="20"/>
            </w:pPr>
            <w:r>
              <w:rPr>
                <w:color w:val="1C3A36"/>
                <w:sz w:val="18"/>
              </w:rPr>
              <w:t>× the anchor accretion factor of 1.0387, as every other lens is rolled</w:t>
            </w:r>
          </w:p>
        </w:tc>
        <w:tc>
          <w:tcPr>
            <w:tcW w:type="dxa" w:w="3312"/>
          </w:tcPr>
          <w:p>
            <w:pPr>
              <w:spacing w:after="20"/>
              <w:jc w:val="right"/>
            </w:pPr>
            <w:r>
              <w:rPr>
                <w:color w:val="1C3A36"/>
                <w:sz w:val="18"/>
              </w:rPr>
              <w:t>19.23</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18.57</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9.84 – 21.55</w:t>
            </w:r>
          </w:p>
        </w:tc>
      </w:tr>
    </w:tbl>
    <w:p>
      <w:pPr>
        <w:spacing w:after="40"/>
      </w:pPr>
    </w:p>
    <w:p>
      <w:pPr>
        <w:spacing w:after="120" w:before="0"/>
      </w:pPr>
      <w:r>
        <w:rPr>
          <w:b w:val="0"/>
          <w:i w:val="0"/>
          <w:color w:val="1C3A36"/>
          <w:sz w:val="21"/>
        </w:rPr>
        <w:t>Named sensitivity: the growth-rate spread (Ke − g). At these levels each 50 basis points of spread is worth roughly AED 2.41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11,070</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60,033</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83,127</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18.46</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12.20 – 20.67</w:t>
            </w:r>
          </w:p>
        </w:tc>
      </w:tr>
    </w:tbl>
    <w:p>
      <w:pPr>
        <w:spacing w:after="40"/>
      </w:pPr>
    </w:p>
    <w:p>
      <w:pPr>
        <w:spacing w:after="120" w:before="0"/>
      </w:pPr>
      <w:r>
        <w:rPr>
          <w:b w:val="0"/>
          <w:i w:val="0"/>
          <w:color w:val="1C3A36"/>
          <w:sz w:val="21"/>
        </w:rPr>
        <w:t>The return spread behind it: forecast returns on capital of 26% / 26% / 26% / 26% / 27%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83%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11.54, Expert 2 at AED 18.57, Expert 3 at AED 18.46 — a panel median of AED 18.46.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(11.54) vs Expert 2 (18.57)</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7.04</w:t>
            </w:r>
          </w:p>
        </w:tc>
      </w:tr>
      <w:tr>
        <w:tc>
          <w:tcPr>
            <w:tcW w:type="dxa" w:w="3312"/>
          </w:tcPr>
          <w:p>
            <w:pPr>
              <w:spacing w:after="20"/>
            </w:pPr>
            <w:r>
              <w:rPr>
                <w:color w:val="1C3A36"/>
                <w:sz w:val="17"/>
              </w:rPr>
              <w:t>Expert 2 (18.57) vs Expert 3 (18.46)</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0.11</w:t>
            </w:r>
          </w:p>
        </w:tc>
      </w:tr>
      <w:tr>
        <w:tc>
          <w:tcPr>
            <w:tcW w:type="dxa" w:w="3312"/>
          </w:tcPr>
          <w:p>
            <w:pPr>
              <w:spacing w:after="20"/>
            </w:pPr>
            <w:r>
              <w:rPr>
                <w:color w:val="1C3A36"/>
                <w:sz w:val="17"/>
              </w:rPr>
              <w:t>Panel median vs the study's central (18.89)</w:t>
            </w:r>
          </w:p>
        </w:tc>
        <w:tc>
          <w:tcPr>
            <w:tcW w:type="dxa" w:w="4824"/>
          </w:tcPr>
          <w:p>
            <w:pPr>
              <w:spacing w:after="20"/>
              <w:jc w:val="right"/>
            </w:pPr>
            <w:r>
              <w:rPr>
                <w:color w:val="1C3A36"/>
                <w:sz w:val="17"/>
              </w:rPr>
              <w:t>both are cash-flow reads; the panel median sits a little below because two of its three members set the terminal on a market multiple rather than on the measured cost of capital</w:t>
            </w:r>
          </w:p>
        </w:tc>
        <w:tc>
          <w:tcPr>
            <w:tcW w:type="dxa" w:w="1944"/>
          </w:tcPr>
          <w:p>
            <w:pPr>
              <w:spacing w:after="20"/>
              <w:jc w:val="right"/>
            </w:pPr>
            <w:r>
              <w:rPr>
                <w:color w:val="1C3A36"/>
                <w:sz w:val="17"/>
              </w:rPr>
              <w:t>0.43</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