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87.82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87.82. Discount the hard-currency share of those same cash flows at a hard-currency cost of capital of about 11.3% and the same model produces EGP 81.73 — -37% against today's price, and -7%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28.81 – 133.87</w:t>
            </w:r>
          </w:p>
        </w:tc>
        <w:tc>
          <w:tcPr>
            <w:tcW w:type="dxa" w:w="1037"/>
          </w:tcPr>
          <w:p>
            <w:pPr>
              <w:spacing w:after="20"/>
              <w:jc w:val="right"/>
            </w:pPr>
            <w:r>
              <w:rPr>
                <w:color w:val="1C3A36"/>
                <w:sz w:val="17"/>
              </w:rPr>
              <w:t>87.82</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16.0×)</w:t>
            </w:r>
          </w:p>
        </w:tc>
        <w:tc>
          <w:tcPr>
            <w:tcW w:type="dxa" w:w="1656"/>
          </w:tcPr>
          <w:p>
            <w:pPr>
              <w:spacing w:after="20"/>
              <w:jc w:val="right"/>
            </w:pPr>
            <w:r>
              <w:rPr>
                <w:color w:val="1C3A36"/>
                <w:sz w:val="17"/>
              </w:rPr>
              <w:t>65.69 – 98.41</w:t>
            </w:r>
          </w:p>
        </w:tc>
        <w:tc>
          <w:tcPr>
            <w:tcW w:type="dxa" w:w="1037"/>
          </w:tcPr>
          <w:p>
            <w:pPr>
              <w:spacing w:after="20"/>
              <w:jc w:val="right"/>
            </w:pPr>
            <w:r>
              <w:rPr>
                <w:color w:val="1C3A36"/>
                <w:sz w:val="17"/>
              </w:rPr>
              <w:t>78.78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80.13 – 132.90</w:t>
            </w:r>
          </w:p>
        </w:tc>
        <w:tc>
          <w:tcPr>
            <w:tcW w:type="dxa" w:w="1037"/>
          </w:tcPr>
          <w:p>
            <w:pPr>
              <w:spacing w:after="20"/>
              <w:jc w:val="right"/>
            </w:pPr>
            <w:r>
              <w:rPr>
                <w:color w:val="1C3A36"/>
                <w:sz w:val="17"/>
              </w:rPr>
              <w:t>103.58</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31.26/share at a sustainable return on equity of 23.5%</w:t>
            </w:r>
          </w:p>
        </w:tc>
        <w:tc>
          <w:tcPr>
            <w:tcW w:type="dxa" w:w="1656"/>
          </w:tcPr>
          <w:p>
            <w:pPr>
              <w:spacing w:after="20"/>
              <w:jc w:val="right"/>
            </w:pPr>
            <w:r>
              <w:rPr>
                <w:color w:val="1C3A36"/>
                <w:sz w:val="17"/>
              </w:rPr>
              <w:t>36.90 – 76.22</w:t>
            </w:r>
          </w:p>
        </w:tc>
        <w:tc>
          <w:tcPr>
            <w:tcW w:type="dxa" w:w="1037"/>
          </w:tcPr>
          <w:p>
            <w:pPr>
              <w:spacing w:after="20"/>
              <w:jc w:val="right"/>
            </w:pPr>
            <w:r>
              <w:rPr>
                <w:color w:val="1C3A36"/>
                <w:sz w:val="17"/>
              </w:rPr>
              <w:t>66.66</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28.81 – 133.87</w:t>
            </w:r>
          </w:p>
        </w:tc>
        <w:tc>
          <w:tcPr>
            <w:tcW w:type="dxa" w:w="1037"/>
            <w:shd w:val="clear" w:color="auto" w:fill="F6F1E6"/>
          </w:tcPr>
          <w:p>
            <w:pPr>
              <w:spacing w:after="20"/>
              <w:jc w:val="right"/>
            </w:pPr>
            <w:r>
              <w:rPr>
                <w:b/>
                <w:color w:val="1C3A36"/>
                <w:sz w:val="17"/>
              </w:rPr>
              <w:t>87.82</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85.99</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81.73</w:t>
            </w:r>
          </w:p>
        </w:tc>
        <w:tc>
          <w:tcPr>
            <w:tcW w:type="dxa" w:w="907"/>
          </w:tcPr>
          <w:p>
            <w:pPr>
              <w:spacing w:after="20"/>
              <w:jc w:val="right"/>
            </w:pPr>
            <w:r>
              <w:rPr>
                <w:color w:val="1C3A36"/>
                <w:sz w:val="17"/>
              </w:rPr>
              <w:t>-37%</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33.66</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99.19</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2,139mn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278,116mn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22.8%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0.6426</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4,124</w:t>
            </w:r>
          </w:p>
        </w:tc>
        <w:tc>
          <w:tcPr>
            <w:tcW w:type="dxa" w:w="1426"/>
            <w:shd w:val="clear" w:color="auto" w:fill="F6F1E6"/>
          </w:tcPr>
          <w:p>
            <w:pPr>
              <w:spacing w:after="20"/>
              <w:jc w:val="right"/>
            </w:pPr>
            <w:r>
              <w:rPr>
                <w:b/>
                <w:color w:val="1C3A36"/>
                <w:sz w:val="17"/>
              </w:rPr>
              <w:t>6,013</w:t>
            </w:r>
          </w:p>
        </w:tc>
        <w:tc>
          <w:tcPr>
            <w:tcW w:type="dxa" w:w="1426"/>
            <w:shd w:val="clear" w:color="auto" w:fill="F6F1E6"/>
          </w:tcPr>
          <w:p>
            <w:pPr>
              <w:spacing w:after="20"/>
              <w:jc w:val="right"/>
            </w:pPr>
            <w:r>
              <w:rPr>
                <w:b/>
                <w:color w:val="1C3A36"/>
                <w:sz w:val="17"/>
              </w:rPr>
              <w:t>6,553</w:t>
            </w:r>
          </w:p>
        </w:tc>
        <w:tc>
          <w:tcPr>
            <w:tcW w:type="dxa" w:w="1426"/>
            <w:shd w:val="clear" w:color="auto" w:fill="F6F1E6"/>
          </w:tcPr>
          <w:p>
            <w:pPr>
              <w:spacing w:after="20"/>
              <w:jc w:val="right"/>
            </w:pPr>
            <w:r>
              <w:rPr>
                <w:b/>
                <w:color w:val="1C3A36"/>
                <w:sz w:val="17"/>
              </w:rPr>
              <w:t>6,786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0.6426</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4,124</w:t>
            </w:r>
          </w:p>
        </w:tc>
        <w:tc>
          <w:tcPr>
            <w:tcW w:type="dxa" w:w="893"/>
          </w:tcPr>
          <w:p>
            <w:pPr>
              <w:spacing w:after="20"/>
              <w:jc w:val="right"/>
            </w:pPr>
            <w:r>
              <w:rPr>
                <w:color w:val="1C3A36"/>
                <w:sz w:val="15"/>
              </w:rPr>
              <w:t>6,013</w:t>
            </w:r>
          </w:p>
        </w:tc>
        <w:tc>
          <w:tcPr>
            <w:tcW w:type="dxa" w:w="893"/>
          </w:tcPr>
          <w:p>
            <w:pPr>
              <w:spacing w:after="20"/>
              <w:jc w:val="right"/>
            </w:pPr>
            <w:r>
              <w:rPr>
                <w:color w:val="1C3A36"/>
                <w:sz w:val="15"/>
              </w:rPr>
              <w:t>6,553</w:t>
            </w:r>
          </w:p>
        </w:tc>
        <w:tc>
          <w:tcPr>
            <w:tcW w:type="dxa" w:w="893"/>
          </w:tcPr>
          <w:p>
            <w:pPr>
              <w:spacing w:after="20"/>
              <w:jc w:val="right"/>
            </w:pPr>
            <w:r>
              <w:rPr>
                <w:color w:val="1C3A36"/>
                <w:sz w:val="15"/>
              </w:rPr>
              <w:t>6,786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23,224</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492,768</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195,563</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218,787</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-19,832</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162,577</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75.99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87.82</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104.03</w:t>
            </w:r>
          </w:p>
        </w:tc>
        <w:tc>
          <w:tcPr>
            <w:tcW w:type="dxa" w:w="1483"/>
          </w:tcPr>
          <w:p>
            <w:pPr>
              <w:spacing w:after="20"/>
              <w:jc w:val="right"/>
            </w:pPr>
            <w:r>
              <w:rPr>
                <w:color w:val="1C3A36"/>
                <w:sz w:val="15"/>
              </w:rPr>
              <w:t>116.62</w:t>
            </w:r>
          </w:p>
        </w:tc>
        <w:tc>
          <w:tcPr>
            <w:tcW w:type="dxa" w:w="1483"/>
          </w:tcPr>
          <w:p>
            <w:pPr>
              <w:spacing w:after="20"/>
              <w:jc w:val="right"/>
            </w:pPr>
            <w:r>
              <w:rPr>
                <w:color w:val="1C3A36"/>
                <w:sz w:val="15"/>
              </w:rPr>
              <w:t>135.02</w:t>
            </w:r>
          </w:p>
        </w:tc>
        <w:tc>
          <w:tcPr>
            <w:tcW w:type="dxa" w:w="1483"/>
          </w:tcPr>
          <w:p>
            <w:pPr>
              <w:spacing w:after="20"/>
              <w:jc w:val="right"/>
            </w:pPr>
            <w:r>
              <w:rPr>
                <w:color w:val="1C3A36"/>
                <w:sz w:val="15"/>
              </w:rPr>
              <w:t>164.66</w:t>
            </w:r>
          </w:p>
        </w:tc>
        <w:tc>
          <w:tcPr>
            <w:tcW w:type="dxa" w:w="1483"/>
          </w:tcPr>
          <w:p>
            <w:pPr>
              <w:spacing w:after="20"/>
              <w:jc w:val="right"/>
            </w:pPr>
            <w:r>
              <w:rPr>
                <w:color w:val="1C3A36"/>
                <w:sz w:val="15"/>
              </w:rPr>
              <w:t>220.85</w:t>
            </w:r>
          </w:p>
        </w:tc>
      </w:tr>
      <w:tr>
        <w:tc>
          <w:tcPr>
            <w:tcW w:type="dxa" w:w="2232"/>
          </w:tcPr>
          <w:p>
            <w:pPr>
              <w:spacing w:after="20"/>
            </w:pPr>
            <w:r>
              <w:rPr>
                <w:color w:val="1C3A36"/>
                <w:sz w:val="15"/>
              </w:rPr>
              <w:t>14.34%</w:t>
            </w:r>
          </w:p>
        </w:tc>
        <w:tc>
          <w:tcPr>
            <w:tcW w:type="dxa" w:w="1483"/>
          </w:tcPr>
          <w:p>
            <w:pPr>
              <w:spacing w:after="20"/>
              <w:jc w:val="right"/>
            </w:pPr>
            <w:r>
              <w:rPr>
                <w:color w:val="1C3A36"/>
                <w:sz w:val="15"/>
              </w:rPr>
              <w:t>87.72</w:t>
            </w:r>
          </w:p>
        </w:tc>
        <w:tc>
          <w:tcPr>
            <w:tcW w:type="dxa" w:w="1483"/>
          </w:tcPr>
          <w:p>
            <w:pPr>
              <w:spacing w:after="20"/>
              <w:jc w:val="right"/>
            </w:pPr>
            <w:r>
              <w:rPr>
                <w:color w:val="1C3A36"/>
                <w:sz w:val="15"/>
              </w:rPr>
              <w:t>95.82</w:t>
            </w:r>
          </w:p>
        </w:tc>
        <w:tc>
          <w:tcPr>
            <w:tcW w:type="dxa" w:w="1483"/>
          </w:tcPr>
          <w:p>
            <w:pPr>
              <w:spacing w:after="20"/>
              <w:jc w:val="right"/>
            </w:pPr>
            <w:r>
              <w:rPr>
                <w:color w:val="1C3A36"/>
                <w:sz w:val="15"/>
              </w:rPr>
              <w:t>106.87</w:t>
            </w:r>
          </w:p>
        </w:tc>
        <w:tc>
          <w:tcPr>
            <w:tcW w:type="dxa" w:w="1483"/>
          </w:tcPr>
          <w:p>
            <w:pPr>
              <w:spacing w:after="20"/>
              <w:jc w:val="right"/>
            </w:pPr>
            <w:r>
              <w:rPr>
                <w:color w:val="1C3A36"/>
                <w:sz w:val="15"/>
              </w:rPr>
              <w:t>123.01</w:t>
            </w:r>
          </w:p>
        </w:tc>
        <w:tc>
          <w:tcPr>
            <w:tcW w:type="dxa" w:w="1483"/>
          </w:tcPr>
          <w:p>
            <w:pPr>
              <w:spacing w:after="20"/>
              <w:jc w:val="right"/>
            </w:pPr>
            <w:r>
              <w:rPr>
                <w:color w:val="1C3A36"/>
                <w:sz w:val="15"/>
              </w:rPr>
              <w:t>148.99</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75.42</w:t>
            </w:r>
          </w:p>
        </w:tc>
        <w:tc>
          <w:tcPr>
            <w:tcW w:type="dxa" w:w="1483"/>
            <w:shd w:val="clear" w:color="auto" w:fill="F6F1E6"/>
          </w:tcPr>
          <w:p>
            <w:pPr>
              <w:spacing w:after="20"/>
              <w:jc w:val="right"/>
            </w:pPr>
            <w:r>
              <w:rPr>
                <w:b/>
                <w:color w:val="1C3A36"/>
                <w:sz w:val="15"/>
              </w:rPr>
              <w:t>80.81</w:t>
            </w:r>
          </w:p>
        </w:tc>
        <w:tc>
          <w:tcPr>
            <w:tcW w:type="dxa" w:w="1483"/>
            <w:shd w:val="clear" w:color="auto" w:fill="F6F1E6"/>
          </w:tcPr>
          <w:p>
            <w:pPr>
              <w:spacing w:after="20"/>
              <w:jc w:val="right"/>
            </w:pPr>
            <w:r>
              <w:rPr>
                <w:b/>
                <w:color w:val="1C3A36"/>
                <w:sz w:val="15"/>
              </w:rPr>
              <w:t>87.82</w:t>
            </w:r>
          </w:p>
        </w:tc>
        <w:tc>
          <w:tcPr>
            <w:tcW w:type="dxa" w:w="1483"/>
            <w:shd w:val="clear" w:color="auto" w:fill="F6F1E6"/>
          </w:tcPr>
          <w:p>
            <w:pPr>
              <w:spacing w:after="20"/>
              <w:jc w:val="right"/>
            </w:pPr>
            <w:r>
              <w:rPr>
                <w:b/>
                <w:color w:val="1C3A36"/>
                <w:sz w:val="15"/>
              </w:rPr>
              <w:t>97.39</w:t>
            </w:r>
          </w:p>
        </w:tc>
        <w:tc>
          <w:tcPr>
            <w:tcW w:type="dxa" w:w="1483"/>
            <w:shd w:val="clear" w:color="auto" w:fill="F6F1E6"/>
          </w:tcPr>
          <w:p>
            <w:pPr>
              <w:spacing w:after="20"/>
              <w:jc w:val="right"/>
            </w:pPr>
            <w:r>
              <w:rPr>
                <w:b/>
                <w:color w:val="1C3A36"/>
                <w:sz w:val="15"/>
              </w:rPr>
              <w:t>111.34</w:t>
            </w:r>
          </w:p>
        </w:tc>
      </w:tr>
      <w:tr>
        <w:tc>
          <w:tcPr>
            <w:tcW w:type="dxa" w:w="2232"/>
          </w:tcPr>
          <w:p>
            <w:pPr>
              <w:spacing w:after="20"/>
            </w:pPr>
            <w:r>
              <w:rPr>
                <w:color w:val="1C3A36"/>
                <w:sz w:val="15"/>
              </w:rPr>
              <w:t>16.34%</w:t>
            </w:r>
          </w:p>
        </w:tc>
        <w:tc>
          <w:tcPr>
            <w:tcW w:type="dxa" w:w="1483"/>
          </w:tcPr>
          <w:p>
            <w:pPr>
              <w:spacing w:after="20"/>
              <w:jc w:val="right"/>
            </w:pPr>
            <w:r>
              <w:rPr>
                <w:color w:val="1C3A36"/>
                <w:sz w:val="15"/>
              </w:rPr>
              <w:t>65.80</w:t>
            </w:r>
          </w:p>
        </w:tc>
        <w:tc>
          <w:tcPr>
            <w:tcW w:type="dxa" w:w="1483"/>
          </w:tcPr>
          <w:p>
            <w:pPr>
              <w:spacing w:after="20"/>
              <w:jc w:val="right"/>
            </w:pPr>
            <w:r>
              <w:rPr>
                <w:color w:val="1C3A36"/>
                <w:sz w:val="15"/>
              </w:rPr>
              <w:t>69.48</w:t>
            </w:r>
          </w:p>
        </w:tc>
        <w:tc>
          <w:tcPr>
            <w:tcW w:type="dxa" w:w="1483"/>
          </w:tcPr>
          <w:p>
            <w:pPr>
              <w:spacing w:after="20"/>
              <w:jc w:val="right"/>
            </w:pPr>
            <w:r>
              <w:rPr>
                <w:color w:val="1C3A36"/>
                <w:sz w:val="15"/>
              </w:rPr>
              <w:t>74.08</w:t>
            </w:r>
          </w:p>
        </w:tc>
        <w:tc>
          <w:tcPr>
            <w:tcW w:type="dxa" w:w="1483"/>
          </w:tcPr>
          <w:p>
            <w:pPr>
              <w:spacing w:after="20"/>
              <w:jc w:val="right"/>
            </w:pPr>
            <w:r>
              <w:rPr>
                <w:color w:val="1C3A36"/>
                <w:sz w:val="15"/>
              </w:rPr>
              <w:t>80.05</w:t>
            </w:r>
          </w:p>
        </w:tc>
        <w:tc>
          <w:tcPr>
            <w:tcW w:type="dxa" w:w="1483"/>
          </w:tcPr>
          <w:p>
            <w:pPr>
              <w:spacing w:after="20"/>
              <w:jc w:val="right"/>
            </w:pPr>
            <w:r>
              <w:rPr>
                <w:color w:val="1C3A36"/>
                <w:sz w:val="15"/>
              </w:rPr>
              <w:t>88.17</w:t>
            </w:r>
          </w:p>
        </w:tc>
      </w:tr>
      <w:tr>
        <w:tc>
          <w:tcPr>
            <w:tcW w:type="dxa" w:w="2232"/>
          </w:tcPr>
          <w:p>
            <w:pPr>
              <w:spacing w:after="20"/>
            </w:pPr>
            <w:r>
              <w:rPr>
                <w:color w:val="1C3A36"/>
                <w:sz w:val="15"/>
              </w:rPr>
              <w:t>17.34%</w:t>
            </w:r>
          </w:p>
        </w:tc>
        <w:tc>
          <w:tcPr>
            <w:tcW w:type="dxa" w:w="1483"/>
          </w:tcPr>
          <w:p>
            <w:pPr>
              <w:spacing w:after="20"/>
              <w:jc w:val="right"/>
            </w:pPr>
            <w:r>
              <w:rPr>
                <w:color w:val="1C3A36"/>
                <w:sz w:val="15"/>
              </w:rPr>
              <w:t>58.09</w:t>
            </w:r>
          </w:p>
        </w:tc>
        <w:tc>
          <w:tcPr>
            <w:tcW w:type="dxa" w:w="1483"/>
          </w:tcPr>
          <w:p>
            <w:pPr>
              <w:spacing w:after="20"/>
              <w:jc w:val="right"/>
            </w:pPr>
            <w:r>
              <w:rPr>
                <w:color w:val="1C3A36"/>
                <w:sz w:val="15"/>
              </w:rPr>
              <w:t>60.63</w:t>
            </w:r>
          </w:p>
        </w:tc>
        <w:tc>
          <w:tcPr>
            <w:tcW w:type="dxa" w:w="1483"/>
          </w:tcPr>
          <w:p>
            <w:pPr>
              <w:spacing w:after="20"/>
              <w:jc w:val="right"/>
            </w:pPr>
            <w:r>
              <w:rPr>
                <w:color w:val="1C3A36"/>
                <w:sz w:val="15"/>
              </w:rPr>
              <w:t>63.70</w:t>
            </w:r>
          </w:p>
        </w:tc>
        <w:tc>
          <w:tcPr>
            <w:tcW w:type="dxa" w:w="1483"/>
          </w:tcPr>
          <w:p>
            <w:pPr>
              <w:spacing w:after="20"/>
              <w:jc w:val="right"/>
            </w:pPr>
            <w:r>
              <w:rPr>
                <w:color w:val="1C3A36"/>
                <w:sz w:val="15"/>
              </w:rPr>
              <w:t>67.53</w:t>
            </w:r>
          </w:p>
        </w:tc>
        <w:tc>
          <w:tcPr>
            <w:tcW w:type="dxa" w:w="1483"/>
          </w:tcPr>
          <w:p>
            <w:pPr>
              <w:spacing w:after="20"/>
              <w:jc w:val="right"/>
            </w:pPr>
            <w:r>
              <w:rPr>
                <w:color w:val="1C3A36"/>
                <w:sz w:val="15"/>
              </w:rPr>
              <w:t>72.48</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87.82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23,224</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195,563</w:t>
            </w:r>
          </w:p>
        </w:tc>
        <w:tc>
          <w:tcPr>
            <w:tcW w:type="dxa" w:w="4896"/>
          </w:tcPr>
          <w:p>
            <w:pPr>
              <w:spacing w:after="20"/>
              <w:jc w:val="right"/>
            </w:pPr>
            <w:r>
              <w:rPr>
                <w:color w:val="1C3A36"/>
                <w:sz w:val="16"/>
              </w:rPr>
              <w:t>the terminal cash flow capitalised at 15.3% − 9% = 492,768,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218,787</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(19,832)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(22,575)</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162,577</w:t>
            </w:r>
          </w:p>
        </w:tc>
        <w:tc>
          <w:tcPr>
            <w:tcW w:type="dxa" w:w="4896"/>
          </w:tcPr>
          <w:p>
            <w:pPr>
              <w:spacing w:after="20"/>
              <w:jc w:val="right"/>
            </w:pPr>
            <w:r>
              <w:rPr>
                <w:color w:val="1C3A36"/>
                <w:sz w:val="16"/>
              </w:rPr>
              <w:t>EGP 75.99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87.82</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31.26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36.90.) That gives 1.9× book, or EGP 66.66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298,676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16.0×</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31.26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(-3,872)</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78.78</w:t>
            </w:r>
          </w:p>
        </w:tc>
        <w:tc>
          <w:tcPr>
            <w:tcW w:type="dxa" w:w="5688"/>
          </w:tcPr>
          <w:p>
            <w:pPr>
              <w:spacing w:after="20"/>
              <w:jc w:val="right"/>
            </w:pPr>
            <w:r>
              <w:rPr>
                <w:color w:val="1C3A36"/>
                <w:sz w:val="17"/>
              </w:rPr>
              <w:t>bear 65.69 at 5.5× / bull 98.41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144.02 per share instead of 78.78 — a EGP 65.24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9.93</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103.58</w:t>
            </w:r>
          </w:p>
        </w:tc>
      </w:tr>
    </w:tbl>
    <w:p>
      <w:pPr>
        <w:spacing w:after="40"/>
      </w:pPr>
    </w:p>
    <w:p>
      <w:pPr>
        <w:spacing w:after="200" w:before="0"/>
      </w:pPr>
      <w:r>
        <w:rPr>
          <w:b w:val="0"/>
          <w:i/>
          <w:color w:val="6E7B77"/>
          <w:sz w:val="17"/>
        </w:rPr>
        <w:t>Bear 80.13 at 7.0× and bull 132.90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28.81</w:t>
            </w:r>
          </w:p>
        </w:tc>
        <w:tc>
          <w:tcPr>
            <w:tcW w:type="dxa" w:w="1238"/>
          </w:tcPr>
          <w:p>
            <w:pPr>
              <w:spacing w:after="20"/>
              <w:jc w:val="right"/>
            </w:pPr>
            <w:r>
              <w:rPr>
                <w:color w:val="1C3A36"/>
                <w:sz w:val="17"/>
              </w:rPr>
              <w:t>87.82</w:t>
            </w:r>
          </w:p>
        </w:tc>
        <w:tc>
          <w:tcPr>
            <w:tcW w:type="dxa" w:w="1238"/>
          </w:tcPr>
          <w:p>
            <w:pPr>
              <w:spacing w:after="20"/>
              <w:jc w:val="right"/>
            </w:pPr>
            <w:r>
              <w:rPr>
                <w:color w:val="1C3A36"/>
                <w:sz w:val="17"/>
              </w:rPr>
              <w:t>133.87</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65.69</w:t>
            </w:r>
          </w:p>
        </w:tc>
        <w:tc>
          <w:tcPr>
            <w:tcW w:type="dxa" w:w="1238"/>
          </w:tcPr>
          <w:p>
            <w:pPr>
              <w:spacing w:after="20"/>
              <w:jc w:val="right"/>
            </w:pPr>
            <w:r>
              <w:rPr>
                <w:color w:val="1C3A36"/>
                <w:sz w:val="17"/>
              </w:rPr>
              <w:t>78.78</w:t>
            </w:r>
          </w:p>
        </w:tc>
        <w:tc>
          <w:tcPr>
            <w:tcW w:type="dxa" w:w="1238"/>
          </w:tcPr>
          <w:p>
            <w:pPr>
              <w:spacing w:after="20"/>
              <w:jc w:val="right"/>
            </w:pPr>
            <w:r>
              <w:rPr>
                <w:color w:val="1C3A36"/>
                <w:sz w:val="17"/>
              </w:rPr>
              <w:t>98.41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80.13</w:t>
            </w:r>
          </w:p>
        </w:tc>
        <w:tc>
          <w:tcPr>
            <w:tcW w:type="dxa" w:w="1238"/>
          </w:tcPr>
          <w:p>
            <w:pPr>
              <w:spacing w:after="20"/>
              <w:jc w:val="right"/>
            </w:pPr>
            <w:r>
              <w:rPr>
                <w:color w:val="1C3A36"/>
                <w:sz w:val="17"/>
              </w:rPr>
              <w:t>103.58</w:t>
            </w:r>
          </w:p>
        </w:tc>
        <w:tc>
          <w:tcPr>
            <w:tcW w:type="dxa" w:w="1238"/>
          </w:tcPr>
          <w:p>
            <w:pPr>
              <w:spacing w:after="20"/>
              <w:jc w:val="right"/>
            </w:pPr>
            <w:r>
              <w:rPr>
                <w:color w:val="1C3A36"/>
                <w:sz w:val="17"/>
              </w:rPr>
              <w:t>132.90</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36.90</w:t>
            </w:r>
          </w:p>
        </w:tc>
        <w:tc>
          <w:tcPr>
            <w:tcW w:type="dxa" w:w="1238"/>
          </w:tcPr>
          <w:p>
            <w:pPr>
              <w:spacing w:after="20"/>
              <w:jc w:val="right"/>
            </w:pPr>
            <w:r>
              <w:rPr>
                <w:color w:val="1C3A36"/>
                <w:sz w:val="17"/>
              </w:rPr>
              <w:t>66.66</w:t>
            </w:r>
          </w:p>
        </w:tc>
        <w:tc>
          <w:tcPr>
            <w:tcW w:type="dxa" w:w="1238"/>
          </w:tcPr>
          <w:p>
            <w:pPr>
              <w:spacing w:after="20"/>
              <w:jc w:val="right"/>
            </w:pPr>
            <w:r>
              <w:rPr>
                <w:color w:val="1C3A36"/>
                <w:sz w:val="17"/>
              </w:rPr>
              <w:t>76.22</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28.81</w:t>
            </w:r>
          </w:p>
        </w:tc>
        <w:tc>
          <w:tcPr>
            <w:tcW w:type="dxa" w:w="1238"/>
            <w:shd w:val="clear" w:color="auto" w:fill="F6F1E6"/>
          </w:tcPr>
          <w:p>
            <w:pPr>
              <w:spacing w:after="20"/>
              <w:jc w:val="right"/>
            </w:pPr>
            <w:r>
              <w:rPr>
                <w:b/>
                <w:color w:val="1C3A36"/>
                <w:sz w:val="17"/>
              </w:rPr>
              <w:t>87.82</w:t>
            </w:r>
          </w:p>
        </w:tc>
        <w:tc>
          <w:tcPr>
            <w:tcW w:type="dxa" w:w="1238"/>
            <w:shd w:val="clear" w:color="auto" w:fill="F6F1E6"/>
          </w:tcPr>
          <w:p>
            <w:pPr>
              <w:spacing w:after="20"/>
              <w:jc w:val="right"/>
            </w:pPr>
            <w:r>
              <w:rPr>
                <w:b/>
                <w:color w:val="1C3A36"/>
                <w:sz w:val="17"/>
              </w:rPr>
              <w:t>133.87</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85.99</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87.82, and the market-anchored reads are published beside it at their own values so a reader can judge the disagreement rather than receive a number in which it has already been settled by a weight. An earlier edition did settle it that way and reported EGP 85.99,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3.42-3.66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33.66 (against 87.82)</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54.16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99.19 (11.37)</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(18.4%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87.38 (-0.45)</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33.66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143.02</w:t>
            </w:r>
          </w:p>
        </w:tc>
        <w:tc>
          <w:tcPr>
            <w:tcW w:type="dxa" w:w="1541"/>
          </w:tcPr>
          <w:p>
            <w:pPr>
              <w:spacing w:after="20"/>
              <w:jc w:val="right"/>
            </w:pPr>
            <w:r>
              <w:rPr>
                <w:color w:val="1C3A36"/>
                <w:sz w:val="16"/>
              </w:rPr>
              <w:t>138.95</w:t>
            </w:r>
          </w:p>
        </w:tc>
        <w:tc>
          <w:tcPr>
            <w:tcW w:type="dxa" w:w="1541"/>
          </w:tcPr>
          <w:p>
            <w:pPr>
              <w:spacing w:after="20"/>
              <w:jc w:val="right"/>
            </w:pPr>
            <w:r>
              <w:rPr>
                <w:color w:val="1C3A36"/>
                <w:sz w:val="16"/>
              </w:rPr>
              <w:t>135.02</w:t>
            </w:r>
          </w:p>
        </w:tc>
        <w:tc>
          <w:tcPr>
            <w:tcW w:type="dxa" w:w="1541"/>
          </w:tcPr>
          <w:p>
            <w:pPr>
              <w:spacing w:after="20"/>
              <w:jc w:val="right"/>
            </w:pPr>
            <w:r>
              <w:rPr>
                <w:color w:val="1C3A36"/>
                <w:sz w:val="16"/>
              </w:rPr>
              <w:t>131.23</w:t>
            </w:r>
          </w:p>
        </w:tc>
        <w:tc>
          <w:tcPr>
            <w:tcW w:type="dxa" w:w="1541"/>
          </w:tcPr>
          <w:p>
            <w:pPr>
              <w:spacing w:after="20"/>
              <w:jc w:val="right"/>
            </w:pPr>
            <w:r>
              <w:rPr>
                <w:color w:val="1C3A36"/>
                <w:sz w:val="16"/>
              </w:rPr>
              <w:t>127.56</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113.28</w:t>
            </w:r>
          </w:p>
        </w:tc>
        <w:tc>
          <w:tcPr>
            <w:tcW w:type="dxa" w:w="1541"/>
          </w:tcPr>
          <w:p>
            <w:pPr>
              <w:spacing w:after="20"/>
              <w:jc w:val="right"/>
            </w:pPr>
            <w:r>
              <w:rPr>
                <w:color w:val="1C3A36"/>
                <w:sz w:val="16"/>
              </w:rPr>
              <w:t>110.02</w:t>
            </w:r>
          </w:p>
        </w:tc>
        <w:tc>
          <w:tcPr>
            <w:tcW w:type="dxa" w:w="1541"/>
          </w:tcPr>
          <w:p>
            <w:pPr>
              <w:spacing w:after="20"/>
              <w:jc w:val="right"/>
            </w:pPr>
            <w:r>
              <w:rPr>
                <w:color w:val="1C3A36"/>
                <w:sz w:val="16"/>
              </w:rPr>
              <w:t>106.87</w:t>
            </w:r>
          </w:p>
        </w:tc>
        <w:tc>
          <w:tcPr>
            <w:tcW w:type="dxa" w:w="1541"/>
          </w:tcPr>
          <w:p>
            <w:pPr>
              <w:spacing w:after="20"/>
              <w:jc w:val="right"/>
            </w:pPr>
            <w:r>
              <w:rPr>
                <w:color w:val="1C3A36"/>
                <w:sz w:val="16"/>
              </w:rPr>
              <w:t>103.84</w:t>
            </w:r>
          </w:p>
        </w:tc>
        <w:tc>
          <w:tcPr>
            <w:tcW w:type="dxa" w:w="1541"/>
          </w:tcPr>
          <w:p>
            <w:pPr>
              <w:spacing w:after="20"/>
              <w:jc w:val="right"/>
            </w:pPr>
            <w:r>
              <w:rPr>
                <w:color w:val="1C3A36"/>
                <w:sz w:val="16"/>
              </w:rPr>
              <w:t>100.91</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93.15</w:t>
            </w:r>
          </w:p>
        </w:tc>
        <w:tc>
          <w:tcPr>
            <w:tcW w:type="dxa" w:w="1541"/>
          </w:tcPr>
          <w:p>
            <w:pPr>
              <w:spacing w:after="20"/>
              <w:jc w:val="right"/>
            </w:pPr>
            <w:r>
              <w:rPr>
                <w:color w:val="1C3A36"/>
                <w:sz w:val="16"/>
              </w:rPr>
              <w:t>90.44</w:t>
            </w:r>
          </w:p>
        </w:tc>
        <w:tc>
          <w:tcPr>
            <w:tcW w:type="dxa" w:w="1541"/>
          </w:tcPr>
          <w:p>
            <w:pPr>
              <w:spacing w:after="20"/>
              <w:jc w:val="right"/>
            </w:pPr>
            <w:r>
              <w:rPr>
                <w:color w:val="1C3A36"/>
                <w:sz w:val="16"/>
              </w:rPr>
              <w:t>87.82</w:t>
            </w:r>
          </w:p>
        </w:tc>
        <w:tc>
          <w:tcPr>
            <w:tcW w:type="dxa" w:w="1541"/>
          </w:tcPr>
          <w:p>
            <w:pPr>
              <w:spacing w:after="20"/>
              <w:jc w:val="right"/>
            </w:pPr>
            <w:r>
              <w:rPr>
                <w:color w:val="1C3A36"/>
                <w:sz w:val="16"/>
              </w:rPr>
              <w:t>85.30</w:t>
            </w:r>
          </w:p>
        </w:tc>
        <w:tc>
          <w:tcPr>
            <w:tcW w:type="dxa" w:w="1541"/>
          </w:tcPr>
          <w:p>
            <w:pPr>
              <w:spacing w:after="20"/>
              <w:jc w:val="right"/>
            </w:pPr>
            <w:r>
              <w:rPr>
                <w:color w:val="1C3A36"/>
                <w:sz w:val="16"/>
              </w:rPr>
              <w:t>82.86</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78.63</w:t>
            </w:r>
          </w:p>
        </w:tc>
        <w:tc>
          <w:tcPr>
            <w:tcW w:type="dxa" w:w="1541"/>
          </w:tcPr>
          <w:p>
            <w:pPr>
              <w:spacing w:after="20"/>
              <w:jc w:val="right"/>
            </w:pPr>
            <w:r>
              <w:rPr>
                <w:color w:val="1C3A36"/>
                <w:sz w:val="16"/>
              </w:rPr>
              <w:t>76.31</w:t>
            </w:r>
          </w:p>
        </w:tc>
        <w:tc>
          <w:tcPr>
            <w:tcW w:type="dxa" w:w="1541"/>
          </w:tcPr>
          <w:p>
            <w:pPr>
              <w:spacing w:after="20"/>
              <w:jc w:val="right"/>
            </w:pPr>
            <w:r>
              <w:rPr>
                <w:color w:val="1C3A36"/>
                <w:sz w:val="16"/>
              </w:rPr>
              <w:t>74.08</w:t>
            </w:r>
          </w:p>
        </w:tc>
        <w:tc>
          <w:tcPr>
            <w:tcW w:type="dxa" w:w="1541"/>
          </w:tcPr>
          <w:p>
            <w:pPr>
              <w:spacing w:after="20"/>
              <w:jc w:val="right"/>
            </w:pPr>
            <w:r>
              <w:rPr>
                <w:color w:val="1C3A36"/>
                <w:sz w:val="16"/>
              </w:rPr>
              <w:t>71.93</w:t>
            </w:r>
          </w:p>
        </w:tc>
        <w:tc>
          <w:tcPr>
            <w:tcW w:type="dxa" w:w="1541"/>
          </w:tcPr>
          <w:p>
            <w:pPr>
              <w:spacing w:after="20"/>
              <w:jc w:val="right"/>
            </w:pPr>
            <w:r>
              <w:rPr>
                <w:color w:val="1C3A36"/>
                <w:sz w:val="16"/>
              </w:rPr>
              <w:t>69.84</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67.66</w:t>
            </w:r>
          </w:p>
        </w:tc>
        <w:tc>
          <w:tcPr>
            <w:tcW w:type="dxa" w:w="1541"/>
          </w:tcPr>
          <w:p>
            <w:pPr>
              <w:spacing w:after="20"/>
              <w:jc w:val="right"/>
            </w:pPr>
            <w:r>
              <w:rPr>
                <w:color w:val="1C3A36"/>
                <w:sz w:val="16"/>
              </w:rPr>
              <w:t>65.65</w:t>
            </w:r>
          </w:p>
        </w:tc>
        <w:tc>
          <w:tcPr>
            <w:tcW w:type="dxa" w:w="1541"/>
          </w:tcPr>
          <w:p>
            <w:pPr>
              <w:spacing w:after="20"/>
              <w:jc w:val="right"/>
            </w:pPr>
            <w:r>
              <w:rPr>
                <w:color w:val="1C3A36"/>
                <w:sz w:val="16"/>
              </w:rPr>
              <w:t>63.70</w:t>
            </w:r>
          </w:p>
        </w:tc>
        <w:tc>
          <w:tcPr>
            <w:tcW w:type="dxa" w:w="1541"/>
          </w:tcPr>
          <w:p>
            <w:pPr>
              <w:spacing w:after="20"/>
              <w:jc w:val="right"/>
            </w:pPr>
            <w:r>
              <w:rPr>
                <w:color w:val="1C3A36"/>
                <w:sz w:val="16"/>
              </w:rPr>
              <w:t>61.83</w:t>
            </w:r>
          </w:p>
        </w:tc>
        <w:tc>
          <w:tcPr>
            <w:tcW w:type="dxa" w:w="1541"/>
          </w:tcPr>
          <w:p>
            <w:pPr>
              <w:spacing w:after="20"/>
              <w:jc w:val="right"/>
            </w:pPr>
            <w:r>
              <w:rPr>
                <w:color w:val="1C3A36"/>
                <w:sz w:val="16"/>
              </w:rPr>
              <w:t>60.01</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87.32 – 92.18</w:t>
            </w:r>
          </w:p>
        </w:tc>
        <w:tc>
          <w:tcPr>
            <w:tcW w:type="dxa" w:w="1944"/>
          </w:tcPr>
          <w:p>
            <w:pPr>
              <w:spacing w:after="20"/>
              <w:jc w:val="right"/>
            </w:pPr>
            <w:r>
              <w:rPr>
                <w:color w:val="1C3A36"/>
                <w:sz w:val="17"/>
              </w:rPr>
              <w:t>4.86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87.82 – 87.82</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50.95 – 124.70</w:t>
            </w:r>
          </w:p>
        </w:tc>
        <w:tc>
          <w:tcPr>
            <w:tcW w:type="dxa" w:w="1944"/>
          </w:tcPr>
          <w:p>
            <w:pPr>
              <w:spacing w:after="20"/>
              <w:jc w:val="right"/>
            </w:pPr>
            <w:r>
              <w:rPr>
                <w:color w:val="1C3A36"/>
                <w:sz w:val="17"/>
              </w:rPr>
              <w:t>73.75</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87.82 – 87.82</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75.64 – 97.60</w:t>
            </w:r>
          </w:p>
        </w:tc>
        <w:tc>
          <w:tcPr>
            <w:tcW w:type="dxa" w:w="1944"/>
          </w:tcPr>
          <w:p>
            <w:pPr>
              <w:spacing w:after="20"/>
              <w:jc w:val="right"/>
            </w:pPr>
            <w:r>
              <w:rPr>
                <w:color w:val="1C3A36"/>
                <w:sz w:val="17"/>
              </w:rPr>
              <w:t>21.96</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66.52 – 116.26</w:t>
            </w:r>
          </w:p>
        </w:tc>
        <w:tc>
          <w:tcPr>
            <w:tcW w:type="dxa" w:w="1944"/>
          </w:tcPr>
          <w:p>
            <w:pPr>
              <w:spacing w:after="20"/>
              <w:jc w:val="right"/>
            </w:pPr>
            <w:r>
              <w:rPr>
                <w:color w:val="1C3A36"/>
                <w:sz w:val="17"/>
              </w:rPr>
              <w:t>49.74</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75.42 – 111.34</w:t>
            </w:r>
          </w:p>
        </w:tc>
        <w:tc>
          <w:tcPr>
            <w:tcW w:type="dxa" w:w="1944"/>
          </w:tcPr>
          <w:p>
            <w:pPr>
              <w:spacing w:after="20"/>
              <w:jc w:val="right"/>
            </w:pPr>
            <w:r>
              <w:rPr>
                <w:color w:val="1C3A36"/>
                <w:sz w:val="17"/>
              </w:rPr>
              <w:t>35.92</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87.82 against the published central of 87.82.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87.82;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87.57</w:t>
            </w:r>
          </w:p>
        </w:tc>
        <w:tc>
          <w:tcPr>
            <w:tcW w:type="dxa" w:w="1152"/>
          </w:tcPr>
          <w:p>
            <w:pPr>
              <w:spacing w:after="20"/>
              <w:jc w:val="right"/>
            </w:pPr>
            <w:r>
              <w:rPr>
                <w:color w:val="1C3A36"/>
                <w:sz w:val="17"/>
              </w:rPr>
              <w:t>99.48</w:t>
            </w:r>
          </w:p>
        </w:tc>
        <w:tc>
          <w:tcPr>
            <w:tcW w:type="dxa" w:w="1152"/>
          </w:tcPr>
          <w:p>
            <w:pPr>
              <w:spacing w:after="20"/>
              <w:jc w:val="right"/>
            </w:pPr>
            <w:r>
              <w:rPr>
                <w:color w:val="1C3A36"/>
                <w:sz w:val="17"/>
              </w:rPr>
              <w:t>106.99</w:t>
            </w:r>
          </w:p>
        </w:tc>
        <w:tc>
          <w:tcPr>
            <w:tcW w:type="dxa" w:w="1152"/>
          </w:tcPr>
          <w:p>
            <w:pPr>
              <w:spacing w:after="20"/>
              <w:jc w:val="right"/>
            </w:pPr>
            <w:r>
              <w:rPr>
                <w:color w:val="1C3A36"/>
                <w:sz w:val="17"/>
              </w:rPr>
              <w:t>115.09</w:t>
            </w:r>
          </w:p>
        </w:tc>
        <w:tc>
          <w:tcPr>
            <w:tcW w:type="dxa" w:w="1152"/>
          </w:tcPr>
          <w:p>
            <w:pPr>
              <w:spacing w:after="20"/>
              <w:jc w:val="right"/>
            </w:pPr>
            <w:r>
              <w:rPr>
                <w:color w:val="1C3A36"/>
                <w:sz w:val="17"/>
              </w:rPr>
              <w:t>131.19</w:t>
            </w:r>
          </w:p>
        </w:tc>
        <w:tc>
          <w:tcPr>
            <w:tcW w:type="dxa" w:w="1800"/>
          </w:tcPr>
          <w:p>
            <w:pPr>
              <w:spacing w:after="20"/>
              <w:jc w:val="right"/>
            </w:pPr>
            <w:r>
              <w:rPr>
                <w:color w:val="1C3A36"/>
                <w:sz w:val="17"/>
              </w:rPr>
              <w:t>56%</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79.13</w:t>
            </w:r>
          </w:p>
        </w:tc>
        <w:tc>
          <w:tcPr>
            <w:tcW w:type="dxa" w:w="1152"/>
          </w:tcPr>
          <w:p>
            <w:pPr>
              <w:spacing w:after="20"/>
              <w:jc w:val="right"/>
            </w:pPr>
            <w:r>
              <w:rPr>
                <w:color w:val="1C3A36"/>
                <w:sz w:val="17"/>
              </w:rPr>
              <w:t>97.95</w:t>
            </w:r>
          </w:p>
        </w:tc>
        <w:tc>
          <w:tcPr>
            <w:tcW w:type="dxa" w:w="1152"/>
          </w:tcPr>
          <w:p>
            <w:pPr>
              <w:spacing w:after="20"/>
              <w:jc w:val="right"/>
            </w:pPr>
            <w:r>
              <w:rPr>
                <w:color w:val="1C3A36"/>
                <w:sz w:val="17"/>
              </w:rPr>
              <w:t>110.43</w:t>
            </w:r>
          </w:p>
        </w:tc>
        <w:tc>
          <w:tcPr>
            <w:tcW w:type="dxa" w:w="1152"/>
          </w:tcPr>
          <w:p>
            <w:pPr>
              <w:spacing w:after="20"/>
              <w:jc w:val="right"/>
            </w:pPr>
            <w:r>
              <w:rPr>
                <w:color w:val="1C3A36"/>
                <w:sz w:val="17"/>
              </w:rPr>
              <w:t>124.49</w:t>
            </w:r>
          </w:p>
        </w:tc>
        <w:tc>
          <w:tcPr>
            <w:tcW w:type="dxa" w:w="1152"/>
          </w:tcPr>
          <w:p>
            <w:pPr>
              <w:spacing w:after="20"/>
              <w:jc w:val="right"/>
            </w:pPr>
            <w:r>
              <w:rPr>
                <w:color w:val="1C3A36"/>
                <w:sz w:val="17"/>
              </w:rPr>
              <w:t>153.83</w:t>
            </w:r>
          </w:p>
        </w:tc>
        <w:tc>
          <w:tcPr>
            <w:tcW w:type="dxa" w:w="1800"/>
          </w:tcPr>
          <w:p>
            <w:pPr>
              <w:spacing w:after="20"/>
              <w:jc w:val="right"/>
            </w:pPr>
            <w:r>
              <w:rPr>
                <w:color w:val="1C3A36"/>
                <w:sz w:val="17"/>
              </w:rPr>
              <w:t>61%</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20%</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42%</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87.82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87.82,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81.73, -37%</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78.78,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110.43, 61%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81.73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110.43 and a 5th-to-95th percentile span of 79.13 to 153.83. Read that span honestly: it means the model considers a -39% move and a +18%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79.13</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97.95 – 110.43</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110.43 – 124.49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153.83</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87.82</w:t>
            </w:r>
          </w:p>
        </w:tc>
        <w:tc>
          <w:tcPr>
            <w:tcW w:type="dxa" w:w="5040"/>
          </w:tcPr>
          <w:p>
            <w:pPr>
              <w:spacing w:after="20"/>
              <w:jc w:val="right"/>
            </w:pPr>
            <w:r>
              <w:rPr>
                <w:color w:val="1C3A36"/>
                <w:sz w:val="17"/>
              </w:rPr>
              <w:t>below even the 5th percentile (79.13)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+13.68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81.73.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19,832mn (9.27 per share) from the equity value — EGP 6.88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10.93</w:t>
            </w:r>
          </w:p>
        </w:tc>
        <w:tc>
          <w:tcPr>
            <w:tcW w:type="dxa" w:w="950"/>
          </w:tcPr>
          <w:p>
            <w:pPr>
              <w:spacing w:after="20"/>
              <w:jc w:val="right"/>
            </w:pPr>
            <w:r>
              <w:rPr>
                <w:color w:val="1C3A36"/>
                <w:sz w:val="15"/>
              </w:rPr>
              <w:t>13.23</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17.81</w:t>
            </w:r>
          </w:p>
        </w:tc>
        <w:tc>
          <w:tcPr>
            <w:tcW w:type="dxa" w:w="950"/>
          </w:tcPr>
          <w:p>
            <w:pPr>
              <w:spacing w:after="20"/>
              <w:jc w:val="right"/>
            </w:pPr>
            <w:r>
              <w:rPr>
                <w:color w:val="1C3A36"/>
                <w:sz w:val="15"/>
              </w:rPr>
              <w:t>20.18</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83.01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21.96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73.75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49.74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173.83 and 103.58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15.66</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173.83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127.57 – 220.09</w:t>
            </w:r>
          </w:p>
        </w:tc>
      </w:tr>
    </w:tbl>
    <w:p>
      <w:pPr>
        <w:spacing w:after="40"/>
      </w:pPr>
    </w:p>
    <w:p>
      <w:pPr>
        <w:spacing w:after="120" w:before="0"/>
      </w:pPr>
      <w:r>
        <w:rPr>
          <w:b w:val="0"/>
          <w:i w:val="0"/>
          <w:color w:val="1C3A36"/>
          <w:sz w:val="21"/>
        </w:rPr>
        <w:t>Named sensitivity: each one-turn change in the multiple is worth EGP 15.66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93.84</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33.90 – 64.20</w:t>
            </w:r>
          </w:p>
        </w:tc>
      </w:tr>
    </w:tbl>
    <w:p>
      <w:pPr>
        <w:spacing w:after="40"/>
      </w:pPr>
    </w:p>
    <w:p>
      <w:pPr>
        <w:spacing w:after="120" w:before="0"/>
      </w:pPr>
      <w:r>
        <w:rPr>
          <w:b w:val="0"/>
          <w:i w:val="0"/>
          <w:color w:val="1C3A36"/>
          <w:sz w:val="21"/>
        </w:rPr>
        <w:t>This is the harshest of the three readings, at EGP 93.84,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20,026</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83,358</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196,946</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89.40</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66.69 – 81.73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-1.1pp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981</w:t>
            </w:r>
          </w:p>
        </w:tc>
        <w:tc>
          <w:tcPr>
            <w:tcW w:type="dxa" w:w="1426"/>
            <w:shd w:val="clear" w:color="auto" w:fill="F6F1E6"/>
          </w:tcPr>
          <w:p>
            <w:pPr>
              <w:spacing w:after="20"/>
              <w:jc w:val="right"/>
            </w:pPr>
            <w:r>
              <w:rPr>
                <w:b/>
                <w:color w:val="1C3A36"/>
                <w:sz w:val="16"/>
              </w:rPr>
              <w:t>4,137</w:t>
            </w:r>
          </w:p>
        </w:tc>
        <w:tc>
          <w:tcPr>
            <w:tcW w:type="dxa" w:w="1426"/>
            <w:shd w:val="clear" w:color="auto" w:fill="F6F1E6"/>
          </w:tcPr>
          <w:p>
            <w:pPr>
              <w:spacing w:after="20"/>
              <w:jc w:val="right"/>
            </w:pPr>
            <w:r>
              <w:rPr>
                <w:b/>
                <w:color w:val="1C3A36"/>
                <w:sz w:val="16"/>
              </w:rPr>
              <w:t>8,097</w:t>
            </w:r>
          </w:p>
        </w:tc>
        <w:tc>
          <w:tcPr>
            <w:tcW w:type="dxa" w:w="1426"/>
            <w:shd w:val="clear" w:color="auto" w:fill="F6F1E6"/>
          </w:tcPr>
          <w:p>
            <w:pPr>
              <w:spacing w:after="20"/>
              <w:jc w:val="right"/>
            </w:pPr>
            <w:r>
              <w:rPr>
                <w:b/>
                <w:color w:val="1C3A36"/>
                <w:sz w:val="16"/>
              </w:rPr>
              <w:t>12,444</w:t>
            </w:r>
          </w:p>
        </w:tc>
        <w:tc>
          <w:tcPr>
            <w:tcW w:type="dxa" w:w="1426"/>
            <w:shd w:val="clear" w:color="auto" w:fill="F6F1E6"/>
          </w:tcPr>
          <w:p>
            <w:pPr>
              <w:spacing w:after="20"/>
              <w:jc w:val="right"/>
            </w:pPr>
            <w:r>
              <w:rPr>
                <w:b/>
                <w:color w:val="1C3A36"/>
                <w:sz w:val="16"/>
              </w:rPr>
              <w:t>16,507</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(196,946) and the DCF's (218,787) differ by 21,841: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93.84; the vertical line is the market price of 130.00.</w:t>
      </w:r>
    </w:p>
    <w:p>
      <w:pPr>
        <w:spacing w:after="120" w:before="0"/>
      </w:pPr>
      <w:r>
        <w:rPr>
          <w:b w:val="0"/>
          <w:i w:val="0"/>
          <w:color w:val="1C3A36"/>
          <w:sz w:val="21"/>
        </w:rPr>
        <w:t>The panel spans EGP 89.40 to 173.83 — a factor of 1.9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93.84 sits -28% against the market price and +7% against the study's own central of 87.82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