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Saudi Telecom Company (Tadawul: 7010)</w:t>
      </w:r>
    </w:p>
    <w:p>
      <w:pPr>
        <w:spacing w:after="160" w:before="0"/>
      </w:pPr>
      <w:r>
        <w:rPr>
          <w:b w:val="0"/>
          <w:i/>
          <w:color w:val="6E7B77"/>
          <w:sz w:val="21"/>
        </w:rPr>
        <w:t>Fundamental analysis · Technical analysis · Monte Carlo simulation — one integrated read</w:t>
      </w:r>
    </w:p>
    <w:p>
      <w:pPr>
        <w:spacing w:after="200" w:before="0"/>
      </w:pPr>
      <w:r>
        <w:rPr>
          <w:b/>
          <w:i w:val="0"/>
          <w:color w:val="1C3A36"/>
          <w:sz w:val="19"/>
        </w:rPr>
        <w:t xml:space="preserve">Anchor: </w:t>
      </w:r>
      <w:r>
        <w:rPr>
          <w:b w:val="0"/>
          <w:i w:val="0"/>
          <w:color w:val="1C3A36"/>
          <w:sz w:val="19"/>
        </w:rPr>
        <w:t xml:space="preserve">SAR 43.58 (7 Jul 2026 close) · 4,989.8 mn shares (5,000 mn issued less treasury) · mkt cap ~SAR 217.5 bn (~US$58 bn) · the Kingdom’s incumbent operator and the largest MENA telecom by market value: </w:t>
      </w:r>
      <w:r>
        <w:rPr>
          <w:b/>
          <w:i w:val="0"/>
          <w:color w:val="1C3A36"/>
          <w:sz w:val="19"/>
        </w:rPr>
        <w:t>stc KSA</w:t>
      </w:r>
      <w:r>
        <w:rPr>
          <w:b w:val="0"/>
          <w:i w:val="0"/>
          <w:color w:val="1C3A36"/>
          <w:sz w:val="19"/>
        </w:rPr>
        <w:t xml:space="preserve"> (consumer, enterprise, wholesale — ~57% mobile share, the national fibre and 5G backbone) plus </w:t>
      </w:r>
      <w:r>
        <w:rPr>
          <w:b/>
          <w:i w:val="0"/>
          <w:color w:val="1C3A36"/>
          <w:sz w:val="19"/>
        </w:rPr>
        <w:t>subsidiaries</w:t>
      </w:r>
      <w:r>
        <w:rPr>
          <w:b w:val="0"/>
          <w:i w:val="0"/>
          <w:color w:val="1C3A36"/>
          <w:sz w:val="19"/>
        </w:rPr>
        <w:t xml:space="preserve"> (solutions by stc 79%, stc bank 85%, stc Kuwait 51.8%, stc Bahrain, center3 data centres, sirar, iot squared) and </w:t>
      </w:r>
      <w:r>
        <w:rPr>
          <w:b/>
          <w:i w:val="0"/>
          <w:color w:val="1C3A36"/>
          <w:sz w:val="19"/>
        </w:rPr>
        <w:t>minority stakes</w:t>
      </w:r>
      <w:r>
        <w:rPr>
          <w:b w:val="0"/>
          <w:i w:val="0"/>
          <w:color w:val="1C3A36"/>
          <w:sz w:val="19"/>
        </w:rPr>
        <w:t xml:space="preserve"> — 43.06% of the PIF-controlled tower company (TAWAL/Digital Infrastructure) and 9.97% of Telefónica · reporting currency SAR (pegged to USD at 3.75) · prices and probabilities computed 7 Jul 2026 from the attached daily history · primary lens: going-concern FCFF DCF, cross-checked by the dividend-policy DDM, relative multiples and normalized earnings · the swing factors: capex intensity against the locked SAR 2.20 dividend, and the discount-rate (beta) question.</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w:t>
            </w:r>
          </w:p>
          <w:p>
            <w:pPr>
              <w:spacing w:after="100"/>
            </w:pPr>
            <w:r>
              <w:rPr>
                <w:color w:val="1C3A36"/>
                <w:sz w:val="19"/>
              </w:rPr>
              <w:t>All values are model outputs presented as ranges and distributions because no single number should be relied on. Reported financials are the company’s own disclosure (FY2023–FY2025 IR releases on the restated continuing-operations basis; Q1-2026 release, 28 Apr 2026; Q1-2026 interim financial statements) — all from stc.com. Forward-looking inputs — the segment growth and margin paths, capex intensity, the cost of capital, terminal growth, the multiples and the Monte-Carlo factor probabilities — are the preparer’s judgments and are flagged throughout. Some balance-sheet detail lines are grouped estimates tying to disclosed totals. Consult a licensed financial advisor before any investment decision.</w:t>
            </w:r>
          </w:p>
        </w:tc>
      </w:tr>
    </w:tbl>
    <w:p>
      <w:pPr>
        <w:spacing w:after="40"/>
      </w:pPr>
    </w:p>
    <w:p>
      <w:pPr>
        <w:spacing w:after="80" w:before="200"/>
      </w:pPr>
      <w:r>
        <w:rPr>
          <w:b/>
          <w:i w:val="0"/>
          <w:color w:val="1C3A36"/>
          <w:sz w:val="24"/>
        </w:rPr>
        <w:t>Headline</w:t>
      </w:r>
    </w:p>
    <w:p>
      <w:pPr>
        <w:spacing w:after="160" w:before="0"/>
      </w:pPr>
      <w:r>
        <w:rPr>
          <w:b/>
          <w:i w:val="0"/>
          <w:color w:val="1C3A36"/>
          <w:sz w:val="21"/>
        </w:rPr>
        <w:t xml:space="preserve">The model's read: modestly undervalued, with the answer hinging on whether a zero-net-debt incumbent yielding 5% can hold its margin story while funding the AI-infrastructure build. </w:t>
      </w:r>
      <w:r>
        <w:rPr>
          <w:b w:val="0"/>
          <w:i w:val="0"/>
          <w:color w:val="1C3A36"/>
          <w:sz w:val="21"/>
        </w:rPr>
        <w:t>At SAR 43.58 the shares sit about 8% below our weighted central estimate of SAR 47. The four lenses cluster unusually tightly: the FCFF DCF lands at 50 (80% of it terminal value — disclosed, not buried), the locked dividend policy discounts to 46, a justified EV/EBITDA read gives 47, and a conservative normalized-earnings read marks the floor at 43. In one sentence: on the cash it pays out today stc is roughly fairly valued; on the cash the business generates once capex normalizes from the current data-centre-and-5G investment phase, it is modestly cheap. The crux is concrete and observable (§1.7): the SAR 0.55-per-quarter dividend — locked by policy through the Q3-2027 distribution — costs SAR 11.0 bn a year, and at the guided 15–17.5% capex band our FY26E free cash flow covers between 0.86× and 1.04× of it. The balance sheet carries the gap comfortably (net debt ≈ SAR 7.1 bn, ~0.3× EBITDA, after January’s $2 bn sukuk), but the equity story quietly shifted in 2024–25: stc sold control of its towers, banked SAR 12.9 bn of gains, paid a SAR 2.00 special, and is now redeploying into AI data centres (the center3–HUMAIN 1 GW ambition) and adjacencies (stc bank, Telefónica). Technically the tape is flat — price within ±1% of every major moving average, RSI 48 — a stock waiting for its next catalyst. Over three months the Monte Carlo — zero drift, the configuration that passed the Step 0 calibration gate — places the 5th–95th percentile band at roughly SAR 39–50 with the median at 43.9, and the honest core — the 50% band — at SAR 42–46.</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96"/>
            <w:shd w:val="clear" w:color="auto" w:fill="EAF0EE"/>
          </w:tcPr>
          <w:p>
            <w:pPr>
              <w:spacing w:after="20"/>
            </w:pPr>
            <w:r>
              <w:rPr>
                <w:b/>
                <w:color w:val="1C3A36"/>
                <w:sz w:val="17"/>
              </w:rPr>
              <w:t>Lens / read</w:t>
            </w:r>
          </w:p>
        </w:tc>
        <w:tc>
          <w:tcPr>
            <w:tcW w:type="dxa" w:w="3384"/>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3096"/>
            <w:shd w:val="clear" w:color="auto" w:fill="F6F1E6"/>
          </w:tcPr>
          <w:p>
            <w:pPr>
              <w:spacing w:after="20"/>
            </w:pPr>
            <w:r>
              <w:rPr>
                <w:b/>
                <w:color w:val="1C3A36"/>
                <w:sz w:val="17"/>
              </w:rPr>
              <w:t>FUNDAMENTAL — what the business is worth (the anchor)</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FCFF DCF (primary)</w:t>
            </w:r>
          </w:p>
        </w:tc>
        <w:tc>
          <w:tcPr>
            <w:tcW w:type="dxa" w:w="3384"/>
          </w:tcPr>
          <w:p>
            <w:pPr>
              <w:spacing w:after="20"/>
              <w:jc w:val="right"/>
            </w:pPr>
            <w:r>
              <w:rPr>
                <w:color w:val="1C3A36"/>
                <w:sz w:val="17"/>
              </w:rPr>
              <w:t>Core operations + stake marks − net debt − NCI</w:t>
            </w:r>
          </w:p>
        </w:tc>
        <w:tc>
          <w:tcPr>
            <w:tcW w:type="dxa" w:w="2088"/>
          </w:tcPr>
          <w:p>
            <w:pPr>
              <w:spacing w:after="20"/>
              <w:jc w:val="right"/>
            </w:pPr>
            <w:r>
              <w:rPr>
                <w:color w:val="1C3A36"/>
                <w:sz w:val="17"/>
              </w:rPr>
              <w:t>SAR 50</w:t>
            </w:r>
          </w:p>
        </w:tc>
        <w:tc>
          <w:tcPr>
            <w:tcW w:type="dxa" w:w="1656"/>
          </w:tcPr>
          <w:p>
            <w:pPr>
              <w:spacing w:after="20"/>
              <w:jc w:val="right"/>
            </w:pPr>
            <w:r>
              <w:rPr>
                <w:color w:val="1C3A36"/>
                <w:sz w:val="17"/>
              </w:rPr>
              <w:t>+15% vs spot</w:t>
            </w:r>
          </w:p>
        </w:tc>
      </w:tr>
      <w:tr>
        <w:tc>
          <w:tcPr>
            <w:tcW w:type="dxa" w:w="3096"/>
          </w:tcPr>
          <w:p>
            <w:pPr>
              <w:spacing w:after="20"/>
            </w:pPr>
            <w:r>
              <w:rPr>
                <w:color w:val="1C3A36"/>
                <w:sz w:val="17"/>
              </w:rPr>
              <w:t>Dividend discount (policy lens)</w:t>
            </w:r>
          </w:p>
        </w:tc>
        <w:tc>
          <w:tcPr>
            <w:tcW w:type="dxa" w:w="3384"/>
          </w:tcPr>
          <w:p>
            <w:pPr>
              <w:spacing w:after="20"/>
              <w:jc w:val="right"/>
            </w:pPr>
            <w:r>
              <w:rPr>
                <w:color w:val="1C3A36"/>
                <w:sz w:val="17"/>
              </w:rPr>
              <w:t>The locked SAR 0.55/quarter, discounted at Ke</w:t>
            </w:r>
          </w:p>
        </w:tc>
        <w:tc>
          <w:tcPr>
            <w:tcW w:type="dxa" w:w="2088"/>
          </w:tcPr>
          <w:p>
            <w:pPr>
              <w:spacing w:after="20"/>
              <w:jc w:val="right"/>
            </w:pPr>
            <w:r>
              <w:rPr>
                <w:color w:val="1C3A36"/>
                <w:sz w:val="17"/>
              </w:rPr>
              <w:t>SAR 46</w:t>
            </w:r>
          </w:p>
        </w:tc>
        <w:tc>
          <w:tcPr>
            <w:tcW w:type="dxa" w:w="1656"/>
          </w:tcPr>
          <w:p>
            <w:pPr>
              <w:spacing w:after="20"/>
              <w:jc w:val="right"/>
            </w:pPr>
            <w:r>
              <w:rPr>
                <w:color w:val="1C3A36"/>
                <w:sz w:val="17"/>
              </w:rPr>
              <w:t>+5%</w:t>
            </w:r>
          </w:p>
        </w:tc>
      </w:tr>
      <w:tr>
        <w:tc>
          <w:tcPr>
            <w:tcW w:type="dxa" w:w="3096"/>
          </w:tcPr>
          <w:p>
            <w:pPr>
              <w:spacing w:after="20"/>
            </w:pPr>
            <w:r>
              <w:rPr>
                <w:color w:val="1C3A36"/>
                <w:sz w:val="17"/>
              </w:rPr>
              <w:t>Relative (EV/EBITDA)</w:t>
            </w:r>
          </w:p>
        </w:tc>
        <w:tc>
          <w:tcPr>
            <w:tcW w:type="dxa" w:w="3384"/>
          </w:tcPr>
          <w:p>
            <w:pPr>
              <w:spacing w:after="20"/>
              <w:jc w:val="right"/>
            </w:pPr>
            <w:r>
              <w:rPr>
                <w:color w:val="1C3A36"/>
                <w:sz w:val="17"/>
              </w:rPr>
              <w:t>FY26E EBITDA × justified 9.0×, bridged to equity</w:t>
            </w:r>
          </w:p>
        </w:tc>
        <w:tc>
          <w:tcPr>
            <w:tcW w:type="dxa" w:w="2088"/>
          </w:tcPr>
          <w:p>
            <w:pPr>
              <w:spacing w:after="20"/>
              <w:jc w:val="right"/>
            </w:pPr>
            <w:r>
              <w:rPr>
                <w:color w:val="1C3A36"/>
                <w:sz w:val="17"/>
              </w:rPr>
              <w:t>SAR 47</w:t>
            </w:r>
          </w:p>
        </w:tc>
        <w:tc>
          <w:tcPr>
            <w:tcW w:type="dxa" w:w="1656"/>
          </w:tcPr>
          <w:p>
            <w:pPr>
              <w:spacing w:after="20"/>
              <w:jc w:val="right"/>
            </w:pPr>
            <w:r>
              <w:rPr>
                <w:color w:val="1C3A36"/>
                <w:sz w:val="17"/>
              </w:rPr>
              <w:t>+8%</w:t>
            </w:r>
          </w:p>
        </w:tc>
      </w:tr>
      <w:tr>
        <w:tc>
          <w:tcPr>
            <w:tcW w:type="dxa" w:w="3096"/>
          </w:tcPr>
          <w:p>
            <w:pPr>
              <w:spacing w:after="20"/>
            </w:pPr>
            <w:r>
              <w:rPr>
                <w:color w:val="1C3A36"/>
                <w:sz w:val="17"/>
              </w:rPr>
              <w:t>Normalized earnings</w:t>
            </w:r>
          </w:p>
        </w:tc>
        <w:tc>
          <w:tcPr>
            <w:tcW w:type="dxa" w:w="3384"/>
          </w:tcPr>
          <w:p>
            <w:pPr>
              <w:spacing w:after="20"/>
              <w:jc w:val="right"/>
            </w:pPr>
            <w:r>
              <w:rPr>
                <w:color w:val="1C3A36"/>
                <w:sz w:val="17"/>
              </w:rPr>
              <w:t>Ex-one-off PAT × through-cycle P/E</w:t>
            </w:r>
          </w:p>
        </w:tc>
        <w:tc>
          <w:tcPr>
            <w:tcW w:type="dxa" w:w="2088"/>
          </w:tcPr>
          <w:p>
            <w:pPr>
              <w:spacing w:after="20"/>
              <w:jc w:val="right"/>
            </w:pPr>
            <w:r>
              <w:rPr>
                <w:color w:val="1C3A36"/>
                <w:sz w:val="17"/>
              </w:rPr>
              <w:t>SAR 43</w:t>
            </w:r>
          </w:p>
        </w:tc>
        <w:tc>
          <w:tcPr>
            <w:tcW w:type="dxa" w:w="1656"/>
          </w:tcPr>
          <w:p>
            <w:pPr>
              <w:spacing w:after="20"/>
              <w:jc w:val="right"/>
            </w:pPr>
            <w:r>
              <w:rPr>
                <w:color w:val="1C3A36"/>
                <w:sz w:val="17"/>
              </w:rPr>
              <w:t>-1% · the floor</w:t>
            </w:r>
          </w:p>
        </w:tc>
      </w:tr>
      <w:tr>
        <w:tc>
          <w:tcPr>
            <w:tcW w:type="dxa" w:w="3096"/>
          </w:tcPr>
          <w:p>
            <w:pPr>
              <w:spacing w:after="20"/>
            </w:pPr>
            <w:r>
              <w:rPr>
                <w:color w:val="1C3A36"/>
                <w:sz w:val="17"/>
              </w:rPr>
              <w:t>Weighted central</w:t>
            </w:r>
          </w:p>
        </w:tc>
        <w:tc>
          <w:tcPr>
            <w:tcW w:type="dxa" w:w="3384"/>
          </w:tcPr>
          <w:p>
            <w:pPr>
              <w:spacing w:after="20"/>
              <w:jc w:val="right"/>
            </w:pPr>
            <w:r>
              <w:rPr>
                <w:color w:val="1C3A36"/>
                <w:sz w:val="17"/>
              </w:rPr>
              <w:t>Blend 35 / 25 / 20 / 20</w:t>
            </w:r>
          </w:p>
        </w:tc>
        <w:tc>
          <w:tcPr>
            <w:tcW w:type="dxa" w:w="2088"/>
          </w:tcPr>
          <w:p>
            <w:pPr>
              <w:spacing w:after="20"/>
              <w:jc w:val="right"/>
            </w:pPr>
            <w:r>
              <w:rPr>
                <w:color w:val="1C3A36"/>
                <w:sz w:val="17"/>
              </w:rPr>
              <w:t>SAR 47</w:t>
            </w:r>
          </w:p>
        </w:tc>
        <w:tc>
          <w:tcPr>
            <w:tcW w:type="dxa" w:w="1656"/>
          </w:tcPr>
          <w:p>
            <w:pPr>
              <w:spacing w:after="20"/>
              <w:jc w:val="right"/>
            </w:pPr>
            <w:r>
              <w:rPr>
                <w:color w:val="1C3A36"/>
                <w:sz w:val="17"/>
              </w:rPr>
              <w:t>+8% vs SAR 43.58</w:t>
            </w:r>
          </w:p>
        </w:tc>
      </w:tr>
      <w:tr>
        <w:tc>
          <w:tcPr>
            <w:tcW w:type="dxa" w:w="3096"/>
            <w:shd w:val="clear" w:color="auto" w:fill="F6F1E6"/>
          </w:tcPr>
          <w:p>
            <w:pPr>
              <w:spacing w:after="20"/>
            </w:pPr>
            <w:r>
              <w:rPr>
                <w:b/>
                <w:color w:val="1C3A36"/>
                <w:sz w:val="17"/>
              </w:rPr>
              <w:t>TECHNICAL — what the tape is doing (timing, not value)</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Trend &amp; momentum</w:t>
            </w:r>
          </w:p>
        </w:tc>
        <w:tc>
          <w:tcPr>
            <w:tcW w:type="dxa" w:w="3384"/>
          </w:tcPr>
          <w:p>
            <w:pPr>
              <w:spacing w:after="20"/>
              <w:jc w:val="right"/>
            </w:pPr>
            <w:r>
              <w:rPr>
                <w:color w:val="1C3A36"/>
                <w:sz w:val="17"/>
              </w:rPr>
              <w:t>Price vs the 20/50/100/200-day averages</w:t>
            </w:r>
          </w:p>
        </w:tc>
        <w:tc>
          <w:tcPr>
            <w:tcW w:type="dxa" w:w="2088"/>
          </w:tcPr>
          <w:p>
            <w:pPr>
              <w:spacing w:after="20"/>
              <w:jc w:val="right"/>
            </w:pPr>
            <w:r>
              <w:rPr>
                <w:color w:val="1C3A36"/>
                <w:sz w:val="17"/>
              </w:rPr>
              <w:t>Flat — within ±1% of all four</w:t>
            </w:r>
          </w:p>
        </w:tc>
        <w:tc>
          <w:tcPr>
            <w:tcW w:type="dxa" w:w="1656"/>
          </w:tcPr>
          <w:p>
            <w:pPr>
              <w:spacing w:after="20"/>
              <w:jc w:val="right"/>
            </w:pPr>
            <w:r>
              <w:rPr>
                <w:color w:val="1C3A36"/>
                <w:sz w:val="17"/>
              </w:rPr>
              <w:t>Range-bound</w:t>
            </w:r>
          </w:p>
        </w:tc>
      </w:tr>
      <w:tr>
        <w:tc>
          <w:tcPr>
            <w:tcW w:type="dxa" w:w="3096"/>
          </w:tcPr>
          <w:p>
            <w:pPr>
              <w:spacing w:after="20"/>
            </w:pPr>
            <w:r>
              <w:rPr>
                <w:color w:val="1C3A36"/>
                <w:sz w:val="17"/>
              </w:rPr>
              <w:t>Momentum / range</w:t>
            </w:r>
          </w:p>
        </w:tc>
        <w:tc>
          <w:tcPr>
            <w:tcW w:type="dxa" w:w="3384"/>
          </w:tcPr>
          <w:p>
            <w:pPr>
              <w:spacing w:after="20"/>
              <w:jc w:val="right"/>
            </w:pPr>
            <w:r>
              <w:rPr>
                <w:color w:val="1C3A36"/>
                <w:sz w:val="17"/>
              </w:rPr>
              <w:t>RSI · MACD · 52-week range</w:t>
            </w:r>
          </w:p>
        </w:tc>
        <w:tc>
          <w:tcPr>
            <w:tcW w:type="dxa" w:w="2088"/>
          </w:tcPr>
          <w:p>
            <w:pPr>
              <w:spacing w:after="20"/>
              <w:jc w:val="right"/>
            </w:pPr>
            <w:r>
              <w:rPr>
                <w:color w:val="1C3A36"/>
                <w:sz w:val="17"/>
              </w:rPr>
              <w:t>RSI 48 · MACD -0.09 · 40.2–45.4</w:t>
            </w:r>
          </w:p>
        </w:tc>
        <w:tc>
          <w:tcPr>
            <w:tcW w:type="dxa" w:w="1656"/>
          </w:tcPr>
          <w:p>
            <w:pPr>
              <w:spacing w:after="20"/>
              <w:jc w:val="right"/>
            </w:pPr>
            <w:r>
              <w:rPr>
                <w:color w:val="1C3A36"/>
                <w:sz w:val="17"/>
              </w:rPr>
              <w:t>Neutral, coiled</w:t>
            </w:r>
          </w:p>
        </w:tc>
      </w:tr>
      <w:tr>
        <w:tc>
          <w:tcPr>
            <w:tcW w:type="dxa" w:w="3096"/>
            <w:shd w:val="clear" w:color="auto" w:fill="F6F1E6"/>
          </w:tcPr>
          <w:p>
            <w:pPr>
              <w:spacing w:after="20"/>
            </w:pPr>
            <w:r>
              <w:rPr>
                <w:b/>
                <w:color w:val="1C3A36"/>
                <w:sz w:val="17"/>
              </w:rPr>
              <w:t>MONTE CARLO — where price could go in 3 months (paths from spot)</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T+20 sessions</w:t>
            </w:r>
          </w:p>
        </w:tc>
        <w:tc>
          <w:tcPr>
            <w:tcW w:type="dxa" w:w="3384"/>
          </w:tcPr>
          <w:p>
            <w:pPr>
              <w:spacing w:after="20"/>
              <w:jc w:val="right"/>
            </w:pPr>
            <w:r>
              <w:rPr>
                <w:color w:val="1C3A36"/>
                <w:sz w:val="17"/>
              </w:rPr>
              <w:t>50,000 paths · 16 factors</w:t>
            </w:r>
          </w:p>
        </w:tc>
        <w:tc>
          <w:tcPr>
            <w:tcW w:type="dxa" w:w="2088"/>
          </w:tcPr>
          <w:p>
            <w:pPr>
              <w:spacing w:after="20"/>
              <w:jc w:val="right"/>
            </w:pPr>
            <w:r>
              <w:rPr>
                <w:color w:val="1C3A36"/>
                <w:sz w:val="17"/>
              </w:rPr>
              <w:t>p5 41 · p50 43.7 · p95 47</w:t>
            </w:r>
          </w:p>
        </w:tc>
        <w:tc>
          <w:tcPr>
            <w:tcW w:type="dxa" w:w="1656"/>
          </w:tcPr>
          <w:p>
            <w:pPr>
              <w:spacing w:after="20"/>
              <w:jc w:val="right"/>
            </w:pPr>
            <w:r>
              <w:rPr>
                <w:color w:val="1C3A36"/>
                <w:sz w:val="17"/>
              </w:rPr>
              <w:t>Median ≈ spot</w:t>
            </w:r>
          </w:p>
        </w:tc>
      </w:tr>
      <w:tr>
        <w:tc>
          <w:tcPr>
            <w:tcW w:type="dxa" w:w="3096"/>
          </w:tcPr>
          <w:p>
            <w:pPr>
              <w:spacing w:after="20"/>
            </w:pPr>
            <w:r>
              <w:rPr>
                <w:color w:val="1C3A36"/>
                <w:sz w:val="17"/>
              </w:rPr>
              <w:t>T+60 sessions</w:t>
            </w:r>
          </w:p>
        </w:tc>
        <w:tc>
          <w:tcPr>
            <w:tcW w:type="dxa" w:w="3384"/>
          </w:tcPr>
          <w:p>
            <w:pPr>
              <w:spacing w:after="20"/>
              <w:jc w:val="right"/>
            </w:pPr>
            <w:r>
              <w:rPr>
                <w:color w:val="1C3A36"/>
                <w:sz w:val="17"/>
              </w:rPr>
              <w:t>same engine, longer horizon</w:t>
            </w:r>
          </w:p>
        </w:tc>
        <w:tc>
          <w:tcPr>
            <w:tcW w:type="dxa" w:w="2088"/>
          </w:tcPr>
          <w:p>
            <w:pPr>
              <w:spacing w:after="20"/>
              <w:jc w:val="right"/>
            </w:pPr>
            <w:r>
              <w:rPr>
                <w:color w:val="1C3A36"/>
                <w:sz w:val="17"/>
              </w:rPr>
              <w:t>p5 39 · p50 43.9 · p95 50</w:t>
            </w:r>
          </w:p>
        </w:tc>
        <w:tc>
          <w:tcPr>
            <w:tcW w:type="dxa" w:w="1656"/>
          </w:tcPr>
          <w:p>
            <w:pPr>
              <w:spacing w:after="20"/>
              <w:jc w:val="right"/>
            </w:pPr>
            <w:r>
              <w:rPr>
                <w:color w:val="1C3A36"/>
                <w:sz w:val="17"/>
              </w:rPr>
              <w:t>Mild upside skew</w:t>
            </w:r>
          </w:p>
        </w:tc>
      </w:tr>
      <w:tr>
        <w:tc>
          <w:tcPr>
            <w:tcW w:type="dxa" w:w="3096"/>
            <w:shd w:val="clear" w:color="auto" w:fill="F6F1E6"/>
          </w:tcPr>
          <w:p>
            <w:pPr>
              <w:spacing w:after="20"/>
            </w:pPr>
            <w:r>
              <w:rPr>
                <w:b/>
                <w:color w:val="1C3A36"/>
                <w:sz w:val="17"/>
              </w:rPr>
              <w:t>EXPERT PANEL — three independent methods (Appendix C)</w:t>
            </w:r>
          </w:p>
        </w:tc>
        <w:tc>
          <w:tcPr>
            <w:tcW w:type="dxa" w:w="3384"/>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3096"/>
          </w:tcPr>
          <w:p>
            <w:pPr>
              <w:spacing w:after="20"/>
            </w:pPr>
            <w:r>
              <w:rPr>
                <w:color w:val="1C3A36"/>
                <w:sz w:val="17"/>
              </w:rPr>
              <w:t>Expert 1 — cash returns / economic profit</w:t>
            </w:r>
          </w:p>
        </w:tc>
        <w:tc>
          <w:tcPr>
            <w:tcW w:type="dxa" w:w="3384"/>
          </w:tcPr>
          <w:p>
            <w:pPr>
              <w:spacing w:after="20"/>
              <w:jc w:val="right"/>
            </w:pPr>
            <w:r>
              <w:rPr>
                <w:color w:val="1C3A36"/>
                <w:sz w:val="17"/>
              </w:rPr>
              <w:t>ROIC vs WACC with fading excess returns</w:t>
            </w:r>
          </w:p>
        </w:tc>
        <w:tc>
          <w:tcPr>
            <w:tcW w:type="dxa" w:w="2088"/>
          </w:tcPr>
          <w:p>
            <w:pPr>
              <w:spacing w:after="20"/>
              <w:jc w:val="right"/>
            </w:pPr>
            <w:r>
              <w:rPr>
                <w:color w:val="1C3A36"/>
                <w:sz w:val="17"/>
              </w:rPr>
              <w:t>SAR 37</w:t>
            </w:r>
          </w:p>
        </w:tc>
        <w:tc>
          <w:tcPr>
            <w:tcW w:type="dxa" w:w="1656"/>
          </w:tcPr>
          <w:p>
            <w:pPr>
              <w:spacing w:after="20"/>
              <w:jc w:val="right"/>
            </w:pPr>
            <w:r>
              <w:rPr>
                <w:color w:val="1C3A36"/>
                <w:sz w:val="17"/>
              </w:rPr>
              <w:t>Most conservative</w:t>
            </w:r>
          </w:p>
        </w:tc>
      </w:tr>
      <w:tr>
        <w:tc>
          <w:tcPr>
            <w:tcW w:type="dxa" w:w="3096"/>
          </w:tcPr>
          <w:p>
            <w:pPr>
              <w:spacing w:after="20"/>
            </w:pPr>
            <w:r>
              <w:rPr>
                <w:color w:val="1C3A36"/>
                <w:sz w:val="17"/>
              </w:rPr>
              <w:t>Expert 2 — normalized earnings power</w:t>
            </w:r>
          </w:p>
        </w:tc>
        <w:tc>
          <w:tcPr>
            <w:tcW w:type="dxa" w:w="3384"/>
          </w:tcPr>
          <w:p>
            <w:pPr>
              <w:spacing w:after="20"/>
              <w:jc w:val="right"/>
            </w:pPr>
            <w:r>
              <w:rPr>
                <w:color w:val="1C3A36"/>
                <w:sz w:val="17"/>
              </w:rPr>
              <w:t>Mid-cycle EPS × multiple</w:t>
            </w:r>
          </w:p>
        </w:tc>
        <w:tc>
          <w:tcPr>
            <w:tcW w:type="dxa" w:w="2088"/>
          </w:tcPr>
          <w:p>
            <w:pPr>
              <w:spacing w:after="20"/>
              <w:jc w:val="right"/>
            </w:pPr>
            <w:r>
              <w:rPr>
                <w:color w:val="1C3A36"/>
                <w:sz w:val="17"/>
              </w:rPr>
              <w:t>SAR 43</w:t>
            </w:r>
          </w:p>
        </w:tc>
        <w:tc>
          <w:tcPr>
            <w:tcW w:type="dxa" w:w="1656"/>
          </w:tcPr>
          <w:p>
            <w:pPr>
              <w:spacing w:after="20"/>
              <w:jc w:val="right"/>
            </w:pPr>
            <w:r>
              <w:rPr>
                <w:color w:val="1C3A36"/>
                <w:sz w:val="17"/>
              </w:rPr>
              <w:t>The floor-setter</w:t>
            </w:r>
          </w:p>
        </w:tc>
      </w:tr>
      <w:tr>
        <w:tc>
          <w:tcPr>
            <w:tcW w:type="dxa" w:w="3096"/>
          </w:tcPr>
          <w:p>
            <w:pPr>
              <w:spacing w:after="20"/>
            </w:pPr>
            <w:r>
              <w:rPr>
                <w:color w:val="1C3A36"/>
                <w:sz w:val="17"/>
              </w:rPr>
              <w:t>Expert 3 — macro-policy scenario tree</w:t>
            </w:r>
          </w:p>
        </w:tc>
        <w:tc>
          <w:tcPr>
            <w:tcW w:type="dxa" w:w="3384"/>
          </w:tcPr>
          <w:p>
            <w:pPr>
              <w:spacing w:after="20"/>
              <w:jc w:val="right"/>
            </w:pPr>
            <w:r>
              <w:rPr>
                <w:color w:val="1C3A36"/>
                <w:sz w:val="17"/>
              </w:rPr>
              <w:t>Rate path &amp; payout scenarios into a DDM</w:t>
            </w:r>
          </w:p>
        </w:tc>
        <w:tc>
          <w:tcPr>
            <w:tcW w:type="dxa" w:w="2088"/>
          </w:tcPr>
          <w:p>
            <w:pPr>
              <w:spacing w:after="20"/>
              <w:jc w:val="right"/>
            </w:pPr>
            <w:r>
              <w:rPr>
                <w:color w:val="1C3A36"/>
                <w:sz w:val="17"/>
              </w:rPr>
              <w:t>SAR 46</w:t>
            </w:r>
          </w:p>
        </w:tc>
        <w:tc>
          <w:tcPr>
            <w:tcW w:type="dxa" w:w="1656"/>
          </w:tcPr>
          <w:p>
            <w:pPr>
              <w:spacing w:after="20"/>
              <w:jc w:val="right"/>
            </w:pPr>
            <w:r>
              <w:rPr>
                <w:color w:val="1C3A36"/>
                <w:sz w:val="17"/>
              </w:rPr>
              <w:t>Closest to spot</w:t>
            </w:r>
          </w:p>
        </w:tc>
      </w:tr>
      <w:tr>
        <w:tc>
          <w:tcPr>
            <w:tcW w:type="dxa" w:w="3096"/>
          </w:tcPr>
          <w:p>
            <w:pPr>
              <w:spacing w:after="20"/>
            </w:pPr>
            <w:r>
              <w:rPr>
                <w:color w:val="1C3A36"/>
                <w:sz w:val="17"/>
              </w:rPr>
              <w:t>Panel range</w:t>
            </w:r>
          </w:p>
        </w:tc>
        <w:tc>
          <w:tcPr>
            <w:tcW w:type="dxa" w:w="3384"/>
          </w:tcPr>
          <w:p>
            <w:pPr>
              <w:spacing w:after="20"/>
              <w:jc w:val="right"/>
            </w:pPr>
            <w:r>
              <w:rPr>
                <w:color w:val="1C3A36"/>
                <w:sz w:val="17"/>
              </w:rPr>
              <w:t>Spread = the fade-vs-franchise question</w:t>
            </w:r>
          </w:p>
        </w:tc>
        <w:tc>
          <w:tcPr>
            <w:tcW w:type="dxa" w:w="2088"/>
          </w:tcPr>
          <w:p>
            <w:pPr>
              <w:spacing w:after="20"/>
              <w:jc w:val="right"/>
            </w:pPr>
            <w:r>
              <w:rPr>
                <w:color w:val="1C3A36"/>
                <w:sz w:val="17"/>
              </w:rPr>
              <w:t>SAR 37–46</w:t>
            </w:r>
          </w:p>
        </w:tc>
        <w:tc>
          <w:tcPr>
            <w:tcW w:type="dxa" w:w="1656"/>
          </w:tcPr>
          <w:p>
            <w:pPr>
              <w:spacing w:after="20"/>
              <w:jc w:val="right"/>
            </w:pPr>
            <w:r>
              <w:rPr>
                <w:color w:val="1C3A36"/>
                <w:sz w:val="17"/>
              </w:rPr>
              <w:t>Centres ~SAR 43</w:t>
            </w:r>
          </w:p>
        </w:tc>
      </w:tr>
    </w:tbl>
    <w:p>
      <w:pPr>
        <w:spacing w:after="40"/>
      </w:pPr>
    </w:p>
    <w:p>
      <w:pPr>
        <w:spacing w:after="160" w:before="0"/>
      </w:pPr>
      <w:r>
        <w:rPr>
          <w:b/>
          <w:i w:val="0"/>
          <w:color w:val="1C3A36"/>
          <w:sz w:val="19"/>
        </w:rPr>
        <w:t xml:space="preserve">Bottom line. </w:t>
      </w:r>
      <w:r>
        <w:rPr>
          <w:b w:val="0"/>
          <w:i w:val="0"/>
          <w:color w:val="1C3A36"/>
          <w:sz w:val="19"/>
        </w:rPr>
        <w:t>Every fundamental lens lands between SAR 43 and 50 — a tight cluster by house standards — and the weighted central of SAR 47 sits +8% above spot. The expert panel is more cautious than the house lenses precisely where it should be: the cash-returns expert charges the company for the capital the network swallows and lands below spot, while the earnings and policy experts sit at or just above it. This is not a deep-value situation and it is not an expensive one: it is a zero-net-debt utility-grade franchise at ~14.7× trailing earnings and a 5.0% locked yield (9.6% counting last year's special), where the return comes from the dividend plus whatever the market eventually pays for the AI-infrastructure and fintech options. The three-month distribution centres at spot with a mild upside tilt — the tape has no opinion yet.</w:t>
      </w:r>
    </w:p>
    <w:p>
      <w:pPr>
        <w:spacing w:after="80" w:before="200"/>
      </w:pPr>
      <w:r>
        <w:rPr>
          <w:b/>
          <w:i w:val="0"/>
          <w:color w:val="1C3A36"/>
          <w:sz w:val="24"/>
        </w:rPr>
        <w:t>Company overview — stc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448"/>
            <w:shd w:val="clear" w:color="auto" w:fill="EAF0EE"/>
          </w:tcPr>
          <w:p>
            <w:pPr>
              <w:spacing w:after="20"/>
            </w:pPr>
            <w:r>
              <w:rPr>
                <w:b/>
                <w:color w:val="1C3A36"/>
                <w:sz w:val="18"/>
              </w:rPr>
              <w:t>Item</w:t>
            </w:r>
          </w:p>
        </w:tc>
        <w:tc>
          <w:tcPr>
            <w:tcW w:type="dxa" w:w="7776"/>
            <w:shd w:val="clear" w:color="auto" w:fill="EAF0EE"/>
          </w:tcPr>
          <w:p>
            <w:pPr>
              <w:spacing w:after="20"/>
            </w:pPr>
            <w:r>
              <w:rPr>
                <w:b/>
                <w:color w:val="1C3A36"/>
                <w:sz w:val="18"/>
              </w:rPr>
              <w:t>Value</w:t>
            </w:r>
          </w:p>
        </w:tc>
      </w:tr>
      <w:tr>
        <w:tc>
          <w:tcPr>
            <w:tcW w:type="dxa" w:w="2448"/>
          </w:tcPr>
          <w:p>
            <w:pPr>
              <w:spacing w:after="20"/>
            </w:pPr>
            <w:r>
              <w:rPr>
                <w:b/>
                <w:color w:val="1C3A36"/>
                <w:sz w:val="18"/>
              </w:rPr>
              <w:t>Listed entity</w:t>
            </w:r>
          </w:p>
        </w:tc>
        <w:tc>
          <w:tcPr>
            <w:tcW w:type="dxa" w:w="7776"/>
          </w:tcPr>
          <w:p>
            <w:pPr>
              <w:spacing w:after="20"/>
              <w:jc w:val="right"/>
            </w:pPr>
            <w:r>
              <w:rPr>
                <w:color w:val="1C3A36"/>
                <w:sz w:val="18"/>
              </w:rPr>
              <w:t>Saudi Telecom Company (stc Group), Tadawul: 7010</w:t>
            </w:r>
          </w:p>
        </w:tc>
      </w:tr>
      <w:tr>
        <w:tc>
          <w:tcPr>
            <w:tcW w:type="dxa" w:w="2448"/>
          </w:tcPr>
          <w:p>
            <w:pPr>
              <w:spacing w:after="20"/>
            </w:pPr>
            <w:r>
              <w:rPr>
                <w:b/>
                <w:color w:val="1C3A36"/>
                <w:sz w:val="18"/>
              </w:rPr>
              <w:t>What it is</w:t>
            </w:r>
          </w:p>
        </w:tc>
        <w:tc>
          <w:tcPr>
            <w:tcW w:type="dxa" w:w="7776"/>
          </w:tcPr>
          <w:p>
            <w:pPr>
              <w:spacing w:after="20"/>
              <w:jc w:val="right"/>
            </w:pPr>
            <w:r>
              <w:rPr>
                <w:color w:val="1C3A36"/>
                <w:sz w:val="18"/>
              </w:rPr>
              <w:t>The Kingdom’s incumbent telecom operator and MENA’s largest telecom by market value; consumer, enterprise and wholesale connectivity plus a digital-infrastructure and fintech portfolio</w:t>
            </w:r>
          </w:p>
        </w:tc>
      </w:tr>
      <w:tr>
        <w:tc>
          <w:tcPr>
            <w:tcW w:type="dxa" w:w="2448"/>
          </w:tcPr>
          <w:p>
            <w:pPr>
              <w:spacing w:after="20"/>
            </w:pPr>
            <w:r>
              <w:rPr>
                <w:b/>
                <w:color w:val="1C3A36"/>
                <w:sz w:val="18"/>
              </w:rPr>
              <w:t>Spot / date</w:t>
            </w:r>
          </w:p>
        </w:tc>
        <w:tc>
          <w:tcPr>
            <w:tcW w:type="dxa" w:w="7776"/>
          </w:tcPr>
          <w:p>
            <w:pPr>
              <w:spacing w:after="20"/>
              <w:jc w:val="right"/>
            </w:pPr>
            <w:r>
              <w:rPr>
                <w:color w:val="1C3A36"/>
                <w:sz w:val="18"/>
              </w:rPr>
              <w:t>SAR 43.58 · 7 Jul 2026 close</w:t>
            </w:r>
          </w:p>
        </w:tc>
      </w:tr>
      <w:tr>
        <w:tc>
          <w:tcPr>
            <w:tcW w:type="dxa" w:w="2448"/>
          </w:tcPr>
          <w:p>
            <w:pPr>
              <w:spacing w:after="20"/>
            </w:pPr>
            <w:r>
              <w:rPr>
                <w:b/>
                <w:color w:val="1C3A36"/>
                <w:sz w:val="18"/>
              </w:rPr>
              <w:t>Shares · market cap</w:t>
            </w:r>
          </w:p>
        </w:tc>
        <w:tc>
          <w:tcPr>
            <w:tcW w:type="dxa" w:w="7776"/>
          </w:tcPr>
          <w:p>
            <w:pPr>
              <w:spacing w:after="20"/>
              <w:jc w:val="right"/>
            </w:pPr>
            <w:r>
              <w:rPr>
                <w:color w:val="1C3A36"/>
                <w:sz w:val="18"/>
              </w:rPr>
              <w:t>4,989.8 mn (5,000 mn issued − ~10.2 mn treasury) · ~SAR 217.5 bn (~US$58 bn)</w:t>
            </w:r>
          </w:p>
        </w:tc>
      </w:tr>
      <w:tr>
        <w:tc>
          <w:tcPr>
            <w:tcW w:type="dxa" w:w="2448"/>
          </w:tcPr>
          <w:p>
            <w:pPr>
              <w:spacing w:after="20"/>
            </w:pPr>
            <w:r>
              <w:rPr>
                <w:b/>
                <w:color w:val="1C3A36"/>
                <w:sz w:val="18"/>
              </w:rPr>
              <w:t>FY2025 revenue / EBITDA / net profit</w:t>
            </w:r>
          </w:p>
        </w:tc>
        <w:tc>
          <w:tcPr>
            <w:tcW w:type="dxa" w:w="7776"/>
          </w:tcPr>
          <w:p>
            <w:pPr>
              <w:spacing w:after="20"/>
              <w:jc w:val="right"/>
            </w:pPr>
            <w:r>
              <w:rPr>
                <w:color w:val="1C3A36"/>
                <w:sz w:val="18"/>
              </w:rPr>
              <w:t>SAR 77,819 mn (+2.5%) · SAR 24,469 mn (31.4% margin) · SAR 14,828 mn (+12.5% adjusted; reported −39.9% vs FY24’s TAWAL-gain year)</w:t>
            </w:r>
          </w:p>
        </w:tc>
      </w:tr>
      <w:tr>
        <w:tc>
          <w:tcPr>
            <w:tcW w:type="dxa" w:w="2448"/>
          </w:tcPr>
          <w:p>
            <w:pPr>
              <w:spacing w:after="20"/>
            </w:pPr>
            <w:r>
              <w:rPr>
                <w:b/>
                <w:color w:val="1C3A36"/>
                <w:sz w:val="18"/>
              </w:rPr>
              <w:t>Q1-2026 revenue / net profit</w:t>
            </w:r>
          </w:p>
        </w:tc>
        <w:tc>
          <w:tcPr>
            <w:tcW w:type="dxa" w:w="7776"/>
          </w:tcPr>
          <w:p>
            <w:pPr>
              <w:spacing w:after="20"/>
              <w:jc w:val="right"/>
            </w:pPr>
            <w:r>
              <w:rPr>
                <w:color w:val="1C3A36"/>
                <w:sz w:val="18"/>
              </w:rPr>
              <w:t>SAR 19,939 mn (+3.8%) · SAR 3,696 mn (+12.0% ex non-recurring; +1.3% reported)</w:t>
            </w:r>
          </w:p>
        </w:tc>
      </w:tr>
      <w:tr>
        <w:tc>
          <w:tcPr>
            <w:tcW w:type="dxa" w:w="2448"/>
          </w:tcPr>
          <w:p>
            <w:pPr>
              <w:spacing w:after="20"/>
            </w:pPr>
            <w:r>
              <w:rPr>
                <w:b/>
                <w:color w:val="1C3A36"/>
                <w:sz w:val="18"/>
              </w:rPr>
              <w:t>Segment split (FY2025)</w:t>
            </w:r>
          </w:p>
        </w:tc>
        <w:tc>
          <w:tcPr>
            <w:tcW w:type="dxa" w:w="7776"/>
          </w:tcPr>
          <w:p>
            <w:pPr>
              <w:spacing w:after="20"/>
              <w:jc w:val="right"/>
            </w:pPr>
            <w:r>
              <w:rPr>
                <w:color w:val="1C3A36"/>
                <w:sz w:val="18"/>
              </w:rPr>
              <w:t>stc KSA SAR 51,119 mn (consumer 32,826 · enterprise 13,514 · wholesale 4,779) · subsidiaries net ~SAR 26,700 mn</w:t>
            </w:r>
          </w:p>
        </w:tc>
      </w:tr>
      <w:tr>
        <w:tc>
          <w:tcPr>
            <w:tcW w:type="dxa" w:w="2448"/>
          </w:tcPr>
          <w:p>
            <w:pPr>
              <w:spacing w:after="20"/>
            </w:pPr>
            <w:r>
              <w:rPr>
                <w:b/>
                <w:color w:val="1C3A36"/>
                <w:sz w:val="18"/>
              </w:rPr>
              <w:t>Balance sheet</w:t>
            </w:r>
          </w:p>
        </w:tc>
        <w:tc>
          <w:tcPr>
            <w:tcW w:type="dxa" w:w="7776"/>
          </w:tcPr>
          <w:p>
            <w:pPr>
              <w:spacing w:after="20"/>
              <w:jc w:val="right"/>
            </w:pPr>
            <w:r>
              <w:rPr>
                <w:color w:val="1C3A36"/>
                <w:sz w:val="18"/>
              </w:rPr>
              <w:t>Net debt SAR 111 mn at FY25 (~0.0× EBITDA); SAR 7.1 bn at Q1-26 after the Jan-2026 $2 bn sukuk (~0.3×); cash framings: FS 21.4 bn incl. stc bank / IR core 15.4 bn</w:t>
            </w:r>
          </w:p>
        </w:tc>
      </w:tr>
      <w:tr>
        <w:tc>
          <w:tcPr>
            <w:tcW w:type="dxa" w:w="2448"/>
          </w:tcPr>
          <w:p>
            <w:pPr>
              <w:spacing w:after="20"/>
            </w:pPr>
            <w:r>
              <w:rPr>
                <w:b/>
                <w:color w:val="1C3A36"/>
                <w:sz w:val="18"/>
              </w:rPr>
              <w:t>Dividend</w:t>
            </w:r>
          </w:p>
        </w:tc>
        <w:tc>
          <w:tcPr>
            <w:tcW w:type="dxa" w:w="7776"/>
          </w:tcPr>
          <w:p>
            <w:pPr>
              <w:spacing w:after="20"/>
              <w:jc w:val="right"/>
            </w:pPr>
            <w:r>
              <w:rPr>
                <w:color w:val="1C3A36"/>
                <w:sz w:val="18"/>
              </w:rPr>
              <w:t>SAR 0.55/quarter locked through Q3-2027 (SAR 2.20/yr ≈ 5.0% yield); FY24 also paid a SAR 2.00 special (cash paid 2025: SAR 4.20/sh ≈ 9.6%)</w:t>
            </w:r>
          </w:p>
        </w:tc>
      </w:tr>
      <w:tr>
        <w:tc>
          <w:tcPr>
            <w:tcW w:type="dxa" w:w="2448"/>
          </w:tcPr>
          <w:p>
            <w:pPr>
              <w:spacing w:after="20"/>
            </w:pPr>
            <w:r>
              <w:rPr>
                <w:b/>
                <w:color w:val="1C3A36"/>
                <w:sz w:val="18"/>
              </w:rPr>
              <w:t>Key stakes</w:t>
            </w:r>
          </w:p>
        </w:tc>
        <w:tc>
          <w:tcPr>
            <w:tcW w:type="dxa" w:w="7776"/>
          </w:tcPr>
          <w:p>
            <w:pPr>
              <w:spacing w:after="20"/>
              <w:jc w:val="right"/>
            </w:pPr>
            <w:r>
              <w:rPr>
                <w:color w:val="1C3A36"/>
                <w:sz w:val="18"/>
              </w:rPr>
              <w:t>43.06% Digital Infrastructure Co (TAWAL + Zain towers; PIF 54%) · 9.97% Telefónica (€2.1 bn cost; ≈€1.96 bn market) · solutions by stc 79% (mkt cap ~SAR 26 bn) · stc bank 85% (8 mn customers)</w:t>
            </w:r>
          </w:p>
        </w:tc>
      </w:tr>
      <w:tr>
        <w:tc>
          <w:tcPr>
            <w:tcW w:type="dxa" w:w="2448"/>
          </w:tcPr>
          <w:p>
            <w:pPr>
              <w:spacing w:after="20"/>
            </w:pPr>
            <w:r>
              <w:rPr>
                <w:b/>
                <w:color w:val="1C3A36"/>
                <w:sz w:val="18"/>
              </w:rPr>
              <w:t>52-week range</w:t>
            </w:r>
          </w:p>
        </w:tc>
        <w:tc>
          <w:tcPr>
            <w:tcW w:type="dxa" w:w="7776"/>
          </w:tcPr>
          <w:p>
            <w:pPr>
              <w:spacing w:after="20"/>
              <w:jc w:val="right"/>
            </w:pPr>
            <w:r>
              <w:rPr>
                <w:color w:val="1C3A36"/>
                <w:sz w:val="18"/>
              </w:rPr>
              <w:t>SAR 40.20 (1 Mar 2026) – 45.38 (30 Oct 2025)</w:t>
            </w:r>
          </w:p>
        </w:tc>
      </w:tr>
      <w:tr>
        <w:tc>
          <w:tcPr>
            <w:tcW w:type="dxa" w:w="2448"/>
          </w:tcPr>
          <w:p>
            <w:pPr>
              <w:spacing w:after="20"/>
            </w:pPr>
            <w:r>
              <w:rPr>
                <w:b/>
                <w:color w:val="1C3A36"/>
                <w:sz w:val="18"/>
              </w:rPr>
              <w:t>Ownership</w:t>
            </w:r>
          </w:p>
        </w:tc>
        <w:tc>
          <w:tcPr>
            <w:tcW w:type="dxa" w:w="7776"/>
          </w:tcPr>
          <w:p>
            <w:pPr>
              <w:spacing w:after="20"/>
              <w:jc w:val="right"/>
            </w:pPr>
            <w:r>
              <w:rPr>
                <w:color w:val="1C3A36"/>
                <w:sz w:val="18"/>
              </w:rPr>
              <w:t>PIF 62.0% (after the Nov-2024 SAR 3.86 bn accelerated bookbuild) · free float ~38%</w:t>
            </w:r>
          </w:p>
        </w:tc>
      </w:tr>
      <w:tr>
        <w:tc>
          <w:tcPr>
            <w:tcW w:type="dxa" w:w="2448"/>
          </w:tcPr>
          <w:p>
            <w:pPr>
              <w:spacing w:after="20"/>
            </w:pPr>
            <w:r>
              <w:rPr>
                <w:b/>
                <w:color w:val="1C3A36"/>
                <w:sz w:val="18"/>
              </w:rPr>
              <w:t>Corporate events</w:t>
            </w:r>
          </w:p>
        </w:tc>
        <w:tc>
          <w:tcPr>
            <w:tcW w:type="dxa" w:w="7776"/>
          </w:tcPr>
          <w:p>
            <w:pPr>
              <w:spacing w:after="20"/>
              <w:jc w:val="right"/>
            </w:pPr>
            <w:r>
              <w:rPr>
                <w:color w:val="1C3A36"/>
                <w:sz w:val="18"/>
              </w:rPr>
              <w:t>$2 bn dual-tranche sukuk (Jan-2026, 4.489%/5.083%) · 26 mn-share ESIP buyback approved 7 May 2026 · center3–HUMAIN AI-data-centre framework (Dec-2025, toward 1 GW) · SilkLink Syria fibre corridor (SAR 3 bn, Feb-2026) · 2Q26 results due ~late Jul 2026</w:t>
            </w:r>
          </w:p>
        </w:tc>
      </w:tr>
    </w:tbl>
    <w:p>
      <w:pPr>
        <w:spacing w:after="40"/>
      </w:pPr>
    </w:p>
    <w:p>
      <w:pPr>
        <w:spacing w:after="200" w:before="0"/>
      </w:pPr>
      <w:r>
        <w:rPr>
          <w:b w:val="0"/>
          <w:i/>
          <w:color w:val="6E7B77"/>
          <w:sz w:val="17"/>
        </w:rPr>
        <w:t>Source: stc FY2023–FY2025 IR releases, Q1-2026 release and interim FS, FY2025 earnings presentation (all stc.com); Saudi Exchange disclosures; PIF press releases. Values rounded.</w:t>
      </w:r>
    </w:p>
    <w:p>
      <w:pPr>
        <w:spacing w:after="120" w:before="280"/>
      </w:pPr>
      <w:r>
        <w:rPr>
          <w:b/>
          <w:i w:val="0"/>
          <w:color w:val="1C3A36"/>
          <w:sz w:val="30"/>
        </w:rPr>
        <w:t>1  Fundamental valuation</w:t>
      </w:r>
    </w:p>
    <w:p>
      <w:pPr>
        <w:spacing w:after="120" w:before="0"/>
      </w:pPr>
      <w:r>
        <w:rPr>
          <w:b w:val="0"/>
          <w:i w:val="0"/>
          <w:color w:val="1C3A36"/>
          <w:sz w:val="21"/>
        </w:rPr>
        <w:t>We value stc as a going-concern operator and triangulate four lenses. The primary lens is a free-cash-flow-to-firm DCF, because a mature, capital-intensive network operator is ultimately worth the cash its infrastructure produces after the capex that keeps it competitive; the tower and Telefónica stakes sit outside the operating engine and are marked separately on the bridge. A dividend-discount read is the natural cross-check for a company whose board has locked a SAR 0.55-per-quarter distribution through 2027. A relative EV/EBITDA read and a normalized-earnings read complete the set. The weights and the football field are in §1.5; the segment engine in §1.6; the crux — dividend cover against the capex cycle, in real units — in §1.7; the cost-of-capital build (every input sourced, both ERP bases published) in §1.8; and the sensitivity grids in §1.9. One lens-selection note (§3.5-F5 considered and set aside): stc does own a captive-finance-flavoured arm — stc bank — but at SAR 2.0 bn of revenue (2.5% of group) and an early-stage loan book it does not yet warrant the split-legs operating-co-plus-lender treatment; it is carried inside the subsidiaries line with a justified N/A, to be revisited once SAMA-reported bank financials give it a book worth marking separately. Throughout, the cost of equity is published explicitly as Ke = rf + β × ERP = 5.50% + 0.48 × 5.01% = 7.90% (rating basis; 8.25% on the CDS basis), with the beta a genuine — if short-window — regression against TASI rather than an assumed round number.</w:t>
      </w:r>
    </w:p>
    <w:p>
      <w:pPr>
        <w:spacing w:after="80" w:before="200"/>
      </w:pPr>
      <w:r>
        <w:rPr>
          <w:b/>
          <w:i w:val="0"/>
          <w:color w:val="1C3A36"/>
          <w:sz w:val="24"/>
        </w:rPr>
        <w:t>1.1  The FCFF DCF — the primary lens</w:t>
      </w:r>
    </w:p>
    <w:p>
      <w:pPr>
        <w:spacing w:after="120" w:before="0"/>
      </w:pPr>
      <w:r>
        <w:rPr>
          <w:b w:val="0"/>
          <w:i w:val="0"/>
          <w:color w:val="1C3A36"/>
          <w:sz w:val="21"/>
        </w:rPr>
        <w:t>The revenue engine is the §1.6 segment build (top-down: stc discloses unit revenue, not subscriber × ARPU detail, so per the house data-discipline gate we forecast disclosed segment lines rather than manufacture a bottom-up split). Group revenue compounds ~3.0% — consumer +2.0–3.0%, enterprise recovering to ~4% as mega-project phasing normalizes, wholesale mid-single-digit on hosting and FWA backhaul, subsidiaries ~5–6% led by solutions, stc bank and center3. The EBITDA margin glides from 31.4% (FY25) to 32.5% by FY30E — Q1-26 already printed 32.9% — as the subsidiary mix matures. Capex intensity follows management’s own band: 16.5% of revenue in FY26–27E (the “edge up slightly” guidance for the mission-critical and data-centre build), fading to 15.0% by FY30E; the long-term guided range is 15–17.5%. A working-capital/OCF-conversion drag of 0.4–0.8% of revenue reflects the receivables-heavy government business. Zakat and income tax at the normalized effective ~9.7% (statutory zakat is 2.5% of the zakat base; FY25’s net credit was a one-off).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SAR mn</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FY27E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FY29E</w:t>
            </w:r>
          </w:p>
        </w:tc>
        <w:tc>
          <w:tcPr>
            <w:tcW w:type="dxa" w:w="1440"/>
            <w:shd w:val="clear" w:color="auto" w:fill="EAF0EE"/>
          </w:tcPr>
          <w:p>
            <w:pPr>
              <w:spacing w:after="20"/>
            </w:pPr>
            <w:r>
              <w:rPr>
                <w:b/>
                <w:color w:val="1C3A36"/>
                <w:sz w:val="17"/>
              </w:rPr>
              <w:t>FY30E</w:t>
            </w:r>
          </w:p>
        </w:tc>
      </w:tr>
      <w:tr>
        <w:tc>
          <w:tcPr>
            <w:tcW w:type="dxa" w:w="3024"/>
          </w:tcPr>
          <w:p>
            <w:pPr>
              <w:spacing w:after="20"/>
            </w:pPr>
            <w:r>
              <w:rPr>
                <w:b/>
                <w:color w:val="1C3A36"/>
                <w:sz w:val="17"/>
              </w:rPr>
              <w:t>Group revenue</w:t>
            </w:r>
          </w:p>
        </w:tc>
        <w:tc>
          <w:tcPr>
            <w:tcW w:type="dxa" w:w="1440"/>
          </w:tcPr>
          <w:p>
            <w:pPr>
              <w:spacing w:after="20"/>
              <w:jc w:val="right"/>
            </w:pPr>
            <w:r>
              <w:rPr>
                <w:color w:val="1C3A36"/>
                <w:sz w:val="17"/>
              </w:rPr>
              <w:t>80,963</w:t>
            </w:r>
          </w:p>
        </w:tc>
        <w:tc>
          <w:tcPr>
            <w:tcW w:type="dxa" w:w="1440"/>
          </w:tcPr>
          <w:p>
            <w:pPr>
              <w:spacing w:after="20"/>
              <w:jc w:val="right"/>
            </w:pPr>
            <w:r>
              <w:rPr>
                <w:color w:val="1C3A36"/>
                <w:sz w:val="17"/>
              </w:rPr>
              <w:t>84,287</w:t>
            </w:r>
          </w:p>
        </w:tc>
        <w:tc>
          <w:tcPr>
            <w:tcW w:type="dxa" w:w="1440"/>
          </w:tcPr>
          <w:p>
            <w:pPr>
              <w:spacing w:after="20"/>
              <w:jc w:val="right"/>
            </w:pPr>
            <w:r>
              <w:rPr>
                <w:color w:val="1C3A36"/>
                <w:sz w:val="17"/>
              </w:rPr>
              <w:t>87,496</w:t>
            </w:r>
          </w:p>
        </w:tc>
        <w:tc>
          <w:tcPr>
            <w:tcW w:type="dxa" w:w="1440"/>
          </w:tcPr>
          <w:p>
            <w:pPr>
              <w:spacing w:after="20"/>
              <w:jc w:val="right"/>
            </w:pPr>
            <w:r>
              <w:rPr>
                <w:color w:val="1C3A36"/>
                <w:sz w:val="17"/>
              </w:rPr>
              <w:t>90,548</w:t>
            </w:r>
          </w:p>
        </w:tc>
        <w:tc>
          <w:tcPr>
            <w:tcW w:type="dxa" w:w="1440"/>
          </w:tcPr>
          <w:p>
            <w:pPr>
              <w:spacing w:after="20"/>
              <w:jc w:val="right"/>
            </w:pPr>
            <w:r>
              <w:rPr>
                <w:color w:val="1C3A36"/>
                <w:sz w:val="17"/>
              </w:rPr>
              <w:t>93,373</w:t>
            </w:r>
          </w:p>
        </w:tc>
      </w:tr>
      <w:tr>
        <w:tc>
          <w:tcPr>
            <w:tcW w:type="dxa" w:w="3024"/>
          </w:tcPr>
          <w:p>
            <w:pPr>
              <w:spacing w:after="20"/>
            </w:pPr>
            <w:r>
              <w:rPr>
                <w:b/>
                <w:color w:val="1C3A36"/>
                <w:sz w:val="17"/>
              </w:rPr>
              <w:t>EBITDA</w:t>
            </w:r>
          </w:p>
        </w:tc>
        <w:tc>
          <w:tcPr>
            <w:tcW w:type="dxa" w:w="1440"/>
          </w:tcPr>
          <w:p>
            <w:pPr>
              <w:spacing w:after="20"/>
              <w:jc w:val="right"/>
            </w:pPr>
            <w:r>
              <w:rPr>
                <w:color w:val="1C3A36"/>
                <w:sz w:val="17"/>
              </w:rPr>
              <w:t>25,746</w:t>
            </w:r>
          </w:p>
        </w:tc>
        <w:tc>
          <w:tcPr>
            <w:tcW w:type="dxa" w:w="1440"/>
          </w:tcPr>
          <w:p>
            <w:pPr>
              <w:spacing w:after="20"/>
              <w:jc w:val="right"/>
            </w:pPr>
            <w:r>
              <w:rPr>
                <w:color w:val="1C3A36"/>
                <w:sz w:val="17"/>
              </w:rPr>
              <w:t>26,972</w:t>
            </w:r>
          </w:p>
        </w:tc>
        <w:tc>
          <w:tcPr>
            <w:tcW w:type="dxa" w:w="1440"/>
          </w:tcPr>
          <w:p>
            <w:pPr>
              <w:spacing w:after="20"/>
              <w:jc w:val="right"/>
            </w:pPr>
            <w:r>
              <w:rPr>
                <w:color w:val="1C3A36"/>
                <w:sz w:val="17"/>
              </w:rPr>
              <w:t>28,174</w:t>
            </w:r>
          </w:p>
        </w:tc>
        <w:tc>
          <w:tcPr>
            <w:tcW w:type="dxa" w:w="1440"/>
          </w:tcPr>
          <w:p>
            <w:pPr>
              <w:spacing w:after="20"/>
              <w:jc w:val="right"/>
            </w:pPr>
            <w:r>
              <w:rPr>
                <w:color w:val="1C3A36"/>
                <w:sz w:val="17"/>
              </w:rPr>
              <w:t>29,247</w:t>
            </w:r>
          </w:p>
        </w:tc>
        <w:tc>
          <w:tcPr>
            <w:tcW w:type="dxa" w:w="1440"/>
          </w:tcPr>
          <w:p>
            <w:pPr>
              <w:spacing w:after="20"/>
              <w:jc w:val="right"/>
            </w:pPr>
            <w:r>
              <w:rPr>
                <w:color w:val="1C3A36"/>
                <w:sz w:val="17"/>
              </w:rPr>
              <w:t>30,346</w:t>
            </w:r>
          </w:p>
        </w:tc>
      </w:tr>
      <w:tr>
        <w:tc>
          <w:tcPr>
            <w:tcW w:type="dxa" w:w="3024"/>
          </w:tcPr>
          <w:p>
            <w:pPr>
              <w:spacing w:after="20"/>
            </w:pPr>
            <w:r>
              <w:rPr>
                <w:b/>
                <w:color w:val="1C3A36"/>
                <w:sz w:val="17"/>
              </w:rPr>
              <w:t>D&amp;A</w:t>
            </w:r>
          </w:p>
        </w:tc>
        <w:tc>
          <w:tcPr>
            <w:tcW w:type="dxa" w:w="1440"/>
          </w:tcPr>
          <w:p>
            <w:pPr>
              <w:spacing w:after="20"/>
              <w:jc w:val="right"/>
            </w:pPr>
            <w:r>
              <w:rPr>
                <w:color w:val="1C3A36"/>
                <w:sz w:val="17"/>
              </w:rPr>
              <w:t>(10,444)</w:t>
            </w:r>
          </w:p>
        </w:tc>
        <w:tc>
          <w:tcPr>
            <w:tcW w:type="dxa" w:w="1440"/>
          </w:tcPr>
          <w:p>
            <w:pPr>
              <w:spacing w:after="20"/>
              <w:jc w:val="right"/>
            </w:pPr>
            <w:r>
              <w:rPr>
                <w:color w:val="1C3A36"/>
                <w:sz w:val="17"/>
              </w:rPr>
              <w:t>(10,789)</w:t>
            </w:r>
          </w:p>
        </w:tc>
        <w:tc>
          <w:tcPr>
            <w:tcW w:type="dxa" w:w="1440"/>
          </w:tcPr>
          <w:p>
            <w:pPr>
              <w:spacing w:after="20"/>
              <w:jc w:val="right"/>
            </w:pPr>
            <w:r>
              <w:rPr>
                <w:color w:val="1C3A36"/>
                <w:sz w:val="17"/>
              </w:rPr>
              <w:t>(11,112)</w:t>
            </w:r>
          </w:p>
        </w:tc>
        <w:tc>
          <w:tcPr>
            <w:tcW w:type="dxa" w:w="1440"/>
          </w:tcPr>
          <w:p>
            <w:pPr>
              <w:spacing w:after="20"/>
              <w:jc w:val="right"/>
            </w:pPr>
            <w:r>
              <w:rPr>
                <w:color w:val="1C3A36"/>
                <w:sz w:val="17"/>
              </w:rPr>
              <w:t>(11,409)</w:t>
            </w:r>
          </w:p>
        </w:tc>
        <w:tc>
          <w:tcPr>
            <w:tcW w:type="dxa" w:w="1440"/>
          </w:tcPr>
          <w:p>
            <w:pPr>
              <w:spacing w:after="20"/>
              <w:jc w:val="right"/>
            </w:pPr>
            <w:r>
              <w:rPr>
                <w:color w:val="1C3A36"/>
                <w:sz w:val="17"/>
              </w:rPr>
              <w:t>(11,672)</w:t>
            </w:r>
          </w:p>
        </w:tc>
      </w:tr>
      <w:tr>
        <w:tc>
          <w:tcPr>
            <w:tcW w:type="dxa" w:w="3024"/>
          </w:tcPr>
          <w:p>
            <w:pPr>
              <w:spacing w:after="20"/>
            </w:pPr>
            <w:r>
              <w:rPr>
                <w:b/>
                <w:color w:val="1C3A36"/>
                <w:sz w:val="17"/>
              </w:rPr>
              <w:t>EBIT</w:t>
            </w:r>
          </w:p>
        </w:tc>
        <w:tc>
          <w:tcPr>
            <w:tcW w:type="dxa" w:w="1440"/>
          </w:tcPr>
          <w:p>
            <w:pPr>
              <w:spacing w:after="20"/>
              <w:jc w:val="right"/>
            </w:pPr>
            <w:r>
              <w:rPr>
                <w:color w:val="1C3A36"/>
                <w:sz w:val="17"/>
              </w:rPr>
              <w:t>15,302</w:t>
            </w:r>
          </w:p>
        </w:tc>
        <w:tc>
          <w:tcPr>
            <w:tcW w:type="dxa" w:w="1440"/>
          </w:tcPr>
          <w:p>
            <w:pPr>
              <w:spacing w:after="20"/>
              <w:jc w:val="right"/>
            </w:pPr>
            <w:r>
              <w:rPr>
                <w:color w:val="1C3A36"/>
                <w:sz w:val="17"/>
              </w:rPr>
              <w:t>16,183</w:t>
            </w:r>
          </w:p>
        </w:tc>
        <w:tc>
          <w:tcPr>
            <w:tcW w:type="dxa" w:w="1440"/>
          </w:tcPr>
          <w:p>
            <w:pPr>
              <w:spacing w:after="20"/>
              <w:jc w:val="right"/>
            </w:pPr>
            <w:r>
              <w:rPr>
                <w:color w:val="1C3A36"/>
                <w:sz w:val="17"/>
              </w:rPr>
              <w:t>17,062</w:t>
            </w:r>
          </w:p>
        </w:tc>
        <w:tc>
          <w:tcPr>
            <w:tcW w:type="dxa" w:w="1440"/>
          </w:tcPr>
          <w:p>
            <w:pPr>
              <w:spacing w:after="20"/>
              <w:jc w:val="right"/>
            </w:pPr>
            <w:r>
              <w:rPr>
                <w:color w:val="1C3A36"/>
                <w:sz w:val="17"/>
              </w:rPr>
              <w:t>17,838</w:t>
            </w:r>
          </w:p>
        </w:tc>
        <w:tc>
          <w:tcPr>
            <w:tcW w:type="dxa" w:w="1440"/>
          </w:tcPr>
          <w:p>
            <w:pPr>
              <w:spacing w:after="20"/>
              <w:jc w:val="right"/>
            </w:pPr>
            <w:r>
              <w:rPr>
                <w:color w:val="1C3A36"/>
                <w:sz w:val="17"/>
              </w:rPr>
              <w:t>18,675</w:t>
            </w:r>
          </w:p>
        </w:tc>
      </w:tr>
      <w:tr>
        <w:tc>
          <w:tcPr>
            <w:tcW w:type="dxa" w:w="3024"/>
          </w:tcPr>
          <w:p>
            <w:pPr>
              <w:spacing w:after="20"/>
            </w:pPr>
            <w:r>
              <w:rPr>
                <w:b/>
                <w:color w:val="1C3A36"/>
                <w:sz w:val="17"/>
              </w:rPr>
              <w:t>NOPAT = EBIT × (1 − 9.7%)</w:t>
            </w:r>
          </w:p>
        </w:tc>
        <w:tc>
          <w:tcPr>
            <w:tcW w:type="dxa" w:w="1440"/>
          </w:tcPr>
          <w:p>
            <w:pPr>
              <w:spacing w:after="20"/>
              <w:jc w:val="right"/>
            </w:pPr>
            <w:r>
              <w:rPr>
                <w:color w:val="1C3A36"/>
                <w:sz w:val="17"/>
              </w:rPr>
              <w:t>13,818</w:t>
            </w:r>
          </w:p>
        </w:tc>
        <w:tc>
          <w:tcPr>
            <w:tcW w:type="dxa" w:w="1440"/>
          </w:tcPr>
          <w:p>
            <w:pPr>
              <w:spacing w:after="20"/>
              <w:jc w:val="right"/>
            </w:pPr>
            <w:r>
              <w:rPr>
                <w:color w:val="1C3A36"/>
                <w:sz w:val="17"/>
              </w:rPr>
              <w:t>14,613</w:t>
            </w:r>
          </w:p>
        </w:tc>
        <w:tc>
          <w:tcPr>
            <w:tcW w:type="dxa" w:w="1440"/>
          </w:tcPr>
          <w:p>
            <w:pPr>
              <w:spacing w:after="20"/>
              <w:jc w:val="right"/>
            </w:pPr>
            <w:r>
              <w:rPr>
                <w:color w:val="1C3A36"/>
                <w:sz w:val="17"/>
              </w:rPr>
              <w:t>15,407</w:t>
            </w:r>
          </w:p>
        </w:tc>
        <w:tc>
          <w:tcPr>
            <w:tcW w:type="dxa" w:w="1440"/>
          </w:tcPr>
          <w:p>
            <w:pPr>
              <w:spacing w:after="20"/>
              <w:jc w:val="right"/>
            </w:pPr>
            <w:r>
              <w:rPr>
                <w:color w:val="1C3A36"/>
                <w:sz w:val="17"/>
              </w:rPr>
              <w:t>16,108</w:t>
            </w:r>
          </w:p>
        </w:tc>
        <w:tc>
          <w:tcPr>
            <w:tcW w:type="dxa" w:w="1440"/>
          </w:tcPr>
          <w:p>
            <w:pPr>
              <w:spacing w:after="20"/>
              <w:jc w:val="right"/>
            </w:pPr>
            <w:r>
              <w:rPr>
                <w:color w:val="1C3A36"/>
                <w:sz w:val="17"/>
              </w:rPr>
              <w:t>16,863</w:t>
            </w:r>
          </w:p>
        </w:tc>
      </w:tr>
      <w:tr>
        <w:tc>
          <w:tcPr>
            <w:tcW w:type="dxa" w:w="3024"/>
          </w:tcPr>
          <w:p>
            <w:pPr>
              <w:spacing w:after="20"/>
            </w:pPr>
            <w:r>
              <w:rPr>
                <w:b/>
                <w:color w:val="1C3A36"/>
                <w:sz w:val="17"/>
              </w:rPr>
              <w:t>+ D&amp;A</w:t>
            </w:r>
          </w:p>
        </w:tc>
        <w:tc>
          <w:tcPr>
            <w:tcW w:type="dxa" w:w="1440"/>
          </w:tcPr>
          <w:p>
            <w:pPr>
              <w:spacing w:after="20"/>
              <w:jc w:val="right"/>
            </w:pPr>
            <w:r>
              <w:rPr>
                <w:color w:val="1C3A36"/>
                <w:sz w:val="17"/>
              </w:rPr>
              <w:t>10,444</w:t>
            </w:r>
          </w:p>
        </w:tc>
        <w:tc>
          <w:tcPr>
            <w:tcW w:type="dxa" w:w="1440"/>
          </w:tcPr>
          <w:p>
            <w:pPr>
              <w:spacing w:after="20"/>
              <w:jc w:val="right"/>
            </w:pPr>
            <w:r>
              <w:rPr>
                <w:color w:val="1C3A36"/>
                <w:sz w:val="17"/>
              </w:rPr>
              <w:t>10,789</w:t>
            </w:r>
          </w:p>
        </w:tc>
        <w:tc>
          <w:tcPr>
            <w:tcW w:type="dxa" w:w="1440"/>
          </w:tcPr>
          <w:p>
            <w:pPr>
              <w:spacing w:after="20"/>
              <w:jc w:val="right"/>
            </w:pPr>
            <w:r>
              <w:rPr>
                <w:color w:val="1C3A36"/>
                <w:sz w:val="17"/>
              </w:rPr>
              <w:t>11,112</w:t>
            </w:r>
          </w:p>
        </w:tc>
        <w:tc>
          <w:tcPr>
            <w:tcW w:type="dxa" w:w="1440"/>
          </w:tcPr>
          <w:p>
            <w:pPr>
              <w:spacing w:after="20"/>
              <w:jc w:val="right"/>
            </w:pPr>
            <w:r>
              <w:rPr>
                <w:color w:val="1C3A36"/>
                <w:sz w:val="17"/>
              </w:rPr>
              <w:t>11,409</w:t>
            </w:r>
          </w:p>
        </w:tc>
        <w:tc>
          <w:tcPr>
            <w:tcW w:type="dxa" w:w="1440"/>
          </w:tcPr>
          <w:p>
            <w:pPr>
              <w:spacing w:after="20"/>
              <w:jc w:val="right"/>
            </w:pPr>
            <w:r>
              <w:rPr>
                <w:color w:val="1C3A36"/>
                <w:sz w:val="17"/>
              </w:rPr>
              <w:t>11,672</w:t>
            </w:r>
          </w:p>
        </w:tc>
      </w:tr>
      <w:tr>
        <w:tc>
          <w:tcPr>
            <w:tcW w:type="dxa" w:w="3024"/>
          </w:tcPr>
          <w:p>
            <w:pPr>
              <w:spacing w:after="20"/>
            </w:pPr>
            <w:r>
              <w:rPr>
                <w:b/>
                <w:color w:val="1C3A36"/>
                <w:sz w:val="17"/>
              </w:rPr>
              <w:t>− Capex</w:t>
            </w:r>
          </w:p>
        </w:tc>
        <w:tc>
          <w:tcPr>
            <w:tcW w:type="dxa" w:w="1440"/>
          </w:tcPr>
          <w:p>
            <w:pPr>
              <w:spacing w:after="20"/>
              <w:jc w:val="right"/>
            </w:pPr>
            <w:r>
              <w:rPr>
                <w:color w:val="1C3A36"/>
                <w:sz w:val="17"/>
              </w:rPr>
              <w:t>(13,359)</w:t>
            </w:r>
          </w:p>
        </w:tc>
        <w:tc>
          <w:tcPr>
            <w:tcW w:type="dxa" w:w="1440"/>
          </w:tcPr>
          <w:p>
            <w:pPr>
              <w:spacing w:after="20"/>
              <w:jc w:val="right"/>
            </w:pPr>
            <w:r>
              <w:rPr>
                <w:color w:val="1C3A36"/>
                <w:sz w:val="17"/>
              </w:rPr>
              <w:t>(13,907)</w:t>
            </w:r>
          </w:p>
        </w:tc>
        <w:tc>
          <w:tcPr>
            <w:tcW w:type="dxa" w:w="1440"/>
          </w:tcPr>
          <w:p>
            <w:pPr>
              <w:spacing w:after="20"/>
              <w:jc w:val="right"/>
            </w:pPr>
            <w:r>
              <w:rPr>
                <w:color w:val="1C3A36"/>
                <w:sz w:val="17"/>
              </w:rPr>
              <w:t>(13,999)</w:t>
            </w:r>
          </w:p>
        </w:tc>
        <w:tc>
          <w:tcPr>
            <w:tcW w:type="dxa" w:w="1440"/>
          </w:tcPr>
          <w:p>
            <w:pPr>
              <w:spacing w:after="20"/>
              <w:jc w:val="right"/>
            </w:pPr>
            <w:r>
              <w:rPr>
                <w:color w:val="1C3A36"/>
                <w:sz w:val="17"/>
              </w:rPr>
              <w:t>(14,035)</w:t>
            </w:r>
          </w:p>
        </w:tc>
        <w:tc>
          <w:tcPr>
            <w:tcW w:type="dxa" w:w="1440"/>
          </w:tcPr>
          <w:p>
            <w:pPr>
              <w:spacing w:after="20"/>
              <w:jc w:val="right"/>
            </w:pPr>
            <w:r>
              <w:rPr>
                <w:color w:val="1C3A36"/>
                <w:sz w:val="17"/>
              </w:rPr>
              <w:t>(14,006)</w:t>
            </w:r>
          </w:p>
        </w:tc>
      </w:tr>
      <w:tr>
        <w:tc>
          <w:tcPr>
            <w:tcW w:type="dxa" w:w="3024"/>
          </w:tcPr>
          <w:p>
            <w:pPr>
              <w:spacing w:after="20"/>
            </w:pPr>
            <w:r>
              <w:rPr>
                <w:b/>
                <w:color w:val="1C3A36"/>
                <w:sz w:val="17"/>
              </w:rPr>
              <w:t>− Δ working capital</w:t>
            </w:r>
          </w:p>
        </w:tc>
        <w:tc>
          <w:tcPr>
            <w:tcW w:type="dxa" w:w="1440"/>
          </w:tcPr>
          <w:p>
            <w:pPr>
              <w:spacing w:after="20"/>
              <w:jc w:val="right"/>
            </w:pPr>
            <w:r>
              <w:rPr>
                <w:color w:val="1C3A36"/>
                <w:sz w:val="17"/>
              </w:rPr>
              <w:t>(648)</w:t>
            </w:r>
          </w:p>
        </w:tc>
        <w:tc>
          <w:tcPr>
            <w:tcW w:type="dxa" w:w="1440"/>
          </w:tcPr>
          <w:p>
            <w:pPr>
              <w:spacing w:after="20"/>
              <w:jc w:val="right"/>
            </w:pPr>
            <w:r>
              <w:rPr>
                <w:color w:val="1C3A36"/>
                <w:sz w:val="17"/>
              </w:rPr>
              <w:t>(506)</w:t>
            </w:r>
          </w:p>
        </w:tc>
        <w:tc>
          <w:tcPr>
            <w:tcW w:type="dxa" w:w="1440"/>
          </w:tcPr>
          <w:p>
            <w:pPr>
              <w:spacing w:after="20"/>
              <w:jc w:val="right"/>
            </w:pPr>
            <w:r>
              <w:rPr>
                <w:color w:val="1C3A36"/>
                <w:sz w:val="17"/>
              </w:rPr>
              <w:t>(437)</w:t>
            </w:r>
          </w:p>
        </w:tc>
        <w:tc>
          <w:tcPr>
            <w:tcW w:type="dxa" w:w="1440"/>
          </w:tcPr>
          <w:p>
            <w:pPr>
              <w:spacing w:after="20"/>
              <w:jc w:val="right"/>
            </w:pPr>
            <w:r>
              <w:rPr>
                <w:color w:val="1C3A36"/>
                <w:sz w:val="17"/>
              </w:rPr>
              <w:t>(362)</w:t>
            </w:r>
          </w:p>
        </w:tc>
        <w:tc>
          <w:tcPr>
            <w:tcW w:type="dxa" w:w="1440"/>
          </w:tcPr>
          <w:p>
            <w:pPr>
              <w:spacing w:after="20"/>
              <w:jc w:val="right"/>
            </w:pPr>
            <w:r>
              <w:rPr>
                <w:color w:val="1C3A36"/>
                <w:sz w:val="17"/>
              </w:rPr>
              <w:t>(373)</w:t>
            </w:r>
          </w:p>
        </w:tc>
      </w:tr>
      <w:tr>
        <w:tc>
          <w:tcPr>
            <w:tcW w:type="dxa" w:w="3024"/>
          </w:tcPr>
          <w:p>
            <w:pPr>
              <w:spacing w:after="20"/>
            </w:pPr>
            <w:r>
              <w:rPr>
                <w:b/>
                <w:color w:val="1C3A36"/>
                <w:sz w:val="17"/>
              </w:rPr>
              <w:t>FCFF</w:t>
            </w:r>
          </w:p>
        </w:tc>
        <w:tc>
          <w:tcPr>
            <w:tcW w:type="dxa" w:w="1440"/>
          </w:tcPr>
          <w:p>
            <w:pPr>
              <w:spacing w:after="20"/>
              <w:jc w:val="right"/>
            </w:pPr>
            <w:r>
              <w:rPr>
                <w:color w:val="1C3A36"/>
                <w:sz w:val="17"/>
              </w:rPr>
              <w:t>10,255</w:t>
            </w:r>
          </w:p>
        </w:tc>
        <w:tc>
          <w:tcPr>
            <w:tcW w:type="dxa" w:w="1440"/>
          </w:tcPr>
          <w:p>
            <w:pPr>
              <w:spacing w:after="20"/>
              <w:jc w:val="right"/>
            </w:pPr>
            <w:r>
              <w:rPr>
                <w:color w:val="1C3A36"/>
                <w:sz w:val="17"/>
              </w:rPr>
              <w:t>10,989</w:t>
            </w:r>
          </w:p>
        </w:tc>
        <w:tc>
          <w:tcPr>
            <w:tcW w:type="dxa" w:w="1440"/>
          </w:tcPr>
          <w:p>
            <w:pPr>
              <w:spacing w:after="20"/>
              <w:jc w:val="right"/>
            </w:pPr>
            <w:r>
              <w:rPr>
                <w:color w:val="1C3A36"/>
                <w:sz w:val="17"/>
              </w:rPr>
              <w:t>12,082</w:t>
            </w:r>
          </w:p>
        </w:tc>
        <w:tc>
          <w:tcPr>
            <w:tcW w:type="dxa" w:w="1440"/>
          </w:tcPr>
          <w:p>
            <w:pPr>
              <w:spacing w:after="20"/>
              <w:jc w:val="right"/>
            </w:pPr>
            <w:r>
              <w:rPr>
                <w:color w:val="1C3A36"/>
                <w:sz w:val="17"/>
              </w:rPr>
              <w:t>13,120</w:t>
            </w:r>
          </w:p>
        </w:tc>
        <w:tc>
          <w:tcPr>
            <w:tcW w:type="dxa" w:w="1440"/>
          </w:tcPr>
          <w:p>
            <w:pPr>
              <w:spacing w:after="20"/>
              <w:jc w:val="right"/>
            </w:pPr>
            <w:r>
              <w:rPr>
                <w:color w:val="1C3A36"/>
                <w:sz w:val="17"/>
              </w:rPr>
              <w:t>14,155</w:t>
            </w:r>
          </w:p>
        </w:tc>
      </w:tr>
      <w:tr>
        <w:tc>
          <w:tcPr>
            <w:tcW w:type="dxa" w:w="3024"/>
          </w:tcPr>
          <w:p>
            <w:pPr>
              <w:spacing w:after="20"/>
            </w:pPr>
            <w:r>
              <w:rPr>
                <w:b/>
                <w:color w:val="1C3A36"/>
                <w:sz w:val="17"/>
              </w:rPr>
              <w:t>Discount factor</w:t>
            </w:r>
          </w:p>
        </w:tc>
        <w:tc>
          <w:tcPr>
            <w:tcW w:type="dxa" w:w="1440"/>
          </w:tcPr>
          <w:p>
            <w:pPr>
              <w:spacing w:after="20"/>
              <w:jc w:val="right"/>
            </w:pPr>
            <w:r>
              <w:rPr>
                <w:color w:val="1C3A36"/>
                <w:sz w:val="17"/>
              </w:rPr>
              <w:t>0.929</w:t>
            </w:r>
          </w:p>
        </w:tc>
        <w:tc>
          <w:tcPr>
            <w:tcW w:type="dxa" w:w="1440"/>
          </w:tcPr>
          <w:p>
            <w:pPr>
              <w:spacing w:after="20"/>
              <w:jc w:val="right"/>
            </w:pPr>
            <w:r>
              <w:rPr>
                <w:color w:val="1C3A36"/>
                <w:sz w:val="17"/>
              </w:rPr>
              <w:t>0.864</w:t>
            </w:r>
          </w:p>
        </w:tc>
        <w:tc>
          <w:tcPr>
            <w:tcW w:type="dxa" w:w="1440"/>
          </w:tcPr>
          <w:p>
            <w:pPr>
              <w:spacing w:after="20"/>
              <w:jc w:val="right"/>
            </w:pPr>
            <w:r>
              <w:rPr>
                <w:color w:val="1C3A36"/>
                <w:sz w:val="17"/>
              </w:rPr>
              <w:t>0.803</w:t>
            </w:r>
          </w:p>
        </w:tc>
        <w:tc>
          <w:tcPr>
            <w:tcW w:type="dxa" w:w="1440"/>
          </w:tcPr>
          <w:p>
            <w:pPr>
              <w:spacing w:after="20"/>
              <w:jc w:val="right"/>
            </w:pPr>
            <w:r>
              <w:rPr>
                <w:color w:val="1C3A36"/>
                <w:sz w:val="17"/>
              </w:rPr>
              <w:t>0.746</w:t>
            </w:r>
          </w:p>
        </w:tc>
        <w:tc>
          <w:tcPr>
            <w:tcW w:type="dxa" w:w="1440"/>
          </w:tcPr>
          <w:p>
            <w:pPr>
              <w:spacing w:after="20"/>
              <w:jc w:val="right"/>
            </w:pPr>
            <w:r>
              <w:rPr>
                <w:color w:val="1C3A36"/>
                <w:sz w:val="17"/>
              </w:rPr>
              <w:t>0.694</w:t>
            </w:r>
          </w:p>
        </w:tc>
      </w:tr>
      <w:tr>
        <w:tc>
          <w:tcPr>
            <w:tcW w:type="dxa" w:w="3024"/>
          </w:tcPr>
          <w:p>
            <w:pPr>
              <w:spacing w:after="20"/>
            </w:pPr>
            <w:r>
              <w:rPr>
                <w:b/>
                <w:color w:val="1C3A36"/>
                <w:sz w:val="17"/>
              </w:rPr>
              <w:t>PV of FCFF</w:t>
            </w:r>
          </w:p>
        </w:tc>
        <w:tc>
          <w:tcPr>
            <w:tcW w:type="dxa" w:w="1440"/>
          </w:tcPr>
          <w:p>
            <w:pPr>
              <w:spacing w:after="20"/>
              <w:jc w:val="right"/>
            </w:pPr>
            <w:r>
              <w:rPr>
                <w:color w:val="1C3A36"/>
                <w:sz w:val="17"/>
              </w:rPr>
              <w:t>9,532</w:t>
            </w:r>
          </w:p>
        </w:tc>
        <w:tc>
          <w:tcPr>
            <w:tcW w:type="dxa" w:w="1440"/>
          </w:tcPr>
          <w:p>
            <w:pPr>
              <w:spacing w:after="20"/>
              <w:jc w:val="right"/>
            </w:pPr>
            <w:r>
              <w:rPr>
                <w:color w:val="1C3A36"/>
                <w:sz w:val="17"/>
              </w:rPr>
              <w:t>9,494</w:t>
            </w:r>
          </w:p>
        </w:tc>
        <w:tc>
          <w:tcPr>
            <w:tcW w:type="dxa" w:w="1440"/>
          </w:tcPr>
          <w:p>
            <w:pPr>
              <w:spacing w:after="20"/>
              <w:jc w:val="right"/>
            </w:pPr>
            <w:r>
              <w:rPr>
                <w:color w:val="1C3A36"/>
                <w:sz w:val="17"/>
              </w:rPr>
              <w:t>9,702</w:t>
            </w:r>
          </w:p>
        </w:tc>
        <w:tc>
          <w:tcPr>
            <w:tcW w:type="dxa" w:w="1440"/>
          </w:tcPr>
          <w:p>
            <w:pPr>
              <w:spacing w:after="20"/>
              <w:jc w:val="right"/>
            </w:pPr>
            <w:r>
              <w:rPr>
                <w:color w:val="1C3A36"/>
                <w:sz w:val="17"/>
              </w:rPr>
              <w:t>9,792</w:t>
            </w:r>
          </w:p>
        </w:tc>
        <w:tc>
          <w:tcPr>
            <w:tcW w:type="dxa" w:w="1440"/>
          </w:tcPr>
          <w:p>
            <w:pPr>
              <w:spacing w:after="20"/>
              <w:jc w:val="right"/>
            </w:pPr>
            <w:r>
              <w:rPr>
                <w:color w:val="1C3A36"/>
                <w:sz w:val="17"/>
              </w:rPr>
              <w:t>9,820</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760"/>
            <w:shd w:val="clear" w:color="auto" w:fill="EAF0EE"/>
          </w:tcPr>
          <w:p>
            <w:pPr>
              <w:spacing w:after="20"/>
            </w:pPr>
            <w:r>
              <w:rPr>
                <w:b/>
                <w:color w:val="1C3A36"/>
                <w:sz w:val="18"/>
              </w:rPr>
              <w:t>DCF bridge</w:t>
            </w:r>
          </w:p>
        </w:tc>
        <w:tc>
          <w:tcPr>
            <w:tcW w:type="dxa" w:w="2304"/>
            <w:shd w:val="clear" w:color="auto" w:fill="EAF0EE"/>
          </w:tcPr>
          <w:p>
            <w:pPr>
              <w:spacing w:after="20"/>
            </w:pPr>
            <w:r>
              <w:rPr>
                <w:b/>
                <w:color w:val="1C3A36"/>
                <w:sz w:val="18"/>
              </w:rPr>
              <w:t>SAR mn</w:t>
            </w:r>
          </w:p>
        </w:tc>
      </w:tr>
      <w:tr>
        <w:tc>
          <w:tcPr>
            <w:tcW w:type="dxa" w:w="5760"/>
          </w:tcPr>
          <w:p>
            <w:pPr>
              <w:spacing w:after="20"/>
            </w:pPr>
            <w:r>
              <w:rPr>
                <w:b/>
                <w:color w:val="1C3A36"/>
                <w:sz w:val="18"/>
              </w:rPr>
              <w:t>Σ PV of explicit FCFF (FY26–30E)</w:t>
            </w:r>
          </w:p>
        </w:tc>
        <w:tc>
          <w:tcPr>
            <w:tcW w:type="dxa" w:w="2304"/>
          </w:tcPr>
          <w:p>
            <w:pPr>
              <w:spacing w:after="20"/>
              <w:jc w:val="right"/>
            </w:pPr>
            <w:r>
              <w:rPr>
                <w:color w:val="1C3A36"/>
                <w:sz w:val="18"/>
              </w:rPr>
              <w:t>48,340</w:t>
            </w:r>
          </w:p>
        </w:tc>
      </w:tr>
      <w:tr>
        <w:tc>
          <w:tcPr>
            <w:tcW w:type="dxa" w:w="5760"/>
          </w:tcPr>
          <w:p>
            <w:pPr>
              <w:spacing w:after="20"/>
            </w:pPr>
            <w:r>
              <w:rPr>
                <w:b/>
                <w:color w:val="1C3A36"/>
                <w:sz w:val="18"/>
              </w:rPr>
              <w:t>Terminal value (Gordon, g = 2.5%)</w:t>
            </w:r>
          </w:p>
        </w:tc>
        <w:tc>
          <w:tcPr>
            <w:tcW w:type="dxa" w:w="2304"/>
          </w:tcPr>
          <w:p>
            <w:pPr>
              <w:spacing w:after="20"/>
              <w:jc w:val="right"/>
            </w:pPr>
            <w:r>
              <w:rPr>
                <w:color w:val="1C3A36"/>
                <w:sz w:val="18"/>
              </w:rPr>
              <w:t>285,206</w:t>
            </w:r>
          </w:p>
        </w:tc>
      </w:tr>
      <w:tr>
        <w:tc>
          <w:tcPr>
            <w:tcW w:type="dxa" w:w="5760"/>
          </w:tcPr>
          <w:p>
            <w:pPr>
              <w:spacing w:after="20"/>
            </w:pPr>
            <w:r>
              <w:rPr>
                <w:b/>
                <w:color w:val="1C3A36"/>
                <w:sz w:val="18"/>
              </w:rPr>
              <w:t>PV of terminal value</w:t>
            </w:r>
          </w:p>
        </w:tc>
        <w:tc>
          <w:tcPr>
            <w:tcW w:type="dxa" w:w="2304"/>
          </w:tcPr>
          <w:p>
            <w:pPr>
              <w:spacing w:after="20"/>
              <w:jc w:val="right"/>
            </w:pPr>
            <w:r>
              <w:rPr>
                <w:color w:val="1C3A36"/>
                <w:sz w:val="18"/>
              </w:rPr>
              <w:t>197,859</w:t>
            </w:r>
          </w:p>
        </w:tc>
      </w:tr>
      <w:tr>
        <w:tc>
          <w:tcPr>
            <w:tcW w:type="dxa" w:w="5760"/>
          </w:tcPr>
          <w:p>
            <w:pPr>
              <w:spacing w:after="20"/>
            </w:pPr>
            <w:r>
              <w:rPr>
                <w:b/>
                <w:color w:val="1C3A36"/>
                <w:sz w:val="18"/>
              </w:rPr>
              <w:t>Enterprise value — core operations</w:t>
            </w:r>
          </w:p>
        </w:tc>
        <w:tc>
          <w:tcPr>
            <w:tcW w:type="dxa" w:w="2304"/>
          </w:tcPr>
          <w:p>
            <w:pPr>
              <w:spacing w:after="20"/>
              <w:jc w:val="right"/>
            </w:pPr>
            <w:r>
              <w:rPr>
                <w:color w:val="1C3A36"/>
                <w:sz w:val="18"/>
              </w:rPr>
              <w:t>246,198</w:t>
            </w:r>
          </w:p>
        </w:tc>
      </w:tr>
      <w:tr>
        <w:tc>
          <w:tcPr>
            <w:tcW w:type="dxa" w:w="5760"/>
          </w:tcPr>
          <w:p>
            <w:pPr>
              <w:spacing w:after="20"/>
            </w:pPr>
            <w:r>
              <w:rPr>
                <w:b/>
                <w:color w:val="1C3A36"/>
                <w:sz w:val="18"/>
              </w:rPr>
              <w:t>Terminal value as % of EV (device A-7)</w:t>
            </w:r>
          </w:p>
        </w:tc>
        <w:tc>
          <w:tcPr>
            <w:tcW w:type="dxa" w:w="2304"/>
          </w:tcPr>
          <w:p>
            <w:pPr>
              <w:spacing w:after="20"/>
              <w:jc w:val="right"/>
            </w:pPr>
            <w:r>
              <w:rPr>
                <w:color w:val="1C3A36"/>
                <w:sz w:val="18"/>
              </w:rPr>
              <w:t>80%</w:t>
            </w:r>
          </w:p>
        </w:tc>
      </w:tr>
      <w:tr>
        <w:tc>
          <w:tcPr>
            <w:tcW w:type="dxa" w:w="5760"/>
          </w:tcPr>
          <w:p>
            <w:pPr>
              <w:spacing w:after="20"/>
            </w:pPr>
            <w:r>
              <w:rPr>
                <w:b/>
                <w:color w:val="1C3A36"/>
                <w:sz w:val="18"/>
              </w:rPr>
              <w:t>+ Associates &amp; JVs (43.06% DIIC/TAWAL, carrying)</w:t>
            </w:r>
          </w:p>
        </w:tc>
        <w:tc>
          <w:tcPr>
            <w:tcW w:type="dxa" w:w="2304"/>
          </w:tcPr>
          <w:p>
            <w:pPr>
              <w:spacing w:after="20"/>
              <w:jc w:val="right"/>
            </w:pPr>
            <w:r>
              <w:rPr>
                <w:color w:val="1C3A36"/>
                <w:sz w:val="18"/>
              </w:rPr>
              <w:t>4,641</w:t>
            </w:r>
          </w:p>
        </w:tc>
      </w:tr>
      <w:tr>
        <w:tc>
          <w:tcPr>
            <w:tcW w:type="dxa" w:w="5760"/>
          </w:tcPr>
          <w:p>
            <w:pPr>
              <w:spacing w:after="20"/>
            </w:pPr>
            <w:r>
              <w:rPr>
                <w:b/>
                <w:color w:val="1C3A36"/>
                <w:sz w:val="18"/>
              </w:rPr>
              <w:t>+ Telefónica 9.97% (market mark)</w:t>
            </w:r>
          </w:p>
        </w:tc>
        <w:tc>
          <w:tcPr>
            <w:tcW w:type="dxa" w:w="2304"/>
          </w:tcPr>
          <w:p>
            <w:pPr>
              <w:spacing w:after="20"/>
              <w:jc w:val="right"/>
            </w:pPr>
            <w:r>
              <w:rPr>
                <w:color w:val="1C3A36"/>
                <w:sz w:val="18"/>
              </w:rPr>
              <w:t>8,630</w:t>
            </w:r>
          </w:p>
        </w:tc>
      </w:tr>
      <w:tr>
        <w:tc>
          <w:tcPr>
            <w:tcW w:type="dxa" w:w="5760"/>
          </w:tcPr>
          <w:p>
            <w:pPr>
              <w:spacing w:after="20"/>
            </w:pPr>
            <w:r>
              <w:rPr>
                <w:b/>
                <w:color w:val="1C3A36"/>
                <w:sz w:val="18"/>
              </w:rPr>
              <w:t>less: Net debt (IR basis, Q1-26) · NCI</w:t>
            </w:r>
          </w:p>
        </w:tc>
        <w:tc>
          <w:tcPr>
            <w:tcW w:type="dxa" w:w="2304"/>
          </w:tcPr>
          <w:p>
            <w:pPr>
              <w:spacing w:after="20"/>
              <w:jc w:val="right"/>
            </w:pPr>
            <w:r>
              <w:rPr>
                <w:color w:val="1C3A36"/>
                <w:sz w:val="18"/>
              </w:rPr>
              <w:t>(7,063) · (2,335)</w:t>
            </w:r>
          </w:p>
        </w:tc>
      </w:tr>
      <w:tr>
        <w:tc>
          <w:tcPr>
            <w:tcW w:type="dxa" w:w="5760"/>
          </w:tcPr>
          <w:p>
            <w:pPr>
              <w:spacing w:after="20"/>
            </w:pPr>
            <w:r>
              <w:rPr>
                <w:b/>
                <w:color w:val="1C3A36"/>
                <w:sz w:val="18"/>
              </w:rPr>
              <w:t>Equity value</w:t>
            </w:r>
          </w:p>
        </w:tc>
        <w:tc>
          <w:tcPr>
            <w:tcW w:type="dxa" w:w="2304"/>
          </w:tcPr>
          <w:p>
            <w:pPr>
              <w:spacing w:after="20"/>
              <w:jc w:val="right"/>
            </w:pPr>
            <w:r>
              <w:rPr>
                <w:color w:val="1C3A36"/>
                <w:sz w:val="18"/>
              </w:rPr>
              <w:t>250,071</w:t>
            </w:r>
          </w:p>
        </w:tc>
      </w:tr>
      <w:tr>
        <w:tc>
          <w:tcPr>
            <w:tcW w:type="dxa" w:w="5760"/>
          </w:tcPr>
          <w:p>
            <w:pPr>
              <w:spacing w:after="20"/>
            </w:pPr>
            <w:r>
              <w:rPr>
                <w:b/>
                <w:color w:val="1C3A36"/>
                <w:sz w:val="18"/>
              </w:rPr>
              <w:t>DCF fair value per share</w:t>
            </w:r>
          </w:p>
        </w:tc>
        <w:tc>
          <w:tcPr>
            <w:tcW w:type="dxa" w:w="2304"/>
          </w:tcPr>
          <w:p>
            <w:pPr>
              <w:spacing w:after="20"/>
              <w:jc w:val="right"/>
            </w:pPr>
            <w:r>
              <w:rPr>
                <w:color w:val="1C3A36"/>
                <w:sz w:val="18"/>
              </w:rPr>
              <w:t>SAR 50.12</w:t>
            </w:r>
          </w:p>
        </w:tc>
      </w:tr>
    </w:tbl>
    <w:p>
      <w:pPr>
        <w:spacing w:after="40"/>
      </w:pPr>
    </w:p>
    <w:p>
      <w:pPr>
        <w:spacing w:after="120" w:before="0"/>
      </w:pPr>
      <w:r>
        <w:rPr>
          <w:b w:val="0"/>
          <w:i w:val="0"/>
          <w:color w:val="1C3A36"/>
          <w:sz w:val="21"/>
        </w:rPr>
        <w:t>Two honesty notes. First, 80% of the enterprise value sits in the terminal — at a 5.1-point WACC−g spread this is a duration bet dressed as a five-year model, which is why §1.9 sensitizes the WACC × g grid and the beta separately rather than hiding either. Second, the model FCFF (SAR 10.3 bn FY26E) runs ~SAR 2–3 bn richer than stc's own reported FY25 free cash flow (6.5 bn), because reported OCF absorbs receivables swings, early-retirement cash and zakat timing that a NOPAT-based FCFF smooths; Q1-26's FCF of 3.9 bn (+494% YoY) suggests the gap is closing, but Appendix A shows both series so the difference is visible, not blended away (device A-8).</w:t>
      </w:r>
    </w:p>
    <w:p>
      <w:pPr>
        <w:spacing w:after="80" w:before="200"/>
      </w:pPr>
      <w:r>
        <w:rPr>
          <w:b/>
          <w:i w:val="0"/>
          <w:color w:val="1C3A36"/>
          <w:sz w:val="24"/>
        </w:rPr>
        <w:t>1.2  Dividend discount — the policy lens, as the cash-flow cross-check</w:t>
      </w:r>
    </w:p>
    <w:p>
      <w:pPr>
        <w:spacing w:after="120" w:before="0"/>
      </w:pPr>
      <w:r>
        <w:rPr>
          <w:b w:val="0"/>
          <w:i w:val="0"/>
          <w:color w:val="1C3A36"/>
          <w:sz w:val="21"/>
        </w:rPr>
        <w:t>stc is one of the few large emerging-market payers whose dividend is a stated, board-locked policy rather than a ratio: SAR 0.55 per quarter from the Q4-2024 distribution through the Q3-2027 distribution (announced 25 Aug 2024), with specials assessed quarterly on top — FY24 shareholders also received SAR 2.00. We discount the locked SAR 2.20 through 2027, step the DPS with earnings thereafter (payout ~75–80%), and grow the terminal dividend at 3.0%.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8"/>
              </w:rPr>
              <w:t>DDM build</w:t>
            </w:r>
          </w:p>
        </w:tc>
        <w:tc>
          <w:tcPr>
            <w:tcW w:type="dxa" w:w="1440"/>
            <w:shd w:val="clear" w:color="auto" w:fill="EAF0EE"/>
          </w:tcPr>
          <w:p>
            <w:pPr>
              <w:spacing w:after="20"/>
            </w:pPr>
            <w:r>
              <w:rPr>
                <w:b/>
                <w:color w:val="1C3A36"/>
                <w:sz w:val="18"/>
              </w:rPr>
              <w:t>FY26E</w:t>
            </w:r>
          </w:p>
        </w:tc>
        <w:tc>
          <w:tcPr>
            <w:tcW w:type="dxa" w:w="1440"/>
            <w:shd w:val="clear" w:color="auto" w:fill="EAF0EE"/>
          </w:tcPr>
          <w:p>
            <w:pPr>
              <w:spacing w:after="20"/>
            </w:pPr>
            <w:r>
              <w:rPr>
                <w:b/>
                <w:color w:val="1C3A36"/>
                <w:sz w:val="18"/>
              </w:rPr>
              <w:t>FY27E</w:t>
            </w:r>
          </w:p>
        </w:tc>
        <w:tc>
          <w:tcPr>
            <w:tcW w:type="dxa" w:w="1440"/>
            <w:shd w:val="clear" w:color="auto" w:fill="EAF0EE"/>
          </w:tcPr>
          <w:p>
            <w:pPr>
              <w:spacing w:after="20"/>
            </w:pPr>
            <w:r>
              <w:rPr>
                <w:b/>
                <w:color w:val="1C3A36"/>
                <w:sz w:val="18"/>
              </w:rPr>
              <w:t>FY28E</w:t>
            </w:r>
          </w:p>
        </w:tc>
        <w:tc>
          <w:tcPr>
            <w:tcW w:type="dxa" w:w="1440"/>
            <w:shd w:val="clear" w:color="auto" w:fill="EAF0EE"/>
          </w:tcPr>
          <w:p>
            <w:pPr>
              <w:spacing w:after="20"/>
            </w:pPr>
            <w:r>
              <w:rPr>
                <w:b/>
                <w:color w:val="1C3A36"/>
                <w:sz w:val="18"/>
              </w:rPr>
              <w:t>FY29E</w:t>
            </w:r>
          </w:p>
        </w:tc>
        <w:tc>
          <w:tcPr>
            <w:tcW w:type="dxa" w:w="1440"/>
            <w:shd w:val="clear" w:color="auto" w:fill="EAF0EE"/>
          </w:tcPr>
          <w:p>
            <w:pPr>
              <w:spacing w:after="20"/>
            </w:pPr>
            <w:r>
              <w:rPr>
                <w:b/>
                <w:color w:val="1C3A36"/>
                <w:sz w:val="18"/>
              </w:rPr>
              <w:t>FY30E</w:t>
            </w:r>
          </w:p>
        </w:tc>
      </w:tr>
      <w:tr>
        <w:tc>
          <w:tcPr>
            <w:tcW w:type="dxa" w:w="3024"/>
          </w:tcPr>
          <w:p>
            <w:pPr>
              <w:spacing w:after="20"/>
            </w:pPr>
            <w:r>
              <w:rPr>
                <w:b/>
                <w:color w:val="1C3A36"/>
                <w:sz w:val="18"/>
              </w:rPr>
              <w:t>DPS (SAR)</w:t>
            </w:r>
          </w:p>
        </w:tc>
        <w:tc>
          <w:tcPr>
            <w:tcW w:type="dxa" w:w="1440"/>
          </w:tcPr>
          <w:p>
            <w:pPr>
              <w:spacing w:after="20"/>
              <w:jc w:val="right"/>
            </w:pPr>
            <w:r>
              <w:rPr>
                <w:color w:val="1C3A36"/>
                <w:sz w:val="18"/>
              </w:rPr>
              <w:t>2.20</w:t>
            </w:r>
          </w:p>
        </w:tc>
        <w:tc>
          <w:tcPr>
            <w:tcW w:type="dxa" w:w="1440"/>
          </w:tcPr>
          <w:p>
            <w:pPr>
              <w:spacing w:after="20"/>
              <w:jc w:val="right"/>
            </w:pPr>
            <w:r>
              <w:rPr>
                <w:color w:val="1C3A36"/>
                <w:sz w:val="18"/>
              </w:rPr>
              <w:t>2.20</w:t>
            </w:r>
          </w:p>
        </w:tc>
        <w:tc>
          <w:tcPr>
            <w:tcW w:type="dxa" w:w="1440"/>
          </w:tcPr>
          <w:p>
            <w:pPr>
              <w:spacing w:after="20"/>
              <w:jc w:val="right"/>
            </w:pPr>
            <w:r>
              <w:rPr>
                <w:color w:val="1C3A36"/>
                <w:sz w:val="18"/>
              </w:rPr>
              <w:t>2.30</w:t>
            </w:r>
          </w:p>
        </w:tc>
        <w:tc>
          <w:tcPr>
            <w:tcW w:type="dxa" w:w="1440"/>
          </w:tcPr>
          <w:p>
            <w:pPr>
              <w:spacing w:after="20"/>
              <w:jc w:val="right"/>
            </w:pPr>
            <w:r>
              <w:rPr>
                <w:color w:val="1C3A36"/>
                <w:sz w:val="18"/>
              </w:rPr>
              <w:t>2.40</w:t>
            </w:r>
          </w:p>
        </w:tc>
        <w:tc>
          <w:tcPr>
            <w:tcW w:type="dxa" w:w="1440"/>
          </w:tcPr>
          <w:p>
            <w:pPr>
              <w:spacing w:after="20"/>
              <w:jc w:val="right"/>
            </w:pPr>
            <w:r>
              <w:rPr>
                <w:color w:val="1C3A36"/>
                <w:sz w:val="18"/>
              </w:rPr>
              <w:t>2.55</w:t>
            </w:r>
          </w:p>
        </w:tc>
      </w:tr>
      <w:tr>
        <w:tc>
          <w:tcPr>
            <w:tcW w:type="dxa" w:w="3024"/>
          </w:tcPr>
          <w:p>
            <w:pPr>
              <w:spacing w:after="20"/>
            </w:pPr>
            <w:r>
              <w:rPr>
                <w:b/>
                <w:color w:val="1C3A36"/>
                <w:sz w:val="18"/>
              </w:rPr>
              <w:t>PV of DPS @ Ke 7.90%</w:t>
            </w:r>
          </w:p>
        </w:tc>
        <w:tc>
          <w:tcPr>
            <w:tcW w:type="dxa" w:w="1440"/>
          </w:tcPr>
          <w:p>
            <w:pPr>
              <w:spacing w:after="20"/>
              <w:jc w:val="right"/>
            </w:pPr>
            <w:r>
              <w:rPr>
                <w:color w:val="1C3A36"/>
                <w:sz w:val="18"/>
              </w:rPr>
              <w:t>2.04</w:t>
            </w:r>
          </w:p>
        </w:tc>
        <w:tc>
          <w:tcPr>
            <w:tcW w:type="dxa" w:w="1440"/>
          </w:tcPr>
          <w:p>
            <w:pPr>
              <w:spacing w:after="20"/>
              <w:jc w:val="right"/>
            </w:pPr>
            <w:r>
              <w:rPr>
                <w:color w:val="1C3A36"/>
                <w:sz w:val="18"/>
              </w:rPr>
              <w:t>1.89</w:t>
            </w:r>
          </w:p>
        </w:tc>
        <w:tc>
          <w:tcPr>
            <w:tcW w:type="dxa" w:w="1440"/>
          </w:tcPr>
          <w:p>
            <w:pPr>
              <w:spacing w:after="20"/>
              <w:jc w:val="right"/>
            </w:pPr>
            <w:r>
              <w:rPr>
                <w:color w:val="1C3A36"/>
                <w:sz w:val="18"/>
              </w:rPr>
              <w:t>1.83</w:t>
            </w:r>
          </w:p>
        </w:tc>
        <w:tc>
          <w:tcPr>
            <w:tcW w:type="dxa" w:w="1440"/>
          </w:tcPr>
          <w:p>
            <w:pPr>
              <w:spacing w:after="20"/>
              <w:jc w:val="right"/>
            </w:pPr>
            <w:r>
              <w:rPr>
                <w:color w:val="1C3A36"/>
                <w:sz w:val="18"/>
              </w:rPr>
              <w:t>1.77</w:t>
            </w:r>
          </w:p>
        </w:tc>
        <w:tc>
          <w:tcPr>
            <w:tcW w:type="dxa" w:w="1440"/>
          </w:tcPr>
          <w:p>
            <w:pPr>
              <w:spacing w:after="20"/>
              <w:jc w:val="right"/>
            </w:pPr>
            <w:r>
              <w:rPr>
                <w:color w:val="1C3A36"/>
                <w:sz w:val="18"/>
              </w:rPr>
              <w:t>1.74</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760"/>
          </w:tcPr>
          <w:p>
            <w:pPr>
              <w:spacing w:after="20"/>
            </w:pPr>
            <w:r>
              <w:rPr>
                <w:color w:val="1C3A36"/>
                <w:sz w:val="18"/>
              </w:rPr>
              <w:t>Σ PV of explicit dividends (FY26–30E)</w:t>
            </w:r>
          </w:p>
        </w:tc>
        <w:tc>
          <w:tcPr>
            <w:tcW w:type="dxa" w:w="2304"/>
          </w:tcPr>
          <w:p>
            <w:pPr>
              <w:spacing w:after="20"/>
            </w:pPr>
            <w:r>
              <w:rPr>
                <w:color w:val="1C3A36"/>
                <w:sz w:val="18"/>
              </w:rPr>
              <w:t>SAR 9.27</w:t>
            </w:r>
          </w:p>
        </w:tc>
      </w:tr>
      <w:tr>
        <w:tc>
          <w:tcPr>
            <w:tcW w:type="dxa" w:w="5760"/>
          </w:tcPr>
          <w:p>
            <w:pPr>
              <w:spacing w:after="20"/>
            </w:pPr>
            <w:r>
              <w:rPr>
                <w:b/>
                <w:color w:val="1C3A36"/>
                <w:sz w:val="18"/>
              </w:rPr>
              <w:t>Terminal DPS (FY31E) = FY30E × 1.03</w:t>
            </w:r>
          </w:p>
        </w:tc>
        <w:tc>
          <w:tcPr>
            <w:tcW w:type="dxa" w:w="2304"/>
          </w:tcPr>
          <w:p>
            <w:pPr>
              <w:spacing w:after="20"/>
              <w:jc w:val="right"/>
            </w:pPr>
            <w:r>
              <w:rPr>
                <w:color w:val="1C3A36"/>
                <w:sz w:val="18"/>
              </w:rPr>
              <w:t>SAR 2.63</w:t>
            </w:r>
          </w:p>
        </w:tc>
      </w:tr>
      <w:tr>
        <w:tc>
          <w:tcPr>
            <w:tcW w:type="dxa" w:w="5760"/>
          </w:tcPr>
          <w:p>
            <w:pPr>
              <w:spacing w:after="20"/>
            </w:pPr>
            <w:r>
              <w:rPr>
                <w:b/>
                <w:color w:val="1C3A36"/>
                <w:sz w:val="18"/>
              </w:rPr>
              <w:t>Terminal value = TDPS / (Ke − g)</w:t>
            </w:r>
          </w:p>
        </w:tc>
        <w:tc>
          <w:tcPr>
            <w:tcW w:type="dxa" w:w="2304"/>
          </w:tcPr>
          <w:p>
            <w:pPr>
              <w:spacing w:after="20"/>
              <w:jc w:val="right"/>
            </w:pPr>
            <w:r>
              <w:rPr>
                <w:color w:val="1C3A36"/>
                <w:sz w:val="18"/>
              </w:rPr>
              <w:t>SAR 53.55</w:t>
            </w:r>
          </w:p>
        </w:tc>
      </w:tr>
      <w:tr>
        <w:tc>
          <w:tcPr>
            <w:tcW w:type="dxa" w:w="5760"/>
          </w:tcPr>
          <w:p>
            <w:pPr>
              <w:spacing w:after="20"/>
            </w:pPr>
            <w:r>
              <w:rPr>
                <w:b/>
                <w:color w:val="1C3A36"/>
                <w:sz w:val="18"/>
              </w:rPr>
              <w:t>PV of terminal value</w:t>
            </w:r>
          </w:p>
        </w:tc>
        <w:tc>
          <w:tcPr>
            <w:tcW w:type="dxa" w:w="2304"/>
          </w:tcPr>
          <w:p>
            <w:pPr>
              <w:spacing w:after="20"/>
              <w:jc w:val="right"/>
            </w:pPr>
            <w:r>
              <w:rPr>
                <w:color w:val="1C3A36"/>
                <w:sz w:val="18"/>
              </w:rPr>
              <w:t>SAR 36.61</w:t>
            </w:r>
          </w:p>
        </w:tc>
      </w:tr>
      <w:tr>
        <w:tc>
          <w:tcPr>
            <w:tcW w:type="dxa" w:w="5760"/>
          </w:tcPr>
          <w:p>
            <w:pPr>
              <w:spacing w:after="20"/>
            </w:pPr>
            <w:r>
              <w:rPr>
                <w:b/>
                <w:color w:val="1C3A36"/>
                <w:sz w:val="18"/>
              </w:rPr>
              <w:t>DDM fair value per share</w:t>
            </w:r>
          </w:p>
        </w:tc>
        <w:tc>
          <w:tcPr>
            <w:tcW w:type="dxa" w:w="2304"/>
          </w:tcPr>
          <w:p>
            <w:pPr>
              <w:spacing w:after="20"/>
              <w:jc w:val="right"/>
            </w:pPr>
            <w:r>
              <w:rPr>
                <w:color w:val="1C3A36"/>
                <w:sz w:val="18"/>
              </w:rPr>
              <w:t>SAR 45.88</w:t>
            </w:r>
          </w:p>
        </w:tc>
      </w:tr>
      <w:tr>
        <w:tc>
          <w:tcPr>
            <w:tcW w:type="dxa" w:w="5760"/>
          </w:tcPr>
          <w:p>
            <w:pPr>
              <w:spacing w:after="20"/>
            </w:pPr>
            <w:r>
              <w:rPr>
                <w:b/>
                <w:color w:val="1C3A36"/>
                <w:sz w:val="18"/>
              </w:rPr>
              <w:t>Terminal value as % of value (device A-7)</w:t>
            </w:r>
          </w:p>
        </w:tc>
        <w:tc>
          <w:tcPr>
            <w:tcW w:type="dxa" w:w="2304"/>
          </w:tcPr>
          <w:p>
            <w:pPr>
              <w:spacing w:after="20"/>
              <w:jc w:val="right"/>
            </w:pPr>
            <w:r>
              <w:rPr>
                <w:color w:val="1C3A36"/>
                <w:sz w:val="18"/>
              </w:rPr>
              <w:t>80%</w:t>
            </w:r>
          </w:p>
        </w:tc>
      </w:tr>
    </w:tbl>
    <w:p>
      <w:pPr>
        <w:spacing w:after="40"/>
      </w:pPr>
    </w:p>
    <w:p>
      <w:pPr>
        <w:spacing w:after="120" w:before="0"/>
      </w:pPr>
      <w:r>
        <w:rPr>
          <w:b/>
          <w:i w:val="0"/>
          <w:color w:val="1C3A36"/>
          <w:sz w:val="21"/>
        </w:rPr>
        <w:t>DDM base ≈ SAR 46/share</w:t>
      </w:r>
      <w:r>
        <w:rPr>
          <w:b w:val="0"/>
          <w:i w:val="0"/>
          <w:color w:val="1C3A36"/>
          <w:sz w:val="21"/>
        </w:rPr>
        <w:t xml:space="preserve"> — a touch above spot: at a 7.9% cost of equity a locked 5.0% yield growing at ~3% is worth slightly more than the market pays, and any repeat of a special distribution (the quarterly-assessment clause) is free upside to this lens. The cross-check earns its place for a subtler reason: it is the one lens that cannot be flattered by the capex assumptions, because the board has pre-committed the cash.</w:t>
      </w:r>
    </w:p>
    <w:p>
      <w:pPr>
        <w:spacing w:after="80" w:before="200"/>
      </w:pPr>
      <w:r>
        <w:rPr>
          <w:b/>
          <w:i w:val="0"/>
          <w:color w:val="1C3A36"/>
          <w:sz w:val="24"/>
        </w:rPr>
        <w:t>1.3  Relative multiples</w:t>
      </w:r>
    </w:p>
    <w:p>
      <w:pPr>
        <w:spacing w:after="120" w:before="0"/>
      </w:pPr>
      <w:r>
        <w:rPr>
          <w:b w:val="0"/>
          <w:i w:val="0"/>
          <w:color w:val="1C3A36"/>
          <w:sz w:val="21"/>
        </w:rPr>
        <w:t>On trailing numbers stc trades at ~14.7× earnings, ~9.5× EV/EBITDA and 2.5× book — the premium name in a GCC cohort spanning 10.7× (Ooredoo) to 17.6× (du) on earnings. The premium tracks the franchise: ~57% mobile share, the only national fixed/fibre footprint, net debt ≈ zero against regional peers at 1–2× EBITDA, and the highest absolute yield commitment. The disciplined relative read is a justified EV/EBITDA on the FY26E build, bridged to equity with the same stake marks as the DCF.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Relative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FY26E EBITDA (SAR mn)</w:t>
            </w:r>
          </w:p>
        </w:tc>
        <w:tc>
          <w:tcPr>
            <w:tcW w:type="dxa" w:w="1872"/>
          </w:tcPr>
          <w:p>
            <w:pPr>
              <w:spacing w:after="20"/>
              <w:jc w:val="right"/>
            </w:pPr>
            <w:r>
              <w:rPr>
                <w:color w:val="1C3A36"/>
                <w:sz w:val="18"/>
              </w:rPr>
              <w:t>25,746</w:t>
            </w:r>
          </w:p>
        </w:tc>
        <w:tc>
          <w:tcPr>
            <w:tcW w:type="dxa" w:w="1872"/>
          </w:tcPr>
          <w:p>
            <w:pPr>
              <w:spacing w:after="20"/>
              <w:jc w:val="right"/>
            </w:pPr>
            <w:r>
              <w:rPr>
                <w:color w:val="1C3A36"/>
                <w:sz w:val="18"/>
              </w:rPr>
              <w:t>25,746</w:t>
            </w:r>
          </w:p>
        </w:tc>
        <w:tc>
          <w:tcPr>
            <w:tcW w:type="dxa" w:w="1872"/>
          </w:tcPr>
          <w:p>
            <w:pPr>
              <w:spacing w:after="20"/>
              <w:jc w:val="right"/>
            </w:pPr>
            <w:r>
              <w:rPr>
                <w:color w:val="1C3A36"/>
                <w:sz w:val="18"/>
              </w:rPr>
              <w:t>25,746</w:t>
            </w:r>
          </w:p>
        </w:tc>
      </w:tr>
      <w:tr>
        <w:tc>
          <w:tcPr>
            <w:tcW w:type="dxa" w:w="3744"/>
          </w:tcPr>
          <w:p>
            <w:pPr>
              <w:spacing w:after="20"/>
            </w:pPr>
            <w:r>
              <w:rPr>
                <w:b/>
                <w:color w:val="1C3A36"/>
                <w:sz w:val="18"/>
              </w:rPr>
              <w:t>Justified EV/EBITDA</w:t>
            </w:r>
          </w:p>
        </w:tc>
        <w:tc>
          <w:tcPr>
            <w:tcW w:type="dxa" w:w="1872"/>
          </w:tcPr>
          <w:p>
            <w:pPr>
              <w:spacing w:after="20"/>
              <w:jc w:val="right"/>
            </w:pPr>
            <w:r>
              <w:rPr>
                <w:color w:val="1C3A36"/>
                <w:sz w:val="18"/>
              </w:rPr>
              <w:t>8.0×</w:t>
            </w:r>
          </w:p>
        </w:tc>
        <w:tc>
          <w:tcPr>
            <w:tcW w:type="dxa" w:w="1872"/>
          </w:tcPr>
          <w:p>
            <w:pPr>
              <w:spacing w:after="20"/>
              <w:jc w:val="right"/>
            </w:pPr>
            <w:r>
              <w:rPr>
                <w:color w:val="1C3A36"/>
                <w:sz w:val="18"/>
              </w:rPr>
              <w:t>9.0×</w:t>
            </w:r>
          </w:p>
        </w:tc>
        <w:tc>
          <w:tcPr>
            <w:tcW w:type="dxa" w:w="1872"/>
          </w:tcPr>
          <w:p>
            <w:pPr>
              <w:spacing w:after="20"/>
              <w:jc w:val="right"/>
            </w:pPr>
            <w:r>
              <w:rPr>
                <w:color w:val="1C3A36"/>
                <w:sz w:val="18"/>
              </w:rPr>
              <w:t>10.0×</w:t>
            </w:r>
          </w:p>
        </w:tc>
      </w:tr>
      <w:tr>
        <w:tc>
          <w:tcPr>
            <w:tcW w:type="dxa" w:w="3744"/>
          </w:tcPr>
          <w:p>
            <w:pPr>
              <w:spacing w:after="20"/>
            </w:pPr>
            <w:r>
              <w:rPr>
                <w:b/>
                <w:color w:val="1C3A36"/>
                <w:sz w:val="18"/>
              </w:rPr>
              <w:t>Fair value (SAR/share)</w:t>
            </w:r>
          </w:p>
        </w:tc>
        <w:tc>
          <w:tcPr>
            <w:tcW w:type="dxa" w:w="1872"/>
          </w:tcPr>
          <w:p>
            <w:pPr>
              <w:spacing w:after="20"/>
              <w:jc w:val="right"/>
            </w:pPr>
            <w:r>
              <w:rPr>
                <w:color w:val="1C3A36"/>
                <w:sz w:val="18"/>
              </w:rPr>
              <w:t>42.1</w:t>
            </w:r>
          </w:p>
        </w:tc>
        <w:tc>
          <w:tcPr>
            <w:tcW w:type="dxa" w:w="1872"/>
          </w:tcPr>
          <w:p>
            <w:pPr>
              <w:spacing w:after="20"/>
              <w:jc w:val="right"/>
            </w:pPr>
            <w:r>
              <w:rPr>
                <w:color w:val="1C3A36"/>
                <w:sz w:val="18"/>
              </w:rPr>
              <w:t>47.2</w:t>
            </w:r>
          </w:p>
        </w:tc>
        <w:tc>
          <w:tcPr>
            <w:tcW w:type="dxa" w:w="1872"/>
          </w:tcPr>
          <w:p>
            <w:pPr>
              <w:spacing w:after="20"/>
              <w:jc w:val="right"/>
            </w:pPr>
            <w:r>
              <w:rPr>
                <w:color w:val="1C3A36"/>
                <w:sz w:val="18"/>
              </w:rPr>
              <w:t>52.4</w:t>
            </w:r>
          </w:p>
        </w:tc>
      </w:tr>
      <w:tr>
        <w:tc>
          <w:tcPr>
            <w:tcW w:type="dxa" w:w="3744"/>
          </w:tcPr>
          <w:p>
            <w:pPr>
              <w:spacing w:after="20"/>
            </w:pPr>
            <w:r>
              <w:rPr>
                <w:b/>
                <w:color w:val="1C3A36"/>
                <w:sz w:val="18"/>
              </w:rPr>
              <w:t>P/E cross-check at base (on FY26E EPS 2.82)</w:t>
            </w:r>
          </w:p>
        </w:tc>
        <w:tc>
          <w:tcPr>
            <w:tcW w:type="dxa" w:w="1872"/>
          </w:tcPr>
          <w:p>
            <w:pPr>
              <w:spacing w:after="20"/>
              <w:jc w:val="right"/>
            </w:pPr>
            <w:r>
              <w:rPr>
                <w:color w:val="1C3A36"/>
                <w:sz w:val="18"/>
              </w:rPr>
            </w:r>
          </w:p>
        </w:tc>
        <w:tc>
          <w:tcPr>
            <w:tcW w:type="dxa" w:w="1872"/>
          </w:tcPr>
          <w:p>
            <w:pPr>
              <w:spacing w:after="20"/>
              <w:jc w:val="right"/>
            </w:pPr>
            <w:r>
              <w:rPr>
                <w:color w:val="1C3A36"/>
                <w:sz w:val="18"/>
              </w:rPr>
              <w:t>16.7×</w:t>
            </w:r>
          </w:p>
        </w:tc>
        <w:tc>
          <w:tcPr>
            <w:tcW w:type="dxa" w:w="1872"/>
          </w:tcPr>
          <w:p>
            <w:pPr>
              <w:spacing w:after="20"/>
              <w:jc w:val="right"/>
            </w:pPr>
            <w:r>
              <w:rPr>
                <w:color w:val="1C3A36"/>
                <w:sz w:val="18"/>
              </w:rPr>
            </w:r>
          </w:p>
        </w:tc>
      </w:tr>
    </w:tbl>
    <w:p>
      <w:pPr>
        <w:spacing w:after="40"/>
      </w:pPr>
    </w:p>
    <w:p>
      <w:pPr>
        <w:spacing w:after="120" w:before="0"/>
      </w:pPr>
      <w:r>
        <w:rPr>
          <w:b/>
          <w:i w:val="0"/>
          <w:color w:val="1C3A36"/>
          <w:sz w:val="21"/>
        </w:rPr>
        <w:t>Relative base ≈ SAR 47</w:t>
      </w:r>
      <w:r>
        <w:rPr>
          <w:b w:val="0"/>
          <w:i w:val="0"/>
          <w:color w:val="1C3A36"/>
          <w:sz w:val="21"/>
        </w:rPr>
        <w:t xml:space="preserve"> — in line with the DCF, which is itself informative: the market’s multiple for this franchise already embeds roughly the same view of its cash engine as our explicit model.</w:t>
      </w:r>
    </w:p>
    <w:p>
      <w:pPr>
        <w:spacing w:after="80" w:before="200"/>
      </w:pPr>
      <w:r>
        <w:rPr>
          <w:b/>
          <w:i w:val="0"/>
          <w:color w:val="1C3A36"/>
          <w:sz w:val="24"/>
        </w:rPr>
        <w:t>1.4  Normalized earnings power — where this sits in the cycle</w:t>
      </w:r>
    </w:p>
    <w:p>
      <w:pPr>
        <w:spacing w:after="120" w:before="0"/>
      </w:pPr>
      <w:r>
        <w:rPr>
          <w:b w:val="0"/>
          <w:i w:val="0"/>
          <w:color w:val="1C3A36"/>
          <w:sz w:val="21"/>
        </w:rPr>
        <w:t>Cycle position first (device A-6): unlike a developer or a smelter, stc’s P&amp;L has no violent cycle, but FY25 profit is still not a clean base — it carries a one-off SAR 466 mn zakat credit (prior-year provision reversals), and FY24 before it carried the SAR 12.9 bn TAWAL disposal gain, a SAR 1.5 bn withholding-tax reversal and a SAR 2.6 bn early-retirement charge. Margins sit mid-cycle: EBITDA margin 31.4% is on the guided path (Q1-26: 32.9%), enterprise revenue is at the soft point of the government mega-project phasing, and the subsidiary portfolio (stc bank, center3) is still in its investment phase — 2–3 subsidiaries are guided to turn contribution-positive from 2026. Normalized attributable profit is therefore ~SAR 14.4 bn (reported FY25 14.8 bn less the zakat credit), or EPS ≈ 2.89, capitalized at a through-cycle 15× — the stock’s own multi-year median area and the peer-set mid.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Normalized-earnings basis</w:t>
            </w:r>
          </w:p>
        </w:tc>
        <w:tc>
          <w:tcPr>
            <w:tcW w:type="dxa" w:w="1872"/>
            <w:shd w:val="clear" w:color="auto" w:fill="EAF0EE"/>
          </w:tcPr>
          <w:p>
            <w:pPr>
              <w:spacing w:after="20"/>
            </w:pPr>
            <w:r>
              <w:rPr>
                <w:b/>
                <w:color w:val="1C3A36"/>
                <w:sz w:val="18"/>
              </w:rPr>
              <w:t>Bear</w:t>
            </w:r>
          </w:p>
        </w:tc>
        <w:tc>
          <w:tcPr>
            <w:tcW w:type="dxa" w:w="1872"/>
            <w:shd w:val="clear" w:color="auto" w:fill="EAF0EE"/>
          </w:tcPr>
          <w:p>
            <w:pPr>
              <w:spacing w:after="20"/>
            </w:pPr>
            <w:r>
              <w:rPr>
                <w:b/>
                <w:color w:val="1C3A36"/>
                <w:sz w:val="18"/>
              </w:rPr>
              <w:t>Base</w:t>
            </w:r>
          </w:p>
        </w:tc>
        <w:tc>
          <w:tcPr>
            <w:tcW w:type="dxa" w:w="1872"/>
            <w:shd w:val="clear" w:color="auto" w:fill="EAF0EE"/>
          </w:tcPr>
          <w:p>
            <w:pPr>
              <w:spacing w:after="20"/>
            </w:pPr>
            <w:r>
              <w:rPr>
                <w:b/>
                <w:color w:val="1C3A36"/>
                <w:sz w:val="18"/>
              </w:rPr>
              <w:t>Bull</w:t>
            </w:r>
          </w:p>
        </w:tc>
      </w:tr>
      <w:tr>
        <w:tc>
          <w:tcPr>
            <w:tcW w:type="dxa" w:w="3744"/>
          </w:tcPr>
          <w:p>
            <w:pPr>
              <w:spacing w:after="20"/>
            </w:pPr>
            <w:r>
              <w:rPr>
                <w:b/>
                <w:color w:val="1C3A36"/>
                <w:sz w:val="18"/>
              </w:rPr>
              <w:t>Normalized PAT (SAR mn)</w:t>
            </w:r>
          </w:p>
        </w:tc>
        <w:tc>
          <w:tcPr>
            <w:tcW w:type="dxa" w:w="1872"/>
          </w:tcPr>
          <w:p>
            <w:pPr>
              <w:spacing w:after="20"/>
              <w:jc w:val="right"/>
            </w:pPr>
            <w:r>
              <w:rPr>
                <w:color w:val="1C3A36"/>
                <w:sz w:val="18"/>
              </w:rPr>
              <w:t>13,600</w:t>
            </w:r>
          </w:p>
        </w:tc>
        <w:tc>
          <w:tcPr>
            <w:tcW w:type="dxa" w:w="1872"/>
          </w:tcPr>
          <w:p>
            <w:pPr>
              <w:spacing w:after="20"/>
              <w:jc w:val="right"/>
            </w:pPr>
            <w:r>
              <w:rPr>
                <w:color w:val="1C3A36"/>
                <w:sz w:val="18"/>
              </w:rPr>
              <w:t>14,400</w:t>
            </w:r>
          </w:p>
        </w:tc>
        <w:tc>
          <w:tcPr>
            <w:tcW w:type="dxa" w:w="1872"/>
          </w:tcPr>
          <w:p>
            <w:pPr>
              <w:spacing w:after="20"/>
              <w:jc w:val="right"/>
            </w:pPr>
            <w:r>
              <w:rPr>
                <w:color w:val="1C3A36"/>
                <w:sz w:val="18"/>
              </w:rPr>
              <w:t>15,200</w:t>
            </w:r>
          </w:p>
        </w:tc>
      </w:tr>
      <w:tr>
        <w:tc>
          <w:tcPr>
            <w:tcW w:type="dxa" w:w="3744"/>
          </w:tcPr>
          <w:p>
            <w:pPr>
              <w:spacing w:after="20"/>
            </w:pPr>
            <w:r>
              <w:rPr>
                <w:b/>
                <w:color w:val="1C3A36"/>
                <w:sz w:val="18"/>
              </w:rPr>
              <w:t>Justified P/E</w:t>
            </w:r>
          </w:p>
        </w:tc>
        <w:tc>
          <w:tcPr>
            <w:tcW w:type="dxa" w:w="1872"/>
          </w:tcPr>
          <w:p>
            <w:pPr>
              <w:spacing w:after="20"/>
              <w:jc w:val="right"/>
            </w:pPr>
            <w:r>
              <w:rPr>
                <w:color w:val="1C3A36"/>
                <w:sz w:val="18"/>
              </w:rPr>
              <w:t>13.5×</w:t>
            </w:r>
          </w:p>
        </w:tc>
        <w:tc>
          <w:tcPr>
            <w:tcW w:type="dxa" w:w="1872"/>
          </w:tcPr>
          <w:p>
            <w:pPr>
              <w:spacing w:after="20"/>
              <w:jc w:val="right"/>
            </w:pPr>
            <w:r>
              <w:rPr>
                <w:color w:val="1C3A36"/>
                <w:sz w:val="18"/>
              </w:rPr>
              <w:t>15.0×</w:t>
            </w:r>
          </w:p>
        </w:tc>
        <w:tc>
          <w:tcPr>
            <w:tcW w:type="dxa" w:w="1872"/>
          </w:tcPr>
          <w:p>
            <w:pPr>
              <w:spacing w:after="20"/>
              <w:jc w:val="right"/>
            </w:pPr>
            <w:r>
              <w:rPr>
                <w:color w:val="1C3A36"/>
                <w:sz w:val="18"/>
              </w:rPr>
              <w:t>16.5×</w:t>
            </w:r>
          </w:p>
        </w:tc>
      </w:tr>
      <w:tr>
        <w:tc>
          <w:tcPr>
            <w:tcW w:type="dxa" w:w="3744"/>
          </w:tcPr>
          <w:p>
            <w:pPr>
              <w:spacing w:after="20"/>
            </w:pPr>
            <w:r>
              <w:rPr>
                <w:b/>
                <w:color w:val="1C3A36"/>
                <w:sz w:val="18"/>
              </w:rPr>
              <w:t>Fair value (SAR/share)</w:t>
            </w:r>
          </w:p>
        </w:tc>
        <w:tc>
          <w:tcPr>
            <w:tcW w:type="dxa" w:w="1872"/>
          </w:tcPr>
          <w:p>
            <w:pPr>
              <w:spacing w:after="20"/>
              <w:jc w:val="right"/>
            </w:pPr>
            <w:r>
              <w:rPr>
                <w:color w:val="1C3A36"/>
                <w:sz w:val="18"/>
              </w:rPr>
              <w:t>36.8</w:t>
            </w:r>
          </w:p>
        </w:tc>
        <w:tc>
          <w:tcPr>
            <w:tcW w:type="dxa" w:w="1872"/>
          </w:tcPr>
          <w:p>
            <w:pPr>
              <w:spacing w:after="20"/>
              <w:jc w:val="right"/>
            </w:pPr>
            <w:r>
              <w:rPr>
                <w:color w:val="1C3A36"/>
                <w:sz w:val="18"/>
              </w:rPr>
              <w:t>43.3</w:t>
            </w:r>
          </w:p>
        </w:tc>
        <w:tc>
          <w:tcPr>
            <w:tcW w:type="dxa" w:w="1872"/>
          </w:tcPr>
          <w:p>
            <w:pPr>
              <w:spacing w:after="20"/>
              <w:jc w:val="right"/>
            </w:pPr>
            <w:r>
              <w:rPr>
                <w:color w:val="1C3A36"/>
                <w:sz w:val="18"/>
              </w:rPr>
              <w:t>50.3</w:t>
            </w:r>
          </w:p>
        </w:tc>
      </w:tr>
    </w:tbl>
    <w:p>
      <w:pPr>
        <w:spacing w:after="40"/>
      </w:pPr>
    </w:p>
    <w:p>
      <w:pPr>
        <w:spacing w:after="120" w:before="0"/>
      </w:pPr>
      <w:r>
        <w:rPr>
          <w:b/>
          <w:i w:val="0"/>
          <w:color w:val="1C3A36"/>
          <w:sz w:val="21"/>
        </w:rPr>
        <w:t>Normalized base ≈ SAR 43</w:t>
      </w:r>
      <w:r>
        <w:rPr>
          <w:b w:val="0"/>
          <w:i w:val="0"/>
          <w:color w:val="1C3A36"/>
          <w:sz w:val="21"/>
        </w:rPr>
        <w:t xml:space="preserve"> — the floor of the set: it pays nothing for growth beyond today’s earnings power and treats the AI-infrastructure build purely as cost.</w:t>
      </w:r>
    </w:p>
    <w:p>
      <w:pPr>
        <w:spacing w:after="80" w:before="200"/>
      </w:pPr>
      <w:r>
        <w:rPr>
          <w:b/>
          <w:i w:val="0"/>
          <w:color w:val="1C3A36"/>
          <w:sz w:val="24"/>
        </w:rPr>
        <w:t>1.5  Synthesis — four lenses</w:t>
      </w:r>
    </w:p>
    <w:p>
      <w:pPr>
        <w:spacing w:after="120" w:before="0"/>
      </w:pPr>
      <w:r>
        <w:rPr>
          <w:b w:val="0"/>
          <w:i w:val="0"/>
          <w:color w:val="1C3A36"/>
          <w:sz w:val="21"/>
        </w:rPr>
        <w:t>We weight the DCF most heavily because it is the only lens that prices the full capex-and-recovery arc; the DDM carries the pre-committed cash; the relative lens anchors to what the market pays for GCC telecom cash flows today; normalized earnings is the ballast.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456"/>
            <w:shd w:val="clear" w:color="auto" w:fill="EAF0EE"/>
          </w:tcPr>
          <w:p>
            <w:pPr>
              <w:spacing w:after="20"/>
            </w:pPr>
            <w:r>
              <w:rPr>
                <w:b/>
                <w:color w:val="1C3A36"/>
                <w:sz w:val="18"/>
              </w:rPr>
              <w:t>Lens</w:t>
            </w:r>
          </w:p>
        </w:tc>
        <w:tc>
          <w:tcPr>
            <w:tcW w:type="dxa" w:w="1296"/>
            <w:shd w:val="clear" w:color="auto" w:fill="EAF0EE"/>
          </w:tcPr>
          <w:p>
            <w:pPr>
              <w:spacing w:after="20"/>
            </w:pPr>
            <w:r>
              <w:rPr>
                <w:b/>
                <w:color w:val="1C3A36"/>
                <w:sz w:val="18"/>
              </w:rPr>
              <w:t>Weight</w:t>
            </w:r>
          </w:p>
        </w:tc>
        <w:tc>
          <w:tcPr>
            <w:tcW w:type="dxa" w:w="1584"/>
            <w:shd w:val="clear" w:color="auto" w:fill="EAF0EE"/>
          </w:tcPr>
          <w:p>
            <w:pPr>
              <w:spacing w:after="20"/>
            </w:pPr>
            <w:r>
              <w:rPr>
                <w:b/>
                <w:color w:val="1C3A36"/>
                <w:sz w:val="18"/>
              </w:rPr>
              <w:t>Bear</w:t>
            </w:r>
          </w:p>
        </w:tc>
        <w:tc>
          <w:tcPr>
            <w:tcW w:type="dxa" w:w="1584"/>
            <w:shd w:val="clear" w:color="auto" w:fill="EAF0EE"/>
          </w:tcPr>
          <w:p>
            <w:pPr>
              <w:spacing w:after="20"/>
            </w:pPr>
            <w:r>
              <w:rPr>
                <w:b/>
                <w:color w:val="1C3A36"/>
                <w:sz w:val="18"/>
              </w:rPr>
              <w:t>Base</w:t>
            </w:r>
          </w:p>
        </w:tc>
        <w:tc>
          <w:tcPr>
            <w:tcW w:type="dxa" w:w="1584"/>
            <w:shd w:val="clear" w:color="auto" w:fill="EAF0EE"/>
          </w:tcPr>
          <w:p>
            <w:pPr>
              <w:spacing w:after="20"/>
            </w:pPr>
            <w:r>
              <w:rPr>
                <w:b/>
                <w:color w:val="1C3A36"/>
                <w:sz w:val="18"/>
              </w:rPr>
              <w:t>Bull</w:t>
            </w:r>
          </w:p>
        </w:tc>
      </w:tr>
      <w:tr>
        <w:tc>
          <w:tcPr>
            <w:tcW w:type="dxa" w:w="3456"/>
          </w:tcPr>
          <w:p>
            <w:pPr>
              <w:spacing w:after="20"/>
            </w:pPr>
            <w:r>
              <w:rPr>
                <w:b/>
                <w:color w:val="1C3A36"/>
                <w:sz w:val="18"/>
              </w:rPr>
              <w:t>FCFF DCF (primary)</w:t>
            </w:r>
          </w:p>
        </w:tc>
        <w:tc>
          <w:tcPr>
            <w:tcW w:type="dxa" w:w="1296"/>
          </w:tcPr>
          <w:p>
            <w:pPr>
              <w:spacing w:after="20"/>
              <w:jc w:val="right"/>
            </w:pPr>
            <w:r>
              <w:rPr>
                <w:color w:val="1C3A36"/>
                <w:sz w:val="18"/>
              </w:rPr>
              <w:t>35%</w:t>
            </w:r>
          </w:p>
        </w:tc>
        <w:tc>
          <w:tcPr>
            <w:tcW w:type="dxa" w:w="1584"/>
          </w:tcPr>
          <w:p>
            <w:pPr>
              <w:spacing w:after="20"/>
              <w:jc w:val="right"/>
            </w:pPr>
            <w:r>
              <w:rPr>
                <w:color w:val="1C3A36"/>
                <w:sz w:val="18"/>
              </w:rPr>
              <w:t>36</w:t>
            </w:r>
          </w:p>
        </w:tc>
        <w:tc>
          <w:tcPr>
            <w:tcW w:type="dxa" w:w="1584"/>
          </w:tcPr>
          <w:p>
            <w:pPr>
              <w:spacing w:after="20"/>
              <w:jc w:val="right"/>
            </w:pPr>
            <w:r>
              <w:rPr>
                <w:color w:val="1C3A36"/>
                <w:sz w:val="18"/>
              </w:rPr>
              <w:t>50.1</w:t>
            </w:r>
          </w:p>
        </w:tc>
        <w:tc>
          <w:tcPr>
            <w:tcW w:type="dxa" w:w="1584"/>
          </w:tcPr>
          <w:p>
            <w:pPr>
              <w:spacing w:after="20"/>
              <w:jc w:val="right"/>
            </w:pPr>
            <w:r>
              <w:rPr>
                <w:color w:val="1C3A36"/>
                <w:sz w:val="18"/>
              </w:rPr>
              <w:t>69</w:t>
            </w:r>
          </w:p>
        </w:tc>
      </w:tr>
      <w:tr>
        <w:tc>
          <w:tcPr>
            <w:tcW w:type="dxa" w:w="3456"/>
          </w:tcPr>
          <w:p>
            <w:pPr>
              <w:spacing w:after="20"/>
            </w:pPr>
            <w:r>
              <w:rPr>
                <w:b/>
                <w:color w:val="1C3A36"/>
                <w:sz w:val="18"/>
              </w:rPr>
              <w:t>Dividend discount (policy)</w:t>
            </w:r>
          </w:p>
        </w:tc>
        <w:tc>
          <w:tcPr>
            <w:tcW w:type="dxa" w:w="1296"/>
          </w:tcPr>
          <w:p>
            <w:pPr>
              <w:spacing w:after="20"/>
              <w:jc w:val="right"/>
            </w:pPr>
            <w:r>
              <w:rPr>
                <w:color w:val="1C3A36"/>
                <w:sz w:val="18"/>
              </w:rPr>
              <w:t>25%</w:t>
            </w:r>
          </w:p>
        </w:tc>
        <w:tc>
          <w:tcPr>
            <w:tcW w:type="dxa" w:w="1584"/>
          </w:tcPr>
          <w:p>
            <w:pPr>
              <w:spacing w:after="20"/>
              <w:jc w:val="right"/>
            </w:pPr>
            <w:r>
              <w:rPr>
                <w:color w:val="1C3A36"/>
                <w:sz w:val="18"/>
              </w:rPr>
              <w:t>32</w:t>
            </w:r>
          </w:p>
        </w:tc>
        <w:tc>
          <w:tcPr>
            <w:tcW w:type="dxa" w:w="1584"/>
          </w:tcPr>
          <w:p>
            <w:pPr>
              <w:spacing w:after="20"/>
              <w:jc w:val="right"/>
            </w:pPr>
            <w:r>
              <w:rPr>
                <w:color w:val="1C3A36"/>
                <w:sz w:val="18"/>
              </w:rPr>
              <w:t>45.9</w:t>
            </w:r>
          </w:p>
        </w:tc>
        <w:tc>
          <w:tcPr>
            <w:tcW w:type="dxa" w:w="1584"/>
          </w:tcPr>
          <w:p>
            <w:pPr>
              <w:spacing w:after="20"/>
              <w:jc w:val="right"/>
            </w:pPr>
            <w:r>
              <w:rPr>
                <w:color w:val="1C3A36"/>
                <w:sz w:val="18"/>
              </w:rPr>
              <w:t>58</w:t>
            </w:r>
          </w:p>
        </w:tc>
      </w:tr>
      <w:tr>
        <w:tc>
          <w:tcPr>
            <w:tcW w:type="dxa" w:w="3456"/>
          </w:tcPr>
          <w:p>
            <w:pPr>
              <w:spacing w:after="20"/>
            </w:pPr>
            <w:r>
              <w:rPr>
                <w:b/>
                <w:color w:val="1C3A36"/>
                <w:sz w:val="18"/>
              </w:rPr>
              <w:t>Relative (EV/EBITDA)</w:t>
            </w:r>
          </w:p>
        </w:tc>
        <w:tc>
          <w:tcPr>
            <w:tcW w:type="dxa" w:w="1296"/>
          </w:tcPr>
          <w:p>
            <w:pPr>
              <w:spacing w:after="20"/>
              <w:jc w:val="right"/>
            </w:pPr>
            <w:r>
              <w:rPr>
                <w:color w:val="1C3A36"/>
                <w:sz w:val="18"/>
              </w:rPr>
              <w:t>20%</w:t>
            </w:r>
          </w:p>
        </w:tc>
        <w:tc>
          <w:tcPr>
            <w:tcW w:type="dxa" w:w="1584"/>
          </w:tcPr>
          <w:p>
            <w:pPr>
              <w:spacing w:after="20"/>
              <w:jc w:val="right"/>
            </w:pPr>
            <w:r>
              <w:rPr>
                <w:color w:val="1C3A36"/>
                <w:sz w:val="18"/>
              </w:rPr>
              <w:t>42</w:t>
            </w:r>
          </w:p>
        </w:tc>
        <w:tc>
          <w:tcPr>
            <w:tcW w:type="dxa" w:w="1584"/>
          </w:tcPr>
          <w:p>
            <w:pPr>
              <w:spacing w:after="20"/>
              <w:jc w:val="right"/>
            </w:pPr>
            <w:r>
              <w:rPr>
                <w:color w:val="1C3A36"/>
                <w:sz w:val="18"/>
              </w:rPr>
              <w:t>47.2</w:t>
            </w:r>
          </w:p>
        </w:tc>
        <w:tc>
          <w:tcPr>
            <w:tcW w:type="dxa" w:w="1584"/>
          </w:tcPr>
          <w:p>
            <w:pPr>
              <w:spacing w:after="20"/>
              <w:jc w:val="right"/>
            </w:pPr>
            <w:r>
              <w:rPr>
                <w:color w:val="1C3A36"/>
                <w:sz w:val="18"/>
              </w:rPr>
              <w:t>52</w:t>
            </w:r>
          </w:p>
        </w:tc>
      </w:tr>
      <w:tr>
        <w:tc>
          <w:tcPr>
            <w:tcW w:type="dxa" w:w="3456"/>
          </w:tcPr>
          <w:p>
            <w:pPr>
              <w:spacing w:after="20"/>
            </w:pPr>
            <w:r>
              <w:rPr>
                <w:b/>
                <w:color w:val="1C3A36"/>
                <w:sz w:val="18"/>
              </w:rPr>
              <w:t>Normalized earnings</w:t>
            </w:r>
          </w:p>
        </w:tc>
        <w:tc>
          <w:tcPr>
            <w:tcW w:type="dxa" w:w="1296"/>
          </w:tcPr>
          <w:p>
            <w:pPr>
              <w:spacing w:after="20"/>
              <w:jc w:val="right"/>
            </w:pPr>
            <w:r>
              <w:rPr>
                <w:color w:val="1C3A36"/>
                <w:sz w:val="18"/>
              </w:rPr>
              <w:t>20%</w:t>
            </w:r>
          </w:p>
        </w:tc>
        <w:tc>
          <w:tcPr>
            <w:tcW w:type="dxa" w:w="1584"/>
          </w:tcPr>
          <w:p>
            <w:pPr>
              <w:spacing w:after="20"/>
              <w:jc w:val="right"/>
            </w:pPr>
            <w:r>
              <w:rPr>
                <w:color w:val="1C3A36"/>
                <w:sz w:val="18"/>
              </w:rPr>
              <w:t>37</w:t>
            </w:r>
          </w:p>
        </w:tc>
        <w:tc>
          <w:tcPr>
            <w:tcW w:type="dxa" w:w="1584"/>
          </w:tcPr>
          <w:p>
            <w:pPr>
              <w:spacing w:after="20"/>
              <w:jc w:val="right"/>
            </w:pPr>
            <w:r>
              <w:rPr>
                <w:color w:val="1C3A36"/>
                <w:sz w:val="18"/>
              </w:rPr>
              <w:t>43.3</w:t>
            </w:r>
          </w:p>
        </w:tc>
        <w:tc>
          <w:tcPr>
            <w:tcW w:type="dxa" w:w="1584"/>
          </w:tcPr>
          <w:p>
            <w:pPr>
              <w:spacing w:after="20"/>
              <w:jc w:val="right"/>
            </w:pPr>
            <w:r>
              <w:rPr>
                <w:color w:val="1C3A36"/>
                <w:sz w:val="18"/>
              </w:rPr>
              <w:t>50</w:t>
            </w:r>
          </w:p>
        </w:tc>
      </w:tr>
      <w:tr>
        <w:tc>
          <w:tcPr>
            <w:tcW w:type="dxa" w:w="3456"/>
            <w:shd w:val="clear" w:color="auto" w:fill="F6F1E6"/>
          </w:tcPr>
          <w:p>
            <w:pPr>
              <w:spacing w:after="20"/>
            </w:pPr>
            <w:r>
              <w:rPr>
                <w:b/>
                <w:color w:val="1C3A36"/>
                <w:sz w:val="18"/>
              </w:rPr>
              <w:t>Weighted central</w:t>
            </w:r>
          </w:p>
        </w:tc>
        <w:tc>
          <w:tcPr>
            <w:tcW w:type="dxa" w:w="1296"/>
            <w:shd w:val="clear" w:color="auto" w:fill="F6F1E6"/>
          </w:tcPr>
          <w:p>
            <w:pPr>
              <w:spacing w:after="20"/>
              <w:jc w:val="right"/>
            </w:pPr>
            <w:r>
              <w:rPr>
                <w:b/>
                <w:color w:val="1C3A36"/>
                <w:sz w:val="18"/>
              </w:rPr>
            </w:r>
          </w:p>
        </w:tc>
        <w:tc>
          <w:tcPr>
            <w:tcW w:type="dxa" w:w="1584"/>
            <w:shd w:val="clear" w:color="auto" w:fill="F6F1E6"/>
          </w:tcPr>
          <w:p>
            <w:pPr>
              <w:spacing w:after="20"/>
              <w:jc w:val="right"/>
            </w:pPr>
            <w:r>
              <w:rPr>
                <w:b/>
                <w:color w:val="1C3A36"/>
                <w:sz w:val="18"/>
              </w:rPr>
              <w:t>36.2</w:t>
            </w:r>
          </w:p>
        </w:tc>
        <w:tc>
          <w:tcPr>
            <w:tcW w:type="dxa" w:w="1584"/>
            <w:shd w:val="clear" w:color="auto" w:fill="F6F1E6"/>
          </w:tcPr>
          <w:p>
            <w:pPr>
              <w:spacing w:after="20"/>
              <w:jc w:val="right"/>
            </w:pPr>
            <w:r>
              <w:rPr>
                <w:b/>
                <w:color w:val="1C3A36"/>
                <w:sz w:val="18"/>
              </w:rPr>
              <w:t>47.1</w:t>
            </w:r>
          </w:p>
        </w:tc>
        <w:tc>
          <w:tcPr>
            <w:tcW w:type="dxa" w:w="1584"/>
            <w:shd w:val="clear" w:color="auto" w:fill="F6F1E6"/>
          </w:tcPr>
          <w:p>
            <w:pPr>
              <w:spacing w:after="20"/>
              <w:jc w:val="right"/>
            </w:pPr>
            <w:r>
              <w:rPr>
                <w:b/>
                <w:color w:val="1C3A36"/>
                <w:sz w:val="18"/>
              </w:rPr>
              <w:t>59.1</w:t>
            </w:r>
          </w:p>
        </w:tc>
      </w:tr>
    </w:tbl>
    <w:p>
      <w:pPr>
        <w:spacing w:after="40"/>
      </w:pPr>
    </w:p>
    <w:p>
      <w:pPr>
        <w:spacing w:after="40"/>
        <w:jc w:val="center"/>
      </w:pPr>
      <w:r>
        <w:drawing>
          <wp:inline xmlns:a="http://schemas.openxmlformats.org/drawingml/2006/main" xmlns:pic="http://schemas.openxmlformats.org/drawingml/2006/picture">
            <wp:extent cx="5760720" cy="242954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2429544"/>
                    </a:xfrm>
                    <a:prstGeom prst="rect"/>
                  </pic:spPr>
                </pic:pic>
              </a:graphicData>
            </a:graphic>
          </wp:inline>
        </w:drawing>
      </w:r>
    </w:p>
    <w:p>
      <w:pPr>
        <w:spacing w:after="200" w:before="0"/>
      </w:pPr>
      <w:r>
        <w:rPr>
          <w:b w:val="0"/>
          <w:i/>
          <w:color w:val="6E7B77"/>
          <w:sz w:val="17"/>
        </w:rPr>
        <w:t>Figure 1 — Valuation football field. Bars span bear–bull per lens; the brass tick is each base case; the gold band is the blended central range; the ink line is spot.</w:t>
      </w:r>
    </w:p>
    <w:p>
      <w:pPr>
        <w:spacing w:after="120" w:before="0"/>
      </w:pPr>
      <w:r>
        <w:rPr>
          <w:b/>
          <w:i w:val="0"/>
          <w:color w:val="1C3A36"/>
          <w:sz w:val="21"/>
        </w:rPr>
        <w:t>Central fair value ≈ SAR 47/share</w:t>
      </w:r>
      <w:r>
        <w:rPr>
          <w:b w:val="0"/>
          <w:i w:val="0"/>
          <w:color w:val="1C3A36"/>
          <w:sz w:val="21"/>
        </w:rPr>
        <w:t>, +8% versus spot. The bear–bull span (36–59) is driven almost entirely by the DCF’s terminal arithmetic — the bear case is WACC +100 bp with margins 50 bp lighter and capex 100 bp heavier; the bull is the mirror image. Note what the spread is NOT about: revenue. A ±1 pp change to every growth rate moves the central by only ~SAR 2 — this is a margin, capex and discount-rate story, which is exactly what §1.7 and §1.9 sensitize.</w:t>
      </w:r>
    </w:p>
    <w:p>
      <w:pPr>
        <w:spacing w:after="80" w:before="200"/>
      </w:pPr>
      <w:r>
        <w:rPr>
          <w:b/>
          <w:i w:val="0"/>
          <w:color w:val="1C3A36"/>
          <w:sz w:val="24"/>
        </w:rPr>
        <w:t>1.6  The segments — a deeper look, and the driver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232"/>
            <w:shd w:val="clear" w:color="auto" w:fill="EAF0EE"/>
          </w:tcPr>
          <w:p>
            <w:pPr>
              <w:spacing w:after="20"/>
            </w:pPr>
            <w:r>
              <w:rPr>
                <w:b/>
                <w:color w:val="1C3A36"/>
                <w:sz w:val="17"/>
              </w:rPr>
              <w:t>Segment / leg</w:t>
            </w:r>
          </w:p>
        </w:tc>
        <w:tc>
          <w:tcPr>
            <w:tcW w:type="dxa" w:w="1944"/>
            <w:shd w:val="clear" w:color="auto" w:fill="EAF0EE"/>
          </w:tcPr>
          <w:p>
            <w:pPr>
              <w:spacing w:after="20"/>
            </w:pPr>
            <w:r>
              <w:rPr>
                <w:b/>
                <w:color w:val="1C3A36"/>
                <w:sz w:val="17"/>
              </w:rPr>
              <w:t>FY25 revenue</w:t>
            </w:r>
          </w:p>
        </w:tc>
        <w:tc>
          <w:tcPr>
            <w:tcW w:type="dxa" w:w="3384"/>
            <w:shd w:val="clear" w:color="auto" w:fill="EAF0EE"/>
          </w:tcPr>
          <w:p>
            <w:pPr>
              <w:spacing w:after="20"/>
            </w:pPr>
            <w:r>
              <w:rPr>
                <w:b/>
                <w:color w:val="1C3A36"/>
                <w:sz w:val="17"/>
              </w:rPr>
              <w:t>Trend</w:t>
            </w:r>
          </w:p>
        </w:tc>
        <w:tc>
          <w:tcPr>
            <w:tcW w:type="dxa" w:w="1656"/>
            <w:shd w:val="clear" w:color="auto" w:fill="EAF0EE"/>
          </w:tcPr>
          <w:p>
            <w:pPr>
              <w:spacing w:after="20"/>
            </w:pPr>
            <w:r>
              <w:rPr>
                <w:b/>
                <w:color w:val="1C3A36"/>
                <w:sz w:val="17"/>
              </w:rPr>
              <w:t>Margin role</w:t>
            </w:r>
          </w:p>
        </w:tc>
        <w:tc>
          <w:tcPr>
            <w:tcW w:type="dxa" w:w="1368"/>
            <w:shd w:val="clear" w:color="auto" w:fill="EAF0EE"/>
          </w:tcPr>
          <w:p>
            <w:pPr>
              <w:spacing w:after="20"/>
            </w:pPr>
            <w:r>
              <w:rPr>
                <w:b/>
                <w:color w:val="1C3A36"/>
                <w:sz w:val="17"/>
              </w:rPr>
              <w:t>Swing role</w:t>
            </w:r>
          </w:p>
        </w:tc>
      </w:tr>
      <w:tr>
        <w:tc>
          <w:tcPr>
            <w:tcW w:type="dxa" w:w="2232"/>
          </w:tcPr>
          <w:p>
            <w:pPr>
              <w:spacing w:after="20"/>
            </w:pPr>
            <w:r>
              <w:rPr>
                <w:b/>
                <w:color w:val="1C3A36"/>
                <w:sz w:val="17"/>
              </w:rPr>
              <w:t>KSA Consumer (CBU)</w:t>
            </w:r>
          </w:p>
        </w:tc>
        <w:tc>
          <w:tcPr>
            <w:tcW w:type="dxa" w:w="1944"/>
          </w:tcPr>
          <w:p>
            <w:pPr>
              <w:spacing w:after="20"/>
              <w:jc w:val="right"/>
            </w:pPr>
            <w:r>
              <w:rPr>
                <w:color w:val="1C3A36"/>
                <w:sz w:val="17"/>
              </w:rPr>
              <w:t>SAR 32.8 bn (+3.4%)</w:t>
            </w:r>
          </w:p>
        </w:tc>
        <w:tc>
          <w:tcPr>
            <w:tcW w:type="dxa" w:w="3384"/>
          </w:tcPr>
          <w:p>
            <w:pPr>
              <w:spacing w:after="20"/>
              <w:jc w:val="right"/>
            </w:pPr>
            <w:r>
              <w:rPr>
                <w:color w:val="1C3A36"/>
                <w:sz w:val="17"/>
              </w:rPr>
              <w:t>Mobility +2.8%, fixed +6.6%; 30.6 mn subs (+5.3% Q1-26)</w:t>
            </w:r>
          </w:p>
        </w:tc>
        <w:tc>
          <w:tcPr>
            <w:tcW w:type="dxa" w:w="1656"/>
          </w:tcPr>
          <w:p>
            <w:pPr>
              <w:spacing w:after="20"/>
              <w:jc w:val="right"/>
            </w:pPr>
            <w:r>
              <w:rPr>
                <w:color w:val="1C3A36"/>
                <w:sz w:val="17"/>
              </w:rPr>
              <w:t>The cash cow</w:t>
            </w:r>
          </w:p>
        </w:tc>
        <w:tc>
          <w:tcPr>
            <w:tcW w:type="dxa" w:w="1368"/>
          </w:tcPr>
          <w:p>
            <w:pPr>
              <w:spacing w:after="20"/>
              <w:jc w:val="right"/>
            </w:pPr>
            <w:r>
              <w:rPr>
                <w:color w:val="1C3A36"/>
                <w:sz w:val="17"/>
              </w:rPr>
              <w:t>Competition watch</w:t>
            </w:r>
          </w:p>
        </w:tc>
      </w:tr>
      <w:tr>
        <w:tc>
          <w:tcPr>
            <w:tcW w:type="dxa" w:w="2232"/>
          </w:tcPr>
          <w:p>
            <w:pPr>
              <w:spacing w:after="20"/>
            </w:pPr>
            <w:r>
              <w:rPr>
                <w:b/>
                <w:color w:val="1C3A36"/>
                <w:sz w:val="17"/>
              </w:rPr>
              <w:t>KSA Enterprise (EBU)</w:t>
            </w:r>
          </w:p>
        </w:tc>
        <w:tc>
          <w:tcPr>
            <w:tcW w:type="dxa" w:w="1944"/>
          </w:tcPr>
          <w:p>
            <w:pPr>
              <w:spacing w:after="20"/>
              <w:jc w:val="right"/>
            </w:pPr>
            <w:r>
              <w:rPr>
                <w:color w:val="1C3A36"/>
                <w:sz w:val="17"/>
              </w:rPr>
              <w:t>SAR 13.5 bn (+0.4%)</w:t>
            </w:r>
          </w:p>
        </w:tc>
        <w:tc>
          <w:tcPr>
            <w:tcW w:type="dxa" w:w="3384"/>
          </w:tcPr>
          <w:p>
            <w:pPr>
              <w:spacing w:after="20"/>
              <w:jc w:val="right"/>
            </w:pPr>
            <w:r>
              <w:rPr>
                <w:color w:val="1C3A36"/>
                <w:sz w:val="17"/>
              </w:rPr>
              <w:t>Government phasing; private sector +6%; flat ex-mega-projects</w:t>
            </w:r>
          </w:p>
        </w:tc>
        <w:tc>
          <w:tcPr>
            <w:tcW w:type="dxa" w:w="1656"/>
          </w:tcPr>
          <w:p>
            <w:pPr>
              <w:spacing w:after="20"/>
              <w:jc w:val="right"/>
            </w:pPr>
            <w:r>
              <w:rPr>
                <w:color w:val="1C3A36"/>
                <w:sz w:val="17"/>
              </w:rPr>
              <w:t>High-margin</w:t>
            </w:r>
          </w:p>
        </w:tc>
        <w:tc>
          <w:tcPr>
            <w:tcW w:type="dxa" w:w="1368"/>
          </w:tcPr>
          <w:p>
            <w:pPr>
              <w:spacing w:after="20"/>
              <w:jc w:val="right"/>
            </w:pPr>
            <w:r>
              <w:rPr>
                <w:color w:val="1C3A36"/>
                <w:sz w:val="17"/>
              </w:rPr>
              <w:t>Recovery lever</w:t>
            </w:r>
          </w:p>
        </w:tc>
      </w:tr>
      <w:tr>
        <w:tc>
          <w:tcPr>
            <w:tcW w:type="dxa" w:w="2232"/>
          </w:tcPr>
          <w:p>
            <w:pPr>
              <w:spacing w:after="20"/>
            </w:pPr>
            <w:r>
              <w:rPr>
                <w:b/>
                <w:color w:val="1C3A36"/>
                <w:sz w:val="17"/>
              </w:rPr>
              <w:t>KSA Wholesale &amp; Carrier</w:t>
            </w:r>
          </w:p>
        </w:tc>
        <w:tc>
          <w:tcPr>
            <w:tcW w:type="dxa" w:w="1944"/>
          </w:tcPr>
          <w:p>
            <w:pPr>
              <w:spacing w:after="20"/>
              <w:jc w:val="right"/>
            </w:pPr>
            <w:r>
              <w:rPr>
                <w:color w:val="1C3A36"/>
                <w:sz w:val="17"/>
              </w:rPr>
              <w:t>SAR 4.8 bn (+10.8%)</w:t>
            </w:r>
          </w:p>
        </w:tc>
        <w:tc>
          <w:tcPr>
            <w:tcW w:type="dxa" w:w="3384"/>
          </w:tcPr>
          <w:p>
            <w:pPr>
              <w:spacing w:after="20"/>
              <w:jc w:val="right"/>
            </w:pPr>
            <w:r>
              <w:rPr>
                <w:color w:val="1C3A36"/>
                <w:sz w:val="17"/>
              </w:rPr>
              <w:t>Hosting, FWA backhaul, national roaming (+32.6% national)</w:t>
            </w:r>
          </w:p>
        </w:tc>
        <w:tc>
          <w:tcPr>
            <w:tcW w:type="dxa" w:w="1656"/>
          </w:tcPr>
          <w:p>
            <w:pPr>
              <w:spacing w:after="20"/>
              <w:jc w:val="right"/>
            </w:pPr>
            <w:r>
              <w:rPr>
                <w:color w:val="1C3A36"/>
                <w:sz w:val="17"/>
              </w:rPr>
              <w:t>Structural</w:t>
            </w:r>
          </w:p>
        </w:tc>
        <w:tc>
          <w:tcPr>
            <w:tcW w:type="dxa" w:w="1368"/>
          </w:tcPr>
          <w:p>
            <w:pPr>
              <w:spacing w:after="20"/>
              <w:jc w:val="right"/>
            </w:pPr>
            <w:r>
              <w:rPr>
                <w:color w:val="1C3A36"/>
                <w:sz w:val="17"/>
              </w:rPr>
              <w:t>Steady</w:t>
            </w:r>
          </w:p>
        </w:tc>
      </w:tr>
      <w:tr>
        <w:tc>
          <w:tcPr>
            <w:tcW w:type="dxa" w:w="2232"/>
          </w:tcPr>
          <w:p>
            <w:pPr>
              <w:spacing w:after="20"/>
            </w:pPr>
            <w:r>
              <w:rPr>
                <w:b/>
                <w:color w:val="1C3A36"/>
                <w:sz w:val="17"/>
              </w:rPr>
              <w:t>Subsidiaries (net)</w:t>
            </w:r>
          </w:p>
        </w:tc>
        <w:tc>
          <w:tcPr>
            <w:tcW w:type="dxa" w:w="1944"/>
          </w:tcPr>
          <w:p>
            <w:pPr>
              <w:spacing w:after="20"/>
              <w:jc w:val="right"/>
            </w:pPr>
            <w:r>
              <w:rPr>
                <w:color w:val="1C3A36"/>
                <w:sz w:val="17"/>
              </w:rPr>
              <w:t>~SAR 26.7 bn</w:t>
            </w:r>
          </w:p>
        </w:tc>
        <w:tc>
          <w:tcPr>
            <w:tcW w:type="dxa" w:w="3384"/>
          </w:tcPr>
          <w:p>
            <w:pPr>
              <w:spacing w:after="20"/>
              <w:jc w:val="right"/>
            </w:pPr>
            <w:r>
              <w:rPr>
                <w:color w:val="1C3A36"/>
                <w:sz w:val="17"/>
              </w:rPr>
              <w:t>solutions 12.7 bn · channels ~14.1 bn gross · stc bank 2.0 bn (+11%) · SCCC +62% · sirar +13% · center3</w:t>
            </w:r>
          </w:p>
        </w:tc>
        <w:tc>
          <w:tcPr>
            <w:tcW w:type="dxa" w:w="1656"/>
          </w:tcPr>
          <w:p>
            <w:pPr>
              <w:spacing w:after="20"/>
              <w:jc w:val="right"/>
            </w:pPr>
            <w:r>
              <w:rPr>
                <w:color w:val="1C3A36"/>
                <w:sz w:val="17"/>
              </w:rPr>
              <w:t>Dilutive today, guided to turn</w:t>
            </w:r>
          </w:p>
        </w:tc>
        <w:tc>
          <w:tcPr>
            <w:tcW w:type="dxa" w:w="1368"/>
          </w:tcPr>
          <w:p>
            <w:pPr>
              <w:spacing w:after="20"/>
              <w:jc w:val="right"/>
            </w:pPr>
            <w:r>
              <w:rPr>
                <w:color w:val="1C3A36"/>
                <w:sz w:val="17"/>
              </w:rPr>
              <w:t>The option book</w:t>
            </w:r>
          </w:p>
        </w:tc>
      </w:tr>
      <w:tr>
        <w:tc>
          <w:tcPr>
            <w:tcW w:type="dxa" w:w="2232"/>
          </w:tcPr>
          <w:p>
            <w:pPr>
              <w:spacing w:after="20"/>
            </w:pPr>
            <w:r>
              <w:rPr>
                <w:b/>
                <w:color w:val="1C3A36"/>
                <w:sz w:val="17"/>
              </w:rPr>
              <w:t>Associates &amp; stakes</w:t>
            </w:r>
          </w:p>
        </w:tc>
        <w:tc>
          <w:tcPr>
            <w:tcW w:type="dxa" w:w="1944"/>
          </w:tcPr>
          <w:p>
            <w:pPr>
              <w:spacing w:after="20"/>
              <w:jc w:val="right"/>
            </w:pPr>
            <w:r>
              <w:rPr>
                <w:color w:val="1C3A36"/>
                <w:sz w:val="17"/>
              </w:rPr>
              <w:t>off-P&amp;L</w:t>
            </w:r>
          </w:p>
        </w:tc>
        <w:tc>
          <w:tcPr>
            <w:tcW w:type="dxa" w:w="3384"/>
          </w:tcPr>
          <w:p>
            <w:pPr>
              <w:spacing w:after="20"/>
              <w:jc w:val="right"/>
            </w:pPr>
            <w:r>
              <w:rPr>
                <w:color w:val="1C3A36"/>
                <w:sz w:val="17"/>
              </w:rPr>
              <w:t>43.06% towers (DIIC) · 9.97% Telefónica · iot squared 50%</w:t>
            </w:r>
          </w:p>
        </w:tc>
        <w:tc>
          <w:tcPr>
            <w:tcW w:type="dxa" w:w="1656"/>
          </w:tcPr>
          <w:p>
            <w:pPr>
              <w:spacing w:after="20"/>
              <w:jc w:val="right"/>
            </w:pPr>
            <w:r>
              <w:rPr>
                <w:color w:val="1C3A36"/>
                <w:sz w:val="17"/>
              </w:rPr>
              <w:t>Equity-method / marks</w:t>
            </w:r>
          </w:p>
        </w:tc>
        <w:tc>
          <w:tcPr>
            <w:tcW w:type="dxa" w:w="1368"/>
          </w:tcPr>
          <w:p>
            <w:pPr>
              <w:spacing w:after="20"/>
              <w:jc w:val="right"/>
            </w:pPr>
            <w:r>
              <w:rPr>
                <w:color w:val="1C3A36"/>
                <w:sz w:val="17"/>
              </w:rPr>
              <w:t>Bridge items</w:t>
            </w:r>
          </w:p>
        </w:tc>
      </w:tr>
    </w:tbl>
    <w:p>
      <w:pPr>
        <w:spacing w:after="40"/>
      </w:pPr>
    </w:p>
    <w:p>
      <w:pPr>
        <w:spacing w:after="120" w:before="0"/>
      </w:pPr>
      <w:r>
        <w:rPr>
          <w:b w:val="0"/>
          <w:i w:val="0"/>
          <w:color w:val="1C3A36"/>
          <w:sz w:val="19"/>
        </w:rPr>
        <w:t>The top-down driver build (§3.5-C — the gate is deliberately NOT cleared for a bottom-up subscriber × ARPU model: stc discloses unit revenue and subscriber counts but not ARPU by tier, so a manufactured split would be false precision — the ETEL precedent in the house protocol). The sourced segment history comes first; the forward path is the house view: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168"/>
            <w:shd w:val="clear" w:color="auto" w:fill="EAF0EE"/>
          </w:tcPr>
          <w:p>
            <w:pPr>
              <w:spacing w:after="20"/>
            </w:pPr>
            <w:r>
              <w:rPr>
                <w:b/>
                <w:color w:val="1C3A36"/>
                <w:sz w:val="17"/>
              </w:rPr>
              <w:t>Driver (disclosed history)</w:t>
            </w:r>
          </w:p>
        </w:tc>
        <w:tc>
          <w:tcPr>
            <w:tcW w:type="dxa" w:w="1368"/>
            <w:shd w:val="clear" w:color="auto" w:fill="EAF0EE"/>
          </w:tcPr>
          <w:p>
            <w:pPr>
              <w:spacing w:after="20"/>
            </w:pPr>
            <w:r>
              <w:rPr>
                <w:b/>
                <w:color w:val="1C3A36"/>
                <w:sz w:val="17"/>
              </w:rPr>
              <w:t>FY24</w:t>
            </w:r>
          </w:p>
        </w:tc>
        <w:tc>
          <w:tcPr>
            <w:tcW w:type="dxa" w:w="1368"/>
            <w:shd w:val="clear" w:color="auto" w:fill="EAF0EE"/>
          </w:tcPr>
          <w:p>
            <w:pPr>
              <w:spacing w:after="20"/>
            </w:pPr>
            <w:r>
              <w:rPr>
                <w:b/>
                <w:color w:val="1C3A36"/>
                <w:sz w:val="17"/>
              </w:rPr>
              <w:t>FY25</w:t>
            </w:r>
          </w:p>
        </w:tc>
        <w:tc>
          <w:tcPr>
            <w:tcW w:type="dxa" w:w="1440"/>
            <w:shd w:val="clear" w:color="auto" w:fill="EAF0EE"/>
          </w:tcPr>
          <w:p>
            <w:pPr>
              <w:spacing w:after="20"/>
            </w:pPr>
            <w:r>
              <w:rPr>
                <w:b/>
                <w:color w:val="1C3A36"/>
                <w:sz w:val="17"/>
              </w:rPr>
              <w:t>FY26E</w:t>
            </w:r>
          </w:p>
        </w:tc>
        <w:tc>
          <w:tcPr>
            <w:tcW w:type="dxa" w:w="1440"/>
            <w:shd w:val="clear" w:color="auto" w:fill="EAF0EE"/>
          </w:tcPr>
          <w:p>
            <w:pPr>
              <w:spacing w:after="20"/>
            </w:pPr>
            <w:r>
              <w:rPr>
                <w:b/>
                <w:color w:val="1C3A36"/>
                <w:sz w:val="17"/>
              </w:rPr>
              <w:t>FY28E</w:t>
            </w:r>
          </w:p>
        </w:tc>
        <w:tc>
          <w:tcPr>
            <w:tcW w:type="dxa" w:w="1440"/>
            <w:shd w:val="clear" w:color="auto" w:fill="EAF0EE"/>
          </w:tcPr>
          <w:p>
            <w:pPr>
              <w:spacing w:after="20"/>
            </w:pPr>
            <w:r>
              <w:rPr>
                <w:b/>
                <w:color w:val="1C3A36"/>
                <w:sz w:val="17"/>
              </w:rPr>
              <w:t>FY30E</w:t>
            </w:r>
          </w:p>
        </w:tc>
      </w:tr>
      <w:tr>
        <w:tc>
          <w:tcPr>
            <w:tcW w:type="dxa" w:w="3168"/>
          </w:tcPr>
          <w:p>
            <w:pPr>
              <w:spacing w:after="20"/>
            </w:pPr>
            <w:r>
              <w:rPr>
                <w:b/>
                <w:color w:val="1C3A36"/>
                <w:sz w:val="17"/>
              </w:rPr>
              <w:t>KSA Consumer (SAR mn)</w:t>
            </w:r>
          </w:p>
        </w:tc>
        <w:tc>
          <w:tcPr>
            <w:tcW w:type="dxa" w:w="1368"/>
          </w:tcPr>
          <w:p>
            <w:pPr>
              <w:spacing w:after="20"/>
              <w:jc w:val="right"/>
            </w:pPr>
            <w:r>
              <w:rPr>
                <w:color w:val="1C3A36"/>
                <w:sz w:val="17"/>
              </w:rPr>
              <w:t>31,741</w:t>
            </w:r>
          </w:p>
        </w:tc>
        <w:tc>
          <w:tcPr>
            <w:tcW w:type="dxa" w:w="1368"/>
          </w:tcPr>
          <w:p>
            <w:pPr>
              <w:spacing w:after="20"/>
              <w:jc w:val="right"/>
            </w:pPr>
            <w:r>
              <w:rPr>
                <w:color w:val="1C3A36"/>
                <w:sz w:val="17"/>
              </w:rPr>
              <w:t>32,826</w:t>
            </w:r>
          </w:p>
        </w:tc>
        <w:tc>
          <w:tcPr>
            <w:tcW w:type="dxa" w:w="1440"/>
          </w:tcPr>
          <w:p>
            <w:pPr>
              <w:spacing w:after="20"/>
              <w:jc w:val="right"/>
            </w:pPr>
            <w:r>
              <w:rPr>
                <w:color w:val="1C3A36"/>
                <w:sz w:val="17"/>
              </w:rPr>
              <w:t>33,811</w:t>
            </w:r>
          </w:p>
        </w:tc>
        <w:tc>
          <w:tcPr>
            <w:tcW w:type="dxa" w:w="1440"/>
          </w:tcPr>
          <w:p>
            <w:pPr>
              <w:spacing w:after="20"/>
              <w:jc w:val="right"/>
            </w:pPr>
            <w:r>
              <w:rPr>
                <w:color w:val="1C3A36"/>
                <w:sz w:val="17"/>
              </w:rPr>
              <w:t>35,626</w:t>
            </w:r>
          </w:p>
        </w:tc>
        <w:tc>
          <w:tcPr>
            <w:tcW w:type="dxa" w:w="1440"/>
          </w:tcPr>
          <w:p>
            <w:pPr>
              <w:spacing w:after="20"/>
              <w:jc w:val="right"/>
            </w:pPr>
            <w:r>
              <w:rPr>
                <w:color w:val="1C3A36"/>
                <w:sz w:val="17"/>
              </w:rPr>
              <w:t>37,138</w:t>
            </w:r>
          </w:p>
        </w:tc>
      </w:tr>
      <w:tr>
        <w:tc>
          <w:tcPr>
            <w:tcW w:type="dxa" w:w="3168"/>
          </w:tcPr>
          <w:p>
            <w:pPr>
              <w:spacing w:after="20"/>
            </w:pPr>
            <w:r>
              <w:rPr>
                <w:b/>
                <w:color w:val="1C3A36"/>
                <w:sz w:val="17"/>
              </w:rPr>
              <w:t>KSA Enterprise</w:t>
            </w:r>
          </w:p>
        </w:tc>
        <w:tc>
          <w:tcPr>
            <w:tcW w:type="dxa" w:w="1368"/>
          </w:tcPr>
          <w:p>
            <w:pPr>
              <w:spacing w:after="20"/>
              <w:jc w:val="right"/>
            </w:pPr>
            <w:r>
              <w:rPr>
                <w:color w:val="1C3A36"/>
                <w:sz w:val="17"/>
              </w:rPr>
              <w:t>13,466</w:t>
            </w:r>
          </w:p>
        </w:tc>
        <w:tc>
          <w:tcPr>
            <w:tcW w:type="dxa" w:w="1368"/>
          </w:tcPr>
          <w:p>
            <w:pPr>
              <w:spacing w:after="20"/>
              <w:jc w:val="right"/>
            </w:pPr>
            <w:r>
              <w:rPr>
                <w:color w:val="1C3A36"/>
                <w:sz w:val="17"/>
              </w:rPr>
              <w:t>13,514</w:t>
            </w:r>
          </w:p>
        </w:tc>
        <w:tc>
          <w:tcPr>
            <w:tcW w:type="dxa" w:w="1440"/>
          </w:tcPr>
          <w:p>
            <w:pPr>
              <w:spacing w:after="20"/>
              <w:jc w:val="right"/>
            </w:pPr>
            <w:r>
              <w:rPr>
                <w:color w:val="1C3A36"/>
                <w:sz w:val="17"/>
              </w:rPr>
              <w:t>13,784</w:t>
            </w:r>
          </w:p>
        </w:tc>
        <w:tc>
          <w:tcPr>
            <w:tcW w:type="dxa" w:w="1440"/>
          </w:tcPr>
          <w:p>
            <w:pPr>
              <w:spacing w:after="20"/>
              <w:jc w:val="right"/>
            </w:pPr>
            <w:r>
              <w:rPr>
                <w:color w:val="1C3A36"/>
                <w:sz w:val="17"/>
              </w:rPr>
              <w:t>14,837</w:t>
            </w:r>
          </w:p>
        </w:tc>
        <w:tc>
          <w:tcPr>
            <w:tcW w:type="dxa" w:w="1440"/>
          </w:tcPr>
          <w:p>
            <w:pPr>
              <w:spacing w:after="20"/>
              <w:jc w:val="right"/>
            </w:pPr>
            <w:r>
              <w:rPr>
                <w:color w:val="1C3A36"/>
                <w:sz w:val="17"/>
              </w:rPr>
              <w:t>15,971</w:t>
            </w:r>
          </w:p>
        </w:tc>
      </w:tr>
      <w:tr>
        <w:tc>
          <w:tcPr>
            <w:tcW w:type="dxa" w:w="3168"/>
          </w:tcPr>
          <w:p>
            <w:pPr>
              <w:spacing w:after="20"/>
            </w:pPr>
            <w:r>
              <w:rPr>
                <w:b/>
                <w:color w:val="1C3A36"/>
                <w:sz w:val="17"/>
              </w:rPr>
              <w:t>KSA Wholesale &amp; Carrier</w:t>
            </w:r>
          </w:p>
        </w:tc>
        <w:tc>
          <w:tcPr>
            <w:tcW w:type="dxa" w:w="1368"/>
          </w:tcPr>
          <w:p>
            <w:pPr>
              <w:spacing w:after="20"/>
              <w:jc w:val="right"/>
            </w:pPr>
            <w:r>
              <w:rPr>
                <w:color w:val="1C3A36"/>
                <w:sz w:val="17"/>
              </w:rPr>
              <w:t>4,313</w:t>
            </w:r>
          </w:p>
        </w:tc>
        <w:tc>
          <w:tcPr>
            <w:tcW w:type="dxa" w:w="1368"/>
          </w:tcPr>
          <w:p>
            <w:pPr>
              <w:spacing w:after="20"/>
              <w:jc w:val="right"/>
            </w:pPr>
            <w:r>
              <w:rPr>
                <w:color w:val="1C3A36"/>
                <w:sz w:val="17"/>
              </w:rPr>
              <w:t>4,779</w:t>
            </w:r>
          </w:p>
        </w:tc>
        <w:tc>
          <w:tcPr>
            <w:tcW w:type="dxa" w:w="1440"/>
          </w:tcPr>
          <w:p>
            <w:pPr>
              <w:spacing w:after="20"/>
              <w:jc w:val="right"/>
            </w:pPr>
            <w:r>
              <w:rPr>
                <w:color w:val="1C3A36"/>
                <w:sz w:val="17"/>
              </w:rPr>
              <w:t>5,066</w:t>
            </w:r>
          </w:p>
        </w:tc>
        <w:tc>
          <w:tcPr>
            <w:tcW w:type="dxa" w:w="1440"/>
          </w:tcPr>
          <w:p>
            <w:pPr>
              <w:spacing w:after="20"/>
              <w:jc w:val="right"/>
            </w:pPr>
            <w:r>
              <w:rPr>
                <w:color w:val="1C3A36"/>
                <w:sz w:val="17"/>
              </w:rPr>
              <w:t>5,532</w:t>
            </w:r>
          </w:p>
        </w:tc>
        <w:tc>
          <w:tcPr>
            <w:tcW w:type="dxa" w:w="1440"/>
          </w:tcPr>
          <w:p>
            <w:pPr>
              <w:spacing w:after="20"/>
              <w:jc w:val="right"/>
            </w:pPr>
            <w:r>
              <w:rPr>
                <w:color w:val="1C3A36"/>
                <w:sz w:val="17"/>
              </w:rPr>
              <w:t>5,897</w:t>
            </w:r>
          </w:p>
        </w:tc>
      </w:tr>
      <w:tr>
        <w:tc>
          <w:tcPr>
            <w:tcW w:type="dxa" w:w="3168"/>
          </w:tcPr>
          <w:p>
            <w:pPr>
              <w:spacing w:after="20"/>
            </w:pPr>
            <w:r>
              <w:rPr>
                <w:b/>
                <w:color w:val="1C3A36"/>
                <w:sz w:val="17"/>
              </w:rPr>
              <w:t>Subsidiaries, net</w:t>
            </w:r>
          </w:p>
        </w:tc>
        <w:tc>
          <w:tcPr>
            <w:tcW w:type="dxa" w:w="1368"/>
          </w:tcPr>
          <w:p>
            <w:pPr>
              <w:spacing w:after="20"/>
              <w:jc w:val="right"/>
            </w:pPr>
            <w:r>
              <w:rPr>
                <w:color w:val="1C3A36"/>
                <w:sz w:val="17"/>
              </w:rPr>
              <w:t>26,249</w:t>
            </w:r>
          </w:p>
        </w:tc>
        <w:tc>
          <w:tcPr>
            <w:tcW w:type="dxa" w:w="1368"/>
          </w:tcPr>
          <w:p>
            <w:pPr>
              <w:spacing w:after="20"/>
              <w:jc w:val="right"/>
            </w:pPr>
            <w:r>
              <w:rPr>
                <w:color w:val="1C3A36"/>
                <w:sz w:val="17"/>
              </w:rPr>
              <w:t>26,700</w:t>
            </w:r>
          </w:p>
        </w:tc>
        <w:tc>
          <w:tcPr>
            <w:tcW w:type="dxa" w:w="1440"/>
          </w:tcPr>
          <w:p>
            <w:pPr>
              <w:spacing w:after="20"/>
              <w:jc w:val="right"/>
            </w:pPr>
            <w:r>
              <w:rPr>
                <w:color w:val="1C3A36"/>
                <w:sz w:val="17"/>
              </w:rPr>
              <w:t>28,302</w:t>
            </w:r>
          </w:p>
        </w:tc>
        <w:tc>
          <w:tcPr>
            <w:tcW w:type="dxa" w:w="1440"/>
          </w:tcPr>
          <w:p>
            <w:pPr>
              <w:spacing w:after="20"/>
              <w:jc w:val="right"/>
            </w:pPr>
            <w:r>
              <w:rPr>
                <w:color w:val="1C3A36"/>
                <w:sz w:val="17"/>
              </w:rPr>
              <w:t>31,501</w:t>
            </w:r>
          </w:p>
        </w:tc>
        <w:tc>
          <w:tcPr>
            <w:tcW w:type="dxa" w:w="1440"/>
          </w:tcPr>
          <w:p>
            <w:pPr>
              <w:spacing w:after="20"/>
              <w:jc w:val="right"/>
            </w:pPr>
            <w:r>
              <w:rPr>
                <w:color w:val="1C3A36"/>
                <w:sz w:val="17"/>
              </w:rPr>
              <w:t>34,366</w:t>
            </w:r>
          </w:p>
        </w:tc>
      </w:tr>
      <w:tr>
        <w:tc>
          <w:tcPr>
            <w:tcW w:type="dxa" w:w="3168"/>
          </w:tcPr>
          <w:p>
            <w:pPr>
              <w:spacing w:after="20"/>
            </w:pPr>
            <w:r>
              <w:rPr>
                <w:b/>
                <w:color w:val="1C3A36"/>
                <w:sz w:val="17"/>
              </w:rPr>
              <w:t>Group revenue</w:t>
            </w:r>
          </w:p>
        </w:tc>
        <w:tc>
          <w:tcPr>
            <w:tcW w:type="dxa" w:w="1368"/>
          </w:tcPr>
          <w:p>
            <w:pPr>
              <w:spacing w:after="20"/>
              <w:jc w:val="right"/>
            </w:pPr>
            <w:r>
              <w:rPr>
                <w:color w:val="1C3A36"/>
                <w:sz w:val="17"/>
              </w:rPr>
              <w:t>75,893</w:t>
            </w:r>
          </w:p>
        </w:tc>
        <w:tc>
          <w:tcPr>
            <w:tcW w:type="dxa" w:w="1368"/>
          </w:tcPr>
          <w:p>
            <w:pPr>
              <w:spacing w:after="20"/>
              <w:jc w:val="right"/>
            </w:pPr>
            <w:r>
              <w:rPr>
                <w:color w:val="1C3A36"/>
                <w:sz w:val="17"/>
              </w:rPr>
              <w:t>77,819</w:t>
            </w:r>
          </w:p>
        </w:tc>
        <w:tc>
          <w:tcPr>
            <w:tcW w:type="dxa" w:w="1440"/>
          </w:tcPr>
          <w:p>
            <w:pPr>
              <w:spacing w:after="20"/>
              <w:jc w:val="right"/>
            </w:pPr>
            <w:r>
              <w:rPr>
                <w:color w:val="1C3A36"/>
                <w:sz w:val="17"/>
              </w:rPr>
              <w:t>80,963</w:t>
            </w:r>
          </w:p>
        </w:tc>
        <w:tc>
          <w:tcPr>
            <w:tcW w:type="dxa" w:w="1440"/>
          </w:tcPr>
          <w:p>
            <w:pPr>
              <w:spacing w:after="20"/>
              <w:jc w:val="right"/>
            </w:pPr>
            <w:r>
              <w:rPr>
                <w:color w:val="1C3A36"/>
                <w:sz w:val="17"/>
              </w:rPr>
              <w:t>87,496</w:t>
            </w:r>
          </w:p>
        </w:tc>
        <w:tc>
          <w:tcPr>
            <w:tcW w:type="dxa" w:w="1440"/>
          </w:tcPr>
          <w:p>
            <w:pPr>
              <w:spacing w:after="20"/>
              <w:jc w:val="right"/>
            </w:pPr>
            <w:r>
              <w:rPr>
                <w:color w:val="1C3A36"/>
                <w:sz w:val="17"/>
              </w:rPr>
              <w:t>93,373</w:t>
            </w:r>
          </w:p>
        </w:tc>
      </w:tr>
      <w:tr>
        <w:tc>
          <w:tcPr>
            <w:tcW w:type="dxa" w:w="3168"/>
          </w:tcPr>
          <w:p>
            <w:pPr>
              <w:spacing w:after="20"/>
            </w:pPr>
            <w:r>
              <w:rPr>
                <w:b/>
                <w:color w:val="1C3A36"/>
                <w:sz w:val="17"/>
              </w:rPr>
              <w:t>EBITDA margin</w:t>
            </w:r>
          </w:p>
        </w:tc>
        <w:tc>
          <w:tcPr>
            <w:tcW w:type="dxa" w:w="1368"/>
          </w:tcPr>
          <w:p>
            <w:pPr>
              <w:spacing w:after="20"/>
              <w:jc w:val="right"/>
            </w:pPr>
            <w:r>
              <w:rPr>
                <w:color w:val="1C3A36"/>
                <w:sz w:val="17"/>
              </w:rPr>
              <w:t>31.5%</w:t>
            </w:r>
          </w:p>
        </w:tc>
        <w:tc>
          <w:tcPr>
            <w:tcW w:type="dxa" w:w="1368"/>
          </w:tcPr>
          <w:p>
            <w:pPr>
              <w:spacing w:after="20"/>
              <w:jc w:val="right"/>
            </w:pPr>
            <w:r>
              <w:rPr>
                <w:color w:val="1C3A36"/>
                <w:sz w:val="17"/>
              </w:rPr>
              <w:t>31.4%</w:t>
            </w:r>
          </w:p>
        </w:tc>
        <w:tc>
          <w:tcPr>
            <w:tcW w:type="dxa" w:w="1440"/>
          </w:tcPr>
          <w:p>
            <w:pPr>
              <w:spacing w:after="20"/>
              <w:jc w:val="right"/>
            </w:pPr>
            <w:r>
              <w:rPr>
                <w:color w:val="1C3A36"/>
                <w:sz w:val="17"/>
              </w:rPr>
              <w:t>31.8%</w:t>
            </w:r>
          </w:p>
        </w:tc>
        <w:tc>
          <w:tcPr>
            <w:tcW w:type="dxa" w:w="1440"/>
          </w:tcPr>
          <w:p>
            <w:pPr>
              <w:spacing w:after="20"/>
              <w:jc w:val="right"/>
            </w:pPr>
            <w:r>
              <w:rPr>
                <w:color w:val="1C3A36"/>
                <w:sz w:val="17"/>
              </w:rPr>
              <w:t>32.2%</w:t>
            </w:r>
          </w:p>
        </w:tc>
        <w:tc>
          <w:tcPr>
            <w:tcW w:type="dxa" w:w="1440"/>
          </w:tcPr>
          <w:p>
            <w:pPr>
              <w:spacing w:after="20"/>
              <w:jc w:val="right"/>
            </w:pPr>
            <w:r>
              <w:rPr>
                <w:color w:val="1C3A36"/>
                <w:sz w:val="17"/>
              </w:rPr>
              <w:t>32.5%</w:t>
            </w:r>
          </w:p>
        </w:tc>
      </w:tr>
      <w:tr>
        <w:tc>
          <w:tcPr>
            <w:tcW w:type="dxa" w:w="3168"/>
          </w:tcPr>
          <w:p>
            <w:pPr>
              <w:spacing w:after="20"/>
            </w:pPr>
            <w:r>
              <w:rPr>
                <w:b/>
                <w:color w:val="1C3A36"/>
                <w:sz w:val="17"/>
              </w:rPr>
              <w:t>Capex intensity</w:t>
            </w:r>
          </w:p>
        </w:tc>
        <w:tc>
          <w:tcPr>
            <w:tcW w:type="dxa" w:w="1368"/>
          </w:tcPr>
          <w:p>
            <w:pPr>
              <w:spacing w:after="20"/>
              <w:jc w:val="right"/>
            </w:pPr>
            <w:r>
              <w:rPr>
                <w:color w:val="1C3A36"/>
                <w:sz w:val="17"/>
              </w:rPr>
              <w:t>15.7%</w:t>
            </w:r>
          </w:p>
        </w:tc>
        <w:tc>
          <w:tcPr>
            <w:tcW w:type="dxa" w:w="1368"/>
          </w:tcPr>
          <w:p>
            <w:pPr>
              <w:spacing w:after="20"/>
              <w:jc w:val="right"/>
            </w:pPr>
            <w:r>
              <w:rPr>
                <w:color w:val="1C3A36"/>
                <w:sz w:val="17"/>
              </w:rPr>
              <w:t>15.2%</w:t>
            </w:r>
          </w:p>
        </w:tc>
        <w:tc>
          <w:tcPr>
            <w:tcW w:type="dxa" w:w="1440"/>
          </w:tcPr>
          <w:p>
            <w:pPr>
              <w:spacing w:after="20"/>
              <w:jc w:val="right"/>
            </w:pPr>
            <w:r>
              <w:rPr>
                <w:color w:val="1C3A36"/>
                <w:sz w:val="17"/>
              </w:rPr>
              <w:t>16.5%</w:t>
            </w:r>
          </w:p>
        </w:tc>
        <w:tc>
          <w:tcPr>
            <w:tcW w:type="dxa" w:w="1440"/>
          </w:tcPr>
          <w:p>
            <w:pPr>
              <w:spacing w:after="20"/>
              <w:jc w:val="right"/>
            </w:pPr>
            <w:r>
              <w:rPr>
                <w:color w:val="1C3A36"/>
                <w:sz w:val="17"/>
              </w:rPr>
              <w:t>16.0%</w:t>
            </w:r>
          </w:p>
        </w:tc>
        <w:tc>
          <w:tcPr>
            <w:tcW w:type="dxa" w:w="1440"/>
          </w:tcPr>
          <w:p>
            <w:pPr>
              <w:spacing w:after="20"/>
              <w:jc w:val="right"/>
            </w:pPr>
            <w:r>
              <w:rPr>
                <w:color w:val="1C3A36"/>
                <w:sz w:val="17"/>
              </w:rPr>
              <w:t>15.0%</w:t>
            </w:r>
          </w:p>
        </w:tc>
      </w:tr>
    </w:tbl>
    <w:p>
      <w:pPr>
        <w:spacing w:after="40"/>
      </w:pPr>
    </w:p>
    <w:p>
      <w:pPr>
        <w:spacing w:after="200" w:before="0"/>
      </w:pPr>
      <w:r>
        <w:rPr>
          <w:b w:val="0"/>
          <w:i/>
          <w:color w:val="6E7B77"/>
          <w:sz w:val="17"/>
        </w:rPr>
        <w:t>History: stc FY2025 earnings presentation and IR releases (stc.com), restated basis. Forecast drivers are the house’s own flagged view (Fundamental Driver Ledger rows logged). Q1-26 actuals: CBU +5.2%, EBU −3.6%, W&amp;C +6.2%.</w:t>
      </w:r>
    </w:p>
    <w:p>
      <w:pPr>
        <w:spacing w:after="80" w:before="200"/>
      </w:pPr>
      <w:r>
        <w:rPr>
          <w:b/>
          <w:i w:val="0"/>
          <w:color w:val="1C3A36"/>
          <w:sz w:val="24"/>
        </w:rPr>
        <w:t>1.7  The crux — dividend cover against the capex cycle, in real units</w:t>
      </w:r>
    </w:p>
    <w:p>
      <w:pPr>
        <w:spacing w:after="120" w:before="0"/>
      </w:pPr>
      <w:r>
        <w:rPr>
          <w:b w:val="0"/>
          <w:i w:val="0"/>
          <w:color w:val="1C3A36"/>
          <w:sz w:val="21"/>
        </w:rPr>
        <w:t>Three judgments drive this valuation, and all three are observable rather than abstract. First and largest: capex intensity against the locked dividend. The policy dividend costs SAR 10.98 bn a year (2.20 × 4,989.8 mn shares); management guides capex to 15–17.5% of revenue with 2026–27 “edging up.” The cover table below is the whole tension in one place — at the top of the guided band the dividend is only 0.86× covered by model FY26E free cash flow and the balance sheet funds the rest; at the bottom it is fully covered. Each percentage point of capex intensity is worth ≈SAR 0.8 bn of annual FCF and ≈SAR 1.6 of DCF fair value per share. Second: the discount rate. This is a 90%-equity-weighted WACC built on a 0.48 regressed beta from a nine-week window (§1.8) — at β = 1.0 the DCF falls from ~50 to ~34, below spot, so §1.9 publishes the full beta grid rather than letting one regression settle it. Third: the SAMA/Fed path — the rf is 5.5% today; each 50 bp off the Saudi curve adds ≈SAR 4–5 to the DCF and directly lowers the funding cost of the AI-infrastructure build. A fourth, slower variable: KSA mobile competition (Mobily’s subscriber growth has outpaced stc’s revenue growth for four quarters) — each 1 pp off consumer growth costs ≈SAR 2 of fair value.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8"/>
              </w:rPr>
              <w:t>FY26E scenario (real units)</w:t>
            </w:r>
          </w:p>
        </w:tc>
        <w:tc>
          <w:tcPr>
            <w:tcW w:type="dxa" w:w="2160"/>
            <w:shd w:val="clear" w:color="auto" w:fill="EAF0EE"/>
          </w:tcPr>
          <w:p>
            <w:pPr>
              <w:spacing w:after="20"/>
            </w:pPr>
            <w:r>
              <w:rPr>
                <w:b/>
                <w:color w:val="1C3A36"/>
                <w:sz w:val="18"/>
              </w:rPr>
              <w:t>Model FCF (SAR bn)</w:t>
            </w:r>
          </w:p>
        </w:tc>
        <w:tc>
          <w:tcPr>
            <w:tcW w:type="dxa" w:w="2160"/>
            <w:shd w:val="clear" w:color="auto" w:fill="EAF0EE"/>
          </w:tcPr>
          <w:p>
            <w:pPr>
              <w:spacing w:after="20"/>
            </w:pPr>
            <w:r>
              <w:rPr>
                <w:b/>
                <w:color w:val="1C3A36"/>
                <w:sz w:val="18"/>
              </w:rPr>
              <w:t>Dividend bill (SAR bn)</w:t>
            </w:r>
          </w:p>
        </w:tc>
        <w:tc>
          <w:tcPr>
            <w:tcW w:type="dxa" w:w="1296"/>
            <w:shd w:val="clear" w:color="auto" w:fill="EAF0EE"/>
          </w:tcPr>
          <w:p>
            <w:pPr>
              <w:spacing w:after="20"/>
            </w:pPr>
            <w:r>
              <w:rPr>
                <w:b/>
                <w:color w:val="1C3A36"/>
                <w:sz w:val="18"/>
              </w:rPr>
              <w:t>Cover</w:t>
            </w:r>
          </w:p>
        </w:tc>
      </w:tr>
      <w:tr>
        <w:tc>
          <w:tcPr>
            <w:tcW w:type="dxa" w:w="3744"/>
          </w:tcPr>
          <w:p>
            <w:pPr>
              <w:spacing w:after="20"/>
            </w:pPr>
            <w:r>
              <w:rPr>
                <w:b/>
                <w:color w:val="1C3A36"/>
                <w:sz w:val="18"/>
              </w:rPr>
              <w:t>Capex at 15.0%</w:t>
            </w:r>
          </w:p>
        </w:tc>
        <w:tc>
          <w:tcPr>
            <w:tcW w:type="dxa" w:w="2160"/>
          </w:tcPr>
          <w:p>
            <w:pPr>
              <w:spacing w:after="20"/>
              <w:jc w:val="right"/>
            </w:pPr>
            <w:r>
              <w:rPr>
                <w:color w:val="1C3A36"/>
                <w:sz w:val="18"/>
              </w:rPr>
              <w:t>11.5</w:t>
            </w:r>
          </w:p>
        </w:tc>
        <w:tc>
          <w:tcPr>
            <w:tcW w:type="dxa" w:w="2160"/>
          </w:tcPr>
          <w:p>
            <w:pPr>
              <w:spacing w:after="20"/>
              <w:jc w:val="right"/>
            </w:pPr>
            <w:r>
              <w:rPr>
                <w:color w:val="1C3A36"/>
                <w:sz w:val="18"/>
              </w:rPr>
              <w:t>11.0</w:t>
            </w:r>
          </w:p>
        </w:tc>
        <w:tc>
          <w:tcPr>
            <w:tcW w:type="dxa" w:w="1296"/>
          </w:tcPr>
          <w:p>
            <w:pPr>
              <w:spacing w:after="20"/>
              <w:jc w:val="right"/>
            </w:pPr>
            <w:r>
              <w:rPr>
                <w:color w:val="1C3A36"/>
                <w:sz w:val="18"/>
              </w:rPr>
              <w:t>1.04×</w:t>
            </w:r>
          </w:p>
        </w:tc>
      </w:tr>
      <w:tr>
        <w:tc>
          <w:tcPr>
            <w:tcW w:type="dxa" w:w="3744"/>
          </w:tcPr>
          <w:p>
            <w:pPr>
              <w:spacing w:after="20"/>
            </w:pPr>
            <w:r>
              <w:rPr>
                <w:b/>
                <w:color w:val="1C3A36"/>
                <w:sz w:val="18"/>
              </w:rPr>
              <w:t>Capex at 16.5% (base FY26E)</w:t>
            </w:r>
          </w:p>
        </w:tc>
        <w:tc>
          <w:tcPr>
            <w:tcW w:type="dxa" w:w="2160"/>
          </w:tcPr>
          <w:p>
            <w:pPr>
              <w:spacing w:after="20"/>
              <w:jc w:val="right"/>
            </w:pPr>
            <w:r>
              <w:rPr>
                <w:color w:val="1C3A36"/>
                <w:sz w:val="18"/>
              </w:rPr>
              <w:t>10.3</w:t>
            </w:r>
          </w:p>
        </w:tc>
        <w:tc>
          <w:tcPr>
            <w:tcW w:type="dxa" w:w="2160"/>
          </w:tcPr>
          <w:p>
            <w:pPr>
              <w:spacing w:after="20"/>
              <w:jc w:val="right"/>
            </w:pPr>
            <w:r>
              <w:rPr>
                <w:color w:val="1C3A36"/>
                <w:sz w:val="18"/>
              </w:rPr>
              <w:t>11.0</w:t>
            </w:r>
          </w:p>
        </w:tc>
        <w:tc>
          <w:tcPr>
            <w:tcW w:type="dxa" w:w="1296"/>
          </w:tcPr>
          <w:p>
            <w:pPr>
              <w:spacing w:after="20"/>
              <w:jc w:val="right"/>
            </w:pPr>
            <w:r>
              <w:rPr>
                <w:color w:val="1C3A36"/>
                <w:sz w:val="18"/>
              </w:rPr>
              <w:t>0.93×</w:t>
            </w:r>
          </w:p>
        </w:tc>
      </w:tr>
      <w:tr>
        <w:tc>
          <w:tcPr>
            <w:tcW w:type="dxa" w:w="3744"/>
          </w:tcPr>
          <w:p>
            <w:pPr>
              <w:spacing w:after="20"/>
            </w:pPr>
            <w:r>
              <w:rPr>
                <w:b/>
                <w:color w:val="1C3A36"/>
                <w:sz w:val="18"/>
              </w:rPr>
              <w:t>Capex at 17.5% (top of guidance)</w:t>
            </w:r>
          </w:p>
        </w:tc>
        <w:tc>
          <w:tcPr>
            <w:tcW w:type="dxa" w:w="2160"/>
          </w:tcPr>
          <w:p>
            <w:pPr>
              <w:spacing w:after="20"/>
              <w:jc w:val="right"/>
            </w:pPr>
            <w:r>
              <w:rPr>
                <w:color w:val="1C3A36"/>
                <w:sz w:val="18"/>
              </w:rPr>
              <w:t>9.4</w:t>
            </w:r>
          </w:p>
        </w:tc>
        <w:tc>
          <w:tcPr>
            <w:tcW w:type="dxa" w:w="2160"/>
          </w:tcPr>
          <w:p>
            <w:pPr>
              <w:spacing w:after="20"/>
              <w:jc w:val="right"/>
            </w:pPr>
            <w:r>
              <w:rPr>
                <w:color w:val="1C3A36"/>
                <w:sz w:val="18"/>
              </w:rPr>
              <w:t>11.0</w:t>
            </w:r>
          </w:p>
        </w:tc>
        <w:tc>
          <w:tcPr>
            <w:tcW w:type="dxa" w:w="1296"/>
          </w:tcPr>
          <w:p>
            <w:pPr>
              <w:spacing w:after="20"/>
              <w:jc w:val="right"/>
            </w:pPr>
            <w:r>
              <w:rPr>
                <w:color w:val="1C3A36"/>
                <w:sz w:val="18"/>
              </w:rPr>
              <w:t>0.86×</w:t>
            </w:r>
          </w:p>
        </w:tc>
      </w:tr>
    </w:tbl>
    <w:p>
      <w:pPr>
        <w:spacing w:after="40"/>
      </w:pPr>
    </w:p>
    <w:p>
      <w:pPr>
        <w:spacing w:after="200" w:before="0"/>
      </w:pPr>
      <w:r>
        <w:rPr>
          <w:b w:val="0"/>
          <w:i/>
          <w:color w:val="6E7B77"/>
          <w:sz w:val="17"/>
        </w:rPr>
        <w:t>Device A-2: the DPS schedule and its stress test live in Appendix A.3. The dividend is policy-locked through the Q3-2027 distribution; the test is whether FCF or the balance sheet pays for it — at Q1-26 run-rate (FCF 3.9 bn vs a 2.74 bn quarterly dividend) it was FCF, for the first quarter in a year.</w:t>
      </w:r>
    </w:p>
    <w:p>
      <w:pPr>
        <w:spacing w:after="80" w:before="200"/>
      </w:pPr>
      <w:r>
        <w:rPr>
          <w:b/>
          <w:i w:val="0"/>
          <w:color w:val="1C3A36"/>
          <w:sz w:val="24"/>
        </w:rPr>
        <w:t>1.8  Macro and country — SAMA, oil, Vision 2030, and the sourced cost of capital</w:t>
      </w:r>
    </w:p>
    <w:p>
      <w:pPr>
        <w:spacing w:after="120" w:before="0"/>
      </w:pPr>
      <w:r>
        <w:rPr>
          <w:b w:val="0"/>
          <w:i w:val="0"/>
          <w:color w:val="1C3A36"/>
          <w:sz w:val="21"/>
        </w:rPr>
        <w:t>stc is a defensive claim on the Saudi macro, in three channels. Rates: SAMA shadows the Fed to defend the riyal peg (repo 4.25% / reverse repo 3.75% since 10 Dec 2025; the Fed held 3.50–3.75% on 17 Jun 2026), so the discount rate and the sukuk funding cost are set in Washington as much as Riyadh. Oil and the fiscal impulse: government ICT and giga-project spend (SAR ~32 bn of digital-government spend in 2025) drives the enterprise book — the FY25 softness was phasing, not demand. Vision 2030: the structural bid — data centres (the center3–HUMAIN 1 GW ambition inside a national AI push), 5G/fibre densification, and digital-services adjacencies — is what turns a utility growth profile into a utility-plus-options profile. Because the riyal is pegged, there is no currency-translation channel in the valuation and no FX factor in the Monte Carlo. Every input in the cost-of-capital build is sourced and named (house rule §3.5-G):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312"/>
            <w:shd w:val="clear" w:color="auto" w:fill="EAF0EE"/>
          </w:tcPr>
          <w:p>
            <w:pPr>
              <w:spacing w:after="20"/>
            </w:pPr>
            <w:r>
              <w:rPr>
                <w:b/>
                <w:color w:val="1C3A36"/>
                <w:sz w:val="16"/>
              </w:rPr>
              <w:t>Cost-of-capital build</w:t>
            </w:r>
          </w:p>
        </w:tc>
        <w:tc>
          <w:tcPr>
            <w:tcW w:type="dxa" w:w="1440"/>
            <w:shd w:val="clear" w:color="auto" w:fill="EAF0EE"/>
          </w:tcPr>
          <w:p>
            <w:pPr>
              <w:spacing w:after="20"/>
            </w:pPr>
            <w:r>
              <w:rPr>
                <w:b/>
                <w:color w:val="1C3A36"/>
                <w:sz w:val="16"/>
              </w:rPr>
              <w:t>Value</w:t>
            </w:r>
          </w:p>
        </w:tc>
        <w:tc>
          <w:tcPr>
            <w:tcW w:type="dxa" w:w="5184"/>
            <w:shd w:val="clear" w:color="auto" w:fill="EAF0EE"/>
          </w:tcPr>
          <w:p>
            <w:pPr>
              <w:spacing w:after="20"/>
            </w:pPr>
            <w:r>
              <w:rPr>
                <w:b/>
                <w:color w:val="1C3A36"/>
                <w:sz w:val="16"/>
              </w:rPr>
              <w:t>Source</w:t>
            </w:r>
          </w:p>
        </w:tc>
      </w:tr>
      <w:tr>
        <w:tc>
          <w:tcPr>
            <w:tcW w:type="dxa" w:w="3312"/>
          </w:tcPr>
          <w:p>
            <w:pPr>
              <w:spacing w:after="20"/>
            </w:pPr>
            <w:r>
              <w:rPr>
                <w:b/>
                <w:color w:val="1C3A36"/>
                <w:sz w:val="16"/>
              </w:rPr>
              <w:t>Risk-free rate (rf)</w:t>
            </w:r>
          </w:p>
        </w:tc>
        <w:tc>
          <w:tcPr>
            <w:tcW w:type="dxa" w:w="1440"/>
          </w:tcPr>
          <w:p>
            <w:pPr>
              <w:spacing w:after="20"/>
              <w:jc w:val="right"/>
            </w:pPr>
            <w:r>
              <w:rPr>
                <w:color w:val="1C3A36"/>
                <w:sz w:val="16"/>
              </w:rPr>
              <w:t>5.50%</w:t>
            </w:r>
          </w:p>
        </w:tc>
        <w:tc>
          <w:tcPr>
            <w:tcW w:type="dxa" w:w="5184"/>
          </w:tcPr>
          <w:p>
            <w:pPr>
              <w:spacing w:after="20"/>
              <w:jc w:val="right"/>
            </w:pPr>
            <w:r>
              <w:rPr>
                <w:color w:val="1C3A36"/>
                <w:sz w:val="16"/>
              </w:rPr>
              <w:t>Derived SAR 10Y: KSA govt-guaranteed USD 10Y priced UST+95bp on 8-Jul-2026 (SRC $1.5bn sukuk; UST 4.45%) = 5.40%, plus the SAR-over-USD pickup per the Saudi Exchange sovereign-debt primer (21-May-2026); FAB’s 5.5% as cross-check. Flagged: derived — no free live SAR 10Y screen exists</w:t>
            </w:r>
          </w:p>
        </w:tc>
      </w:tr>
      <w:tr>
        <w:tc>
          <w:tcPr>
            <w:tcW w:type="dxa" w:w="3312"/>
          </w:tcPr>
          <w:p>
            <w:pPr>
              <w:spacing w:after="20"/>
            </w:pPr>
            <w:r>
              <w:rPr>
                <w:b/>
                <w:color w:val="1C3A36"/>
                <w:sz w:val="16"/>
              </w:rPr>
              <w:t>Equity beta (β)</w:t>
            </w:r>
          </w:p>
        </w:tc>
        <w:tc>
          <w:tcPr>
            <w:tcW w:type="dxa" w:w="1440"/>
          </w:tcPr>
          <w:p>
            <w:pPr>
              <w:spacing w:after="20"/>
              <w:jc w:val="right"/>
            </w:pPr>
            <w:r>
              <w:rPr>
                <w:color w:val="1C3A36"/>
                <w:sz w:val="16"/>
              </w:rPr>
              <w:t>0.48</w:t>
            </w:r>
          </w:p>
        </w:tc>
        <w:tc>
          <w:tcPr>
            <w:tcW w:type="dxa" w:w="5184"/>
          </w:tcPr>
          <w:p>
            <w:pPr>
              <w:spacing w:after="20"/>
              <w:jc w:val="right"/>
            </w:pPr>
            <w:r>
              <w:rPr>
                <w:color w:val="1C3A36"/>
                <w:sz w:val="16"/>
              </w:rPr>
              <w:t>Genuine daily stc-vs-TASI regression, n=40 sessions (5-May→7-Jul-2026): β 0.475, R² 14.3%, SE 0.19 — passes the house usability gate; flagged short-window, beta grid in §1.9</w:t>
            </w:r>
          </w:p>
        </w:tc>
      </w:tr>
      <w:tr>
        <w:tc>
          <w:tcPr>
            <w:tcW w:type="dxa" w:w="3312"/>
          </w:tcPr>
          <w:p>
            <w:pPr>
              <w:spacing w:after="20"/>
            </w:pPr>
            <w:r>
              <w:rPr>
                <w:b/>
                <w:color w:val="1C3A36"/>
                <w:sz w:val="16"/>
              </w:rPr>
              <w:t>Equity risk premium (rating-based, primary)</w:t>
            </w:r>
          </w:p>
        </w:tc>
        <w:tc>
          <w:tcPr>
            <w:tcW w:type="dxa" w:w="1440"/>
          </w:tcPr>
          <w:p>
            <w:pPr>
              <w:spacing w:after="20"/>
              <w:jc w:val="right"/>
            </w:pPr>
            <w:r>
              <w:rPr>
                <w:color w:val="1C3A36"/>
                <w:sz w:val="16"/>
              </w:rPr>
              <w:t>5.01%</w:t>
            </w:r>
          </w:p>
        </w:tc>
        <w:tc>
          <w:tcPr>
            <w:tcW w:type="dxa" w:w="5184"/>
          </w:tcPr>
          <w:p>
            <w:pPr>
              <w:spacing w:after="20"/>
              <w:jc w:val="right"/>
            </w:pPr>
            <w:r>
              <w:rPr>
                <w:color w:val="1C3A36"/>
                <w:sz w:val="16"/>
              </w:rPr>
              <w:t>Damodaran ORIGINAL file (ctryprem.html), Saudi Arabia row, “Last updated: January 5, 2026”: Aa3, CRP 0.78% + mature 4.23%</w:t>
            </w:r>
          </w:p>
        </w:tc>
      </w:tr>
      <w:tr>
        <w:tc>
          <w:tcPr>
            <w:tcW w:type="dxa" w:w="3312"/>
          </w:tcPr>
          <w:p>
            <w:pPr>
              <w:spacing w:after="20"/>
            </w:pPr>
            <w:r>
              <w:rPr>
                <w:b/>
                <w:color w:val="1C3A36"/>
                <w:sz w:val="16"/>
              </w:rPr>
              <w:t xml:space="preserve">  — ERP, CDS-based (the “more current” alternative)</w:t>
            </w:r>
          </w:p>
        </w:tc>
        <w:tc>
          <w:tcPr>
            <w:tcW w:type="dxa" w:w="1440"/>
          </w:tcPr>
          <w:p>
            <w:pPr>
              <w:spacing w:after="20"/>
              <w:jc w:val="right"/>
            </w:pPr>
            <w:r>
              <w:rPr>
                <w:color w:val="1C3A36"/>
                <w:sz w:val="16"/>
              </w:rPr>
              <w:t>5.72%</w:t>
            </w:r>
          </w:p>
        </w:tc>
        <w:tc>
          <w:tcPr>
            <w:tcW w:type="dxa" w:w="5184"/>
          </w:tcPr>
          <w:p>
            <w:pPr>
              <w:spacing w:after="20"/>
              <w:jc w:val="right"/>
            </w:pPr>
            <w:r>
              <w:rPr>
                <w:color w:val="1C3A36"/>
                <w:sz w:val="16"/>
              </w:rPr>
              <w:t>Same file, CDS column (sovereign CDS 0.98%) — for Saudi the CDS basis is the HIGHER one</w:t>
            </w:r>
          </w:p>
        </w:tc>
      </w:tr>
      <w:tr>
        <w:tc>
          <w:tcPr>
            <w:tcW w:type="dxa" w:w="3312"/>
          </w:tcPr>
          <w:p>
            <w:pPr>
              <w:spacing w:after="20"/>
            </w:pPr>
            <w:r>
              <w:rPr>
                <w:b/>
                <w:color w:val="1C3A36"/>
                <w:sz w:val="16"/>
              </w:rPr>
              <w:t>Cost of equity Ke = rf + β × ERP</w:t>
            </w:r>
          </w:p>
        </w:tc>
        <w:tc>
          <w:tcPr>
            <w:tcW w:type="dxa" w:w="1440"/>
          </w:tcPr>
          <w:p>
            <w:pPr>
              <w:spacing w:after="20"/>
              <w:jc w:val="right"/>
            </w:pPr>
            <w:r>
              <w:rPr>
                <w:color w:val="1C3A36"/>
                <w:sz w:val="16"/>
              </w:rPr>
              <w:t>7.90%</w:t>
            </w:r>
          </w:p>
        </w:tc>
        <w:tc>
          <w:tcPr>
            <w:tcW w:type="dxa" w:w="5184"/>
          </w:tcPr>
          <w:p>
            <w:pPr>
              <w:spacing w:after="20"/>
              <w:jc w:val="right"/>
            </w:pPr>
            <w:r>
              <w:rPr>
                <w:color w:val="1C3A36"/>
                <w:sz w:val="16"/>
              </w:rPr>
              <w:t>(rating basis; 8.25% on the CDS basis)</w:t>
            </w:r>
          </w:p>
        </w:tc>
      </w:tr>
      <w:tr>
        <w:tc>
          <w:tcPr>
            <w:tcW w:type="dxa" w:w="3312"/>
          </w:tcPr>
          <w:p>
            <w:pPr>
              <w:spacing w:after="20"/>
            </w:pPr>
            <w:r>
              <w:rPr>
                <w:b/>
                <w:color w:val="1C3A36"/>
                <w:sz w:val="16"/>
              </w:rPr>
              <w:t>Pre-tax cost of debt</w:t>
            </w:r>
          </w:p>
        </w:tc>
        <w:tc>
          <w:tcPr>
            <w:tcW w:type="dxa" w:w="1440"/>
          </w:tcPr>
          <w:p>
            <w:pPr>
              <w:spacing w:after="20"/>
              <w:jc w:val="right"/>
            </w:pPr>
            <w:r>
              <w:rPr>
                <w:color w:val="1C3A36"/>
                <w:sz w:val="16"/>
              </w:rPr>
              <w:t>5.00%</w:t>
            </w:r>
          </w:p>
        </w:tc>
        <w:tc>
          <w:tcPr>
            <w:tcW w:type="dxa" w:w="5184"/>
          </w:tcPr>
          <w:p>
            <w:pPr>
              <w:spacing w:after="20"/>
              <w:jc w:val="right"/>
            </w:pPr>
            <w:r>
              <w:rPr>
                <w:color w:val="1C3A36"/>
                <w:sz w:val="16"/>
              </w:rPr>
              <w:t>stc’s own instruments: Jan-26 $2bn sukuk 4.489%/5.083% (T+75/T+90); 2019 sukuk 3.89%; SAR murabaha ≈ SAIBOR 4.79% + 60–100bp</w:t>
            </w:r>
          </w:p>
        </w:tc>
      </w:tr>
      <w:tr>
        <w:tc>
          <w:tcPr>
            <w:tcW w:type="dxa" w:w="3312"/>
          </w:tcPr>
          <w:p>
            <w:pPr>
              <w:spacing w:after="20"/>
            </w:pPr>
            <w:r>
              <w:rPr>
                <w:b/>
                <w:color w:val="1C3A36"/>
                <w:sz w:val="16"/>
              </w:rPr>
              <w:t>After-tax cost of debt (9.7% effective zakat/tax)</w:t>
            </w:r>
          </w:p>
        </w:tc>
        <w:tc>
          <w:tcPr>
            <w:tcW w:type="dxa" w:w="1440"/>
          </w:tcPr>
          <w:p>
            <w:pPr>
              <w:spacing w:after="20"/>
              <w:jc w:val="right"/>
            </w:pPr>
            <w:r>
              <w:rPr>
                <w:color w:val="1C3A36"/>
                <w:sz w:val="16"/>
              </w:rPr>
              <w:t>4.51%</w:t>
            </w:r>
          </w:p>
        </w:tc>
        <w:tc>
          <w:tcPr>
            <w:tcW w:type="dxa" w:w="5184"/>
          </w:tcPr>
          <w:p>
            <w:pPr>
              <w:spacing w:after="20"/>
              <w:jc w:val="right"/>
            </w:pPr>
            <w:r>
              <w:rPr>
                <w:color w:val="1C3A36"/>
                <w:sz w:val="16"/>
              </w:rPr>
              <w:t>Debt mix: USD-linked ≈55–60% (named sukuk/ECA), SAR remainder — peg makes USD legs quasi-SAR</w:t>
            </w:r>
          </w:p>
        </w:tc>
      </w:tr>
      <w:tr>
        <w:tc>
          <w:tcPr>
            <w:tcW w:type="dxa" w:w="3312"/>
          </w:tcPr>
          <w:p>
            <w:pPr>
              <w:spacing w:after="20"/>
            </w:pPr>
            <w:r>
              <w:rPr>
                <w:b/>
                <w:color w:val="1C3A36"/>
                <w:sz w:val="16"/>
              </w:rPr>
              <w:t>Weights (E / D)</w:t>
            </w:r>
          </w:p>
        </w:tc>
        <w:tc>
          <w:tcPr>
            <w:tcW w:type="dxa" w:w="1440"/>
          </w:tcPr>
          <w:p>
            <w:pPr>
              <w:spacing w:after="20"/>
              <w:jc w:val="right"/>
            </w:pPr>
            <w:r>
              <w:rPr>
                <w:color w:val="1C3A36"/>
                <w:sz w:val="16"/>
              </w:rPr>
              <w:t>90.6% / 9.4%</w:t>
            </w:r>
          </w:p>
        </w:tc>
        <w:tc>
          <w:tcPr>
            <w:tcW w:type="dxa" w:w="5184"/>
          </w:tcPr>
          <w:p>
            <w:pPr>
              <w:spacing w:after="20"/>
              <w:jc w:val="right"/>
            </w:pPr>
            <w:r>
              <w:rPr>
                <w:color w:val="1C3A36"/>
                <w:sz w:val="16"/>
              </w:rPr>
              <w:t>Market cap (43.58 × 4,989.8 mn) vs Q1-26 disclosed total debt SAR 22,475 mn</w:t>
            </w:r>
          </w:p>
        </w:tc>
      </w:tr>
      <w:tr>
        <w:tc>
          <w:tcPr>
            <w:tcW w:type="dxa" w:w="3312"/>
          </w:tcPr>
          <w:p>
            <w:pPr>
              <w:spacing w:after="20"/>
            </w:pPr>
            <w:r>
              <w:rPr>
                <w:b/>
                <w:color w:val="1C3A36"/>
                <w:sz w:val="16"/>
              </w:rPr>
              <w:t>WACC</w:t>
            </w:r>
          </w:p>
        </w:tc>
        <w:tc>
          <w:tcPr>
            <w:tcW w:type="dxa" w:w="1440"/>
          </w:tcPr>
          <w:p>
            <w:pPr>
              <w:spacing w:after="20"/>
              <w:jc w:val="right"/>
            </w:pPr>
            <w:r>
              <w:rPr>
                <w:color w:val="1C3A36"/>
                <w:sz w:val="16"/>
              </w:rPr>
              <w:t>7.59%</w:t>
            </w:r>
          </w:p>
        </w:tc>
        <w:tc>
          <w:tcPr>
            <w:tcW w:type="dxa" w:w="5184"/>
          </w:tcPr>
          <w:p>
            <w:pPr>
              <w:spacing w:after="20"/>
              <w:jc w:val="right"/>
            </w:pPr>
            <w:r>
              <w:rPr>
                <w:color w:val="1C3A36"/>
                <w:sz w:val="16"/>
              </w:rPr>
              <w:t>(7.90% on the CDS-based ERP — both published per protocol)</w:t>
            </w:r>
          </w:p>
        </w:tc>
      </w:tr>
      <w:tr>
        <w:tc>
          <w:tcPr>
            <w:tcW w:type="dxa" w:w="3312"/>
          </w:tcPr>
          <w:p>
            <w:pPr>
              <w:spacing w:after="20"/>
            </w:pPr>
            <w:r>
              <w:rPr>
                <w:b/>
                <w:color w:val="1C3A36"/>
                <w:sz w:val="16"/>
              </w:rPr>
              <w:t>Terminal growth (nominal SAR)</w:t>
            </w:r>
          </w:p>
        </w:tc>
        <w:tc>
          <w:tcPr>
            <w:tcW w:type="dxa" w:w="1440"/>
          </w:tcPr>
          <w:p>
            <w:pPr>
              <w:spacing w:after="20"/>
              <w:jc w:val="right"/>
            </w:pPr>
            <w:r>
              <w:rPr>
                <w:color w:val="1C3A36"/>
                <w:sz w:val="16"/>
              </w:rPr>
              <w:t>2.50%</w:t>
            </w:r>
          </w:p>
        </w:tc>
        <w:tc>
          <w:tcPr>
            <w:tcW w:type="dxa" w:w="5184"/>
          </w:tcPr>
          <w:p>
            <w:pPr>
              <w:spacing w:after="20"/>
              <w:jc w:val="right"/>
            </w:pPr>
            <w:r>
              <w:rPr>
                <w:color w:val="1C3A36"/>
                <w:sz w:val="16"/>
              </w:rPr>
              <w:t>House view ≈ long-run nominal GDP-lite for a mature operator; sensitized in §1.9</w:t>
            </w:r>
          </w:p>
        </w:tc>
      </w:tr>
    </w:tbl>
    <w:p>
      <w:pPr>
        <w:spacing w:after="40"/>
      </w:pPr>
    </w:p>
    <w:p>
      <w:pPr>
        <w:spacing w:after="120" w:before="0"/>
      </w:pPr>
      <w:r>
        <w:rPr>
          <w:b w:val="0"/>
          <w:i w:val="0"/>
          <w:color w:val="1C3A36"/>
          <w:sz w:val="19"/>
        </w:rPr>
        <w:t>Two honesty notes on this build. First, the risk-free rate is a derived figure: Saudi Arabia has no freely quoted live SAR 10-year screen, so we triangulated from a government-guaranteed USD sukuk priced the day before the study (UST + 95 bp) plus the officially documented SAR-over-USD sovereign pickup — the number is checkable end-to-end, but it is an estimate of a quote, not a quote. Second, the beta is regressed on only nine weeks of daily data, because every programmatic source of longer TASI history is access-blocked; 0.48 is consistent with a defensive, PIF-anchored mega-cap (aggregators print ~0.2 on longer windows), but the honest treatment is the grid in §1.9, where the reader can see the valuation at any beta up to 1.2. Both flags are logged in the study’s driver ledger.</w:t>
      </w:r>
    </w:p>
    <w:p>
      <w:pPr>
        <w:spacing w:after="80" w:before="200"/>
      </w:pPr>
      <w:r>
        <w:rPr>
          <w:b/>
          <w:i w:val="0"/>
          <w:color w:val="1C3A36"/>
          <w:sz w:val="24"/>
        </w:rPr>
        <w:t>1.9  Sensitivity — the margin, the capex, the rate spread, and the beta</w:t>
      </w:r>
    </w:p>
    <w:p>
      <w:pPr>
        <w:spacing w:after="120" w:before="0"/>
      </w:pPr>
      <w:r>
        <w:rPr>
          <w:b w:val="0"/>
          <w:i w:val="0"/>
          <w:color w:val="1C3A36"/>
          <w:sz w:val="21"/>
        </w:rPr>
        <w:t>The first grid re-prices the DCF across the two real-unit operating levers (EBITDA margin and capex intensity); the second across WACC × terminal growth; the third across the beta — the single input most likely to move the answer, given the short regression window.</w:t>
      </w:r>
    </w:p>
    <w:p>
      <w:pPr>
        <w:spacing w:after="40"/>
        <w:jc w:val="center"/>
      </w:pPr>
      <w:r>
        <w:drawing>
          <wp:inline xmlns:a="http://schemas.openxmlformats.org/drawingml/2006/main" xmlns:pic="http://schemas.openxmlformats.org/drawingml/2006/picture">
            <wp:extent cx="5120640" cy="249294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120640" cy="2492943"/>
                    </a:xfrm>
                    <a:prstGeom prst="rect"/>
                  </pic:spPr>
                </pic:pic>
              </a:graphicData>
            </a:graphic>
          </wp:inline>
        </w:drawing>
      </w:r>
    </w:p>
    <w:p>
      <w:pPr>
        <w:spacing w:after="200" w:before="0"/>
      </w:pPr>
      <w:r>
        <w:rPr>
          <w:b w:val="0"/>
          <w:i/>
          <w:color w:val="6E7B77"/>
          <w:sz w:val="17"/>
        </w:rPr>
        <w:t>Figure 2 — DCF fair value (SAR/share) across EBITDA-margin and capex-intensity shifts. Bold cells sit nearest spot (SAR 43.58).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160"/>
            <w:shd w:val="clear" w:color="auto" w:fill="EAF0EE"/>
          </w:tcPr>
          <w:p>
            <w:pPr>
              <w:spacing w:after="20"/>
            </w:pPr>
            <w:r>
              <w:rPr>
                <w:b/>
                <w:color w:val="1C3A36"/>
                <w:sz w:val="18"/>
              </w:rPr>
              <w:t>WACC \ terminal g</w:t>
            </w:r>
          </w:p>
        </w:tc>
        <w:tc>
          <w:tcPr>
            <w:tcW w:type="dxa" w:w="1440"/>
            <w:shd w:val="clear" w:color="auto" w:fill="EAF0EE"/>
          </w:tcPr>
          <w:p>
            <w:pPr>
              <w:spacing w:after="20"/>
            </w:pPr>
            <w:r>
              <w:rPr>
                <w:b/>
                <w:color w:val="1C3A36"/>
                <w:sz w:val="18"/>
              </w:rPr>
              <w:t>1.5%</w:t>
            </w:r>
          </w:p>
        </w:tc>
        <w:tc>
          <w:tcPr>
            <w:tcW w:type="dxa" w:w="1440"/>
            <w:shd w:val="clear" w:color="auto" w:fill="EAF0EE"/>
          </w:tcPr>
          <w:p>
            <w:pPr>
              <w:spacing w:after="20"/>
            </w:pPr>
            <w:r>
              <w:rPr>
                <w:b/>
                <w:color w:val="1C3A36"/>
                <w:sz w:val="18"/>
              </w:rPr>
              <w:t>2.0%</w:t>
            </w:r>
          </w:p>
        </w:tc>
        <w:tc>
          <w:tcPr>
            <w:tcW w:type="dxa" w:w="1440"/>
            <w:shd w:val="clear" w:color="auto" w:fill="EAF0EE"/>
          </w:tcPr>
          <w:p>
            <w:pPr>
              <w:spacing w:after="20"/>
            </w:pPr>
            <w:r>
              <w:rPr>
                <w:b/>
                <w:color w:val="1C3A36"/>
                <w:sz w:val="18"/>
              </w:rPr>
              <w:t>2.5%</w:t>
            </w:r>
          </w:p>
        </w:tc>
        <w:tc>
          <w:tcPr>
            <w:tcW w:type="dxa" w:w="1440"/>
            <w:shd w:val="clear" w:color="auto" w:fill="EAF0EE"/>
          </w:tcPr>
          <w:p>
            <w:pPr>
              <w:spacing w:after="20"/>
            </w:pPr>
            <w:r>
              <w:rPr>
                <w:b/>
                <w:color w:val="1C3A36"/>
                <w:sz w:val="18"/>
              </w:rPr>
              <w:t>3.0%</w:t>
            </w:r>
          </w:p>
        </w:tc>
        <w:tc>
          <w:tcPr>
            <w:tcW w:type="dxa" w:w="1440"/>
            <w:shd w:val="clear" w:color="auto" w:fill="EAF0EE"/>
          </w:tcPr>
          <w:p>
            <w:pPr>
              <w:spacing w:after="20"/>
            </w:pPr>
            <w:r>
              <w:rPr>
                <w:b/>
                <w:color w:val="1C3A36"/>
                <w:sz w:val="18"/>
              </w:rPr>
              <w:t>3.5%</w:t>
            </w:r>
          </w:p>
        </w:tc>
      </w:tr>
      <w:tr>
        <w:tc>
          <w:tcPr>
            <w:tcW w:type="dxa" w:w="2160"/>
          </w:tcPr>
          <w:p>
            <w:pPr>
              <w:spacing w:after="20"/>
            </w:pPr>
            <w:r>
              <w:rPr>
                <w:b/>
                <w:color w:val="1C3A36"/>
                <w:sz w:val="18"/>
              </w:rPr>
              <w:t>6.59%</w:t>
            </w:r>
          </w:p>
        </w:tc>
        <w:tc>
          <w:tcPr>
            <w:tcW w:type="dxa" w:w="1440"/>
          </w:tcPr>
          <w:p>
            <w:pPr>
              <w:spacing w:after="20"/>
              <w:jc w:val="right"/>
            </w:pPr>
            <w:r>
              <w:rPr>
                <w:color w:val="1C3A36"/>
                <w:sz w:val="18"/>
              </w:rPr>
              <w:t>51.9</w:t>
            </w:r>
          </w:p>
        </w:tc>
        <w:tc>
          <w:tcPr>
            <w:tcW w:type="dxa" w:w="1440"/>
          </w:tcPr>
          <w:p>
            <w:pPr>
              <w:spacing w:after="20"/>
              <w:jc w:val="right"/>
            </w:pPr>
            <w:r>
              <w:rPr>
                <w:color w:val="1C3A36"/>
                <w:sz w:val="18"/>
              </w:rPr>
              <w:t>56.6</w:t>
            </w:r>
          </w:p>
        </w:tc>
        <w:tc>
          <w:tcPr>
            <w:tcW w:type="dxa" w:w="1440"/>
          </w:tcPr>
          <w:p>
            <w:pPr>
              <w:spacing w:after="20"/>
              <w:jc w:val="right"/>
            </w:pPr>
            <w:r>
              <w:rPr>
                <w:color w:val="1C3A36"/>
                <w:sz w:val="18"/>
              </w:rPr>
              <w:t>62.5</w:t>
            </w:r>
          </w:p>
        </w:tc>
        <w:tc>
          <w:tcPr>
            <w:tcW w:type="dxa" w:w="1440"/>
          </w:tcPr>
          <w:p>
            <w:pPr>
              <w:spacing w:after="20"/>
              <w:jc w:val="right"/>
            </w:pPr>
            <w:r>
              <w:rPr>
                <w:color w:val="1C3A36"/>
                <w:sz w:val="18"/>
              </w:rPr>
              <w:t>70.0</w:t>
            </w:r>
          </w:p>
        </w:tc>
        <w:tc>
          <w:tcPr>
            <w:tcW w:type="dxa" w:w="1440"/>
          </w:tcPr>
          <w:p>
            <w:pPr>
              <w:spacing w:after="20"/>
              <w:jc w:val="right"/>
            </w:pPr>
            <w:r>
              <w:rPr>
                <w:color w:val="1C3A36"/>
                <w:sz w:val="18"/>
              </w:rPr>
              <w:t>79.9</w:t>
            </w:r>
          </w:p>
        </w:tc>
      </w:tr>
      <w:tr>
        <w:tc>
          <w:tcPr>
            <w:tcW w:type="dxa" w:w="2160"/>
          </w:tcPr>
          <w:p>
            <w:pPr>
              <w:spacing w:after="20"/>
            </w:pPr>
            <w:r>
              <w:rPr>
                <w:b/>
                <w:color w:val="1C3A36"/>
                <w:sz w:val="18"/>
              </w:rPr>
              <w:t>7.09%</w:t>
            </w:r>
          </w:p>
        </w:tc>
        <w:tc>
          <w:tcPr>
            <w:tcW w:type="dxa" w:w="1440"/>
          </w:tcPr>
          <w:p>
            <w:pPr>
              <w:spacing w:after="20"/>
              <w:jc w:val="right"/>
            </w:pPr>
            <w:r>
              <w:rPr>
                <w:color w:val="1C3A36"/>
                <w:sz w:val="18"/>
              </w:rPr>
              <w:t>47.2</w:t>
            </w:r>
          </w:p>
        </w:tc>
        <w:tc>
          <w:tcPr>
            <w:tcW w:type="dxa" w:w="1440"/>
          </w:tcPr>
          <w:p>
            <w:pPr>
              <w:spacing w:after="20"/>
              <w:jc w:val="right"/>
            </w:pPr>
            <w:r>
              <w:rPr>
                <w:color w:val="1C3A36"/>
                <w:sz w:val="18"/>
              </w:rPr>
              <w:t>51.0</w:t>
            </w:r>
          </w:p>
        </w:tc>
        <w:tc>
          <w:tcPr>
            <w:tcW w:type="dxa" w:w="1440"/>
          </w:tcPr>
          <w:p>
            <w:pPr>
              <w:spacing w:after="20"/>
              <w:jc w:val="right"/>
            </w:pPr>
            <w:r>
              <w:rPr>
                <w:color w:val="1C3A36"/>
                <w:sz w:val="18"/>
              </w:rPr>
              <w:t>55.6</w:t>
            </w:r>
          </w:p>
        </w:tc>
        <w:tc>
          <w:tcPr>
            <w:tcW w:type="dxa" w:w="1440"/>
          </w:tcPr>
          <w:p>
            <w:pPr>
              <w:spacing w:after="20"/>
              <w:jc w:val="right"/>
            </w:pPr>
            <w:r>
              <w:rPr>
                <w:color w:val="1C3A36"/>
                <w:sz w:val="18"/>
              </w:rPr>
              <w:t>61.4</w:t>
            </w:r>
          </w:p>
        </w:tc>
        <w:tc>
          <w:tcPr>
            <w:tcW w:type="dxa" w:w="1440"/>
          </w:tcPr>
          <w:p>
            <w:pPr>
              <w:spacing w:after="20"/>
              <w:jc w:val="right"/>
            </w:pPr>
            <w:r>
              <w:rPr>
                <w:color w:val="1C3A36"/>
                <w:sz w:val="18"/>
              </w:rPr>
              <w:t>68.7</w:t>
            </w:r>
          </w:p>
        </w:tc>
      </w:tr>
      <w:tr>
        <w:tc>
          <w:tcPr>
            <w:tcW w:type="dxa" w:w="2160"/>
          </w:tcPr>
          <w:p>
            <w:pPr>
              <w:spacing w:after="20"/>
            </w:pPr>
            <w:r>
              <w:rPr>
                <w:b/>
                <w:color w:val="1C3A36"/>
                <w:sz w:val="18"/>
              </w:rPr>
              <w:t>7.59% (base)</w:t>
            </w:r>
          </w:p>
        </w:tc>
        <w:tc>
          <w:tcPr>
            <w:tcW w:type="dxa" w:w="1440"/>
          </w:tcPr>
          <w:p>
            <w:pPr>
              <w:spacing w:after="20"/>
              <w:jc w:val="right"/>
            </w:pPr>
            <w:r>
              <w:rPr>
                <w:color w:val="1C3A36"/>
                <w:sz w:val="18"/>
              </w:rPr>
              <w:t>43.3</w:t>
            </w:r>
          </w:p>
        </w:tc>
        <w:tc>
          <w:tcPr>
            <w:tcW w:type="dxa" w:w="1440"/>
          </w:tcPr>
          <w:p>
            <w:pPr>
              <w:spacing w:after="20"/>
              <w:jc w:val="right"/>
            </w:pPr>
            <w:r>
              <w:rPr>
                <w:color w:val="1C3A36"/>
                <w:sz w:val="18"/>
              </w:rPr>
              <w:t>46.4</w:t>
            </w:r>
          </w:p>
        </w:tc>
        <w:tc>
          <w:tcPr>
            <w:tcW w:type="dxa" w:w="1440"/>
          </w:tcPr>
          <w:p>
            <w:pPr>
              <w:spacing w:after="20"/>
              <w:jc w:val="right"/>
            </w:pPr>
            <w:r>
              <w:rPr>
                <w:color w:val="1C3A36"/>
                <w:sz w:val="18"/>
              </w:rPr>
              <w:t>50.1</w:t>
            </w:r>
          </w:p>
        </w:tc>
        <w:tc>
          <w:tcPr>
            <w:tcW w:type="dxa" w:w="1440"/>
          </w:tcPr>
          <w:p>
            <w:pPr>
              <w:spacing w:after="20"/>
              <w:jc w:val="right"/>
            </w:pPr>
            <w:r>
              <w:rPr>
                <w:color w:val="1C3A36"/>
                <w:sz w:val="18"/>
              </w:rPr>
              <w:t>54.7</w:t>
            </w:r>
          </w:p>
        </w:tc>
        <w:tc>
          <w:tcPr>
            <w:tcW w:type="dxa" w:w="1440"/>
          </w:tcPr>
          <w:p>
            <w:pPr>
              <w:spacing w:after="20"/>
              <w:jc w:val="right"/>
            </w:pPr>
            <w:r>
              <w:rPr>
                <w:color w:val="1C3A36"/>
                <w:sz w:val="18"/>
              </w:rPr>
              <w:t>60.3</w:t>
            </w:r>
          </w:p>
        </w:tc>
      </w:tr>
      <w:tr>
        <w:tc>
          <w:tcPr>
            <w:tcW w:type="dxa" w:w="2160"/>
          </w:tcPr>
          <w:p>
            <w:pPr>
              <w:spacing w:after="20"/>
            </w:pPr>
            <w:r>
              <w:rPr>
                <w:b/>
                <w:color w:val="1C3A36"/>
                <w:sz w:val="18"/>
              </w:rPr>
              <w:t>8.09%</w:t>
            </w:r>
          </w:p>
        </w:tc>
        <w:tc>
          <w:tcPr>
            <w:tcW w:type="dxa" w:w="1440"/>
          </w:tcPr>
          <w:p>
            <w:pPr>
              <w:spacing w:after="20"/>
              <w:jc w:val="right"/>
            </w:pPr>
            <w:r>
              <w:rPr>
                <w:color w:val="1C3A36"/>
                <w:sz w:val="18"/>
              </w:rPr>
              <w:t>40.0</w:t>
            </w:r>
          </w:p>
        </w:tc>
        <w:tc>
          <w:tcPr>
            <w:tcW w:type="dxa" w:w="1440"/>
          </w:tcPr>
          <w:p>
            <w:pPr>
              <w:spacing w:after="20"/>
              <w:jc w:val="right"/>
            </w:pPr>
            <w:r>
              <w:rPr>
                <w:color w:val="1C3A36"/>
                <w:sz w:val="18"/>
              </w:rPr>
              <w:t>42.6</w:t>
            </w:r>
          </w:p>
        </w:tc>
        <w:tc>
          <w:tcPr>
            <w:tcW w:type="dxa" w:w="1440"/>
          </w:tcPr>
          <w:p>
            <w:pPr>
              <w:spacing w:after="20"/>
              <w:jc w:val="right"/>
            </w:pPr>
            <w:r>
              <w:rPr>
                <w:color w:val="1C3A36"/>
                <w:sz w:val="18"/>
              </w:rPr>
              <w:t>45.6</w:t>
            </w:r>
          </w:p>
        </w:tc>
        <w:tc>
          <w:tcPr>
            <w:tcW w:type="dxa" w:w="1440"/>
          </w:tcPr>
          <w:p>
            <w:pPr>
              <w:spacing w:after="20"/>
              <w:jc w:val="right"/>
            </w:pPr>
            <w:r>
              <w:rPr>
                <w:color w:val="1C3A36"/>
                <w:sz w:val="18"/>
              </w:rPr>
              <w:t>49.3</w:t>
            </w:r>
          </w:p>
        </w:tc>
        <w:tc>
          <w:tcPr>
            <w:tcW w:type="dxa" w:w="1440"/>
          </w:tcPr>
          <w:p>
            <w:pPr>
              <w:spacing w:after="20"/>
              <w:jc w:val="right"/>
            </w:pPr>
            <w:r>
              <w:rPr>
                <w:color w:val="1C3A36"/>
                <w:sz w:val="18"/>
              </w:rPr>
              <w:t>53.7</w:t>
            </w:r>
          </w:p>
        </w:tc>
      </w:tr>
      <w:tr>
        <w:tc>
          <w:tcPr>
            <w:tcW w:type="dxa" w:w="2160"/>
          </w:tcPr>
          <w:p>
            <w:pPr>
              <w:spacing w:after="20"/>
            </w:pPr>
            <w:r>
              <w:rPr>
                <w:b/>
                <w:color w:val="1C3A36"/>
                <w:sz w:val="18"/>
              </w:rPr>
              <w:t>8.59%</w:t>
            </w:r>
          </w:p>
        </w:tc>
        <w:tc>
          <w:tcPr>
            <w:tcW w:type="dxa" w:w="1440"/>
          </w:tcPr>
          <w:p>
            <w:pPr>
              <w:spacing w:after="20"/>
              <w:jc w:val="right"/>
            </w:pPr>
            <w:r>
              <w:rPr>
                <w:color w:val="1C3A36"/>
                <w:sz w:val="18"/>
              </w:rPr>
              <w:t>37.1</w:t>
            </w:r>
          </w:p>
        </w:tc>
        <w:tc>
          <w:tcPr>
            <w:tcW w:type="dxa" w:w="1440"/>
          </w:tcPr>
          <w:p>
            <w:pPr>
              <w:spacing w:after="20"/>
              <w:jc w:val="right"/>
            </w:pPr>
            <w:r>
              <w:rPr>
                <w:color w:val="1C3A36"/>
                <w:sz w:val="18"/>
              </w:rPr>
              <w:t>39.3</w:t>
            </w:r>
          </w:p>
        </w:tc>
        <w:tc>
          <w:tcPr>
            <w:tcW w:type="dxa" w:w="1440"/>
          </w:tcPr>
          <w:p>
            <w:pPr>
              <w:spacing w:after="20"/>
              <w:jc w:val="right"/>
            </w:pPr>
            <w:r>
              <w:rPr>
                <w:color w:val="1C3A36"/>
                <w:sz w:val="18"/>
              </w:rPr>
              <w:t>41.8</w:t>
            </w:r>
          </w:p>
        </w:tc>
        <w:tc>
          <w:tcPr>
            <w:tcW w:type="dxa" w:w="1440"/>
          </w:tcPr>
          <w:p>
            <w:pPr>
              <w:spacing w:after="20"/>
              <w:jc w:val="right"/>
            </w:pPr>
            <w:r>
              <w:rPr>
                <w:color w:val="1C3A36"/>
                <w:sz w:val="18"/>
              </w:rPr>
              <w:t>44.8</w:t>
            </w:r>
          </w:p>
        </w:tc>
        <w:tc>
          <w:tcPr>
            <w:tcW w:type="dxa" w:w="1440"/>
          </w:tcPr>
          <w:p>
            <w:pPr>
              <w:spacing w:after="20"/>
              <w:jc w:val="right"/>
            </w:pPr>
            <w:r>
              <w:rPr>
                <w:color w:val="1C3A36"/>
                <w:sz w:val="18"/>
              </w:rPr>
              <w:t>48.4</w:t>
            </w:r>
          </w:p>
        </w:tc>
      </w:tr>
    </w:tbl>
    <w:p>
      <w:pPr>
        <w:spacing w:after="40"/>
      </w:pPr>
    </w:p>
    <w:p>
      <w:pPr>
        <w:spacing w:after="200" w:before="0"/>
      </w:pPr>
      <w:r>
        <w:rPr>
          <w:b w:val="0"/>
          <w:i/>
          <w:color w:val="6E7B77"/>
          <w:sz w:val="17"/>
        </w:rPr>
        <w:t>DCF fair value (SAR/share) across WACC × terminal growth. Base cell 7.59% × 2.5% = 50.1. The CDS-ERP alternative WACC (7.90%) sits between the third and fourth rows.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1440"/>
            <w:shd w:val="clear" w:color="auto" w:fill="EAF0EE"/>
          </w:tcPr>
          <w:p>
            <w:pPr>
              <w:spacing w:after="20"/>
            </w:pPr>
            <w:r>
              <w:rPr>
                <w:b/>
                <w:color w:val="1C3A36"/>
                <w:sz w:val="17"/>
              </w:rPr>
              <w:t>Beta</w:t>
            </w:r>
          </w:p>
        </w:tc>
        <w:tc>
          <w:tcPr>
            <w:tcW w:type="dxa" w:w="2016"/>
            <w:shd w:val="clear" w:color="auto" w:fill="EAF0EE"/>
          </w:tcPr>
          <w:p>
            <w:pPr>
              <w:spacing w:after="20"/>
            </w:pPr>
            <w:r>
              <w:rPr>
                <w:b/>
                <w:color w:val="1C3A36"/>
                <w:sz w:val="17"/>
              </w:rPr>
              <w:t>Ke (rating ERP)</w:t>
            </w:r>
          </w:p>
        </w:tc>
        <w:tc>
          <w:tcPr>
            <w:tcW w:type="dxa" w:w="1584"/>
            <w:shd w:val="clear" w:color="auto" w:fill="EAF0EE"/>
          </w:tcPr>
          <w:p>
            <w:pPr>
              <w:spacing w:after="20"/>
            </w:pPr>
            <w:r>
              <w:rPr>
                <w:b/>
                <w:color w:val="1C3A36"/>
                <w:sz w:val="17"/>
              </w:rPr>
              <w:t>WACC</w:t>
            </w:r>
          </w:p>
        </w:tc>
        <w:tc>
          <w:tcPr>
            <w:tcW w:type="dxa" w:w="1872"/>
            <w:shd w:val="clear" w:color="auto" w:fill="EAF0EE"/>
          </w:tcPr>
          <w:p>
            <w:pPr>
              <w:spacing w:after="20"/>
            </w:pPr>
            <w:r>
              <w:rPr>
                <w:b/>
                <w:color w:val="1C3A36"/>
                <w:sz w:val="17"/>
              </w:rPr>
              <w:t>DCF value/sh</w:t>
            </w:r>
          </w:p>
        </w:tc>
        <w:tc>
          <w:tcPr>
            <w:tcW w:type="dxa" w:w="3456"/>
            <w:shd w:val="clear" w:color="auto" w:fill="EAF0EE"/>
          </w:tcPr>
          <w:p>
            <w:pPr>
              <w:spacing w:after="20"/>
            </w:pPr>
            <w:r>
              <w:rPr>
                <w:b/>
                <w:color w:val="1C3A36"/>
                <w:sz w:val="17"/>
              </w:rPr>
              <w:t>Note</w:t>
            </w:r>
          </w:p>
        </w:tc>
      </w:tr>
      <w:tr>
        <w:tc>
          <w:tcPr>
            <w:tcW w:type="dxa" w:w="1440"/>
          </w:tcPr>
          <w:p>
            <w:pPr>
              <w:spacing w:after="20"/>
            </w:pPr>
            <w:r>
              <w:rPr>
                <w:b/>
                <w:color w:val="1C3A36"/>
                <w:sz w:val="17"/>
              </w:rPr>
              <w:t>0.30</w:t>
            </w:r>
          </w:p>
        </w:tc>
        <w:tc>
          <w:tcPr>
            <w:tcW w:type="dxa" w:w="2016"/>
          </w:tcPr>
          <w:p>
            <w:pPr>
              <w:spacing w:after="20"/>
              <w:jc w:val="right"/>
            </w:pPr>
            <w:r>
              <w:rPr>
                <w:color w:val="1C3A36"/>
                <w:sz w:val="17"/>
              </w:rPr>
              <w:t>7.00%</w:t>
            </w:r>
          </w:p>
        </w:tc>
        <w:tc>
          <w:tcPr>
            <w:tcW w:type="dxa" w:w="1584"/>
          </w:tcPr>
          <w:p>
            <w:pPr>
              <w:spacing w:after="20"/>
              <w:jc w:val="right"/>
            </w:pPr>
            <w:r>
              <w:rPr>
                <w:color w:val="1C3A36"/>
                <w:sz w:val="17"/>
              </w:rPr>
              <w:t>7.05%</w:t>
            </w:r>
          </w:p>
        </w:tc>
        <w:tc>
          <w:tcPr>
            <w:tcW w:type="dxa" w:w="1872"/>
          </w:tcPr>
          <w:p>
            <w:pPr>
              <w:spacing w:after="20"/>
              <w:jc w:val="right"/>
            </w:pPr>
            <w:r>
              <w:rPr>
                <w:color w:val="1C3A36"/>
                <w:sz w:val="17"/>
              </w:rPr>
              <w:t>59.8</w:t>
            </w:r>
          </w:p>
        </w:tc>
        <w:tc>
          <w:tcPr>
            <w:tcW w:type="dxa" w:w="3456"/>
          </w:tcPr>
          <w:p>
            <w:pPr>
              <w:spacing w:after="20"/>
              <w:jc w:val="right"/>
            </w:pPr>
            <w:r>
              <w:rPr>
                <w:color w:val="1C3A36"/>
                <w:sz w:val="17"/>
              </w:rPr>
            </w:r>
          </w:p>
        </w:tc>
      </w:tr>
      <w:tr>
        <w:tc>
          <w:tcPr>
            <w:tcW w:type="dxa" w:w="1440"/>
          </w:tcPr>
          <w:p>
            <w:pPr>
              <w:spacing w:after="20"/>
            </w:pPr>
            <w:r>
              <w:rPr>
                <w:b/>
                <w:color w:val="1C3A36"/>
                <w:sz w:val="17"/>
              </w:rPr>
              <w:t>0.48</w:t>
            </w:r>
          </w:p>
        </w:tc>
        <w:tc>
          <w:tcPr>
            <w:tcW w:type="dxa" w:w="2016"/>
          </w:tcPr>
          <w:p>
            <w:pPr>
              <w:spacing w:after="20"/>
              <w:jc w:val="right"/>
            </w:pPr>
            <w:r>
              <w:rPr>
                <w:color w:val="1C3A36"/>
                <w:sz w:val="17"/>
              </w:rPr>
              <w:t>7.90%</w:t>
            </w:r>
          </w:p>
        </w:tc>
        <w:tc>
          <w:tcPr>
            <w:tcW w:type="dxa" w:w="1584"/>
          </w:tcPr>
          <w:p>
            <w:pPr>
              <w:spacing w:after="20"/>
              <w:jc w:val="right"/>
            </w:pPr>
            <w:r>
              <w:rPr>
                <w:color w:val="1C3A36"/>
                <w:sz w:val="17"/>
              </w:rPr>
              <w:t>7.59%</w:t>
            </w:r>
          </w:p>
        </w:tc>
        <w:tc>
          <w:tcPr>
            <w:tcW w:type="dxa" w:w="1872"/>
          </w:tcPr>
          <w:p>
            <w:pPr>
              <w:spacing w:after="20"/>
              <w:jc w:val="right"/>
            </w:pPr>
            <w:r>
              <w:rPr>
                <w:color w:val="1C3A36"/>
                <w:sz w:val="17"/>
              </w:rPr>
              <w:t>50.1</w:t>
            </w:r>
          </w:p>
        </w:tc>
        <w:tc>
          <w:tcPr>
            <w:tcW w:type="dxa" w:w="3456"/>
          </w:tcPr>
          <w:p>
            <w:pPr>
              <w:spacing w:after="20"/>
              <w:jc w:val="right"/>
            </w:pPr>
            <w:r>
              <w:rPr>
                <w:color w:val="1C3A36"/>
                <w:sz w:val="17"/>
              </w:rPr>
              <w:t>regressed base (n=40, R² 14%)</w:t>
            </w:r>
          </w:p>
        </w:tc>
      </w:tr>
      <w:tr>
        <w:tc>
          <w:tcPr>
            <w:tcW w:type="dxa" w:w="1440"/>
          </w:tcPr>
          <w:p>
            <w:pPr>
              <w:spacing w:after="20"/>
            </w:pPr>
            <w:r>
              <w:rPr>
                <w:b/>
                <w:color w:val="1C3A36"/>
                <w:sz w:val="17"/>
              </w:rPr>
              <w:t>0.70</w:t>
            </w:r>
          </w:p>
        </w:tc>
        <w:tc>
          <w:tcPr>
            <w:tcW w:type="dxa" w:w="2016"/>
          </w:tcPr>
          <w:p>
            <w:pPr>
              <w:spacing w:after="20"/>
              <w:jc w:val="right"/>
            </w:pPr>
            <w:r>
              <w:rPr>
                <w:color w:val="1C3A36"/>
                <w:sz w:val="17"/>
              </w:rPr>
              <w:t>9.01%</w:t>
            </w:r>
          </w:p>
        </w:tc>
        <w:tc>
          <w:tcPr>
            <w:tcW w:type="dxa" w:w="1584"/>
          </w:tcPr>
          <w:p>
            <w:pPr>
              <w:spacing w:after="20"/>
              <w:jc w:val="right"/>
            </w:pPr>
            <w:r>
              <w:rPr>
                <w:color w:val="1C3A36"/>
                <w:sz w:val="17"/>
              </w:rPr>
              <w:t>8.59%</w:t>
            </w:r>
          </w:p>
        </w:tc>
        <w:tc>
          <w:tcPr>
            <w:tcW w:type="dxa" w:w="1872"/>
          </w:tcPr>
          <w:p>
            <w:pPr>
              <w:spacing w:after="20"/>
              <w:jc w:val="right"/>
            </w:pPr>
            <w:r>
              <w:rPr>
                <w:color w:val="1C3A36"/>
                <w:sz w:val="17"/>
              </w:rPr>
              <w:t>41.8</w:t>
            </w:r>
          </w:p>
        </w:tc>
        <w:tc>
          <w:tcPr>
            <w:tcW w:type="dxa" w:w="3456"/>
          </w:tcPr>
          <w:p>
            <w:pPr>
              <w:spacing w:after="20"/>
              <w:jc w:val="right"/>
            </w:pPr>
            <w:r>
              <w:rPr>
                <w:color w:val="1C3A36"/>
                <w:sz w:val="17"/>
              </w:rPr>
            </w:r>
          </w:p>
        </w:tc>
      </w:tr>
      <w:tr>
        <w:tc>
          <w:tcPr>
            <w:tcW w:type="dxa" w:w="1440"/>
          </w:tcPr>
          <w:p>
            <w:pPr>
              <w:spacing w:after="20"/>
            </w:pPr>
            <w:r>
              <w:rPr>
                <w:b/>
                <w:color w:val="1C3A36"/>
                <w:sz w:val="17"/>
              </w:rPr>
              <w:t>0.85</w:t>
            </w:r>
          </w:p>
        </w:tc>
        <w:tc>
          <w:tcPr>
            <w:tcW w:type="dxa" w:w="2016"/>
          </w:tcPr>
          <w:p>
            <w:pPr>
              <w:spacing w:after="20"/>
              <w:jc w:val="right"/>
            </w:pPr>
            <w:r>
              <w:rPr>
                <w:color w:val="1C3A36"/>
                <w:sz w:val="17"/>
              </w:rPr>
              <w:t>9.76%</w:t>
            </w:r>
          </w:p>
        </w:tc>
        <w:tc>
          <w:tcPr>
            <w:tcW w:type="dxa" w:w="1584"/>
          </w:tcPr>
          <w:p>
            <w:pPr>
              <w:spacing w:after="20"/>
              <w:jc w:val="right"/>
            </w:pPr>
            <w:r>
              <w:rPr>
                <w:color w:val="1C3A36"/>
                <w:sz w:val="17"/>
              </w:rPr>
              <w:t>9.27%</w:t>
            </w:r>
          </w:p>
        </w:tc>
        <w:tc>
          <w:tcPr>
            <w:tcW w:type="dxa" w:w="1872"/>
          </w:tcPr>
          <w:p>
            <w:pPr>
              <w:spacing w:after="20"/>
              <w:jc w:val="right"/>
            </w:pPr>
            <w:r>
              <w:rPr>
                <w:color w:val="1C3A36"/>
                <w:sz w:val="17"/>
              </w:rPr>
              <w:t>37.6</w:t>
            </w:r>
          </w:p>
        </w:tc>
        <w:tc>
          <w:tcPr>
            <w:tcW w:type="dxa" w:w="3456"/>
          </w:tcPr>
          <w:p>
            <w:pPr>
              <w:spacing w:after="20"/>
              <w:jc w:val="right"/>
            </w:pPr>
            <w:r>
              <w:rPr>
                <w:color w:val="1C3A36"/>
                <w:sz w:val="17"/>
              </w:rPr>
            </w:r>
          </w:p>
        </w:tc>
      </w:tr>
      <w:tr>
        <w:tc>
          <w:tcPr>
            <w:tcW w:type="dxa" w:w="1440"/>
          </w:tcPr>
          <w:p>
            <w:pPr>
              <w:spacing w:after="20"/>
            </w:pPr>
            <w:r>
              <w:rPr>
                <w:b/>
                <w:color w:val="1C3A36"/>
                <w:sz w:val="17"/>
              </w:rPr>
              <w:t>1.00</w:t>
            </w:r>
          </w:p>
        </w:tc>
        <w:tc>
          <w:tcPr>
            <w:tcW w:type="dxa" w:w="2016"/>
          </w:tcPr>
          <w:p>
            <w:pPr>
              <w:spacing w:after="20"/>
              <w:jc w:val="right"/>
            </w:pPr>
            <w:r>
              <w:rPr>
                <w:color w:val="1C3A36"/>
                <w:sz w:val="17"/>
              </w:rPr>
              <w:t>10.51%</w:t>
            </w:r>
          </w:p>
        </w:tc>
        <w:tc>
          <w:tcPr>
            <w:tcW w:type="dxa" w:w="1584"/>
          </w:tcPr>
          <w:p>
            <w:pPr>
              <w:spacing w:after="20"/>
              <w:jc w:val="right"/>
            </w:pPr>
            <w:r>
              <w:rPr>
                <w:color w:val="1C3A36"/>
                <w:sz w:val="17"/>
              </w:rPr>
              <w:t>9.95%</w:t>
            </w:r>
          </w:p>
        </w:tc>
        <w:tc>
          <w:tcPr>
            <w:tcW w:type="dxa" w:w="1872"/>
          </w:tcPr>
          <w:p>
            <w:pPr>
              <w:spacing w:after="20"/>
              <w:jc w:val="right"/>
            </w:pPr>
            <w:r>
              <w:rPr>
                <w:color w:val="1C3A36"/>
                <w:sz w:val="17"/>
              </w:rPr>
              <w:t>34.2</w:t>
            </w:r>
          </w:p>
        </w:tc>
        <w:tc>
          <w:tcPr>
            <w:tcW w:type="dxa" w:w="3456"/>
          </w:tcPr>
          <w:p>
            <w:pPr>
              <w:spacing w:after="20"/>
              <w:jc w:val="right"/>
            </w:pPr>
            <w:r>
              <w:rPr>
                <w:color w:val="1C3A36"/>
                <w:sz w:val="17"/>
              </w:rPr>
              <w:t>house fallback had the regression failed</w:t>
            </w:r>
          </w:p>
        </w:tc>
      </w:tr>
      <w:tr>
        <w:tc>
          <w:tcPr>
            <w:tcW w:type="dxa" w:w="1440"/>
          </w:tcPr>
          <w:p>
            <w:pPr>
              <w:spacing w:after="20"/>
            </w:pPr>
            <w:r>
              <w:rPr>
                <w:b/>
                <w:color w:val="1C3A36"/>
                <w:sz w:val="17"/>
              </w:rPr>
              <w:t>1.20</w:t>
            </w:r>
          </w:p>
        </w:tc>
        <w:tc>
          <w:tcPr>
            <w:tcW w:type="dxa" w:w="2016"/>
          </w:tcPr>
          <w:p>
            <w:pPr>
              <w:spacing w:after="20"/>
              <w:jc w:val="right"/>
            </w:pPr>
            <w:r>
              <w:rPr>
                <w:color w:val="1C3A36"/>
                <w:sz w:val="17"/>
              </w:rPr>
              <w:t>11.51%</w:t>
            </w:r>
          </w:p>
        </w:tc>
        <w:tc>
          <w:tcPr>
            <w:tcW w:type="dxa" w:w="1584"/>
          </w:tcPr>
          <w:p>
            <w:pPr>
              <w:spacing w:after="20"/>
              <w:jc w:val="right"/>
            </w:pPr>
            <w:r>
              <w:rPr>
                <w:color w:val="1C3A36"/>
                <w:sz w:val="17"/>
              </w:rPr>
              <w:t>10.86%</w:t>
            </w:r>
          </w:p>
        </w:tc>
        <w:tc>
          <w:tcPr>
            <w:tcW w:type="dxa" w:w="1872"/>
          </w:tcPr>
          <w:p>
            <w:pPr>
              <w:spacing w:after="20"/>
              <w:jc w:val="right"/>
            </w:pPr>
            <w:r>
              <w:rPr>
                <w:color w:val="1C3A36"/>
                <w:sz w:val="17"/>
              </w:rPr>
              <w:t>30.4</w:t>
            </w:r>
          </w:p>
        </w:tc>
        <w:tc>
          <w:tcPr>
            <w:tcW w:type="dxa" w:w="3456"/>
          </w:tcPr>
          <w:p>
            <w:pPr>
              <w:spacing w:after="20"/>
              <w:jc w:val="right"/>
            </w:pPr>
            <w:r>
              <w:rPr>
                <w:color w:val="1C3A36"/>
                <w:sz w:val="17"/>
              </w:rPr>
            </w:r>
          </w:p>
        </w:tc>
      </w:tr>
    </w:tbl>
    <w:p>
      <w:pPr>
        <w:spacing w:after="40"/>
      </w:pPr>
    </w:p>
    <w:p>
      <w:pPr>
        <w:spacing w:after="200" w:before="0"/>
      </w:pPr>
      <w:r>
        <w:rPr>
          <w:b w:val="0"/>
          <w:i/>
          <w:color w:val="6E7B77"/>
          <w:sz w:val="17"/>
        </w:rPr>
        <w:t>The beta grid is mandatory disclosure here (house rule): a nine-week regression passes the usability gate but is not a settled estimate. Even at β = 0.70 the DCF only converges to spot — the undervaluation read survives moderate beta doubt but not a full reversion to 1.0.</w:t>
      </w:r>
    </w:p>
    <w:p>
      <w:pPr>
        <w:spacing w:after="120" w:before="280"/>
      </w:pPr>
      <w:r>
        <w:rPr>
          <w:b/>
          <w:i w:val="0"/>
          <w:color w:val="1C3A36"/>
          <w:sz w:val="30"/>
        </w:rPr>
        <w:t>2  Technical and price structure</w:t>
      </w:r>
    </w:p>
    <w:p>
      <w:pPr>
        <w:spacing w:after="120" w:before="0"/>
      </w:pPr>
      <w:r>
        <w:rPr>
          <w:b w:val="0"/>
          <w:i w:val="0"/>
          <w:color w:val="1C3A36"/>
          <w:sz w:val="21"/>
        </w:rPr>
        <w:t>The tape is flat in every sense that matters. stc trades within ±1% of all four major moving averages (the stack itself is compressed into a SAR 0.7 band — 43.25 to 43.93), RSI sits at 48, and the MACD histogram is fractionally negative with both lines hugging zero. The 52-week range is narrow for an emerging-market name — 40.20 (1 Mar 2026) to 45.38 (30 Oct 2025), barely ±6% around spot — and realized volatility (13% over the trailing year) is among the lowest on Tadawul. Price action over the last quarter: +4%, in a series of small steps around the Q1 print and the May dividend. This is a coiled, catalyst-waiting chart, not a trending 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92"/>
            <w:shd w:val="clear" w:color="auto" w:fill="EAF0EE"/>
          </w:tcPr>
          <w:p>
            <w:pPr>
              <w:spacing w:after="20"/>
            </w:pPr>
            <w:r>
              <w:rPr>
                <w:b/>
                <w:color w:val="1C3A36"/>
                <w:sz w:val="18"/>
              </w:rPr>
              <w:t>Indicator</w:t>
            </w:r>
          </w:p>
        </w:tc>
        <w:tc>
          <w:tcPr>
            <w:tcW w:type="dxa" w:w="3744"/>
            <w:shd w:val="clear" w:color="auto" w:fill="EAF0EE"/>
          </w:tcPr>
          <w:p>
            <w:pPr>
              <w:spacing w:after="20"/>
            </w:pPr>
            <w:r>
              <w:rPr>
                <w:b/>
                <w:color w:val="1C3A36"/>
                <w:sz w:val="18"/>
              </w:rPr>
              <w:t>Reading</w:t>
            </w:r>
          </w:p>
        </w:tc>
        <w:tc>
          <w:tcPr>
            <w:tcW w:type="dxa" w:w="3600"/>
            <w:shd w:val="clear" w:color="auto" w:fill="EAF0EE"/>
          </w:tcPr>
          <w:p>
            <w:pPr>
              <w:spacing w:after="20"/>
            </w:pPr>
            <w:r>
              <w:rPr>
                <w:b/>
                <w:color w:val="1C3A36"/>
                <w:sz w:val="18"/>
              </w:rPr>
              <w:t>Signal</w:t>
            </w:r>
          </w:p>
        </w:tc>
      </w:tr>
      <w:tr>
        <w:tc>
          <w:tcPr>
            <w:tcW w:type="dxa" w:w="2592"/>
          </w:tcPr>
          <w:p>
            <w:pPr>
              <w:spacing w:after="20"/>
            </w:pPr>
            <w:r>
              <w:rPr>
                <w:b/>
                <w:color w:val="1C3A36"/>
                <w:sz w:val="18"/>
              </w:rPr>
              <w:t>Spot</w:t>
            </w:r>
          </w:p>
        </w:tc>
        <w:tc>
          <w:tcPr>
            <w:tcW w:type="dxa" w:w="3744"/>
          </w:tcPr>
          <w:p>
            <w:pPr>
              <w:spacing w:after="20"/>
              <w:jc w:val="right"/>
            </w:pPr>
            <w:r>
              <w:rPr>
                <w:color w:val="1C3A36"/>
                <w:sz w:val="18"/>
              </w:rPr>
              <w:t>SAR 43.58</w:t>
            </w:r>
          </w:p>
        </w:tc>
        <w:tc>
          <w:tcPr>
            <w:tcW w:type="dxa" w:w="3600"/>
          </w:tcPr>
          <w:p>
            <w:pPr>
              <w:spacing w:after="20"/>
              <w:jc w:val="right"/>
            </w:pPr>
            <w:r>
              <w:rPr>
                <w:color w:val="1C3A36"/>
                <w:sz w:val="18"/>
              </w:rPr>
              <w:t>—</w:t>
            </w:r>
          </w:p>
        </w:tc>
      </w:tr>
      <w:tr>
        <w:tc>
          <w:tcPr>
            <w:tcW w:type="dxa" w:w="2592"/>
          </w:tcPr>
          <w:p>
            <w:pPr>
              <w:spacing w:after="20"/>
            </w:pPr>
            <w:r>
              <w:rPr>
                <w:b/>
                <w:color w:val="1C3A36"/>
                <w:sz w:val="18"/>
              </w:rPr>
              <w:t>SMA 20 / 50</w:t>
            </w:r>
          </w:p>
        </w:tc>
        <w:tc>
          <w:tcPr>
            <w:tcW w:type="dxa" w:w="3744"/>
          </w:tcPr>
          <w:p>
            <w:pPr>
              <w:spacing w:after="20"/>
              <w:jc w:val="right"/>
            </w:pPr>
            <w:r>
              <w:rPr>
                <w:color w:val="1C3A36"/>
                <w:sz w:val="18"/>
              </w:rPr>
              <w:t>SAR 43.93 / 43.56</w:t>
            </w:r>
          </w:p>
        </w:tc>
        <w:tc>
          <w:tcPr>
            <w:tcW w:type="dxa" w:w="3600"/>
          </w:tcPr>
          <w:p>
            <w:pPr>
              <w:spacing w:after="20"/>
              <w:jc w:val="right"/>
            </w:pPr>
            <w:r>
              <w:rPr>
                <w:color w:val="1C3A36"/>
                <w:sz w:val="18"/>
              </w:rPr>
              <w:t>Spot within ±1% of both — no trend</w:t>
            </w:r>
          </w:p>
        </w:tc>
      </w:tr>
      <w:tr>
        <w:tc>
          <w:tcPr>
            <w:tcW w:type="dxa" w:w="2592"/>
          </w:tcPr>
          <w:p>
            <w:pPr>
              <w:spacing w:after="20"/>
            </w:pPr>
            <w:r>
              <w:rPr>
                <w:b/>
                <w:color w:val="1C3A36"/>
                <w:sz w:val="18"/>
              </w:rPr>
              <w:t>SMA 100 / 200</w:t>
            </w:r>
          </w:p>
        </w:tc>
        <w:tc>
          <w:tcPr>
            <w:tcW w:type="dxa" w:w="3744"/>
          </w:tcPr>
          <w:p>
            <w:pPr>
              <w:spacing w:after="20"/>
              <w:jc w:val="right"/>
            </w:pPr>
            <w:r>
              <w:rPr>
                <w:color w:val="1C3A36"/>
                <w:sz w:val="18"/>
              </w:rPr>
              <w:t>SAR 43.25 / 43.41</w:t>
            </w:r>
          </w:p>
        </w:tc>
        <w:tc>
          <w:tcPr>
            <w:tcW w:type="dxa" w:w="3600"/>
          </w:tcPr>
          <w:p>
            <w:pPr>
              <w:spacing w:after="20"/>
              <w:jc w:val="right"/>
            </w:pPr>
            <w:r>
              <w:rPr>
                <w:color w:val="1C3A36"/>
                <w:sz w:val="18"/>
              </w:rPr>
              <w:t>Stack compressed — long base</w:t>
            </w:r>
          </w:p>
        </w:tc>
      </w:tr>
      <w:tr>
        <w:tc>
          <w:tcPr>
            <w:tcW w:type="dxa" w:w="2592"/>
          </w:tcPr>
          <w:p>
            <w:pPr>
              <w:spacing w:after="20"/>
            </w:pPr>
            <w:r>
              <w:rPr>
                <w:b/>
                <w:color w:val="1C3A36"/>
                <w:sz w:val="18"/>
              </w:rPr>
              <w:t>RSI (14)</w:t>
            </w:r>
          </w:p>
        </w:tc>
        <w:tc>
          <w:tcPr>
            <w:tcW w:type="dxa" w:w="3744"/>
          </w:tcPr>
          <w:p>
            <w:pPr>
              <w:spacing w:after="20"/>
              <w:jc w:val="right"/>
            </w:pPr>
            <w:r>
              <w:rPr>
                <w:color w:val="1C3A36"/>
                <w:sz w:val="18"/>
              </w:rPr>
              <w:t>47.9</w:t>
            </w:r>
          </w:p>
        </w:tc>
        <w:tc>
          <w:tcPr>
            <w:tcW w:type="dxa" w:w="3600"/>
          </w:tcPr>
          <w:p>
            <w:pPr>
              <w:spacing w:after="20"/>
              <w:jc w:val="right"/>
            </w:pPr>
            <w:r>
              <w:rPr>
                <w:color w:val="1C3A36"/>
                <w:sz w:val="18"/>
              </w:rPr>
              <w:t>Dead neutral</w:t>
            </w:r>
          </w:p>
        </w:tc>
      </w:tr>
      <w:tr>
        <w:tc>
          <w:tcPr>
            <w:tcW w:type="dxa" w:w="2592"/>
          </w:tcPr>
          <w:p>
            <w:pPr>
              <w:spacing w:after="20"/>
            </w:pPr>
            <w:r>
              <w:rPr>
                <w:b/>
                <w:color w:val="1C3A36"/>
                <w:sz w:val="18"/>
              </w:rPr>
              <w:t>MACD (12,26,9)</w:t>
            </w:r>
          </w:p>
        </w:tc>
        <w:tc>
          <w:tcPr>
            <w:tcW w:type="dxa" w:w="3744"/>
          </w:tcPr>
          <w:p>
            <w:pPr>
              <w:spacing w:after="20"/>
              <w:jc w:val="right"/>
            </w:pPr>
            <w:r>
              <w:rPr>
                <w:color w:val="1C3A36"/>
                <w:sz w:val="18"/>
              </w:rPr>
              <w:t>-0.06 line / +0.03 signal / -0.09 hist</w:t>
            </w:r>
          </w:p>
        </w:tc>
        <w:tc>
          <w:tcPr>
            <w:tcW w:type="dxa" w:w="3600"/>
          </w:tcPr>
          <w:p>
            <w:pPr>
              <w:spacing w:after="20"/>
              <w:jc w:val="right"/>
            </w:pPr>
            <w:r>
              <w:rPr>
                <w:color w:val="1C3A36"/>
                <w:sz w:val="18"/>
              </w:rPr>
              <w:t>Flat, fractionally negative</w:t>
            </w:r>
          </w:p>
        </w:tc>
      </w:tr>
      <w:tr>
        <w:tc>
          <w:tcPr>
            <w:tcW w:type="dxa" w:w="2592"/>
          </w:tcPr>
          <w:p>
            <w:pPr>
              <w:spacing w:after="20"/>
            </w:pPr>
            <w:r>
              <w:rPr>
                <w:b/>
                <w:color w:val="1C3A36"/>
                <w:sz w:val="18"/>
              </w:rPr>
              <w:t>52-week range</w:t>
            </w:r>
          </w:p>
        </w:tc>
        <w:tc>
          <w:tcPr>
            <w:tcW w:type="dxa" w:w="3744"/>
          </w:tcPr>
          <w:p>
            <w:pPr>
              <w:spacing w:after="20"/>
              <w:jc w:val="right"/>
            </w:pPr>
            <w:r>
              <w:rPr>
                <w:color w:val="1C3A36"/>
                <w:sz w:val="18"/>
              </w:rPr>
              <w:t>SAR 40.20 – 45.38</w:t>
            </w:r>
          </w:p>
        </w:tc>
        <w:tc>
          <w:tcPr>
            <w:tcW w:type="dxa" w:w="3600"/>
          </w:tcPr>
          <w:p>
            <w:pPr>
              <w:spacing w:after="20"/>
              <w:jc w:val="right"/>
            </w:pPr>
            <w:r>
              <w:rPr>
                <w:color w:val="1C3A36"/>
                <w:sz w:val="18"/>
              </w:rPr>
              <w:t>Spot at the 63rd percentile</w:t>
            </w:r>
          </w:p>
        </w:tc>
      </w:tr>
      <w:tr>
        <w:tc>
          <w:tcPr>
            <w:tcW w:type="dxa" w:w="2592"/>
          </w:tcPr>
          <w:p>
            <w:pPr>
              <w:spacing w:after="20"/>
            </w:pPr>
            <w:r>
              <w:rPr>
                <w:b/>
                <w:color w:val="1C3A36"/>
                <w:sz w:val="18"/>
              </w:rPr>
              <w:t>20-day / 60-day change</w:t>
            </w:r>
          </w:p>
        </w:tc>
        <w:tc>
          <w:tcPr>
            <w:tcW w:type="dxa" w:w="3744"/>
          </w:tcPr>
          <w:p>
            <w:pPr>
              <w:spacing w:after="20"/>
              <w:jc w:val="right"/>
            </w:pPr>
            <w:r>
              <w:rPr>
                <w:color w:val="1C3A36"/>
                <w:sz w:val="18"/>
              </w:rPr>
              <w:t>-1.3% / +3.8%</w:t>
            </w:r>
          </w:p>
        </w:tc>
        <w:tc>
          <w:tcPr>
            <w:tcW w:type="dxa" w:w="3600"/>
          </w:tcPr>
          <w:p>
            <w:pPr>
              <w:spacing w:after="20"/>
              <w:jc w:val="right"/>
            </w:pPr>
            <w:r>
              <w:rPr>
                <w:color w:val="1C3A36"/>
                <w:sz w:val="18"/>
              </w:rPr>
              <w:t>Quiet accumulation</w:t>
            </w:r>
          </w:p>
        </w:tc>
      </w:tr>
      <w:tr>
        <w:tc>
          <w:tcPr>
            <w:tcW w:type="dxa" w:w="2592"/>
          </w:tcPr>
          <w:p>
            <w:pPr>
              <w:spacing w:after="20"/>
            </w:pPr>
            <w:r>
              <w:rPr>
                <w:b/>
                <w:color w:val="1C3A36"/>
                <w:sz w:val="18"/>
              </w:rPr>
              <w:t>Realized vol (252d)</w:t>
            </w:r>
          </w:p>
        </w:tc>
        <w:tc>
          <w:tcPr>
            <w:tcW w:type="dxa" w:w="3744"/>
          </w:tcPr>
          <w:p>
            <w:pPr>
              <w:spacing w:after="20"/>
              <w:jc w:val="right"/>
            </w:pPr>
            <w:r>
              <w:rPr>
                <w:color w:val="1C3A36"/>
                <w:sz w:val="18"/>
              </w:rPr>
              <w:t>13.1%</w:t>
            </w:r>
          </w:p>
        </w:tc>
        <w:tc>
          <w:tcPr>
            <w:tcW w:type="dxa" w:w="3600"/>
          </w:tcPr>
          <w:p>
            <w:pPr>
              <w:spacing w:after="20"/>
              <w:jc w:val="right"/>
            </w:pPr>
            <w:r>
              <w:rPr>
                <w:color w:val="1C3A36"/>
                <w:sz w:val="18"/>
              </w:rPr>
              <w:t>Very low; HAR forward read 15.1%</w:t>
            </w:r>
          </w:p>
        </w:tc>
      </w:tr>
    </w:tbl>
    <w:p>
      <w:pPr>
        <w:spacing w:after="40"/>
      </w:pPr>
    </w:p>
    <w:p>
      <w:pPr>
        <w:spacing w:after="40"/>
        <w:jc w:val="center"/>
      </w:pPr>
      <w:r>
        <w:drawing>
          <wp:inline xmlns:a="http://schemas.openxmlformats.org/drawingml/2006/main" xmlns:pic="http://schemas.openxmlformats.org/drawingml/2006/picture">
            <wp:extent cx="5852160" cy="2280062"/>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5852160" cy="2280062"/>
                    </a:xfrm>
                    <a:prstGeom prst="rect"/>
                  </pic:spPr>
                </pic:pic>
              </a:graphicData>
            </a:graphic>
          </wp:inline>
        </w:drawing>
      </w:r>
    </w:p>
    <w:p>
      <w:pPr>
        <w:spacing w:after="200" w:before="0"/>
      </w:pPr>
      <w:r>
        <w:rPr>
          <w:b w:val="0"/>
          <w:i/>
          <w:color w:val="6E7B77"/>
          <w:sz w:val="17"/>
        </w:rPr>
        <w:t>Figure 3 — Price versus the moving-average stack, last 260 sessions.</w:t>
      </w:r>
    </w:p>
    <w:p>
      <w:pPr>
        <w:spacing w:after="120" w:before="0"/>
      </w:pPr>
      <w:r>
        <w:rPr>
          <w:b w:val="0"/>
          <w:i w:val="0"/>
          <w:color w:val="1C3A36"/>
          <w:sz w:val="21"/>
        </w:rPr>
        <w:t>For the probabilistic work this matters in one way: a compressed, low-volatility tape produces a genuinely narrow three-month cone — the 5–95% band in §3 spans only ±12% — so even modest fundamental catalysts (a covered dividend, a capex surprise, a special) can move price to the edge of the distribution. The technical picture neither confirms nor contradicts the fundamental read; it simply has not voted yet.</w:t>
      </w:r>
    </w:p>
    <w:p>
      <w:pPr>
        <w:spacing w:after="120" w:before="280"/>
      </w:pPr>
      <w:r>
        <w:rPr>
          <w:b/>
          <w:i w:val="0"/>
          <w:color w:val="1C3A36"/>
          <w:sz w:val="30"/>
        </w:rPr>
        <w:t>3  Monte Carlo — a probabilistic price map</w:t>
      </w:r>
    </w:p>
    <w:p>
      <w:pPr>
        <w:spacing w:after="80" w:before="0"/>
      </w:pPr>
      <w:r>
        <w:rPr>
          <w:b w:val="0"/>
          <w:i w:val="0"/>
          <w:color w:val="1C3A36"/>
          <w:sz w:val="19"/>
        </w:rPr>
        <w:t>The probability read below opens the section, per house presentation: computed from the same 50,000 paths as everything that follows, it is a summary of the distribution, not an input to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752"/>
            <w:shd w:val="clear" w:color="auto" w:fill="F6F1E6"/>
          </w:tcPr>
          <w:p>
            <w:pPr>
              <w:spacing w:after="20"/>
            </w:pPr>
            <w:r>
              <w:rPr>
                <w:b/>
                <w:color w:val="1C3A36"/>
                <w:sz w:val="18"/>
              </w:rPr>
              <w:t>The probability read (T+60)</w:t>
            </w:r>
          </w:p>
        </w:tc>
        <w:tc>
          <w:tcPr>
            <w:tcW w:type="dxa" w:w="4752"/>
            <w:shd w:val="clear" w:color="auto" w:fill="F6F1E6"/>
          </w:tcPr>
          <w:p>
            <w:pPr>
              <w:spacing w:after="20"/>
            </w:pPr>
            <w:r>
              <w:rPr>
                <w:b/>
                <w:color w:val="1C3A36"/>
                <w:sz w:val="18"/>
              </w:rPr>
            </w:r>
          </w:p>
        </w:tc>
      </w:tr>
      <w:tr>
        <w:tc>
          <w:tcPr>
            <w:tcW w:type="dxa" w:w="4752"/>
          </w:tcPr>
          <w:p>
            <w:pPr>
              <w:spacing w:after="20"/>
            </w:pPr>
            <w:r>
              <w:rPr>
                <w:b/>
                <w:color w:val="1C3A36"/>
                <w:sz w:val="18"/>
              </w:rPr>
              <w:t>P(price above spot)</w:t>
            </w:r>
          </w:p>
        </w:tc>
        <w:tc>
          <w:tcPr>
            <w:tcW w:type="dxa" w:w="4752"/>
          </w:tcPr>
          <w:p>
            <w:pPr>
              <w:spacing w:after="20"/>
              <w:jc w:val="right"/>
            </w:pPr>
            <w:r>
              <w:rPr>
                <w:color w:val="1C3A36"/>
                <w:sz w:val="18"/>
              </w:rPr>
              <w:t>55%</w:t>
            </w:r>
          </w:p>
        </w:tc>
      </w:tr>
      <w:tr>
        <w:tc>
          <w:tcPr>
            <w:tcW w:type="dxa" w:w="4752"/>
          </w:tcPr>
          <w:p>
            <w:pPr>
              <w:spacing w:after="20"/>
            </w:pPr>
            <w:r>
              <w:rPr>
                <w:b/>
                <w:color w:val="1C3A36"/>
                <w:sz w:val="18"/>
              </w:rPr>
              <w:t>P(+10%) vs P(−10%) — the odds</w:t>
            </w:r>
          </w:p>
        </w:tc>
        <w:tc>
          <w:tcPr>
            <w:tcW w:type="dxa" w:w="4752"/>
          </w:tcPr>
          <w:p>
            <w:pPr>
              <w:spacing w:after="20"/>
              <w:jc w:val="right"/>
            </w:pPr>
            <w:r>
              <w:rPr>
                <w:color w:val="1C3A36"/>
                <w:sz w:val="18"/>
              </w:rPr>
              <w:t>10% vs 6%  ·  1.7 : 1</w:t>
            </w:r>
          </w:p>
        </w:tc>
      </w:tr>
      <w:tr>
        <w:tc>
          <w:tcPr>
            <w:tcW w:type="dxa" w:w="4752"/>
          </w:tcPr>
          <w:p>
            <w:pPr>
              <w:spacing w:after="20"/>
            </w:pPr>
            <w:r>
              <w:rPr>
                <w:b/>
                <w:color w:val="1C3A36"/>
                <w:sz w:val="18"/>
              </w:rPr>
              <w:t>Median level, and its move</w:t>
            </w:r>
          </w:p>
        </w:tc>
        <w:tc>
          <w:tcPr>
            <w:tcW w:type="dxa" w:w="4752"/>
          </w:tcPr>
          <w:p>
            <w:pPr>
              <w:spacing w:after="20"/>
              <w:jc w:val="right"/>
            </w:pPr>
            <w:r>
              <w:rPr>
                <w:color w:val="1C3A36"/>
                <w:sz w:val="18"/>
              </w:rPr>
              <w:t>SAR 43.91  (+0.7%)</w:t>
            </w:r>
          </w:p>
        </w:tc>
      </w:tr>
      <w:tr>
        <w:tc>
          <w:tcPr>
            <w:tcW w:type="dxa" w:w="4752"/>
          </w:tcPr>
          <w:p>
            <w:pPr>
              <w:spacing w:after="20"/>
            </w:pPr>
            <w:r>
              <w:rPr>
                <w:b/>
                <w:color w:val="1C3A36"/>
                <w:sz w:val="18"/>
              </w:rPr>
              <w:t>The 50% band (25th–75th)</w:t>
            </w:r>
          </w:p>
        </w:tc>
        <w:tc>
          <w:tcPr>
            <w:tcW w:type="dxa" w:w="4752"/>
          </w:tcPr>
          <w:p>
            <w:pPr>
              <w:spacing w:after="20"/>
              <w:jc w:val="right"/>
            </w:pPr>
            <w:r>
              <w:rPr>
                <w:color w:val="1C3A36"/>
                <w:sz w:val="18"/>
              </w:rPr>
              <w:t>SAR 42.0 – 45.8   (-3.6% / +5.2% of spot)</w:t>
            </w:r>
          </w:p>
        </w:tc>
      </w:tr>
      <w:tr>
        <w:tc>
          <w:tcPr>
            <w:tcW w:type="dxa" w:w="4752"/>
          </w:tcPr>
          <w:p>
            <w:pPr>
              <w:spacing w:after="20"/>
            </w:pPr>
            <w:r>
              <w:rPr>
                <w:b/>
                <w:color w:val="1C3A36"/>
                <w:sz w:val="18"/>
              </w:rPr>
              <w:t>Touch(+10%) / touch(−10%) at any point</w:t>
            </w:r>
          </w:p>
        </w:tc>
        <w:tc>
          <w:tcPr>
            <w:tcW w:type="dxa" w:w="4752"/>
          </w:tcPr>
          <w:p>
            <w:pPr>
              <w:spacing w:after="20"/>
              <w:jc w:val="right"/>
            </w:pPr>
            <w:r>
              <w:rPr>
                <w:color w:val="1C3A36"/>
                <w:sz w:val="18"/>
              </w:rPr>
              <w:t>17%  /  11%</w:t>
            </w:r>
          </w:p>
        </w:tc>
      </w:tr>
    </w:tbl>
    <w:p>
      <w:pPr>
        <w:spacing w:after="40"/>
      </w:pPr>
    </w:p>
    <w:p>
      <w:pPr>
        <w:spacing w:after="120" w:before="0"/>
      </w:pPr>
      <w:r>
        <w:rPr>
          <w:b w:val="0"/>
          <w:i w:val="0"/>
          <w:color w:val="1C3A36"/>
          <w:sz w:val="21"/>
        </w:rPr>
        <w:t>We simulate 50,000 three-month price paths (seed 42) with the house YZ-HAR v2 engine: width from a pooled log-HAR cascade (variance lags 1/5/22) on a gap-aware Yang-Zhang variance proxy, projecting the average daily variance over the next 60 sessions (annualized ≈ 15.1% at this origin — modestly above the very calm 13.0% trailing figure, because the HAR reads the current regime rather than averaging the past; no calibration multiplier — the retired KVOL floor is replaced by the HAR width itself); shape from unit-variance Student-t(5) innovations via a per-path chi-square mixture (tighter interquartile body, honest tails); and drift that is asset-class-conditional — here ZERO, because stc is an international/GCC name and zero drift is the configuration that passed the Step 0 gate (secular drift failed it: CRPS skill −4.8%; the full backtest stays on file in the Calibration Ledger). A sixteen-factor stack layers on top: seven continuous macro/operating drivers and nine discrete events that each fire with a probability and an impact, together adding a modest +0.7% over the quarter.</w:t>
      </w:r>
    </w:p>
    <w:p>
      <w:pPr>
        <w:spacing w:after="120" w:before="0"/>
      </w:pPr>
      <w:r>
        <w:rPr>
          <w:b/>
          <w:i w:val="0"/>
          <w:color w:val="1C3A36"/>
          <w:sz w:val="21"/>
        </w:rPr>
        <w:t xml:space="preserve">By design the paths diffuse from spot as near-term price and deliberately do not embed the fundamental fair value — the value gap of §1 is kept out of the drift. </w:t>
      </w:r>
      <w:r>
        <w:rPr>
          <w:b w:val="0"/>
          <w:i w:val="0"/>
          <w:color w:val="1C3A36"/>
          <w:sz w:val="21"/>
        </w:rPr>
        <w:t>The fundamental gap lives in §1, not here; §3 maps where price could go from today, not where value sits. The near-even median you see is the honest consequence of zero drift on a calm tape — never a target, and never the §1 value gap smuggled in.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096"/>
            <w:shd w:val="clear" w:color="auto" w:fill="EAF0EE"/>
          </w:tcPr>
          <w:p>
            <w:pPr>
              <w:spacing w:after="20"/>
            </w:pPr>
            <w:r>
              <w:rPr>
                <w:b/>
                <w:color w:val="1C3A36"/>
                <w:sz w:val="17"/>
              </w:rPr>
              <w:t>Continuous factor (7)</w:t>
            </w:r>
          </w:p>
        </w:tc>
        <w:tc>
          <w:tcPr>
            <w:tcW w:type="dxa" w:w="720"/>
            <w:shd w:val="clear" w:color="auto" w:fill="EAF0EE"/>
          </w:tcPr>
          <w:p>
            <w:pPr>
              <w:spacing w:after="20"/>
            </w:pPr>
            <w:r>
              <w:rPr>
                <w:b/>
                <w:color w:val="1C3A36"/>
                <w:sz w:val="17"/>
              </w:rPr>
              <w:t>Dir.</w:t>
            </w:r>
          </w:p>
        </w:tc>
        <w:tc>
          <w:tcPr>
            <w:tcW w:type="dxa" w:w="3168"/>
            <w:shd w:val="clear" w:color="auto" w:fill="EAF0EE"/>
          </w:tcPr>
          <w:p>
            <w:pPr>
              <w:spacing w:after="20"/>
            </w:pPr>
            <w:r>
              <w:rPr>
                <w:b/>
                <w:color w:val="1C3A36"/>
                <w:sz w:val="17"/>
              </w:rPr>
              <w:t>Discrete event (9)</w:t>
            </w:r>
          </w:p>
        </w:tc>
        <w:tc>
          <w:tcPr>
            <w:tcW w:type="dxa" w:w="1008"/>
            <w:shd w:val="clear" w:color="auto" w:fill="EAF0EE"/>
          </w:tcPr>
          <w:p>
            <w:pPr>
              <w:spacing w:after="20"/>
            </w:pPr>
            <w:r>
              <w:rPr>
                <w:b/>
                <w:color w:val="1C3A36"/>
                <w:sz w:val="17"/>
              </w:rPr>
              <w:t>Prob.</w:t>
            </w:r>
          </w:p>
        </w:tc>
        <w:tc>
          <w:tcPr>
            <w:tcW w:type="dxa" w:w="1368"/>
            <w:shd w:val="clear" w:color="auto" w:fill="EAF0EE"/>
          </w:tcPr>
          <w:p>
            <w:pPr>
              <w:spacing w:after="20"/>
            </w:pPr>
            <w:r>
              <w:rPr>
                <w:b/>
                <w:color w:val="1C3A36"/>
                <w:sz w:val="17"/>
              </w:rPr>
              <w:t>Mean impact</w:t>
            </w:r>
          </w:p>
        </w:tc>
      </w:tr>
      <w:tr>
        <w:tc>
          <w:tcPr>
            <w:tcW w:type="dxa" w:w="3096"/>
          </w:tcPr>
          <w:p>
            <w:pPr>
              <w:spacing w:after="20"/>
            </w:pPr>
            <w:r>
              <w:rPr>
                <w:color w:val="1C3A36"/>
                <w:sz w:val="17"/>
              </w:rPr>
              <w:t>SAMA/Fed policy-rate path (easing)</w:t>
            </w:r>
          </w:p>
        </w:tc>
        <w:tc>
          <w:tcPr>
            <w:tcW w:type="dxa" w:w="720"/>
          </w:tcPr>
          <w:p>
            <w:pPr>
              <w:spacing w:after="20"/>
              <w:jc w:val="right"/>
            </w:pPr>
            <w:r>
              <w:rPr>
                <w:color w:val="1C3A36"/>
                <w:sz w:val="17"/>
              </w:rPr>
              <w:t>+</w:t>
            </w:r>
          </w:p>
        </w:tc>
        <w:tc>
          <w:tcPr>
            <w:tcW w:type="dxa" w:w="3168"/>
          </w:tcPr>
          <w:p>
            <w:pPr>
              <w:spacing w:after="20"/>
              <w:jc w:val="right"/>
            </w:pPr>
            <w:r>
              <w:rPr>
                <w:color w:val="1C3A36"/>
                <w:sz w:val="17"/>
              </w:rPr>
              <w:t>2Q26 results (~late Jul 2026)</w:t>
            </w:r>
          </w:p>
        </w:tc>
        <w:tc>
          <w:tcPr>
            <w:tcW w:type="dxa" w:w="1008"/>
          </w:tcPr>
          <w:p>
            <w:pPr>
              <w:spacing w:after="20"/>
              <w:jc w:val="right"/>
            </w:pPr>
            <w:r>
              <w:rPr>
                <w:color w:val="1C3A36"/>
                <w:sz w:val="17"/>
              </w:rPr>
              <w:t>90%</w:t>
            </w:r>
          </w:p>
        </w:tc>
        <w:tc>
          <w:tcPr>
            <w:tcW w:type="dxa" w:w="1368"/>
          </w:tcPr>
          <w:p>
            <w:pPr>
              <w:spacing w:after="20"/>
              <w:jc w:val="right"/>
            </w:pPr>
            <w:r>
              <w:rPr>
                <w:color w:val="1C3A36"/>
                <w:sz w:val="17"/>
              </w:rPr>
              <w:t>+0.4%</w:t>
            </w:r>
          </w:p>
        </w:tc>
      </w:tr>
      <w:tr>
        <w:tc>
          <w:tcPr>
            <w:tcW w:type="dxa" w:w="3096"/>
          </w:tcPr>
          <w:p>
            <w:pPr>
              <w:spacing w:after="20"/>
            </w:pPr>
            <w:r>
              <w:rPr>
                <w:color w:val="1C3A36"/>
                <w:sz w:val="17"/>
              </w:rPr>
              <w:t>Oil price / fiscal impulse (govt ICT spend)</w:t>
            </w:r>
          </w:p>
        </w:tc>
        <w:tc>
          <w:tcPr>
            <w:tcW w:type="dxa" w:w="720"/>
          </w:tcPr>
          <w:p>
            <w:pPr>
              <w:spacing w:after="20"/>
              <w:jc w:val="right"/>
            </w:pPr>
            <w:r>
              <w:rPr>
                <w:color w:val="1C3A36"/>
                <w:sz w:val="17"/>
              </w:rPr>
              <w:t>+</w:t>
            </w:r>
          </w:p>
        </w:tc>
        <w:tc>
          <w:tcPr>
            <w:tcW w:type="dxa" w:w="3168"/>
          </w:tcPr>
          <w:p>
            <w:pPr>
              <w:spacing w:after="20"/>
              <w:jc w:val="right"/>
            </w:pPr>
            <w:r>
              <w:rPr>
                <w:color w:val="1C3A36"/>
                <w:sz w:val="17"/>
              </w:rPr>
              <w:t>Special dividend with 2Q/3Q results</w:t>
            </w:r>
          </w:p>
        </w:tc>
        <w:tc>
          <w:tcPr>
            <w:tcW w:type="dxa" w:w="1008"/>
          </w:tcPr>
          <w:p>
            <w:pPr>
              <w:spacing w:after="20"/>
              <w:jc w:val="right"/>
            </w:pPr>
            <w:r>
              <w:rPr>
                <w:color w:val="1C3A36"/>
                <w:sz w:val="17"/>
              </w:rPr>
              <w:t>20%</w:t>
            </w:r>
          </w:p>
        </w:tc>
        <w:tc>
          <w:tcPr>
            <w:tcW w:type="dxa" w:w="1368"/>
          </w:tcPr>
          <w:p>
            <w:pPr>
              <w:spacing w:after="20"/>
              <w:jc w:val="right"/>
            </w:pPr>
            <w:r>
              <w:rPr>
                <w:color w:val="1C3A36"/>
                <w:sz w:val="17"/>
              </w:rPr>
              <w:t>+2.0%</w:t>
            </w:r>
          </w:p>
        </w:tc>
      </w:tr>
      <w:tr>
        <w:tc>
          <w:tcPr>
            <w:tcW w:type="dxa" w:w="3096"/>
          </w:tcPr>
          <w:p>
            <w:pPr>
              <w:spacing w:after="20"/>
            </w:pPr>
            <w:r>
              <w:rPr>
                <w:color w:val="1C3A36"/>
                <w:sz w:val="17"/>
              </w:rPr>
              <w:t>Vision 2030 / non-oil digital demand</w:t>
            </w:r>
          </w:p>
        </w:tc>
        <w:tc>
          <w:tcPr>
            <w:tcW w:type="dxa" w:w="720"/>
          </w:tcPr>
          <w:p>
            <w:pPr>
              <w:spacing w:after="20"/>
              <w:jc w:val="right"/>
            </w:pPr>
            <w:r>
              <w:rPr>
                <w:color w:val="1C3A36"/>
                <w:sz w:val="17"/>
              </w:rPr>
              <w:t>+</w:t>
            </w:r>
          </w:p>
        </w:tc>
        <w:tc>
          <w:tcPr>
            <w:tcW w:type="dxa" w:w="3168"/>
          </w:tcPr>
          <w:p>
            <w:pPr>
              <w:spacing w:after="20"/>
              <w:jc w:val="right"/>
            </w:pPr>
            <w:r>
              <w:rPr>
                <w:color w:val="1C3A36"/>
                <w:sz w:val="17"/>
              </w:rPr>
              <w:t>SAMA/Fed cut ≥25 bp (Sep/Oct)</w:t>
            </w:r>
          </w:p>
        </w:tc>
        <w:tc>
          <w:tcPr>
            <w:tcW w:type="dxa" w:w="1008"/>
          </w:tcPr>
          <w:p>
            <w:pPr>
              <w:spacing w:after="20"/>
              <w:jc w:val="right"/>
            </w:pPr>
            <w:r>
              <w:rPr>
                <w:color w:val="1C3A36"/>
                <w:sz w:val="17"/>
              </w:rPr>
              <w:t>55%</w:t>
            </w:r>
          </w:p>
        </w:tc>
        <w:tc>
          <w:tcPr>
            <w:tcW w:type="dxa" w:w="1368"/>
          </w:tcPr>
          <w:p>
            <w:pPr>
              <w:spacing w:after="20"/>
              <w:jc w:val="right"/>
            </w:pPr>
            <w:r>
              <w:rPr>
                <w:color w:val="1C3A36"/>
                <w:sz w:val="17"/>
              </w:rPr>
              <w:t>+0.6%</w:t>
            </w:r>
          </w:p>
        </w:tc>
      </w:tr>
      <w:tr>
        <w:tc>
          <w:tcPr>
            <w:tcW w:type="dxa" w:w="3096"/>
          </w:tcPr>
          <w:p>
            <w:pPr>
              <w:spacing w:after="20"/>
            </w:pPr>
            <w:r>
              <w:rPr>
                <w:color w:val="1C3A36"/>
                <w:sz w:val="17"/>
              </w:rPr>
              <w:t>KSA mobile competition (Mobily/Zain)</w:t>
            </w:r>
          </w:p>
        </w:tc>
        <w:tc>
          <w:tcPr>
            <w:tcW w:type="dxa" w:w="720"/>
          </w:tcPr>
          <w:p>
            <w:pPr>
              <w:spacing w:after="20"/>
              <w:jc w:val="right"/>
            </w:pPr>
            <w:r>
              <w:rPr>
                <w:color w:val="1C3A36"/>
                <w:sz w:val="17"/>
              </w:rPr>
              <w:t>−</w:t>
            </w:r>
          </w:p>
        </w:tc>
        <w:tc>
          <w:tcPr>
            <w:tcW w:type="dxa" w:w="3168"/>
          </w:tcPr>
          <w:p>
            <w:pPr>
              <w:spacing w:after="20"/>
              <w:jc w:val="right"/>
            </w:pPr>
            <w:r>
              <w:rPr>
                <w:color w:val="1C3A36"/>
                <w:sz w:val="17"/>
              </w:rPr>
              <w:t>center3/HUMAIN AI-DC milestone</w:t>
            </w:r>
          </w:p>
        </w:tc>
        <w:tc>
          <w:tcPr>
            <w:tcW w:type="dxa" w:w="1008"/>
          </w:tcPr>
          <w:p>
            <w:pPr>
              <w:spacing w:after="20"/>
              <w:jc w:val="right"/>
            </w:pPr>
            <w:r>
              <w:rPr>
                <w:color w:val="1C3A36"/>
                <w:sz w:val="17"/>
              </w:rPr>
              <w:t>35%</w:t>
            </w:r>
          </w:p>
        </w:tc>
        <w:tc>
          <w:tcPr>
            <w:tcW w:type="dxa" w:w="1368"/>
          </w:tcPr>
          <w:p>
            <w:pPr>
              <w:spacing w:after="20"/>
              <w:jc w:val="right"/>
            </w:pPr>
            <w:r>
              <w:rPr>
                <w:color w:val="1C3A36"/>
                <w:sz w:val="17"/>
              </w:rPr>
              <w:t>+1.0%</w:t>
            </w:r>
          </w:p>
        </w:tc>
      </w:tr>
      <w:tr>
        <w:tc>
          <w:tcPr>
            <w:tcW w:type="dxa" w:w="3096"/>
          </w:tcPr>
          <w:p>
            <w:pPr>
              <w:spacing w:after="20"/>
            </w:pPr>
            <w:r>
              <w:rPr>
                <w:color w:val="1C3A36"/>
                <w:sz w:val="17"/>
              </w:rPr>
              <w:t>Data-centre/AI buildout economics</w:t>
            </w:r>
          </w:p>
        </w:tc>
        <w:tc>
          <w:tcPr>
            <w:tcW w:type="dxa" w:w="720"/>
          </w:tcPr>
          <w:p>
            <w:pPr>
              <w:spacing w:after="20"/>
              <w:jc w:val="right"/>
            </w:pPr>
            <w:r>
              <w:rPr>
                <w:color w:val="1C3A36"/>
                <w:sz w:val="17"/>
              </w:rPr>
              <w:t>±</w:t>
            </w:r>
          </w:p>
        </w:tc>
        <w:tc>
          <w:tcPr>
            <w:tcW w:type="dxa" w:w="3168"/>
          </w:tcPr>
          <w:p>
            <w:pPr>
              <w:spacing w:after="20"/>
              <w:jc w:val="right"/>
            </w:pPr>
            <w:r>
              <w:rPr>
                <w:color w:val="1C3A36"/>
                <w:sz w:val="17"/>
              </w:rPr>
              <w:t>TAWAL/DIIC monetization event</w:t>
            </w:r>
          </w:p>
        </w:tc>
        <w:tc>
          <w:tcPr>
            <w:tcW w:type="dxa" w:w="1008"/>
          </w:tcPr>
          <w:p>
            <w:pPr>
              <w:spacing w:after="20"/>
              <w:jc w:val="right"/>
            </w:pPr>
            <w:r>
              <w:rPr>
                <w:color w:val="1C3A36"/>
                <w:sz w:val="17"/>
              </w:rPr>
              <w:t>10%</w:t>
            </w:r>
          </w:p>
        </w:tc>
        <w:tc>
          <w:tcPr>
            <w:tcW w:type="dxa" w:w="1368"/>
          </w:tcPr>
          <w:p>
            <w:pPr>
              <w:spacing w:after="20"/>
              <w:jc w:val="right"/>
            </w:pPr>
            <w:r>
              <w:rPr>
                <w:color w:val="1C3A36"/>
                <w:sz w:val="17"/>
              </w:rPr>
              <w:t>+1.5%</w:t>
            </w:r>
          </w:p>
        </w:tc>
      </w:tr>
      <w:tr>
        <w:tc>
          <w:tcPr>
            <w:tcW w:type="dxa" w:w="3096"/>
          </w:tcPr>
          <w:p>
            <w:pPr>
              <w:spacing w:after="20"/>
            </w:pPr>
            <w:r>
              <w:rPr>
                <w:color w:val="1C3A36"/>
                <w:sz w:val="17"/>
              </w:rPr>
              <w:t>Subsidiary drag→contribution</w:t>
            </w:r>
          </w:p>
        </w:tc>
        <w:tc>
          <w:tcPr>
            <w:tcW w:type="dxa" w:w="720"/>
          </w:tcPr>
          <w:p>
            <w:pPr>
              <w:spacing w:after="20"/>
              <w:jc w:val="right"/>
            </w:pPr>
            <w:r>
              <w:rPr>
                <w:color w:val="1C3A36"/>
                <w:sz w:val="17"/>
              </w:rPr>
              <w:t>±</w:t>
            </w:r>
          </w:p>
        </w:tc>
        <w:tc>
          <w:tcPr>
            <w:tcW w:type="dxa" w:w="3168"/>
          </w:tcPr>
          <w:p>
            <w:pPr>
              <w:spacing w:after="20"/>
              <w:jc w:val="right"/>
            </w:pPr>
            <w:r>
              <w:rPr>
                <w:color w:val="1C3A36"/>
                <w:sz w:val="17"/>
              </w:rPr>
              <w:t>Telefónica mark deterioration</w:t>
            </w:r>
          </w:p>
        </w:tc>
        <w:tc>
          <w:tcPr>
            <w:tcW w:type="dxa" w:w="1008"/>
          </w:tcPr>
          <w:p>
            <w:pPr>
              <w:spacing w:after="20"/>
              <w:jc w:val="right"/>
            </w:pPr>
            <w:r>
              <w:rPr>
                <w:color w:val="1C3A36"/>
                <w:sz w:val="17"/>
              </w:rPr>
              <w:t>25%</w:t>
            </w:r>
          </w:p>
        </w:tc>
        <w:tc>
          <w:tcPr>
            <w:tcW w:type="dxa" w:w="1368"/>
          </w:tcPr>
          <w:p>
            <w:pPr>
              <w:spacing w:after="20"/>
              <w:jc w:val="right"/>
            </w:pPr>
            <w:r>
              <w:rPr>
                <w:color w:val="1C3A36"/>
                <w:sz w:val="17"/>
              </w:rPr>
              <w:t>−0.6%</w:t>
            </w:r>
          </w:p>
        </w:tc>
      </w:tr>
      <w:tr>
        <w:tc>
          <w:tcPr>
            <w:tcW w:type="dxa" w:w="3096"/>
          </w:tcPr>
          <w:p>
            <w:pPr>
              <w:spacing w:after="20"/>
            </w:pPr>
            <w:r>
              <w:rPr>
                <w:color w:val="1C3A36"/>
                <w:sz w:val="17"/>
              </w:rPr>
              <w:t>TASI flows / index weight</w:t>
            </w:r>
          </w:p>
        </w:tc>
        <w:tc>
          <w:tcPr>
            <w:tcW w:type="dxa" w:w="720"/>
          </w:tcPr>
          <w:p>
            <w:pPr>
              <w:spacing w:after="20"/>
              <w:jc w:val="right"/>
            </w:pPr>
            <w:r>
              <w:rPr>
                <w:color w:val="1C3A36"/>
                <w:sz w:val="17"/>
              </w:rPr>
              <w:t>±</w:t>
            </w:r>
          </w:p>
        </w:tc>
        <w:tc>
          <w:tcPr>
            <w:tcW w:type="dxa" w:w="3168"/>
          </w:tcPr>
          <w:p>
            <w:pPr>
              <w:spacing w:after="20"/>
              <w:jc w:val="right"/>
            </w:pPr>
            <w:r>
              <w:rPr>
                <w:color w:val="1C3A36"/>
                <w:sz w:val="17"/>
              </w:rPr>
              <w:t>KSA mobile price-war escalation</w:t>
            </w:r>
          </w:p>
        </w:tc>
        <w:tc>
          <w:tcPr>
            <w:tcW w:type="dxa" w:w="1008"/>
          </w:tcPr>
          <w:p>
            <w:pPr>
              <w:spacing w:after="20"/>
              <w:jc w:val="right"/>
            </w:pPr>
            <w:r>
              <w:rPr>
                <w:color w:val="1C3A36"/>
                <w:sz w:val="17"/>
              </w:rPr>
              <w:t>20%</w:t>
            </w:r>
          </w:p>
        </w:tc>
        <w:tc>
          <w:tcPr>
            <w:tcW w:type="dxa" w:w="1368"/>
          </w:tcPr>
          <w:p>
            <w:pPr>
              <w:spacing w:after="20"/>
              <w:jc w:val="right"/>
            </w:pPr>
            <w:r>
              <w:rPr>
                <w:color w:val="1C3A36"/>
                <w:sz w:val="17"/>
              </w:rPr>
              <w:t>−1.5%</w:t>
            </w:r>
          </w:p>
        </w:tc>
      </w:tr>
      <w:tr>
        <w:tc>
          <w:tcPr>
            <w:tcW w:type="dxa" w:w="3096"/>
          </w:tcPr>
          <w:p>
            <w:pPr>
              <w:spacing w:after="20"/>
            </w:pPr>
            <w:r>
              <w:rPr>
                <w:color w:val="1C3A36"/>
                <w:sz w:val="17"/>
              </w:rPr>
            </w:r>
          </w:p>
        </w:tc>
        <w:tc>
          <w:tcPr>
            <w:tcW w:type="dxa" w:w="720"/>
          </w:tcPr>
          <w:p>
            <w:pPr>
              <w:spacing w:after="20"/>
              <w:jc w:val="right"/>
            </w:pPr>
            <w:r>
              <w:rPr>
                <w:color w:val="1C3A36"/>
                <w:sz w:val="17"/>
              </w:rPr>
            </w:r>
          </w:p>
        </w:tc>
        <w:tc>
          <w:tcPr>
            <w:tcW w:type="dxa" w:w="3168"/>
          </w:tcPr>
          <w:p>
            <w:pPr>
              <w:spacing w:after="20"/>
              <w:jc w:val="right"/>
            </w:pPr>
            <w:r>
              <w:rPr>
                <w:color w:val="1C3A36"/>
                <w:sz w:val="17"/>
              </w:rPr>
              <w:t>Regional geopolitical escalation</w:t>
            </w:r>
          </w:p>
        </w:tc>
        <w:tc>
          <w:tcPr>
            <w:tcW w:type="dxa" w:w="1008"/>
          </w:tcPr>
          <w:p>
            <w:pPr>
              <w:spacing w:after="20"/>
              <w:jc w:val="right"/>
            </w:pPr>
            <w:r>
              <w:rPr>
                <w:color w:val="1C3A36"/>
                <w:sz w:val="17"/>
              </w:rPr>
              <w:t>25%</w:t>
            </w:r>
          </w:p>
        </w:tc>
        <w:tc>
          <w:tcPr>
            <w:tcW w:type="dxa" w:w="1368"/>
          </w:tcPr>
          <w:p>
            <w:pPr>
              <w:spacing w:after="20"/>
              <w:jc w:val="right"/>
            </w:pPr>
            <w:r>
              <w:rPr>
                <w:color w:val="1C3A36"/>
                <w:sz w:val="17"/>
              </w:rPr>
              <w:t>−2.0%</w:t>
            </w:r>
          </w:p>
        </w:tc>
      </w:tr>
      <w:tr>
        <w:tc>
          <w:tcPr>
            <w:tcW w:type="dxa" w:w="3096"/>
          </w:tcPr>
          <w:p>
            <w:pPr>
              <w:spacing w:after="20"/>
            </w:pPr>
            <w:r>
              <w:rPr>
                <w:color w:val="1C3A36"/>
                <w:sz w:val="17"/>
              </w:rPr>
            </w:r>
          </w:p>
        </w:tc>
        <w:tc>
          <w:tcPr>
            <w:tcW w:type="dxa" w:w="720"/>
          </w:tcPr>
          <w:p>
            <w:pPr>
              <w:spacing w:after="20"/>
              <w:jc w:val="right"/>
            </w:pPr>
            <w:r>
              <w:rPr>
                <w:color w:val="1C3A36"/>
                <w:sz w:val="17"/>
              </w:rPr>
            </w:r>
          </w:p>
        </w:tc>
        <w:tc>
          <w:tcPr>
            <w:tcW w:type="dxa" w:w="3168"/>
          </w:tcPr>
          <w:p>
            <w:pPr>
              <w:spacing w:after="20"/>
              <w:jc w:val="right"/>
            </w:pPr>
            <w:r>
              <w:rPr>
                <w:color w:val="1C3A36"/>
                <w:sz w:val="17"/>
              </w:rPr>
              <w:t>PIF sell-down / index-flow event</w:t>
            </w:r>
          </w:p>
        </w:tc>
        <w:tc>
          <w:tcPr>
            <w:tcW w:type="dxa" w:w="1008"/>
          </w:tcPr>
          <w:p>
            <w:pPr>
              <w:spacing w:after="20"/>
              <w:jc w:val="right"/>
            </w:pPr>
            <w:r>
              <w:rPr>
                <w:color w:val="1C3A36"/>
                <w:sz w:val="17"/>
              </w:rPr>
              <w:t>10%</w:t>
            </w:r>
          </w:p>
        </w:tc>
        <w:tc>
          <w:tcPr>
            <w:tcW w:type="dxa" w:w="1368"/>
          </w:tcPr>
          <w:p>
            <w:pPr>
              <w:spacing w:after="20"/>
              <w:jc w:val="right"/>
            </w:pPr>
            <w:r>
              <w:rPr>
                <w:color w:val="1C3A36"/>
                <w:sz w:val="17"/>
              </w:rPr>
              <w:t>−1.2%</w:t>
            </w:r>
          </w:p>
        </w:tc>
      </w:tr>
    </w:tbl>
    <w:p>
      <w:pPr>
        <w:spacing w:after="40"/>
      </w:pPr>
    </w:p>
    <w:p>
      <w:pPr>
        <w:spacing w:after="200" w:before="0"/>
      </w:pPr>
      <w:r>
        <w:rPr>
          <w:b w:val="0"/>
          <w:i/>
          <w:color w:val="6E7B77"/>
          <w:sz w:val="17"/>
        </w:rPr>
        <w:t>All factor numbers are editable judgments (the table is the model); flagged uncalibrated pending red-pen sign-off. Net continuous drift +0.2%/quarter, expected event drift +0.5% — near-zero central drift with mildly asymmetric tails. No FX factor: the riyal is pegged.</w:t>
      </w:r>
    </w:p>
    <w:p>
      <w:pPr>
        <w:spacing w:after="80" w:before="200"/>
      </w:pPr>
      <w:r>
        <w:rPr>
          <w:b/>
          <w:i w:val="0"/>
          <w:color w:val="1C3A36"/>
          <w:sz w:val="24"/>
        </w:rPr>
        <w:t>Percentile map (SAR/share)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Horizon</w:t>
            </w:r>
          </w:p>
        </w:tc>
        <w:tc>
          <w:tcPr>
            <w:tcW w:type="dxa" w:w="1440"/>
            <w:shd w:val="clear" w:color="auto" w:fill="EAF0EE"/>
          </w:tcPr>
          <w:p>
            <w:pPr>
              <w:spacing w:after="20"/>
            </w:pPr>
            <w:r>
              <w:rPr>
                <w:b/>
                <w:color w:val="1C3A36"/>
                <w:sz w:val="18"/>
              </w:rPr>
              <w:t>p5</w:t>
            </w:r>
          </w:p>
        </w:tc>
        <w:tc>
          <w:tcPr>
            <w:tcW w:type="dxa" w:w="1440"/>
            <w:shd w:val="clear" w:color="auto" w:fill="EAF0EE"/>
          </w:tcPr>
          <w:p>
            <w:pPr>
              <w:spacing w:after="20"/>
            </w:pPr>
            <w:r>
              <w:rPr>
                <w:b/>
                <w:color w:val="1C3A36"/>
                <w:sz w:val="18"/>
              </w:rPr>
              <w:t>p25</w:t>
            </w:r>
          </w:p>
        </w:tc>
        <w:tc>
          <w:tcPr>
            <w:tcW w:type="dxa" w:w="1440"/>
            <w:shd w:val="clear" w:color="auto" w:fill="EAF0EE"/>
          </w:tcPr>
          <w:p>
            <w:pPr>
              <w:spacing w:after="20"/>
            </w:pPr>
            <w:r>
              <w:rPr>
                <w:b/>
                <w:color w:val="1C3A36"/>
                <w:sz w:val="18"/>
              </w:rPr>
              <w:t>p50</w:t>
            </w:r>
          </w:p>
        </w:tc>
        <w:tc>
          <w:tcPr>
            <w:tcW w:type="dxa" w:w="1440"/>
            <w:shd w:val="clear" w:color="auto" w:fill="EAF0EE"/>
          </w:tcPr>
          <w:p>
            <w:pPr>
              <w:spacing w:after="20"/>
            </w:pPr>
            <w:r>
              <w:rPr>
                <w:b/>
                <w:color w:val="1C3A36"/>
                <w:sz w:val="18"/>
              </w:rPr>
              <w:t>p75</w:t>
            </w:r>
          </w:p>
        </w:tc>
        <w:tc>
          <w:tcPr>
            <w:tcW w:type="dxa" w:w="1440"/>
            <w:shd w:val="clear" w:color="auto" w:fill="EAF0EE"/>
          </w:tcPr>
          <w:p>
            <w:pPr>
              <w:spacing w:after="20"/>
            </w:pPr>
            <w:r>
              <w:rPr>
                <w:b/>
                <w:color w:val="1C3A36"/>
                <w:sz w:val="18"/>
              </w:rPr>
              <w:t>p95</w:t>
            </w:r>
          </w:p>
        </w:tc>
      </w:tr>
      <w:tr>
        <w:tc>
          <w:tcPr>
            <w:tcW w:type="dxa" w:w="2736"/>
          </w:tcPr>
          <w:p>
            <w:pPr>
              <w:spacing w:after="20"/>
            </w:pPr>
            <w:r>
              <w:rPr>
                <w:b/>
                <w:color w:val="1C3A36"/>
                <w:sz w:val="18"/>
              </w:rPr>
              <w:t>T+20 sessions</w:t>
            </w:r>
          </w:p>
        </w:tc>
        <w:tc>
          <w:tcPr>
            <w:tcW w:type="dxa" w:w="1440"/>
          </w:tcPr>
          <w:p>
            <w:pPr>
              <w:spacing w:after="20"/>
              <w:jc w:val="right"/>
            </w:pPr>
            <w:r>
              <w:rPr>
                <w:color w:val="1C3A36"/>
                <w:sz w:val="18"/>
              </w:rPr>
              <w:t>40.8</w:t>
            </w:r>
          </w:p>
        </w:tc>
        <w:tc>
          <w:tcPr>
            <w:tcW w:type="dxa" w:w="1440"/>
          </w:tcPr>
          <w:p>
            <w:pPr>
              <w:spacing w:after="20"/>
              <w:jc w:val="right"/>
            </w:pPr>
            <w:r>
              <w:rPr>
                <w:color w:val="1C3A36"/>
                <w:sz w:val="18"/>
              </w:rPr>
              <w:t>42.6</w:t>
            </w:r>
          </w:p>
        </w:tc>
        <w:tc>
          <w:tcPr>
            <w:tcW w:type="dxa" w:w="1440"/>
          </w:tcPr>
          <w:p>
            <w:pPr>
              <w:spacing w:after="20"/>
              <w:jc w:val="right"/>
            </w:pPr>
            <w:r>
              <w:rPr>
                <w:color w:val="1C3A36"/>
                <w:sz w:val="18"/>
              </w:rPr>
              <w:t>43.7</w:t>
            </w:r>
          </w:p>
        </w:tc>
        <w:tc>
          <w:tcPr>
            <w:tcW w:type="dxa" w:w="1440"/>
          </w:tcPr>
          <w:p>
            <w:pPr>
              <w:spacing w:after="20"/>
              <w:jc w:val="right"/>
            </w:pPr>
            <w:r>
              <w:rPr>
                <w:color w:val="1C3A36"/>
                <w:sz w:val="18"/>
              </w:rPr>
              <w:t>44.8</w:t>
            </w:r>
          </w:p>
        </w:tc>
        <w:tc>
          <w:tcPr>
            <w:tcW w:type="dxa" w:w="1440"/>
          </w:tcPr>
          <w:p>
            <w:pPr>
              <w:spacing w:after="20"/>
              <w:jc w:val="right"/>
            </w:pPr>
            <w:r>
              <w:rPr>
                <w:color w:val="1C3A36"/>
                <w:sz w:val="18"/>
              </w:rPr>
              <w:t>46.8</w:t>
            </w:r>
          </w:p>
        </w:tc>
      </w:tr>
      <w:tr>
        <w:tc>
          <w:tcPr>
            <w:tcW w:type="dxa" w:w="2736"/>
          </w:tcPr>
          <w:p>
            <w:pPr>
              <w:spacing w:after="20"/>
            </w:pPr>
            <w:r>
              <w:rPr>
                <w:b/>
                <w:color w:val="1C3A36"/>
                <w:sz w:val="18"/>
              </w:rPr>
              <w:t>T+60 sessions</w:t>
            </w:r>
          </w:p>
        </w:tc>
        <w:tc>
          <w:tcPr>
            <w:tcW w:type="dxa" w:w="1440"/>
          </w:tcPr>
          <w:p>
            <w:pPr>
              <w:spacing w:after="20"/>
              <w:jc w:val="right"/>
            </w:pPr>
            <w:r>
              <w:rPr>
                <w:color w:val="1C3A36"/>
                <w:sz w:val="18"/>
              </w:rPr>
              <w:t>39.0</w:t>
            </w:r>
          </w:p>
        </w:tc>
        <w:tc>
          <w:tcPr>
            <w:tcW w:type="dxa" w:w="1440"/>
          </w:tcPr>
          <w:p>
            <w:pPr>
              <w:spacing w:after="20"/>
              <w:jc w:val="right"/>
            </w:pPr>
            <w:r>
              <w:rPr>
                <w:color w:val="1C3A36"/>
                <w:sz w:val="18"/>
              </w:rPr>
              <w:t>42.0</w:t>
            </w:r>
          </w:p>
        </w:tc>
        <w:tc>
          <w:tcPr>
            <w:tcW w:type="dxa" w:w="1440"/>
          </w:tcPr>
          <w:p>
            <w:pPr>
              <w:spacing w:after="20"/>
              <w:jc w:val="right"/>
            </w:pPr>
            <w:r>
              <w:rPr>
                <w:color w:val="1C3A36"/>
                <w:sz w:val="18"/>
              </w:rPr>
              <w:t>43.9</w:t>
            </w:r>
          </w:p>
        </w:tc>
        <w:tc>
          <w:tcPr>
            <w:tcW w:type="dxa" w:w="1440"/>
          </w:tcPr>
          <w:p>
            <w:pPr>
              <w:spacing w:after="20"/>
              <w:jc w:val="right"/>
            </w:pPr>
            <w:r>
              <w:rPr>
                <w:color w:val="1C3A36"/>
                <w:sz w:val="18"/>
              </w:rPr>
              <w:t>45.8</w:t>
            </w:r>
          </w:p>
        </w:tc>
        <w:tc>
          <w:tcPr>
            <w:tcW w:type="dxa" w:w="1440"/>
          </w:tcPr>
          <w:p>
            <w:pPr>
              <w:spacing w:after="20"/>
              <w:jc w:val="right"/>
            </w:pPr>
            <w:r>
              <w:rPr>
                <w:color w:val="1C3A36"/>
                <w:sz w:val="18"/>
              </w:rPr>
              <w:t>49.5</w:t>
            </w:r>
          </w:p>
        </w:tc>
      </w:tr>
    </w:tbl>
    <w:p>
      <w:pPr>
        <w:spacing w:after="40"/>
      </w:pPr>
    </w:p>
    <w:p>
      <w:pPr>
        <w:spacing w:after="120" w:before="0"/>
      </w:pPr>
      <w:r>
        <w:rPr>
          <w:b w:val="0"/>
          <w:i w:val="0"/>
          <w:color w:val="1C3A36"/>
          <w:sz w:val="19"/>
        </w:rPr>
        <w:t>Lead with the 50% band, not the tails: a quarter ahead, half of all paths finish between roughly SAR 42 and 46 (−3.6% / +5.2%); at one month the band is ~SAR 43–45 (width ≈ ÷√3). The 5–95% cone is context, not a forecast — and on this name it is unusually narrow (±12%), the direct consequence of the low-volatility regime the HAR width reads.</w:t>
      </w:r>
    </w:p>
    <w:p>
      <w:pPr>
        <w:spacing w:after="40"/>
        <w:jc w:val="center"/>
      </w:pPr>
      <w:r>
        <w:drawing>
          <wp:inline xmlns:a="http://schemas.openxmlformats.org/drawingml/2006/main" xmlns:pic="http://schemas.openxmlformats.org/drawingml/2006/picture">
            <wp:extent cx="5852160" cy="250806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852160" cy="2508069"/>
                    </a:xfrm>
                    <a:prstGeom prst="rect"/>
                  </pic:spPr>
                </pic:pic>
              </a:graphicData>
            </a:graphic>
          </wp:inline>
        </w:drawing>
      </w:r>
    </w:p>
    <w:p>
      <w:pPr>
        <w:spacing w:after="200" w:before="0"/>
      </w:pPr>
      <w:r>
        <w:rPr>
          <w:b w:val="0"/>
          <w:i/>
          <w:color w:val="6E7B77"/>
          <w:sz w:val="17"/>
        </w:rPr>
        <w:t>Figure 4 — Forward price cone to T+60. The median tracks spot under zero drift; the brass dashed line marks the SAR 47 fundamental central, deliberately inside the upper half of the cone rather than at its centre.</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Price distribution at T+20.</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Price distribution at T+60.</w:t>
      </w:r>
    </w:p>
    <w:p>
      <w:pPr>
        <w:spacing w:after="80" w:before="200"/>
      </w:pPr>
      <w:r>
        <w:rPr>
          <w:b/>
          <w:i w:val="0"/>
          <w:color w:val="1C3A36"/>
          <w:sz w:val="24"/>
        </w:rPr>
        <w:t>Level-touch ladder</w:t>
      </w:r>
    </w:p>
    <w:p>
      <w:pPr>
        <w:spacing w:after="120" w:before="0"/>
      </w:pPr>
      <w:r>
        <w:rPr>
          <w:b w:val="0"/>
          <w:i w:val="0"/>
          <w:color w:val="1C3A36"/>
          <w:sz w:val="19"/>
        </w:rPr>
        <w:t>The probability that price touches a level at any point by the horizon (running max for upside, running min for downside):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728"/>
            <w:shd w:val="clear" w:color="auto" w:fill="EAF0EE"/>
          </w:tcPr>
          <w:p>
            <w:pPr>
              <w:spacing w:after="20"/>
            </w:pPr>
            <w:r>
              <w:rPr>
                <w:b/>
                <w:color w:val="1C3A36"/>
                <w:sz w:val="18"/>
              </w:rPr>
              <w:t>Level (SAR)</w:t>
            </w:r>
          </w:p>
        </w:tc>
        <w:tc>
          <w:tcPr>
            <w:tcW w:type="dxa" w:w="1728"/>
            <w:shd w:val="clear" w:color="auto" w:fill="EAF0EE"/>
          </w:tcPr>
          <w:p>
            <w:pPr>
              <w:spacing w:after="20"/>
            </w:pPr>
            <w:r>
              <w:rPr>
                <w:b/>
                <w:color w:val="1C3A36"/>
                <w:sz w:val="18"/>
              </w:rPr>
              <w:t>T+20 touch</w:t>
            </w:r>
          </w:p>
        </w:tc>
        <w:tc>
          <w:tcPr>
            <w:tcW w:type="dxa" w:w="1728"/>
            <w:shd w:val="clear" w:color="auto" w:fill="EAF0EE"/>
          </w:tcPr>
          <w:p>
            <w:pPr>
              <w:spacing w:after="20"/>
            </w:pPr>
            <w:r>
              <w:rPr>
                <w:b/>
                <w:color w:val="1C3A36"/>
                <w:sz w:val="18"/>
              </w:rPr>
              <w:t>T+60 touch</w:t>
            </w:r>
          </w:p>
        </w:tc>
        <w:tc>
          <w:tcPr>
            <w:tcW w:type="dxa" w:w="4320"/>
            <w:shd w:val="clear" w:color="auto" w:fill="EAF0EE"/>
          </w:tcPr>
          <w:p>
            <w:pPr>
              <w:spacing w:after="20"/>
            </w:pPr>
            <w:r>
              <w:rPr>
                <w:b/>
                <w:color w:val="1C3A36"/>
                <w:sz w:val="18"/>
              </w:rPr>
              <w:t>Note</w:t>
            </w:r>
          </w:p>
        </w:tc>
      </w:tr>
      <w:tr>
        <w:tc>
          <w:tcPr>
            <w:tcW w:type="dxa" w:w="1728"/>
          </w:tcPr>
          <w:p>
            <w:pPr>
              <w:spacing w:after="20"/>
            </w:pPr>
            <w:r>
              <w:rPr>
                <w:b/>
                <w:color w:val="1C3A36"/>
                <w:sz w:val="18"/>
              </w:rPr>
              <w:t>50</w:t>
            </w:r>
          </w:p>
        </w:tc>
        <w:tc>
          <w:tcPr>
            <w:tcW w:type="dxa" w:w="1728"/>
          </w:tcPr>
          <w:p>
            <w:pPr>
              <w:spacing w:after="20"/>
              <w:jc w:val="right"/>
            </w:pPr>
            <w:r>
              <w:rPr>
                <w:color w:val="1C3A36"/>
                <w:sz w:val="18"/>
              </w:rPr>
              <w:t>1%</w:t>
            </w:r>
          </w:p>
        </w:tc>
        <w:tc>
          <w:tcPr>
            <w:tcW w:type="dxa" w:w="1728"/>
          </w:tcPr>
          <w:p>
            <w:pPr>
              <w:spacing w:after="20"/>
              <w:jc w:val="right"/>
            </w:pPr>
            <w:r>
              <w:rPr>
                <w:color w:val="1C3A36"/>
                <w:sz w:val="18"/>
              </w:rPr>
              <w:t>7%</w:t>
            </w:r>
          </w:p>
        </w:tc>
        <w:tc>
          <w:tcPr>
            <w:tcW w:type="dxa" w:w="4320"/>
          </w:tcPr>
          <w:p>
            <w:pPr>
              <w:spacing w:after="20"/>
              <w:jc w:val="right"/>
            </w:pPr>
            <w:r>
              <w:rPr>
                <w:color w:val="1C3A36"/>
                <w:sz w:val="18"/>
              </w:rPr>
              <w:t>Round number; +14.7%</w:t>
            </w:r>
          </w:p>
        </w:tc>
      </w:tr>
      <w:tr>
        <w:tc>
          <w:tcPr>
            <w:tcW w:type="dxa" w:w="1728"/>
          </w:tcPr>
          <w:p>
            <w:pPr>
              <w:spacing w:after="20"/>
            </w:pPr>
            <w:r>
              <w:rPr>
                <w:b/>
                <w:color w:val="1C3A36"/>
                <w:sz w:val="18"/>
              </w:rPr>
              <w:t>48</w:t>
            </w:r>
          </w:p>
        </w:tc>
        <w:tc>
          <w:tcPr>
            <w:tcW w:type="dxa" w:w="1728"/>
          </w:tcPr>
          <w:p>
            <w:pPr>
              <w:spacing w:after="20"/>
              <w:jc w:val="right"/>
            </w:pPr>
            <w:r>
              <w:rPr>
                <w:color w:val="1C3A36"/>
                <w:sz w:val="18"/>
              </w:rPr>
              <w:t>3%</w:t>
            </w:r>
          </w:p>
        </w:tc>
        <w:tc>
          <w:tcPr>
            <w:tcW w:type="dxa" w:w="1728"/>
          </w:tcPr>
          <w:p>
            <w:pPr>
              <w:spacing w:after="20"/>
              <w:jc w:val="right"/>
            </w:pPr>
            <w:r>
              <w:rPr>
                <w:color w:val="1C3A36"/>
                <w:sz w:val="18"/>
              </w:rPr>
              <w:t>16%</w:t>
            </w:r>
          </w:p>
        </w:tc>
        <w:tc>
          <w:tcPr>
            <w:tcW w:type="dxa" w:w="4320"/>
          </w:tcPr>
          <w:p>
            <w:pPr>
              <w:spacing w:after="20"/>
              <w:jc w:val="right"/>
            </w:pPr>
            <w:r>
              <w:rPr>
                <w:color w:val="1C3A36"/>
                <w:sz w:val="18"/>
              </w:rPr>
              <w:t>Above the 52-week high</w:t>
            </w:r>
          </w:p>
        </w:tc>
      </w:tr>
      <w:tr>
        <w:tc>
          <w:tcPr>
            <w:tcW w:type="dxa" w:w="1728"/>
          </w:tcPr>
          <w:p>
            <w:pPr>
              <w:spacing w:after="20"/>
            </w:pPr>
            <w:r>
              <w:rPr>
                <w:b/>
                <w:color w:val="1C3A36"/>
                <w:sz w:val="18"/>
              </w:rPr>
              <w:t>46</w:t>
            </w:r>
          </w:p>
        </w:tc>
        <w:tc>
          <w:tcPr>
            <w:tcW w:type="dxa" w:w="1728"/>
          </w:tcPr>
          <w:p>
            <w:pPr>
              <w:spacing w:after="20"/>
              <w:jc w:val="right"/>
            </w:pPr>
            <w:r>
              <w:rPr>
                <w:color w:val="1C3A36"/>
                <w:sz w:val="18"/>
              </w:rPr>
              <w:t>15%</w:t>
            </w:r>
          </w:p>
        </w:tc>
        <w:tc>
          <w:tcPr>
            <w:tcW w:type="dxa" w:w="1728"/>
          </w:tcPr>
          <w:p>
            <w:pPr>
              <w:spacing w:after="20"/>
              <w:jc w:val="right"/>
            </w:pPr>
            <w:r>
              <w:rPr>
                <w:color w:val="1C3A36"/>
                <w:sz w:val="18"/>
              </w:rPr>
              <w:t>41%</w:t>
            </w:r>
          </w:p>
        </w:tc>
        <w:tc>
          <w:tcPr>
            <w:tcW w:type="dxa" w:w="4320"/>
          </w:tcPr>
          <w:p>
            <w:pPr>
              <w:spacing w:after="20"/>
              <w:jc w:val="right"/>
            </w:pPr>
            <w:r>
              <w:rPr>
                <w:color w:val="1C3A36"/>
                <w:sz w:val="18"/>
              </w:rPr>
              <w:t>Just past the Oct-25 high zone</w:t>
            </w:r>
          </w:p>
        </w:tc>
      </w:tr>
      <w:tr>
        <w:tc>
          <w:tcPr>
            <w:tcW w:type="dxa" w:w="1728"/>
          </w:tcPr>
          <w:p>
            <w:pPr>
              <w:spacing w:after="20"/>
            </w:pPr>
            <w:r>
              <w:rPr>
                <w:b/>
                <w:color w:val="1C3A36"/>
                <w:sz w:val="18"/>
              </w:rPr>
              <w:t>44</w:t>
            </w:r>
          </w:p>
        </w:tc>
        <w:tc>
          <w:tcPr>
            <w:tcW w:type="dxa" w:w="1728"/>
          </w:tcPr>
          <w:p>
            <w:pPr>
              <w:spacing w:after="20"/>
              <w:jc w:val="right"/>
            </w:pPr>
            <w:r>
              <w:rPr>
                <w:color w:val="1C3A36"/>
                <w:sz w:val="18"/>
              </w:rPr>
              <w:t>71%</w:t>
            </w:r>
          </w:p>
        </w:tc>
        <w:tc>
          <w:tcPr>
            <w:tcW w:type="dxa" w:w="1728"/>
          </w:tcPr>
          <w:p>
            <w:pPr>
              <w:spacing w:after="20"/>
              <w:jc w:val="right"/>
            </w:pPr>
            <w:r>
              <w:rPr>
                <w:color w:val="1C3A36"/>
                <w:sz w:val="18"/>
              </w:rPr>
              <w:t>85%</w:t>
            </w:r>
          </w:p>
        </w:tc>
        <w:tc>
          <w:tcPr>
            <w:tcW w:type="dxa" w:w="4320"/>
          </w:tcPr>
          <w:p>
            <w:pPr>
              <w:spacing w:after="20"/>
              <w:jc w:val="right"/>
            </w:pPr>
            <w:r>
              <w:rPr>
                <w:color w:val="1C3A36"/>
                <w:sz w:val="18"/>
              </w:rPr>
              <w:t>First resistance above spot</w:t>
            </w:r>
          </w:p>
        </w:tc>
      </w:tr>
      <w:tr>
        <w:tc>
          <w:tcPr>
            <w:tcW w:type="dxa" w:w="1728"/>
          </w:tcPr>
          <w:p>
            <w:pPr>
              <w:spacing w:after="20"/>
            </w:pPr>
            <w:r>
              <w:rPr>
                <w:b/>
                <w:color w:val="1C3A36"/>
                <w:sz w:val="18"/>
              </w:rPr>
              <w:t>42</w:t>
            </w:r>
          </w:p>
        </w:tc>
        <w:tc>
          <w:tcPr>
            <w:tcW w:type="dxa" w:w="1728"/>
          </w:tcPr>
          <w:p>
            <w:pPr>
              <w:spacing w:after="20"/>
              <w:jc w:val="right"/>
            </w:pPr>
            <w:r>
              <w:rPr>
                <w:color w:val="1C3A36"/>
                <w:sz w:val="18"/>
              </w:rPr>
              <w:t>26%</w:t>
            </w:r>
          </w:p>
        </w:tc>
        <w:tc>
          <w:tcPr>
            <w:tcW w:type="dxa" w:w="1728"/>
          </w:tcPr>
          <w:p>
            <w:pPr>
              <w:spacing w:after="20"/>
              <w:jc w:val="right"/>
            </w:pPr>
            <w:r>
              <w:rPr>
                <w:color w:val="1C3A36"/>
                <w:sz w:val="18"/>
              </w:rPr>
              <w:t>48%</w:t>
            </w:r>
          </w:p>
        </w:tc>
        <w:tc>
          <w:tcPr>
            <w:tcW w:type="dxa" w:w="4320"/>
          </w:tcPr>
          <w:p>
            <w:pPr>
              <w:spacing w:after="20"/>
              <w:jc w:val="right"/>
            </w:pPr>
            <w:r>
              <w:rPr>
                <w:color w:val="1C3A36"/>
                <w:sz w:val="18"/>
              </w:rPr>
              <w:t>The March base</w:t>
            </w:r>
          </w:p>
        </w:tc>
      </w:tr>
      <w:tr>
        <w:tc>
          <w:tcPr>
            <w:tcW w:type="dxa" w:w="1728"/>
          </w:tcPr>
          <w:p>
            <w:pPr>
              <w:spacing w:after="20"/>
            </w:pPr>
            <w:r>
              <w:rPr>
                <w:b/>
                <w:color w:val="1C3A36"/>
                <w:sz w:val="18"/>
              </w:rPr>
              <w:t>40</w:t>
            </w:r>
          </w:p>
        </w:tc>
        <w:tc>
          <w:tcPr>
            <w:tcW w:type="dxa" w:w="1728"/>
          </w:tcPr>
          <w:p>
            <w:pPr>
              <w:spacing w:after="20"/>
              <w:jc w:val="right"/>
            </w:pPr>
            <w:r>
              <w:rPr>
                <w:color w:val="1C3A36"/>
                <w:sz w:val="18"/>
              </w:rPr>
              <w:t>4%</w:t>
            </w:r>
          </w:p>
        </w:tc>
        <w:tc>
          <w:tcPr>
            <w:tcW w:type="dxa" w:w="1728"/>
          </w:tcPr>
          <w:p>
            <w:pPr>
              <w:spacing w:after="20"/>
              <w:jc w:val="right"/>
            </w:pPr>
            <w:r>
              <w:rPr>
                <w:color w:val="1C3A36"/>
                <w:sz w:val="18"/>
              </w:rPr>
              <w:t>16%</w:t>
            </w:r>
          </w:p>
        </w:tc>
        <w:tc>
          <w:tcPr>
            <w:tcW w:type="dxa" w:w="4320"/>
          </w:tcPr>
          <w:p>
            <w:pPr>
              <w:spacing w:after="20"/>
              <w:jc w:val="right"/>
            </w:pPr>
            <w:r>
              <w:rPr>
                <w:color w:val="1C3A36"/>
                <w:sz w:val="18"/>
              </w:rPr>
              <w:t>The 52-week-low shelf</w:t>
            </w:r>
          </w:p>
        </w:tc>
      </w:tr>
      <w:tr>
        <w:tc>
          <w:tcPr>
            <w:tcW w:type="dxa" w:w="1728"/>
          </w:tcPr>
          <w:p>
            <w:pPr>
              <w:spacing w:after="20"/>
            </w:pPr>
            <w:r>
              <w:rPr>
                <w:b/>
                <w:color w:val="1C3A36"/>
                <w:sz w:val="18"/>
              </w:rPr>
              <w:t>38</w:t>
            </w:r>
          </w:p>
        </w:tc>
        <w:tc>
          <w:tcPr>
            <w:tcW w:type="dxa" w:w="1728"/>
          </w:tcPr>
          <w:p>
            <w:pPr>
              <w:spacing w:after="20"/>
              <w:jc w:val="right"/>
            </w:pPr>
            <w:r>
              <w:rPr>
                <w:color w:val="1C3A36"/>
                <w:sz w:val="18"/>
              </w:rPr>
              <w:t>1%</w:t>
            </w:r>
          </w:p>
        </w:tc>
        <w:tc>
          <w:tcPr>
            <w:tcW w:type="dxa" w:w="1728"/>
          </w:tcPr>
          <w:p>
            <w:pPr>
              <w:spacing w:after="20"/>
              <w:jc w:val="right"/>
            </w:pPr>
            <w:r>
              <w:rPr>
                <w:color w:val="1C3A36"/>
                <w:sz w:val="18"/>
              </w:rPr>
              <w:t>5%</w:t>
            </w:r>
          </w:p>
        </w:tc>
        <w:tc>
          <w:tcPr>
            <w:tcW w:type="dxa" w:w="4320"/>
          </w:tcPr>
          <w:p>
            <w:pPr>
              <w:spacing w:after="20"/>
              <w:jc w:val="right"/>
            </w:pPr>
            <w:r>
              <w:rPr>
                <w:color w:val="1C3A36"/>
                <w:sz w:val="18"/>
              </w:rPr>
              <w:t>Stress zone</w:t>
            </w:r>
          </w:p>
        </w:tc>
      </w:tr>
      <w:tr>
        <w:tc>
          <w:tcPr>
            <w:tcW w:type="dxa" w:w="1728"/>
          </w:tcPr>
          <w:p>
            <w:pPr>
              <w:spacing w:after="20"/>
            </w:pPr>
            <w:r>
              <w:rPr>
                <w:b/>
                <w:color w:val="1C3A36"/>
                <w:sz w:val="18"/>
              </w:rPr>
              <w:t>36</w:t>
            </w:r>
          </w:p>
        </w:tc>
        <w:tc>
          <w:tcPr>
            <w:tcW w:type="dxa" w:w="1728"/>
          </w:tcPr>
          <w:p>
            <w:pPr>
              <w:spacing w:after="20"/>
              <w:jc w:val="right"/>
            </w:pPr>
            <w:r>
              <w:rPr>
                <w:color w:val="1C3A36"/>
                <w:sz w:val="18"/>
              </w:rPr>
              <w:t>0%</w:t>
            </w:r>
          </w:p>
        </w:tc>
        <w:tc>
          <w:tcPr>
            <w:tcW w:type="dxa" w:w="1728"/>
          </w:tcPr>
          <w:p>
            <w:pPr>
              <w:spacing w:after="20"/>
              <w:jc w:val="right"/>
            </w:pPr>
            <w:r>
              <w:rPr>
                <w:color w:val="1C3A36"/>
                <w:sz w:val="18"/>
              </w:rPr>
              <w:t>2%</w:t>
            </w:r>
          </w:p>
        </w:tc>
        <w:tc>
          <w:tcPr>
            <w:tcW w:type="dxa" w:w="4320"/>
          </w:tcPr>
          <w:p>
            <w:pPr>
              <w:spacing w:after="20"/>
              <w:jc w:val="right"/>
            </w:pPr>
            <w:r>
              <w:rPr>
                <w:color w:val="1C3A36"/>
                <w:sz w:val="18"/>
              </w:rPr>
              <w:t>Crisis zone</w:t>
            </w:r>
          </w:p>
        </w:tc>
      </w:tr>
    </w:tbl>
    <w:p>
      <w:pPr>
        <w:spacing w:after="40"/>
      </w:pPr>
    </w:p>
    <w:p>
      <w:pPr>
        <w:spacing w:after="120" w:before="280"/>
      </w:pPr>
      <w:r>
        <w:rPr>
          <w:b/>
          <w:i w:val="0"/>
          <w:color w:val="1C3A36"/>
          <w:sz w:val="30"/>
        </w:rPr>
        <w:t>4  Comparison of the lenses, and a verdict</w:t>
      </w:r>
    </w:p>
    <w:p>
      <w:pPr>
        <w:spacing w:after="120" w:before="0"/>
      </w:pPr>
      <w:r>
        <w:rPr>
          <w:b w:val="0"/>
          <w:i w:val="0"/>
          <w:color w:val="1C3A36"/>
          <w:sz w:val="21"/>
        </w:rPr>
        <w:t>Three readings, one coherent picture. The fundamental lenses cluster between 43 and 50 with a central of 47 — +8% versus spot — and, unusually for this series, the disagreement between them is small: the argument is not about what stc earns but about what its capex cycle and discount rate deserve. The technical picture is a flat, compressed, low-volatility base — no trend to confirm or fight. The probabilistic map says the market is likely to keep the stock within a few riyals of spot over the quarter (50% band 42–46), with a mild upside tilt from the factor stack and near-even odds either side of today’s price. Where the tension lives is §1.7: the locked dividend against the investment phase — a question the next few quarterly prints answer in cash, not in narrative.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8"/>
              </w:rPr>
              <w:t>Lens</w:t>
            </w:r>
          </w:p>
        </w:tc>
        <w:tc>
          <w:tcPr>
            <w:tcW w:type="dxa" w:w="2736"/>
            <w:shd w:val="clear" w:color="auto" w:fill="EAF0EE"/>
          </w:tcPr>
          <w:p>
            <w:pPr>
              <w:spacing w:after="20"/>
            </w:pPr>
            <w:r>
              <w:rPr>
                <w:b/>
                <w:color w:val="1C3A36"/>
                <w:sz w:val="18"/>
              </w:rPr>
              <w:t>Reads</w:t>
            </w:r>
          </w:p>
        </w:tc>
        <w:tc>
          <w:tcPr>
            <w:tcW w:type="dxa" w:w="4464"/>
            <w:shd w:val="clear" w:color="auto" w:fill="EAF0EE"/>
          </w:tcPr>
          <w:p>
            <w:pPr>
              <w:spacing w:after="20"/>
            </w:pPr>
            <w:r>
              <w:rPr>
                <w:b/>
                <w:color w:val="1C3A36"/>
                <w:sz w:val="18"/>
              </w:rPr>
              <w:t>Central / implication</w:t>
            </w:r>
          </w:p>
        </w:tc>
      </w:tr>
      <w:tr>
        <w:tc>
          <w:tcPr>
            <w:tcW w:type="dxa" w:w="2736"/>
          </w:tcPr>
          <w:p>
            <w:pPr>
              <w:spacing w:after="20"/>
            </w:pPr>
            <w:r>
              <w:rPr>
                <w:b/>
                <w:color w:val="1C3A36"/>
                <w:sz w:val="18"/>
              </w:rPr>
              <w:t>Fundamental (4-lens)</w:t>
            </w:r>
          </w:p>
        </w:tc>
        <w:tc>
          <w:tcPr>
            <w:tcW w:type="dxa" w:w="2736"/>
          </w:tcPr>
          <w:p>
            <w:pPr>
              <w:spacing w:after="20"/>
              <w:jc w:val="right"/>
            </w:pPr>
            <w:r>
              <w:rPr>
                <w:color w:val="1C3A36"/>
                <w:sz w:val="18"/>
              </w:rPr>
              <w:t>Modestly undervalued</w:t>
            </w:r>
          </w:p>
        </w:tc>
        <w:tc>
          <w:tcPr>
            <w:tcW w:type="dxa" w:w="4464"/>
          </w:tcPr>
          <w:p>
            <w:pPr>
              <w:spacing w:after="20"/>
              <w:jc w:val="right"/>
            </w:pPr>
            <w:r>
              <w:rPr>
                <w:color w:val="1C3A36"/>
                <w:sz w:val="18"/>
              </w:rPr>
              <w:t>SAR 47 (+8%)</w:t>
            </w:r>
          </w:p>
        </w:tc>
      </w:tr>
      <w:tr>
        <w:tc>
          <w:tcPr>
            <w:tcW w:type="dxa" w:w="2736"/>
          </w:tcPr>
          <w:p>
            <w:pPr>
              <w:spacing w:after="20"/>
            </w:pPr>
            <w:r>
              <w:rPr>
                <w:b/>
                <w:color w:val="1C3A36"/>
                <w:sz w:val="18"/>
              </w:rPr>
              <w:t>Technical</w:t>
            </w:r>
          </w:p>
        </w:tc>
        <w:tc>
          <w:tcPr>
            <w:tcW w:type="dxa" w:w="2736"/>
          </w:tcPr>
          <w:p>
            <w:pPr>
              <w:spacing w:after="20"/>
              <w:jc w:val="right"/>
            </w:pPr>
            <w:r>
              <w:rPr>
                <w:color w:val="1C3A36"/>
                <w:sz w:val="18"/>
              </w:rPr>
              <w:t>Flat, coiled, low-vol</w:t>
            </w:r>
          </w:p>
        </w:tc>
        <w:tc>
          <w:tcPr>
            <w:tcW w:type="dxa" w:w="4464"/>
          </w:tcPr>
          <w:p>
            <w:pPr>
              <w:spacing w:after="20"/>
              <w:jc w:val="right"/>
            </w:pPr>
            <w:r>
              <w:rPr>
                <w:color w:val="1C3A36"/>
                <w:sz w:val="18"/>
              </w:rPr>
              <w:t>Support ~42 (March base); resistance 45.4 (52w high)</w:t>
            </w:r>
          </w:p>
        </w:tc>
      </w:tr>
      <w:tr>
        <w:tc>
          <w:tcPr>
            <w:tcW w:type="dxa" w:w="2736"/>
          </w:tcPr>
          <w:p>
            <w:pPr>
              <w:spacing w:after="20"/>
            </w:pPr>
            <w:r>
              <w:rPr>
                <w:b/>
                <w:color w:val="1C3A36"/>
                <w:sz w:val="18"/>
              </w:rPr>
              <w:t>Monte Carlo (3-month)</w:t>
            </w:r>
          </w:p>
        </w:tc>
        <w:tc>
          <w:tcPr>
            <w:tcW w:type="dxa" w:w="2736"/>
          </w:tcPr>
          <w:p>
            <w:pPr>
              <w:spacing w:after="20"/>
              <w:jc w:val="right"/>
            </w:pPr>
            <w:r>
              <w:rPr>
                <w:color w:val="1C3A36"/>
                <w:sz w:val="18"/>
              </w:rPr>
              <w:t>Near-even, mild up-tilt</w:t>
            </w:r>
          </w:p>
        </w:tc>
        <w:tc>
          <w:tcPr>
            <w:tcW w:type="dxa" w:w="4464"/>
          </w:tcPr>
          <w:p>
            <w:pPr>
              <w:spacing w:after="20"/>
              <w:jc w:val="right"/>
            </w:pPr>
            <w:r>
              <w:rPr>
                <w:color w:val="1C3A36"/>
                <w:sz w:val="18"/>
              </w:rPr>
              <w:t>Median 43.9; p5–p95 39–50</w:t>
            </w:r>
          </w:p>
        </w:tc>
      </w:tr>
    </w:tbl>
    <w:p>
      <w:pPr>
        <w:spacing w:after="40"/>
      </w:pPr>
    </w:p>
    <w:p>
      <w:pPr>
        <w:spacing w:after="120" w:before="0"/>
      </w:pPr>
      <w:r>
        <w:rPr>
          <w:b/>
          <w:i w:val="0"/>
          <w:color w:val="1C3A36"/>
          <w:sz w:val="21"/>
        </w:rPr>
        <w:t xml:space="preserve">Verdict (a fair-value read, not a recommendation). </w:t>
      </w:r>
      <w:r>
        <w:rPr>
          <w:b w:val="0"/>
          <w:i w:val="0"/>
          <w:color w:val="1C3A36"/>
          <w:sz w:val="21"/>
        </w:rPr>
        <w:t>stc reads modestly undervalued (+8% to the central) with an unusually well-defined path to being proven right or wrong: hold the EBITDA margin glide, keep capex inside the guided band, and the locked 5% yield plus mid-single-digit cash-flow growth does the rest; let capex run at the top of the band through 2027 while consumer competition bites, and today’s price is fair. The lens cluster is tight enough (bear–bull 36–59 driven almost wholly by terminal arithmetic) that we would characterize the stock as a bond-like core holding with two free options — the AI-infrastructure build and the fintech/bank adjacency — rather than a re-rating story. We publish the distribution, not a target.</w:t>
      </w:r>
    </w:p>
    <w:p>
      <w:pPr>
        <w:spacing w:after="120" w:before="280"/>
      </w:pPr>
      <w:r>
        <w:rPr>
          <w:b/>
          <w:i w:val="0"/>
          <w:color w:val="1C3A36"/>
          <w:sz w:val="30"/>
        </w:rPr>
        <w:t>5  Catalysts to watch</w:t>
      </w:r>
    </w:p>
    <w:p>
      <w:pPr>
        <w:pStyle w:val="ListBullet"/>
        <w:spacing w:after="60"/>
      </w:pPr>
      <w:r>
        <w:rPr>
          <w:b/>
          <w:color w:val="1C3A36"/>
          <w:sz w:val="21"/>
        </w:rPr>
        <w:t xml:space="preserve">2Q26 results (~late July 2026). </w:t>
      </w:r>
      <w:r>
        <w:rPr>
          <w:color w:val="1C3A36"/>
          <w:sz w:val="21"/>
        </w:rPr>
        <w:t>The first full quarter to show whether Q1’s cash-flow inflection (FCF 3.9 bn, 1.4× the quarterly dividend) is a run-rate or a blip; watch enterprise revenue (mega-project phasing) and capex phasing.</w:t>
      </w:r>
    </w:p>
    <w:p>
      <w:pPr>
        <w:pStyle w:val="ListBullet"/>
        <w:spacing w:after="60"/>
      </w:pPr>
      <w:r>
        <w:rPr>
          <w:b/>
          <w:color w:val="1C3A36"/>
          <w:sz w:val="21"/>
        </w:rPr>
        <w:t xml:space="preserve">Quarterly dividend declarations. </w:t>
      </w:r>
      <w:r>
        <w:rPr>
          <w:color w:val="1C3A36"/>
          <w:sz w:val="21"/>
        </w:rPr>
        <w:t>SAR 0.55 is policy through Q3-2027 — the information is in any SPECIAL distribution (the policy explicitly allows quarterly assessment; FY24 paid SAR 2.00). A special would mechanically re-rate the DDM lens; its absence through 2026 keeps the balance sheet funding the build.</w:t>
      </w:r>
    </w:p>
    <w:p>
      <w:pPr>
        <w:pStyle w:val="ListBullet"/>
        <w:spacing w:after="60"/>
      </w:pPr>
      <w:r>
        <w:rPr>
          <w:b/>
          <w:color w:val="1C3A36"/>
          <w:sz w:val="21"/>
        </w:rPr>
        <w:t xml:space="preserve">SAMA/Fed decisions (Sep/Oct 2026). </w:t>
      </w:r>
      <w:r>
        <w:rPr>
          <w:color w:val="1C3A36"/>
          <w:sz w:val="21"/>
        </w:rPr>
        <w:t>Each 25–50 bp off the Saudi curve lowers this study’s discount rate and the marginal cost of the sukuk-funded infrastructure build — the single most mechanical catalyst.</w:t>
      </w:r>
    </w:p>
    <w:p>
      <w:pPr>
        <w:pStyle w:val="ListBullet"/>
        <w:spacing w:after="60"/>
      </w:pPr>
      <w:r>
        <w:rPr>
          <w:b/>
          <w:color w:val="1C3A36"/>
          <w:sz w:val="21"/>
        </w:rPr>
        <w:t xml:space="preserve">center3–HUMAIN milestones. </w:t>
      </w:r>
      <w:r>
        <w:rPr>
          <w:color w:val="1C3A36"/>
          <w:sz w:val="21"/>
        </w:rPr>
        <w:t>The 1 GW AI-data-centre ambition (framework Dec-2025) converts to value only as contracted megawatts and disclosed economics; any capacity/offtake announcement is the option going in-the-money.</w:t>
      </w:r>
    </w:p>
    <w:p>
      <w:pPr>
        <w:pStyle w:val="ListBullet"/>
        <w:spacing w:after="60"/>
      </w:pPr>
      <w:r>
        <w:rPr>
          <w:b/>
          <w:color w:val="1C3A36"/>
          <w:sz w:val="21"/>
        </w:rPr>
        <w:t xml:space="preserve">TAWAL/DIIC monetization. </w:t>
      </w:r>
      <w:r>
        <w:rPr>
          <w:color w:val="1C3A36"/>
          <w:sz w:val="21"/>
        </w:rPr>
        <w:t>stc still owns 43.06% of the region’s largest tower company; an IPO or stake sale would crystallize a mark this study carries at a conservative SAR 4.6 bn book. Speculation only — nothing announced.</w:t>
      </w:r>
    </w:p>
    <w:p>
      <w:pPr>
        <w:pStyle w:val="ListBullet"/>
        <w:spacing w:after="60"/>
      </w:pPr>
      <w:r>
        <w:rPr>
          <w:b/>
          <w:color w:val="1C3A36"/>
          <w:sz w:val="21"/>
        </w:rPr>
        <w:t xml:space="preserve">KSA mobile competitive prints. </w:t>
      </w:r>
      <w:r>
        <w:rPr>
          <w:color w:val="1C3A36"/>
          <w:sz w:val="21"/>
        </w:rPr>
        <w:t>Mobily’s subscriber momentum vs stc’s +5.3%; a price response from any of the three would show first in consumer ARPU-proxy (CBU revenue per sub).</w:t>
      </w:r>
    </w:p>
    <w:p>
      <w:pPr>
        <w:pStyle w:val="ListBullet"/>
        <w:spacing w:after="60"/>
      </w:pPr>
      <w:r>
        <w:rPr>
          <w:b/>
          <w:color w:val="1C3A36"/>
          <w:sz w:val="21"/>
        </w:rPr>
        <w:t xml:space="preserve">Telefónica. </w:t>
      </w:r>
      <w:r>
        <w:rPr>
          <w:color w:val="1C3A36"/>
          <w:sz w:val="21"/>
        </w:rPr>
        <w:t>The 9.97% stake (€2.1 bn cost) trades ≈7% below cost with a halved dividend; further deterioration is a mark-to-market drag, any Spanish-market recovery a small tailwind — the stake is ~3.5% of the DCF equity bridge.</w:t>
      </w:r>
    </w:p>
    <w:p>
      <w:pPr>
        <w:pStyle w:val="ListBullet"/>
        <w:spacing w:after="60"/>
      </w:pPr>
      <w:r>
        <w:rPr>
          <w:b/>
          <w:color w:val="1C3A36"/>
          <w:sz w:val="21"/>
        </w:rPr>
        <w:t xml:space="preserve">Index / flow events. </w:t>
      </w:r>
      <w:r>
        <w:rPr>
          <w:color w:val="1C3A36"/>
          <w:sz w:val="21"/>
        </w:rPr>
        <w:t>PIF sold 2% in Nov-2024 at SAR 38.6 (float now ~38%); any further sell-down is a supply event, any float-driven index-weight uplift a demand event.</w:t>
      </w:r>
    </w:p>
    <w:p>
      <w:pPr>
        <w:spacing w:after="120" w:before="280"/>
      </w:pPr>
      <w:r>
        <w:rPr>
          <w:b/>
          <w:i w:val="0"/>
          <w:color w:val="1C3A36"/>
          <w:sz w:val="30"/>
        </w:rPr>
        <w:t>6  Reading the probability zones</w:t>
      </w:r>
    </w:p>
    <w:p>
      <w:pPr>
        <w:spacing w:after="120" w:before="0"/>
      </w:pPr>
      <w:r>
        <w:rPr>
          <w:b w:val="0"/>
          <w:i w:val="0"/>
          <w:color w:val="1C3A36"/>
          <w:sz w:val="21"/>
        </w:rPr>
        <w:t>Translating the three-month distribution into plain zones, anchored on spot SAR 43.58 and the fair-value cluster: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8"/>
              </w:rPr>
              <w:t>Zone (T+60)</w:t>
            </w:r>
          </w:p>
        </w:tc>
        <w:tc>
          <w:tcPr>
            <w:tcW w:type="dxa" w:w="1872"/>
            <w:shd w:val="clear" w:color="auto" w:fill="EAF0EE"/>
          </w:tcPr>
          <w:p>
            <w:pPr>
              <w:spacing w:after="20"/>
            </w:pPr>
            <w:r>
              <w:rPr>
                <w:b/>
                <w:color w:val="1C3A36"/>
                <w:sz w:val="18"/>
              </w:rPr>
              <w:t>Range</w:t>
            </w:r>
          </w:p>
        </w:tc>
        <w:tc>
          <w:tcPr>
            <w:tcW w:type="dxa" w:w="2160"/>
            <w:shd w:val="clear" w:color="auto" w:fill="EAF0EE"/>
          </w:tcPr>
          <w:p>
            <w:pPr>
              <w:spacing w:after="20"/>
            </w:pPr>
            <w:r>
              <w:rPr>
                <w:b/>
                <w:color w:val="1C3A36"/>
                <w:sz w:val="18"/>
              </w:rPr>
              <w:t>Approx. probability</w:t>
            </w:r>
          </w:p>
        </w:tc>
        <w:tc>
          <w:tcPr>
            <w:tcW w:type="dxa" w:w="3744"/>
            <w:shd w:val="clear" w:color="auto" w:fill="EAF0EE"/>
          </w:tcPr>
          <w:p>
            <w:pPr>
              <w:spacing w:after="20"/>
            </w:pPr>
            <w:r>
              <w:rPr>
                <w:b/>
                <w:color w:val="1C3A36"/>
                <w:sz w:val="18"/>
              </w:rPr>
              <w:t>What it would mean</w:t>
            </w:r>
          </w:p>
        </w:tc>
      </w:tr>
      <w:tr>
        <w:tc>
          <w:tcPr>
            <w:tcW w:type="dxa" w:w="2160"/>
          </w:tcPr>
          <w:p>
            <w:pPr>
              <w:spacing w:after="20"/>
            </w:pPr>
            <w:r>
              <w:rPr>
                <w:b/>
                <w:color w:val="1C3A36"/>
                <w:sz w:val="18"/>
              </w:rPr>
              <w:t>Deep downside</w:t>
            </w:r>
          </w:p>
        </w:tc>
        <w:tc>
          <w:tcPr>
            <w:tcW w:type="dxa" w:w="1872"/>
          </w:tcPr>
          <w:p>
            <w:pPr>
              <w:spacing w:after="20"/>
              <w:jc w:val="right"/>
            </w:pPr>
            <w:r>
              <w:rPr>
                <w:color w:val="1C3A36"/>
                <w:sz w:val="18"/>
              </w:rPr>
              <w:t>&lt; SAR 38</w:t>
            </w:r>
          </w:p>
        </w:tc>
        <w:tc>
          <w:tcPr>
            <w:tcW w:type="dxa" w:w="2160"/>
          </w:tcPr>
          <w:p>
            <w:pPr>
              <w:spacing w:after="20"/>
              <w:jc w:val="right"/>
            </w:pPr>
            <w:r>
              <w:rPr>
                <w:color w:val="1C3A36"/>
                <w:sz w:val="18"/>
              </w:rPr>
              <w:t>~3%</w:t>
            </w:r>
          </w:p>
        </w:tc>
        <w:tc>
          <w:tcPr>
            <w:tcW w:type="dxa" w:w="3744"/>
          </w:tcPr>
          <w:p>
            <w:pPr>
              <w:spacing w:after="20"/>
              <w:jc w:val="right"/>
            </w:pPr>
            <w:r>
              <w:rPr>
                <w:color w:val="1C3A36"/>
                <w:sz w:val="18"/>
              </w:rPr>
              <w:t>Regional shock / price war; below the 52-week low</w:t>
            </w:r>
          </w:p>
        </w:tc>
      </w:tr>
      <w:tr>
        <w:tc>
          <w:tcPr>
            <w:tcW w:type="dxa" w:w="2160"/>
          </w:tcPr>
          <w:p>
            <w:pPr>
              <w:spacing w:after="20"/>
            </w:pPr>
            <w:r>
              <w:rPr>
                <w:b/>
                <w:color w:val="1C3A36"/>
                <w:sz w:val="18"/>
              </w:rPr>
              <w:t>Lower band</w:t>
            </w:r>
          </w:p>
        </w:tc>
        <w:tc>
          <w:tcPr>
            <w:tcW w:type="dxa" w:w="1872"/>
          </w:tcPr>
          <w:p>
            <w:pPr>
              <w:spacing w:after="20"/>
              <w:jc w:val="right"/>
            </w:pPr>
            <w:r>
              <w:rPr>
                <w:color w:val="1C3A36"/>
                <w:sz w:val="18"/>
              </w:rPr>
              <w:t>SAR 38–42</w:t>
            </w:r>
          </w:p>
        </w:tc>
        <w:tc>
          <w:tcPr>
            <w:tcW w:type="dxa" w:w="2160"/>
          </w:tcPr>
          <w:p>
            <w:pPr>
              <w:spacing w:after="20"/>
              <w:jc w:val="right"/>
            </w:pPr>
            <w:r>
              <w:rPr>
                <w:color w:val="1C3A36"/>
                <w:sz w:val="18"/>
              </w:rPr>
              <w:t>~22%</w:t>
            </w:r>
          </w:p>
        </w:tc>
        <w:tc>
          <w:tcPr>
            <w:tcW w:type="dxa" w:w="3744"/>
          </w:tcPr>
          <w:p>
            <w:pPr>
              <w:spacing w:after="20"/>
              <w:jc w:val="right"/>
            </w:pPr>
            <w:r>
              <w:rPr>
                <w:color w:val="1C3A36"/>
                <w:sz w:val="18"/>
              </w:rPr>
              <w:t>Capex runs hot, cover stays sub-1×; March base retested</w:t>
            </w:r>
          </w:p>
        </w:tc>
      </w:tr>
      <w:tr>
        <w:tc>
          <w:tcPr>
            <w:tcW w:type="dxa" w:w="2160"/>
          </w:tcPr>
          <w:p>
            <w:pPr>
              <w:spacing w:after="20"/>
            </w:pPr>
            <w:r>
              <w:rPr>
                <w:b/>
                <w:color w:val="1C3A36"/>
                <w:sz w:val="18"/>
              </w:rPr>
              <w:t>Around spot</w:t>
            </w:r>
          </w:p>
        </w:tc>
        <w:tc>
          <w:tcPr>
            <w:tcW w:type="dxa" w:w="1872"/>
          </w:tcPr>
          <w:p>
            <w:pPr>
              <w:spacing w:after="20"/>
              <w:jc w:val="right"/>
            </w:pPr>
            <w:r>
              <w:rPr>
                <w:color w:val="1C3A36"/>
                <w:sz w:val="18"/>
              </w:rPr>
              <w:t>SAR 42–46</w:t>
            </w:r>
          </w:p>
        </w:tc>
        <w:tc>
          <w:tcPr>
            <w:tcW w:type="dxa" w:w="2160"/>
          </w:tcPr>
          <w:p>
            <w:pPr>
              <w:spacing w:after="20"/>
              <w:jc w:val="right"/>
            </w:pPr>
            <w:r>
              <w:rPr>
                <w:color w:val="1C3A36"/>
                <w:sz w:val="18"/>
              </w:rPr>
              <w:t>~52%</w:t>
            </w:r>
          </w:p>
        </w:tc>
        <w:tc>
          <w:tcPr>
            <w:tcW w:type="dxa" w:w="3744"/>
          </w:tcPr>
          <w:p>
            <w:pPr>
              <w:spacing w:after="20"/>
              <w:jc w:val="right"/>
            </w:pPr>
            <w:r>
              <w:rPr>
                <w:color w:val="1C3A36"/>
                <w:sz w:val="18"/>
              </w:rPr>
              <w:t>Status quo: yield carries the return; ~52% of all paths</w:t>
            </w:r>
          </w:p>
        </w:tc>
      </w:tr>
      <w:tr>
        <w:tc>
          <w:tcPr>
            <w:tcW w:type="dxa" w:w="2160"/>
          </w:tcPr>
          <w:p>
            <w:pPr>
              <w:spacing w:after="20"/>
            </w:pPr>
            <w:r>
              <w:rPr>
                <w:b/>
                <w:color w:val="1C3A36"/>
                <w:sz w:val="18"/>
              </w:rPr>
              <w:t>Upper band</w:t>
            </w:r>
          </w:p>
        </w:tc>
        <w:tc>
          <w:tcPr>
            <w:tcW w:type="dxa" w:w="1872"/>
          </w:tcPr>
          <w:p>
            <w:pPr>
              <w:spacing w:after="20"/>
              <w:jc w:val="right"/>
            </w:pPr>
            <w:r>
              <w:rPr>
                <w:color w:val="1C3A36"/>
                <w:sz w:val="18"/>
              </w:rPr>
              <w:t>SAR 46–50</w:t>
            </w:r>
          </w:p>
        </w:tc>
        <w:tc>
          <w:tcPr>
            <w:tcW w:type="dxa" w:w="2160"/>
          </w:tcPr>
          <w:p>
            <w:pPr>
              <w:spacing w:after="20"/>
              <w:jc w:val="right"/>
            </w:pPr>
            <w:r>
              <w:rPr>
                <w:color w:val="1C3A36"/>
                <w:sz w:val="18"/>
              </w:rPr>
              <w:t>~19%</w:t>
            </w:r>
          </w:p>
        </w:tc>
        <w:tc>
          <w:tcPr>
            <w:tcW w:type="dxa" w:w="3744"/>
          </w:tcPr>
          <w:p>
            <w:pPr>
              <w:spacing w:after="20"/>
              <w:jc w:val="right"/>
            </w:pPr>
            <w:r>
              <w:rPr>
                <w:color w:val="1C3A36"/>
                <w:sz w:val="18"/>
              </w:rPr>
              <w:t>Cover proven / cuts delivered; presses the 52-week high</w:t>
            </w:r>
          </w:p>
        </w:tc>
      </w:tr>
      <w:tr>
        <w:tc>
          <w:tcPr>
            <w:tcW w:type="dxa" w:w="2160"/>
          </w:tcPr>
          <w:p>
            <w:pPr>
              <w:spacing w:after="20"/>
            </w:pPr>
            <w:r>
              <w:rPr>
                <w:b/>
                <w:color w:val="1C3A36"/>
                <w:sz w:val="18"/>
              </w:rPr>
              <w:t>Strong upside</w:t>
            </w:r>
          </w:p>
        </w:tc>
        <w:tc>
          <w:tcPr>
            <w:tcW w:type="dxa" w:w="1872"/>
          </w:tcPr>
          <w:p>
            <w:pPr>
              <w:spacing w:after="20"/>
              <w:jc w:val="right"/>
            </w:pPr>
            <w:r>
              <w:rPr>
                <w:color w:val="1C3A36"/>
                <w:sz w:val="18"/>
              </w:rPr>
              <w:t>&gt; SAR 50</w:t>
            </w:r>
          </w:p>
        </w:tc>
        <w:tc>
          <w:tcPr>
            <w:tcW w:type="dxa" w:w="2160"/>
          </w:tcPr>
          <w:p>
            <w:pPr>
              <w:spacing w:after="20"/>
              <w:jc w:val="right"/>
            </w:pPr>
            <w:r>
              <w:rPr>
                <w:color w:val="1C3A36"/>
                <w:sz w:val="18"/>
              </w:rPr>
              <w:t>~4%</w:t>
            </w:r>
          </w:p>
        </w:tc>
        <w:tc>
          <w:tcPr>
            <w:tcW w:type="dxa" w:w="3744"/>
          </w:tcPr>
          <w:p>
            <w:pPr>
              <w:spacing w:after="20"/>
              <w:jc w:val="right"/>
            </w:pPr>
            <w:r>
              <w:rPr>
                <w:color w:val="1C3A36"/>
                <w:sz w:val="18"/>
              </w:rPr>
              <w:t>Special dividend or AI-build monetization credited</w:t>
            </w:r>
          </w:p>
        </w:tc>
      </w:tr>
    </w:tbl>
    <w:p>
      <w:pPr>
        <w:spacing w:after="40"/>
      </w:pPr>
    </w:p>
    <w:p>
      <w:pPr>
        <w:spacing w:after="120" w:before="0"/>
      </w:pPr>
      <w:r>
        <w:rPr>
          <w:b w:val="0"/>
          <w:i w:val="0"/>
          <w:color w:val="1C3A36"/>
          <w:sz w:val="21"/>
        </w:rPr>
        <w:t>The distribution is mildly right-skewed — the touch ladder shows a 17% chance of tagging +10% at some point against 11% for −10% — but the mass is concentrated: more than half of all paths finish within ±SAR 2.5 of spot. That concentration is the calm-regime HAR width, not a view; a volatility-regime shift would widen the cone mechanically at the next quarterly re-run.</w:t>
      </w:r>
    </w:p>
    <w:p>
      <w:pPr>
        <w:spacing w:after="120" w:before="280"/>
      </w:pPr>
      <w:r>
        <w:rPr>
          <w:b/>
          <w:i w:val="0"/>
          <w:color w:val="1C3A36"/>
          <w:sz w:val="30"/>
        </w:rPr>
        <w:t>7  Caveats and what would change our mind</w:t>
      </w:r>
    </w:p>
    <w:p>
      <w:pPr>
        <w:pStyle w:val="ListBullet"/>
        <w:spacing w:after="60"/>
      </w:pPr>
      <w:r>
        <w:rPr>
          <w:b/>
          <w:color w:val="1C3A36"/>
          <w:sz w:val="21"/>
        </w:rPr>
        <w:t xml:space="preserve">The dividend-vs-capex tension is the model. </w:t>
      </w:r>
      <w:r>
        <w:rPr>
          <w:color w:val="1C3A36"/>
          <w:sz w:val="21"/>
        </w:rPr>
        <w:t>The FY26E cover of 0.86–1.04× is an estimate built on management’s own capex band and our margin glide; two consecutive quarters of FCF below the SAR 2.74 bn quarterly dividend bill would push the DDM lens toward its bear case and the balance sheet toward releveraging — watch the quarterly FCF line, not the payout announcements.</w:t>
      </w:r>
    </w:p>
    <w:p>
      <w:pPr>
        <w:pStyle w:val="ListBullet"/>
        <w:spacing w:after="60"/>
      </w:pPr>
      <w:r>
        <w:rPr>
          <w:b/>
          <w:color w:val="1C3A36"/>
          <w:sz w:val="21"/>
        </w:rPr>
        <w:t xml:space="preserve">Terminal-value dependency. </w:t>
      </w:r>
      <w:r>
        <w:rPr>
          <w:color w:val="1C3A36"/>
          <w:sz w:val="21"/>
        </w:rPr>
        <w:t>80% of the DCF’s enterprise value is terminal at a 5.1-point WACC−g spread; §1.9 is the honest statement that this valuation is substantially a duration bet on Saudi discount rates.</w:t>
      </w:r>
    </w:p>
    <w:p>
      <w:pPr>
        <w:pStyle w:val="ListBullet"/>
        <w:spacing w:after="60"/>
      </w:pPr>
      <w:r>
        <w:rPr>
          <w:b/>
          <w:color w:val="1C3A36"/>
          <w:sz w:val="21"/>
        </w:rPr>
        <w:t xml:space="preserve">The risk-free rate is derived, and the beta is short-window. </w:t>
      </w:r>
      <w:r>
        <w:rPr>
          <w:color w:val="1C3A36"/>
          <w:sz w:val="21"/>
        </w:rPr>
        <w:t>The 5.5% rf triangulates a government-guaranteed USD print plus an officially documented SAR pickup — a screen-quoted SAR 10Y, when accessible, replaces it. The 0.48 beta passes the house gate on nine weeks of data; a 2–5-year weekly regression should replace it, and §1.9 shows the valuation at every beta to 1.2. Both are logged as open flags.</w:t>
      </w:r>
    </w:p>
    <w:p>
      <w:pPr>
        <w:pStyle w:val="ListBullet"/>
        <w:spacing w:after="60"/>
      </w:pPr>
      <w:r>
        <w:rPr>
          <w:b/>
          <w:color w:val="1C3A36"/>
          <w:sz w:val="21"/>
        </w:rPr>
        <w:t xml:space="preserve">Competition is the slow leak. </w:t>
      </w:r>
      <w:r>
        <w:rPr>
          <w:color w:val="1C3A36"/>
          <w:sz w:val="21"/>
        </w:rPr>
        <w:t>stc’s consumer growth (+3%) already trails Mobily’s subscriber momentum; a price war in KSA mobile — three players, one regulator, heavy 5G capacity — is the scenario in which the margin glide reverses and every lens compresses toward the normalized floor.</w:t>
      </w:r>
    </w:p>
    <w:p>
      <w:pPr>
        <w:pStyle w:val="ListBullet"/>
        <w:spacing w:after="60"/>
      </w:pPr>
      <w:r>
        <w:rPr>
          <w:b/>
          <w:color w:val="1C3A36"/>
          <w:sz w:val="21"/>
        </w:rPr>
        <w:t xml:space="preserve">The subsidiary portfolio is an investment phase, not yet a return. </w:t>
      </w:r>
      <w:r>
        <w:rPr>
          <w:color w:val="1C3A36"/>
          <w:sz w:val="21"/>
        </w:rPr>
        <w:t>stc bank (8 mn customers, SAMA-licensed Jan-2025), center3, SCCC and iot squared are guided to turn contribution-positive from 2026; if they stay dilutive through FY27, the margin glide to 32.5% is wrong by construction.</w:t>
      </w:r>
    </w:p>
    <w:p>
      <w:pPr>
        <w:pStyle w:val="ListBullet"/>
        <w:spacing w:after="60"/>
      </w:pPr>
      <w:r>
        <w:rPr>
          <w:b/>
          <w:color w:val="1C3A36"/>
          <w:sz w:val="21"/>
        </w:rPr>
        <w:t xml:space="preserve">The stake marks are point-in-time. </w:t>
      </w:r>
      <w:r>
        <w:rPr>
          <w:color w:val="1C3A36"/>
          <w:sz w:val="21"/>
        </w:rPr>
        <w:t>Telefónica (9.97%) is marked at market (≈SAR 8.6 bn, ~7% below cost) and the tower stake at carrying value (SAR 4.6 bn) — the former moves daily, the latter is conservative against any transaction mark; together they are ~5% of the bridge.</w:t>
      </w:r>
    </w:p>
    <w:p>
      <w:pPr>
        <w:pStyle w:val="ListBullet"/>
        <w:spacing w:after="60"/>
      </w:pPr>
      <w:r>
        <w:rPr>
          <w:b/>
          <w:color w:val="1C3A36"/>
          <w:sz w:val="21"/>
        </w:rPr>
        <w:t xml:space="preserve">OCF conversion. </w:t>
      </w:r>
      <w:r>
        <w:rPr>
          <w:color w:val="1C3A36"/>
          <w:sz w:val="21"/>
        </w:rPr>
        <w:t>Reported FY25 FCF (6.5 bn) ran well below model FCFF on receivables build and one-off cash items; we model an explicit conversion drag, but a government-receivables cycle that widens rather than narrows would make even the 0.86× bear cover optimistic.</w:t>
      </w:r>
    </w:p>
    <w:p>
      <w:pPr>
        <w:pStyle w:val="ListBullet"/>
        <w:spacing w:after="60"/>
      </w:pPr>
      <w:r>
        <w:rPr>
          <w:b/>
          <w:color w:val="1C3A36"/>
          <w:sz w:val="21"/>
        </w:rPr>
        <w:t xml:space="preserve">Technical reminder. </w:t>
      </w:r>
      <w:r>
        <w:rPr>
          <w:color w:val="1C3A36"/>
          <w:sz w:val="21"/>
        </w:rPr>
        <w:t>A compressed, low-volatility tape can break either way; the narrow cone in §3 is a regime read, not a promise. The technical section is context, not a trigger.</w:t>
      </w:r>
    </w:p>
    <w:p>
      <w:pPr>
        <w:spacing w:after="120" w:before="280"/>
      </w:pPr>
      <w:r>
        <w:rPr>
          <w:b/>
          <w:i w:val="0"/>
          <w:color w:val="1C3A36"/>
          <w:sz w:val="30"/>
        </w:rPr>
        <w:t>Appendix A  Financial statements</w:t>
      </w:r>
    </w:p>
    <w:p>
      <w:pPr>
        <w:spacing w:after="120" w:before="0"/>
      </w:pPr>
      <w:r>
        <w:rPr>
          <w:b w:val="0"/>
          <w:i w:val="0"/>
          <w:color w:val="1C3A36"/>
          <w:sz w:val="21"/>
        </w:rPr>
        <w:t>Consolidated figures as disclosed by stc — FY2023–FY2025 IR releases on the restated continuing-operations basis (TAWAL and Digital Infrastructure Co reclassified to discontinued operations), Q1-2026 release and interim FS — all from stc.com, per the study’s sourcing rule. SAR million. The five-year forecast is the model build (companion Excel, formula-linked to Assumptions).</w:t>
      </w:r>
    </w:p>
    <w:p>
      <w:pPr>
        <w:spacing w:after="80" w:before="200"/>
      </w:pPr>
      <w:r>
        <w:rPr>
          <w:b/>
          <w:i w:val="0"/>
          <w:color w:val="1C3A36"/>
          <w:sz w:val="24"/>
        </w:rPr>
        <w:t>A.1  Income statement — 3-year historical + 5-year forecast (consolidated, SAR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952"/>
            <w:shd w:val="clear" w:color="auto" w:fill="EAF0EE"/>
          </w:tcPr>
          <w:p>
            <w:pPr>
              <w:spacing w:after="20"/>
            </w:pPr>
            <w:r>
              <w:rPr>
                <w:b/>
                <w:color w:val="1C3A36"/>
                <w:sz w:val="16"/>
              </w:rPr>
              <w:t>Line</w:t>
            </w:r>
          </w:p>
        </w:tc>
        <w:tc>
          <w:tcPr>
            <w:tcW w:type="dxa" w:w="886"/>
            <w:shd w:val="clear" w:color="auto" w:fill="EAF0EE"/>
          </w:tcPr>
          <w:p>
            <w:pPr>
              <w:spacing w:after="20"/>
            </w:pPr>
            <w:r>
              <w:rPr>
                <w:b/>
                <w:color w:val="1C3A36"/>
                <w:sz w:val="16"/>
              </w:rPr>
              <w:t>FY23</w:t>
            </w:r>
          </w:p>
        </w:tc>
        <w:tc>
          <w:tcPr>
            <w:tcW w:type="dxa" w:w="886"/>
            <w:shd w:val="clear" w:color="auto" w:fill="EAF0EE"/>
          </w:tcPr>
          <w:p>
            <w:pPr>
              <w:spacing w:after="20"/>
            </w:pPr>
            <w:r>
              <w:rPr>
                <w:b/>
                <w:color w:val="1C3A36"/>
                <w:sz w:val="16"/>
              </w:rPr>
              <w:t>FY24</w:t>
            </w:r>
          </w:p>
        </w:tc>
        <w:tc>
          <w:tcPr>
            <w:tcW w:type="dxa" w:w="886"/>
            <w:shd w:val="clear" w:color="auto" w:fill="EAF0EE"/>
          </w:tcPr>
          <w:p>
            <w:pPr>
              <w:spacing w:after="20"/>
            </w:pPr>
            <w:r>
              <w:rPr>
                <w:b/>
                <w:color w:val="1C3A36"/>
                <w:sz w:val="16"/>
              </w:rPr>
              <w:t>FY25</w:t>
            </w:r>
          </w:p>
        </w:tc>
        <w:tc>
          <w:tcPr>
            <w:tcW w:type="dxa" w:w="886"/>
            <w:shd w:val="clear" w:color="auto" w:fill="EAF0EE"/>
          </w:tcPr>
          <w:p>
            <w:pPr>
              <w:spacing w:after="20"/>
            </w:pPr>
            <w:r>
              <w:rPr>
                <w:b/>
                <w:color w:val="1C3A36"/>
                <w:sz w:val="16"/>
              </w:rPr>
              <w:t>FY26E</w:t>
            </w:r>
          </w:p>
        </w:tc>
        <w:tc>
          <w:tcPr>
            <w:tcW w:type="dxa" w:w="886"/>
            <w:shd w:val="clear" w:color="auto" w:fill="EAF0EE"/>
          </w:tcPr>
          <w:p>
            <w:pPr>
              <w:spacing w:after="20"/>
            </w:pPr>
            <w:r>
              <w:rPr>
                <w:b/>
                <w:color w:val="1C3A36"/>
                <w:sz w:val="16"/>
              </w:rPr>
              <w:t>FY27E</w:t>
            </w:r>
          </w:p>
        </w:tc>
        <w:tc>
          <w:tcPr>
            <w:tcW w:type="dxa" w:w="886"/>
            <w:shd w:val="clear" w:color="auto" w:fill="EAF0EE"/>
          </w:tcPr>
          <w:p>
            <w:pPr>
              <w:spacing w:after="20"/>
            </w:pPr>
            <w:r>
              <w:rPr>
                <w:b/>
                <w:color w:val="1C3A36"/>
                <w:sz w:val="16"/>
              </w:rPr>
              <w:t>FY28E</w:t>
            </w:r>
          </w:p>
        </w:tc>
        <w:tc>
          <w:tcPr>
            <w:tcW w:type="dxa" w:w="886"/>
            <w:shd w:val="clear" w:color="auto" w:fill="EAF0EE"/>
          </w:tcPr>
          <w:p>
            <w:pPr>
              <w:spacing w:after="20"/>
            </w:pPr>
            <w:r>
              <w:rPr>
                <w:b/>
                <w:color w:val="1C3A36"/>
                <w:sz w:val="16"/>
              </w:rPr>
              <w:t>FY29E</w:t>
            </w:r>
          </w:p>
        </w:tc>
        <w:tc>
          <w:tcPr>
            <w:tcW w:type="dxa" w:w="886"/>
            <w:shd w:val="clear" w:color="auto" w:fill="EAF0EE"/>
          </w:tcPr>
          <w:p>
            <w:pPr>
              <w:spacing w:after="20"/>
            </w:pPr>
            <w:r>
              <w:rPr>
                <w:b/>
                <w:color w:val="1C3A36"/>
                <w:sz w:val="16"/>
              </w:rPr>
              <w:t>FY30E</w:t>
            </w:r>
          </w:p>
        </w:tc>
      </w:tr>
      <w:tr>
        <w:tc>
          <w:tcPr>
            <w:tcW w:type="dxa" w:w="2952"/>
          </w:tcPr>
          <w:p>
            <w:pPr>
              <w:spacing w:after="20"/>
            </w:pPr>
            <w:r>
              <w:rPr>
                <w:b/>
                <w:color w:val="1C3A36"/>
                <w:sz w:val="16"/>
              </w:rPr>
              <w:t>Revenue</w:t>
            </w:r>
          </w:p>
        </w:tc>
        <w:tc>
          <w:tcPr>
            <w:tcW w:type="dxa" w:w="886"/>
          </w:tcPr>
          <w:p>
            <w:pPr>
              <w:spacing w:after="20"/>
              <w:jc w:val="right"/>
            </w:pPr>
            <w:r>
              <w:rPr>
                <w:color w:val="1C3A36"/>
                <w:sz w:val="16"/>
              </w:rPr>
              <w:t>71,777</w:t>
            </w:r>
          </w:p>
        </w:tc>
        <w:tc>
          <w:tcPr>
            <w:tcW w:type="dxa" w:w="886"/>
          </w:tcPr>
          <w:p>
            <w:pPr>
              <w:spacing w:after="20"/>
              <w:jc w:val="right"/>
            </w:pPr>
            <w:r>
              <w:rPr>
                <w:color w:val="1C3A36"/>
                <w:sz w:val="16"/>
              </w:rPr>
              <w:t>75,893</w:t>
            </w:r>
          </w:p>
        </w:tc>
        <w:tc>
          <w:tcPr>
            <w:tcW w:type="dxa" w:w="886"/>
          </w:tcPr>
          <w:p>
            <w:pPr>
              <w:spacing w:after="20"/>
              <w:jc w:val="right"/>
            </w:pPr>
            <w:r>
              <w:rPr>
                <w:color w:val="1C3A36"/>
                <w:sz w:val="16"/>
              </w:rPr>
              <w:t>77,819</w:t>
            </w:r>
          </w:p>
        </w:tc>
        <w:tc>
          <w:tcPr>
            <w:tcW w:type="dxa" w:w="886"/>
          </w:tcPr>
          <w:p>
            <w:pPr>
              <w:spacing w:after="20"/>
              <w:jc w:val="right"/>
            </w:pPr>
            <w:r>
              <w:rPr>
                <w:color w:val="1C3A36"/>
                <w:sz w:val="16"/>
              </w:rPr>
              <w:t>80,963</w:t>
            </w:r>
          </w:p>
        </w:tc>
        <w:tc>
          <w:tcPr>
            <w:tcW w:type="dxa" w:w="886"/>
          </w:tcPr>
          <w:p>
            <w:pPr>
              <w:spacing w:after="20"/>
              <w:jc w:val="right"/>
            </w:pPr>
            <w:r>
              <w:rPr>
                <w:color w:val="1C3A36"/>
                <w:sz w:val="16"/>
              </w:rPr>
              <w:t>84,287</w:t>
            </w:r>
          </w:p>
        </w:tc>
        <w:tc>
          <w:tcPr>
            <w:tcW w:type="dxa" w:w="886"/>
          </w:tcPr>
          <w:p>
            <w:pPr>
              <w:spacing w:after="20"/>
              <w:jc w:val="right"/>
            </w:pPr>
            <w:r>
              <w:rPr>
                <w:color w:val="1C3A36"/>
                <w:sz w:val="16"/>
              </w:rPr>
              <w:t>87,496</w:t>
            </w:r>
          </w:p>
        </w:tc>
        <w:tc>
          <w:tcPr>
            <w:tcW w:type="dxa" w:w="886"/>
          </w:tcPr>
          <w:p>
            <w:pPr>
              <w:spacing w:after="20"/>
              <w:jc w:val="right"/>
            </w:pPr>
            <w:r>
              <w:rPr>
                <w:color w:val="1C3A36"/>
                <w:sz w:val="16"/>
              </w:rPr>
              <w:t>90,548</w:t>
            </w:r>
          </w:p>
        </w:tc>
        <w:tc>
          <w:tcPr>
            <w:tcW w:type="dxa" w:w="886"/>
          </w:tcPr>
          <w:p>
            <w:pPr>
              <w:spacing w:after="20"/>
              <w:jc w:val="right"/>
            </w:pPr>
            <w:r>
              <w:rPr>
                <w:color w:val="1C3A36"/>
                <w:sz w:val="16"/>
              </w:rPr>
              <w:t>93,373</w:t>
            </w:r>
          </w:p>
        </w:tc>
      </w:tr>
      <w:tr>
        <w:tc>
          <w:tcPr>
            <w:tcW w:type="dxa" w:w="2952"/>
          </w:tcPr>
          <w:p>
            <w:pPr>
              <w:spacing w:after="20"/>
            </w:pPr>
            <w:r>
              <w:rPr>
                <w:b/>
                <w:color w:val="1C3A36"/>
                <w:sz w:val="16"/>
              </w:rPr>
              <w:t>Gross profit</w:t>
            </w:r>
          </w:p>
        </w:tc>
        <w:tc>
          <w:tcPr>
            <w:tcW w:type="dxa" w:w="886"/>
          </w:tcPr>
          <w:p>
            <w:pPr>
              <w:spacing w:after="20"/>
              <w:jc w:val="right"/>
            </w:pPr>
            <w:r>
              <w:rPr>
                <w:color w:val="1C3A36"/>
                <w:sz w:val="16"/>
              </w:rPr>
              <w:t>34,740</w:t>
            </w:r>
          </w:p>
        </w:tc>
        <w:tc>
          <w:tcPr>
            <w:tcW w:type="dxa" w:w="886"/>
          </w:tcPr>
          <w:p>
            <w:pPr>
              <w:spacing w:after="20"/>
              <w:jc w:val="right"/>
            </w:pPr>
            <w:r>
              <w:rPr>
                <w:color w:val="1C3A36"/>
                <w:sz w:val="16"/>
              </w:rPr>
              <w:t>37,326</w:t>
            </w:r>
          </w:p>
        </w:tc>
        <w:tc>
          <w:tcPr>
            <w:tcW w:type="dxa" w:w="886"/>
          </w:tcPr>
          <w:p>
            <w:pPr>
              <w:spacing w:after="20"/>
              <w:jc w:val="right"/>
            </w:pPr>
            <w:r>
              <w:rPr>
                <w:color w:val="1C3A36"/>
                <w:sz w:val="16"/>
              </w:rPr>
              <w:t>37,700</w:t>
            </w:r>
          </w:p>
        </w:tc>
        <w:tc>
          <w:tcPr>
            <w:tcW w:type="dxa" w:w="886"/>
          </w:tcPr>
          <w:p>
            <w:pPr>
              <w:spacing w:after="20"/>
              <w:jc w:val="right"/>
            </w:pPr>
            <w:r>
              <w:rPr>
                <w:color w:val="1C3A36"/>
                <w:sz w:val="16"/>
              </w:rPr>
              <w:t>39,267</w:t>
            </w:r>
          </w:p>
        </w:tc>
        <w:tc>
          <w:tcPr>
            <w:tcW w:type="dxa" w:w="886"/>
          </w:tcPr>
          <w:p>
            <w:pPr>
              <w:spacing w:after="20"/>
              <w:jc w:val="right"/>
            </w:pPr>
            <w:r>
              <w:rPr>
                <w:color w:val="1C3A36"/>
                <w:sz w:val="16"/>
              </w:rPr>
              <w:t>40,879</w:t>
            </w:r>
          </w:p>
        </w:tc>
        <w:tc>
          <w:tcPr>
            <w:tcW w:type="dxa" w:w="886"/>
          </w:tcPr>
          <w:p>
            <w:pPr>
              <w:spacing w:after="20"/>
              <w:jc w:val="right"/>
            </w:pPr>
            <w:r>
              <w:rPr>
                <w:color w:val="1C3A36"/>
                <w:sz w:val="16"/>
              </w:rPr>
              <w:t>42,436</w:t>
            </w:r>
          </w:p>
        </w:tc>
        <w:tc>
          <w:tcPr>
            <w:tcW w:type="dxa" w:w="886"/>
          </w:tcPr>
          <w:p>
            <w:pPr>
              <w:spacing w:after="20"/>
              <w:jc w:val="right"/>
            </w:pPr>
            <w:r>
              <w:rPr>
                <w:color w:val="1C3A36"/>
                <w:sz w:val="16"/>
              </w:rPr>
              <w:t>43,916</w:t>
            </w:r>
          </w:p>
        </w:tc>
        <w:tc>
          <w:tcPr>
            <w:tcW w:type="dxa" w:w="886"/>
          </w:tcPr>
          <w:p>
            <w:pPr>
              <w:spacing w:after="20"/>
              <w:jc w:val="right"/>
            </w:pPr>
            <w:r>
              <w:rPr>
                <w:color w:val="1C3A36"/>
                <w:sz w:val="16"/>
              </w:rPr>
              <w:t>45,286</w:t>
            </w:r>
          </w:p>
        </w:tc>
      </w:tr>
      <w:tr>
        <w:tc>
          <w:tcPr>
            <w:tcW w:type="dxa" w:w="2952"/>
          </w:tcPr>
          <w:p>
            <w:pPr>
              <w:spacing w:after="20"/>
            </w:pPr>
            <w:r>
              <w:rPr>
                <w:b/>
                <w:color w:val="1C3A36"/>
                <w:sz w:val="16"/>
              </w:rPr>
              <w:t>EBITDA</w:t>
            </w:r>
          </w:p>
        </w:tc>
        <w:tc>
          <w:tcPr>
            <w:tcW w:type="dxa" w:w="886"/>
          </w:tcPr>
          <w:p>
            <w:pPr>
              <w:spacing w:after="20"/>
              <w:jc w:val="right"/>
            </w:pPr>
            <w:r>
              <w:rPr>
                <w:color w:val="1C3A36"/>
                <w:sz w:val="16"/>
              </w:rPr>
              <w:t>22,445</w:t>
            </w:r>
          </w:p>
        </w:tc>
        <w:tc>
          <w:tcPr>
            <w:tcW w:type="dxa" w:w="886"/>
          </w:tcPr>
          <w:p>
            <w:pPr>
              <w:spacing w:after="20"/>
              <w:jc w:val="right"/>
            </w:pPr>
            <w:r>
              <w:rPr>
                <w:color w:val="1C3A36"/>
                <w:sz w:val="16"/>
              </w:rPr>
              <w:t>23,951</w:t>
            </w:r>
          </w:p>
        </w:tc>
        <w:tc>
          <w:tcPr>
            <w:tcW w:type="dxa" w:w="886"/>
          </w:tcPr>
          <w:p>
            <w:pPr>
              <w:spacing w:after="20"/>
              <w:jc w:val="right"/>
            </w:pPr>
            <w:r>
              <w:rPr>
                <w:color w:val="1C3A36"/>
                <w:sz w:val="16"/>
              </w:rPr>
              <w:t>24,469</w:t>
            </w:r>
          </w:p>
        </w:tc>
        <w:tc>
          <w:tcPr>
            <w:tcW w:type="dxa" w:w="886"/>
          </w:tcPr>
          <w:p>
            <w:pPr>
              <w:spacing w:after="20"/>
              <w:jc w:val="right"/>
            </w:pPr>
            <w:r>
              <w:rPr>
                <w:color w:val="1C3A36"/>
                <w:sz w:val="16"/>
              </w:rPr>
              <w:t>25,746</w:t>
            </w:r>
          </w:p>
        </w:tc>
        <w:tc>
          <w:tcPr>
            <w:tcW w:type="dxa" w:w="886"/>
          </w:tcPr>
          <w:p>
            <w:pPr>
              <w:spacing w:after="20"/>
              <w:jc w:val="right"/>
            </w:pPr>
            <w:r>
              <w:rPr>
                <w:color w:val="1C3A36"/>
                <w:sz w:val="16"/>
              </w:rPr>
              <w:t>26,972</w:t>
            </w:r>
          </w:p>
        </w:tc>
        <w:tc>
          <w:tcPr>
            <w:tcW w:type="dxa" w:w="886"/>
          </w:tcPr>
          <w:p>
            <w:pPr>
              <w:spacing w:after="20"/>
              <w:jc w:val="right"/>
            </w:pPr>
            <w:r>
              <w:rPr>
                <w:color w:val="1C3A36"/>
                <w:sz w:val="16"/>
              </w:rPr>
              <w:t>28,174</w:t>
            </w:r>
          </w:p>
        </w:tc>
        <w:tc>
          <w:tcPr>
            <w:tcW w:type="dxa" w:w="886"/>
          </w:tcPr>
          <w:p>
            <w:pPr>
              <w:spacing w:after="20"/>
              <w:jc w:val="right"/>
            </w:pPr>
            <w:r>
              <w:rPr>
                <w:color w:val="1C3A36"/>
                <w:sz w:val="16"/>
              </w:rPr>
              <w:t>29,247</w:t>
            </w:r>
          </w:p>
        </w:tc>
        <w:tc>
          <w:tcPr>
            <w:tcW w:type="dxa" w:w="886"/>
          </w:tcPr>
          <w:p>
            <w:pPr>
              <w:spacing w:after="20"/>
              <w:jc w:val="right"/>
            </w:pPr>
            <w:r>
              <w:rPr>
                <w:color w:val="1C3A36"/>
                <w:sz w:val="16"/>
              </w:rPr>
              <w:t>30,346</w:t>
            </w:r>
          </w:p>
        </w:tc>
      </w:tr>
      <w:tr>
        <w:tc>
          <w:tcPr>
            <w:tcW w:type="dxa" w:w="2952"/>
          </w:tcPr>
          <w:p>
            <w:pPr>
              <w:spacing w:after="20"/>
            </w:pPr>
            <w:r>
              <w:rPr>
                <w:b/>
                <w:color w:val="1C3A36"/>
                <w:sz w:val="16"/>
              </w:rPr>
              <w:t>D&amp;A &amp; impairment</w:t>
            </w:r>
          </w:p>
        </w:tc>
        <w:tc>
          <w:tcPr>
            <w:tcW w:type="dxa" w:w="886"/>
          </w:tcPr>
          <w:p>
            <w:pPr>
              <w:spacing w:after="20"/>
              <w:jc w:val="right"/>
            </w:pPr>
            <w:r>
              <w:rPr>
                <w:color w:val="1C3A36"/>
                <w:sz w:val="16"/>
              </w:rPr>
              <w:t>(9,284)</w:t>
            </w:r>
          </w:p>
        </w:tc>
        <w:tc>
          <w:tcPr>
            <w:tcW w:type="dxa" w:w="886"/>
          </w:tcPr>
          <w:p>
            <w:pPr>
              <w:spacing w:after="20"/>
              <w:jc w:val="right"/>
            </w:pPr>
            <w:r>
              <w:rPr>
                <w:color w:val="1C3A36"/>
                <w:sz w:val="16"/>
              </w:rPr>
              <w:t>(9,525)</w:t>
            </w:r>
          </w:p>
        </w:tc>
        <w:tc>
          <w:tcPr>
            <w:tcW w:type="dxa" w:w="886"/>
          </w:tcPr>
          <w:p>
            <w:pPr>
              <w:spacing w:after="20"/>
              <w:jc w:val="right"/>
            </w:pPr>
            <w:r>
              <w:rPr>
                <w:color w:val="1C3A36"/>
                <w:sz w:val="16"/>
              </w:rPr>
              <w:t>(10,031)</w:t>
            </w:r>
          </w:p>
        </w:tc>
        <w:tc>
          <w:tcPr>
            <w:tcW w:type="dxa" w:w="886"/>
          </w:tcPr>
          <w:p>
            <w:pPr>
              <w:spacing w:after="20"/>
              <w:jc w:val="right"/>
            </w:pPr>
            <w:r>
              <w:rPr>
                <w:color w:val="1C3A36"/>
                <w:sz w:val="16"/>
              </w:rPr>
              <w:t>(10,444)</w:t>
            </w:r>
          </w:p>
        </w:tc>
        <w:tc>
          <w:tcPr>
            <w:tcW w:type="dxa" w:w="886"/>
          </w:tcPr>
          <w:p>
            <w:pPr>
              <w:spacing w:after="20"/>
              <w:jc w:val="right"/>
            </w:pPr>
            <w:r>
              <w:rPr>
                <w:color w:val="1C3A36"/>
                <w:sz w:val="16"/>
              </w:rPr>
              <w:t>(10,789)</w:t>
            </w:r>
          </w:p>
        </w:tc>
        <w:tc>
          <w:tcPr>
            <w:tcW w:type="dxa" w:w="886"/>
          </w:tcPr>
          <w:p>
            <w:pPr>
              <w:spacing w:after="20"/>
              <w:jc w:val="right"/>
            </w:pPr>
            <w:r>
              <w:rPr>
                <w:color w:val="1C3A36"/>
                <w:sz w:val="16"/>
              </w:rPr>
              <w:t>(11,112)</w:t>
            </w:r>
          </w:p>
        </w:tc>
        <w:tc>
          <w:tcPr>
            <w:tcW w:type="dxa" w:w="886"/>
          </w:tcPr>
          <w:p>
            <w:pPr>
              <w:spacing w:after="20"/>
              <w:jc w:val="right"/>
            </w:pPr>
            <w:r>
              <w:rPr>
                <w:color w:val="1C3A36"/>
                <w:sz w:val="16"/>
              </w:rPr>
              <w:t>(11,409)</w:t>
            </w:r>
          </w:p>
        </w:tc>
        <w:tc>
          <w:tcPr>
            <w:tcW w:type="dxa" w:w="886"/>
          </w:tcPr>
          <w:p>
            <w:pPr>
              <w:spacing w:after="20"/>
              <w:jc w:val="right"/>
            </w:pPr>
            <w:r>
              <w:rPr>
                <w:color w:val="1C3A36"/>
                <w:sz w:val="16"/>
              </w:rPr>
              <w:t>(11,672)</w:t>
            </w:r>
          </w:p>
        </w:tc>
      </w:tr>
      <w:tr>
        <w:tc>
          <w:tcPr>
            <w:tcW w:type="dxa" w:w="2952"/>
          </w:tcPr>
          <w:p>
            <w:pPr>
              <w:spacing w:after="20"/>
            </w:pPr>
            <w:r>
              <w:rPr>
                <w:b/>
                <w:color w:val="1C3A36"/>
                <w:sz w:val="16"/>
              </w:rPr>
              <w:t>Operating profit (EBIT)</w:t>
            </w:r>
          </w:p>
        </w:tc>
        <w:tc>
          <w:tcPr>
            <w:tcW w:type="dxa" w:w="886"/>
          </w:tcPr>
          <w:p>
            <w:pPr>
              <w:spacing w:after="20"/>
              <w:jc w:val="right"/>
            </w:pPr>
            <w:r>
              <w:rPr>
                <w:color w:val="1C3A36"/>
                <w:sz w:val="16"/>
              </w:rPr>
              <w:t>13,161</w:t>
            </w:r>
          </w:p>
        </w:tc>
        <w:tc>
          <w:tcPr>
            <w:tcW w:type="dxa" w:w="886"/>
          </w:tcPr>
          <w:p>
            <w:pPr>
              <w:spacing w:after="20"/>
              <w:jc w:val="right"/>
            </w:pPr>
            <w:r>
              <w:rPr>
                <w:color w:val="1C3A36"/>
                <w:sz w:val="16"/>
              </w:rPr>
              <w:t>14,426</w:t>
            </w:r>
          </w:p>
        </w:tc>
        <w:tc>
          <w:tcPr>
            <w:tcW w:type="dxa" w:w="886"/>
          </w:tcPr>
          <w:p>
            <w:pPr>
              <w:spacing w:after="20"/>
              <w:jc w:val="right"/>
            </w:pPr>
            <w:r>
              <w:rPr>
                <w:color w:val="1C3A36"/>
                <w:sz w:val="16"/>
              </w:rPr>
              <w:t>14,438</w:t>
            </w:r>
          </w:p>
        </w:tc>
        <w:tc>
          <w:tcPr>
            <w:tcW w:type="dxa" w:w="886"/>
          </w:tcPr>
          <w:p>
            <w:pPr>
              <w:spacing w:after="20"/>
              <w:jc w:val="right"/>
            </w:pPr>
            <w:r>
              <w:rPr>
                <w:color w:val="1C3A36"/>
                <w:sz w:val="16"/>
              </w:rPr>
              <w:t>15,302</w:t>
            </w:r>
          </w:p>
        </w:tc>
        <w:tc>
          <w:tcPr>
            <w:tcW w:type="dxa" w:w="886"/>
          </w:tcPr>
          <w:p>
            <w:pPr>
              <w:spacing w:after="20"/>
              <w:jc w:val="right"/>
            </w:pPr>
            <w:r>
              <w:rPr>
                <w:color w:val="1C3A36"/>
                <w:sz w:val="16"/>
              </w:rPr>
              <w:t>16,183</w:t>
            </w:r>
          </w:p>
        </w:tc>
        <w:tc>
          <w:tcPr>
            <w:tcW w:type="dxa" w:w="886"/>
          </w:tcPr>
          <w:p>
            <w:pPr>
              <w:spacing w:after="20"/>
              <w:jc w:val="right"/>
            </w:pPr>
            <w:r>
              <w:rPr>
                <w:color w:val="1C3A36"/>
                <w:sz w:val="16"/>
              </w:rPr>
              <w:t>17,062</w:t>
            </w:r>
          </w:p>
        </w:tc>
        <w:tc>
          <w:tcPr>
            <w:tcW w:type="dxa" w:w="886"/>
          </w:tcPr>
          <w:p>
            <w:pPr>
              <w:spacing w:after="20"/>
              <w:jc w:val="right"/>
            </w:pPr>
            <w:r>
              <w:rPr>
                <w:color w:val="1C3A36"/>
                <w:sz w:val="16"/>
              </w:rPr>
              <w:t>17,838</w:t>
            </w:r>
          </w:p>
        </w:tc>
        <w:tc>
          <w:tcPr>
            <w:tcW w:type="dxa" w:w="886"/>
          </w:tcPr>
          <w:p>
            <w:pPr>
              <w:spacing w:after="20"/>
              <w:jc w:val="right"/>
            </w:pPr>
            <w:r>
              <w:rPr>
                <w:color w:val="1C3A36"/>
                <w:sz w:val="16"/>
              </w:rPr>
              <w:t>18,675</w:t>
            </w:r>
          </w:p>
        </w:tc>
      </w:tr>
      <w:tr>
        <w:tc>
          <w:tcPr>
            <w:tcW w:type="dxa" w:w="2952"/>
          </w:tcPr>
          <w:p>
            <w:pPr>
              <w:spacing w:after="20"/>
            </w:pPr>
            <w:r>
              <w:rPr>
                <w:b/>
                <w:color w:val="1C3A36"/>
                <w:sz w:val="16"/>
              </w:rPr>
              <w:t>Associates, net finance, impairments &amp; other</w:t>
            </w:r>
          </w:p>
        </w:tc>
        <w:tc>
          <w:tcPr>
            <w:tcW w:type="dxa" w:w="886"/>
          </w:tcPr>
          <w:p>
            <w:pPr>
              <w:spacing w:after="20"/>
              <w:jc w:val="right"/>
            </w:pPr>
            <w:r>
              <w:rPr>
                <w:color w:val="1C3A36"/>
                <w:sz w:val="16"/>
              </w:rPr>
              <w:t>826</w:t>
            </w:r>
          </w:p>
        </w:tc>
        <w:tc>
          <w:tcPr>
            <w:tcW w:type="dxa" w:w="886"/>
          </w:tcPr>
          <w:p>
            <w:pPr>
              <w:spacing w:after="20"/>
              <w:jc w:val="right"/>
            </w:pPr>
            <w:r>
              <w:rPr>
                <w:color w:val="1C3A36"/>
                <w:sz w:val="16"/>
              </w:rPr>
              <w:t>(2,292)</w:t>
            </w:r>
          </w:p>
        </w:tc>
        <w:tc>
          <w:tcPr>
            <w:tcW w:type="dxa" w:w="886"/>
          </w:tcPr>
          <w:p>
            <w:pPr>
              <w:spacing w:after="20"/>
              <w:jc w:val="right"/>
            </w:pPr>
            <w:r>
              <w:rPr>
                <w:color w:val="1C3A36"/>
                <w:sz w:val="16"/>
              </w:rPr>
              <w:t>285</w:t>
            </w:r>
          </w:p>
        </w:tc>
        <w:tc>
          <w:tcPr>
            <w:tcW w:type="dxa" w:w="886"/>
          </w:tcPr>
          <w:p>
            <w:pPr>
              <w:spacing w:after="20"/>
              <w:jc w:val="right"/>
            </w:pPr>
            <w:r>
              <w:rPr>
                <w:color w:val="1C3A36"/>
                <w:sz w:val="16"/>
              </w:rPr>
              <w:t>700</w:t>
            </w:r>
          </w:p>
        </w:tc>
        <w:tc>
          <w:tcPr>
            <w:tcW w:type="dxa" w:w="886"/>
          </w:tcPr>
          <w:p>
            <w:pPr>
              <w:spacing w:after="20"/>
              <w:jc w:val="right"/>
            </w:pPr>
            <w:r>
              <w:rPr>
                <w:color w:val="1C3A36"/>
                <w:sz w:val="16"/>
              </w:rPr>
              <w:t>750</w:t>
            </w:r>
          </w:p>
        </w:tc>
        <w:tc>
          <w:tcPr>
            <w:tcW w:type="dxa" w:w="886"/>
          </w:tcPr>
          <w:p>
            <w:pPr>
              <w:spacing w:after="20"/>
              <w:jc w:val="right"/>
            </w:pPr>
            <w:r>
              <w:rPr>
                <w:color w:val="1C3A36"/>
                <w:sz w:val="16"/>
              </w:rPr>
              <w:t>800</w:t>
            </w:r>
          </w:p>
        </w:tc>
        <w:tc>
          <w:tcPr>
            <w:tcW w:type="dxa" w:w="886"/>
          </w:tcPr>
          <w:p>
            <w:pPr>
              <w:spacing w:after="20"/>
              <w:jc w:val="right"/>
            </w:pPr>
            <w:r>
              <w:rPr>
                <w:color w:val="1C3A36"/>
                <w:sz w:val="16"/>
              </w:rPr>
              <w:t>850</w:t>
            </w:r>
          </w:p>
        </w:tc>
        <w:tc>
          <w:tcPr>
            <w:tcW w:type="dxa" w:w="886"/>
          </w:tcPr>
          <w:p>
            <w:pPr>
              <w:spacing w:after="20"/>
              <w:jc w:val="right"/>
            </w:pPr>
            <w:r>
              <w:rPr>
                <w:color w:val="1C3A36"/>
                <w:sz w:val="16"/>
              </w:rPr>
              <w:t>900</w:t>
            </w:r>
          </w:p>
        </w:tc>
      </w:tr>
      <w:tr>
        <w:tc>
          <w:tcPr>
            <w:tcW w:type="dxa" w:w="2952"/>
          </w:tcPr>
          <w:p>
            <w:pPr>
              <w:spacing w:after="20"/>
            </w:pPr>
            <w:r>
              <w:rPr>
                <w:b/>
                <w:color w:val="1C3A36"/>
                <w:sz w:val="16"/>
              </w:rPr>
              <w:t>Profit before zakat &amp; income tax</w:t>
            </w:r>
          </w:p>
        </w:tc>
        <w:tc>
          <w:tcPr>
            <w:tcW w:type="dxa" w:w="886"/>
          </w:tcPr>
          <w:p>
            <w:pPr>
              <w:spacing w:after="20"/>
              <w:jc w:val="right"/>
            </w:pPr>
            <w:r>
              <w:rPr>
                <w:color w:val="1C3A36"/>
                <w:sz w:val="16"/>
              </w:rPr>
              <w:t>13,987</w:t>
            </w:r>
          </w:p>
        </w:tc>
        <w:tc>
          <w:tcPr>
            <w:tcW w:type="dxa" w:w="886"/>
          </w:tcPr>
          <w:p>
            <w:pPr>
              <w:spacing w:after="20"/>
              <w:jc w:val="right"/>
            </w:pPr>
            <w:r>
              <w:rPr>
                <w:color w:val="1C3A36"/>
                <w:sz w:val="16"/>
              </w:rPr>
              <w:t>12,134</w:t>
            </w:r>
          </w:p>
        </w:tc>
        <w:tc>
          <w:tcPr>
            <w:tcW w:type="dxa" w:w="886"/>
          </w:tcPr>
          <w:p>
            <w:pPr>
              <w:spacing w:after="20"/>
              <w:jc w:val="right"/>
            </w:pPr>
            <w:r>
              <w:rPr>
                <w:color w:val="1C3A36"/>
                <w:sz w:val="16"/>
              </w:rPr>
              <w:t>14,723</w:t>
            </w:r>
          </w:p>
        </w:tc>
        <w:tc>
          <w:tcPr>
            <w:tcW w:type="dxa" w:w="886"/>
          </w:tcPr>
          <w:p>
            <w:pPr>
              <w:spacing w:after="20"/>
              <w:jc w:val="right"/>
            </w:pPr>
            <w:r>
              <w:rPr>
                <w:color w:val="1C3A36"/>
                <w:sz w:val="16"/>
              </w:rPr>
              <w:t>16,002</w:t>
            </w:r>
          </w:p>
        </w:tc>
        <w:tc>
          <w:tcPr>
            <w:tcW w:type="dxa" w:w="886"/>
          </w:tcPr>
          <w:p>
            <w:pPr>
              <w:spacing w:after="20"/>
              <w:jc w:val="right"/>
            </w:pPr>
            <w:r>
              <w:rPr>
                <w:color w:val="1C3A36"/>
                <w:sz w:val="16"/>
              </w:rPr>
              <w:t>16,933</w:t>
            </w:r>
          </w:p>
        </w:tc>
        <w:tc>
          <w:tcPr>
            <w:tcW w:type="dxa" w:w="886"/>
          </w:tcPr>
          <w:p>
            <w:pPr>
              <w:spacing w:after="20"/>
              <w:jc w:val="right"/>
            </w:pPr>
            <w:r>
              <w:rPr>
                <w:color w:val="1C3A36"/>
                <w:sz w:val="16"/>
              </w:rPr>
              <w:t>17,862</w:t>
            </w:r>
          </w:p>
        </w:tc>
        <w:tc>
          <w:tcPr>
            <w:tcW w:type="dxa" w:w="886"/>
          </w:tcPr>
          <w:p>
            <w:pPr>
              <w:spacing w:after="20"/>
              <w:jc w:val="right"/>
            </w:pPr>
            <w:r>
              <w:rPr>
                <w:color w:val="1C3A36"/>
                <w:sz w:val="16"/>
              </w:rPr>
              <w:t>18,688</w:t>
            </w:r>
          </w:p>
        </w:tc>
        <w:tc>
          <w:tcPr>
            <w:tcW w:type="dxa" w:w="886"/>
          </w:tcPr>
          <w:p>
            <w:pPr>
              <w:spacing w:after="20"/>
              <w:jc w:val="right"/>
            </w:pPr>
            <w:r>
              <w:rPr>
                <w:color w:val="1C3A36"/>
                <w:sz w:val="16"/>
              </w:rPr>
              <w:t>19,575</w:t>
            </w:r>
          </w:p>
        </w:tc>
      </w:tr>
      <w:tr>
        <w:tc>
          <w:tcPr>
            <w:tcW w:type="dxa" w:w="2952"/>
          </w:tcPr>
          <w:p>
            <w:pPr>
              <w:spacing w:after="20"/>
            </w:pPr>
            <w:r>
              <w:rPr>
                <w:b/>
                <w:color w:val="1C3A36"/>
                <w:sz w:val="16"/>
              </w:rPr>
              <w:t>Zakat &amp; income tax</w:t>
            </w:r>
          </w:p>
        </w:tc>
        <w:tc>
          <w:tcPr>
            <w:tcW w:type="dxa" w:w="886"/>
          </w:tcPr>
          <w:p>
            <w:pPr>
              <w:spacing w:after="20"/>
              <w:jc w:val="right"/>
            </w:pPr>
            <w:r>
              <w:rPr>
                <w:color w:val="1C3A36"/>
                <w:sz w:val="16"/>
              </w:rPr>
              <w:t>(1,327)</w:t>
            </w:r>
          </w:p>
        </w:tc>
        <w:tc>
          <w:tcPr>
            <w:tcW w:type="dxa" w:w="886"/>
          </w:tcPr>
          <w:p>
            <w:pPr>
              <w:spacing w:after="20"/>
              <w:jc w:val="right"/>
            </w:pPr>
            <w:r>
              <w:rPr>
                <w:color w:val="1C3A36"/>
                <w:sz w:val="16"/>
              </w:rPr>
              <w:t>(1,192)</w:t>
            </w:r>
          </w:p>
        </w:tc>
        <w:tc>
          <w:tcPr>
            <w:tcW w:type="dxa" w:w="886"/>
          </w:tcPr>
          <w:p>
            <w:pPr>
              <w:spacing w:after="20"/>
              <w:jc w:val="right"/>
            </w:pPr>
            <w:r>
              <w:rPr>
                <w:color w:val="1C3A36"/>
                <w:sz w:val="16"/>
              </w:rPr>
              <w:t>466</w:t>
            </w:r>
          </w:p>
        </w:tc>
        <w:tc>
          <w:tcPr>
            <w:tcW w:type="dxa" w:w="886"/>
          </w:tcPr>
          <w:p>
            <w:pPr>
              <w:spacing w:after="20"/>
              <w:jc w:val="right"/>
            </w:pPr>
            <w:r>
              <w:rPr>
                <w:color w:val="1C3A36"/>
                <w:sz w:val="16"/>
              </w:rPr>
              <w:t>(1,552)</w:t>
            </w:r>
          </w:p>
        </w:tc>
        <w:tc>
          <w:tcPr>
            <w:tcW w:type="dxa" w:w="886"/>
          </w:tcPr>
          <w:p>
            <w:pPr>
              <w:spacing w:after="20"/>
              <w:jc w:val="right"/>
            </w:pPr>
            <w:r>
              <w:rPr>
                <w:color w:val="1C3A36"/>
                <w:sz w:val="16"/>
              </w:rPr>
              <w:t>(1,643)</w:t>
            </w:r>
          </w:p>
        </w:tc>
        <w:tc>
          <w:tcPr>
            <w:tcW w:type="dxa" w:w="886"/>
          </w:tcPr>
          <w:p>
            <w:pPr>
              <w:spacing w:after="20"/>
              <w:jc w:val="right"/>
            </w:pPr>
            <w:r>
              <w:rPr>
                <w:color w:val="1C3A36"/>
                <w:sz w:val="16"/>
              </w:rPr>
              <w:t>(1,733)</w:t>
            </w:r>
          </w:p>
        </w:tc>
        <w:tc>
          <w:tcPr>
            <w:tcW w:type="dxa" w:w="886"/>
          </w:tcPr>
          <w:p>
            <w:pPr>
              <w:spacing w:after="20"/>
              <w:jc w:val="right"/>
            </w:pPr>
            <w:r>
              <w:rPr>
                <w:color w:val="1C3A36"/>
                <w:sz w:val="16"/>
              </w:rPr>
              <w:t>(1,813)</w:t>
            </w:r>
          </w:p>
        </w:tc>
        <w:tc>
          <w:tcPr>
            <w:tcW w:type="dxa" w:w="886"/>
          </w:tcPr>
          <w:p>
            <w:pPr>
              <w:spacing w:after="20"/>
              <w:jc w:val="right"/>
            </w:pPr>
            <w:r>
              <w:rPr>
                <w:color w:val="1C3A36"/>
                <w:sz w:val="16"/>
              </w:rPr>
              <w:t>(1,899)</w:t>
            </w:r>
          </w:p>
        </w:tc>
      </w:tr>
      <w:tr>
        <w:tc>
          <w:tcPr>
            <w:tcW w:type="dxa" w:w="2952"/>
          </w:tcPr>
          <w:p>
            <w:pPr>
              <w:spacing w:after="20"/>
            </w:pPr>
            <w:r>
              <w:rPr>
                <w:b/>
                <w:color w:val="1C3A36"/>
                <w:sz w:val="16"/>
              </w:rPr>
              <w:t>Profit from continuing operations</w:t>
            </w:r>
          </w:p>
        </w:tc>
        <w:tc>
          <w:tcPr>
            <w:tcW w:type="dxa" w:w="886"/>
          </w:tcPr>
          <w:p>
            <w:pPr>
              <w:spacing w:after="20"/>
              <w:jc w:val="right"/>
            </w:pPr>
            <w:r>
              <w:rPr>
                <w:color w:val="1C3A36"/>
                <w:sz w:val="16"/>
              </w:rPr>
              <w:t>12,660</w:t>
            </w:r>
          </w:p>
        </w:tc>
        <w:tc>
          <w:tcPr>
            <w:tcW w:type="dxa" w:w="886"/>
          </w:tcPr>
          <w:p>
            <w:pPr>
              <w:spacing w:after="20"/>
              <w:jc w:val="right"/>
            </w:pPr>
            <w:r>
              <w:rPr>
                <w:color w:val="1C3A36"/>
                <w:sz w:val="16"/>
              </w:rPr>
              <w:t>10,942</w:t>
            </w:r>
          </w:p>
        </w:tc>
        <w:tc>
          <w:tcPr>
            <w:tcW w:type="dxa" w:w="886"/>
          </w:tcPr>
          <w:p>
            <w:pPr>
              <w:spacing w:after="20"/>
              <w:jc w:val="right"/>
            </w:pPr>
            <w:r>
              <w:rPr>
                <w:color w:val="1C3A36"/>
                <w:sz w:val="16"/>
              </w:rPr>
              <w:t>15,189</w:t>
            </w:r>
          </w:p>
        </w:tc>
        <w:tc>
          <w:tcPr>
            <w:tcW w:type="dxa" w:w="886"/>
          </w:tcPr>
          <w:p>
            <w:pPr>
              <w:spacing w:after="20"/>
              <w:jc w:val="right"/>
            </w:pPr>
            <w:r>
              <w:rPr>
                <w:color w:val="1C3A36"/>
                <w:sz w:val="16"/>
              </w:rPr>
              <w:t>14,450</w:t>
            </w:r>
          </w:p>
        </w:tc>
        <w:tc>
          <w:tcPr>
            <w:tcW w:type="dxa" w:w="886"/>
          </w:tcPr>
          <w:p>
            <w:pPr>
              <w:spacing w:after="20"/>
              <w:jc w:val="right"/>
            </w:pPr>
            <w:r>
              <w:rPr>
                <w:color w:val="1C3A36"/>
                <w:sz w:val="16"/>
              </w:rPr>
              <w:t>15,291</w:t>
            </w:r>
          </w:p>
        </w:tc>
        <w:tc>
          <w:tcPr>
            <w:tcW w:type="dxa" w:w="886"/>
          </w:tcPr>
          <w:p>
            <w:pPr>
              <w:spacing w:after="20"/>
              <w:jc w:val="right"/>
            </w:pPr>
            <w:r>
              <w:rPr>
                <w:color w:val="1C3A36"/>
                <w:sz w:val="16"/>
              </w:rPr>
              <w:t>16,129</w:t>
            </w:r>
          </w:p>
        </w:tc>
        <w:tc>
          <w:tcPr>
            <w:tcW w:type="dxa" w:w="886"/>
          </w:tcPr>
          <w:p>
            <w:pPr>
              <w:spacing w:after="20"/>
              <w:jc w:val="right"/>
            </w:pPr>
            <w:r>
              <w:rPr>
                <w:color w:val="1C3A36"/>
                <w:sz w:val="16"/>
              </w:rPr>
              <w:t>16,875</w:t>
            </w:r>
          </w:p>
        </w:tc>
        <w:tc>
          <w:tcPr>
            <w:tcW w:type="dxa" w:w="886"/>
          </w:tcPr>
          <w:p>
            <w:pPr>
              <w:spacing w:after="20"/>
              <w:jc w:val="right"/>
            </w:pPr>
            <w:r>
              <w:rPr>
                <w:color w:val="1C3A36"/>
                <w:sz w:val="16"/>
              </w:rPr>
              <w:t>17,676</w:t>
            </w:r>
          </w:p>
        </w:tc>
      </w:tr>
      <w:tr>
        <w:tc>
          <w:tcPr>
            <w:tcW w:type="dxa" w:w="2952"/>
          </w:tcPr>
          <w:p>
            <w:pPr>
              <w:spacing w:after="20"/>
            </w:pPr>
            <w:r>
              <w:rPr>
                <w:b/>
                <w:color w:val="1C3A36"/>
                <w:sz w:val="16"/>
              </w:rPr>
              <w:t>Discontinued operations</w:t>
            </w:r>
          </w:p>
        </w:tc>
        <w:tc>
          <w:tcPr>
            <w:tcW w:type="dxa" w:w="886"/>
          </w:tcPr>
          <w:p>
            <w:pPr>
              <w:spacing w:after="20"/>
              <w:jc w:val="right"/>
            </w:pPr>
            <w:r>
              <w:rPr>
                <w:color w:val="1C3A36"/>
                <w:sz w:val="16"/>
              </w:rPr>
              <w:t>759</w:t>
            </w:r>
          </w:p>
        </w:tc>
        <w:tc>
          <w:tcPr>
            <w:tcW w:type="dxa" w:w="886"/>
          </w:tcPr>
          <w:p>
            <w:pPr>
              <w:spacing w:after="20"/>
              <w:jc w:val="right"/>
            </w:pPr>
            <w:r>
              <w:rPr>
                <w:color w:val="1C3A36"/>
                <w:sz w:val="16"/>
              </w:rPr>
              <w:t>13,973</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c>
          <w:tcPr>
            <w:tcW w:type="dxa" w:w="886"/>
          </w:tcPr>
          <w:p>
            <w:pPr>
              <w:spacing w:after="20"/>
              <w:jc w:val="right"/>
            </w:pPr>
            <w:r>
              <w:rPr>
                <w:color w:val="1C3A36"/>
                <w:sz w:val="16"/>
              </w:rPr>
              <w:t>—</w:t>
            </w:r>
          </w:p>
        </w:tc>
      </w:tr>
      <w:tr>
        <w:tc>
          <w:tcPr>
            <w:tcW w:type="dxa" w:w="2952"/>
          </w:tcPr>
          <w:p>
            <w:pPr>
              <w:spacing w:after="20"/>
            </w:pPr>
            <w:r>
              <w:rPr>
                <w:b/>
                <w:color w:val="1C3A36"/>
                <w:sz w:val="16"/>
              </w:rPr>
              <w:t>Net profit (attributable)</w:t>
            </w:r>
          </w:p>
        </w:tc>
        <w:tc>
          <w:tcPr>
            <w:tcW w:type="dxa" w:w="886"/>
          </w:tcPr>
          <w:p>
            <w:pPr>
              <w:spacing w:after="20"/>
              <w:jc w:val="right"/>
            </w:pPr>
            <w:r>
              <w:rPr>
                <w:color w:val="1C3A36"/>
                <w:sz w:val="16"/>
              </w:rPr>
              <w:t>13,295</w:t>
            </w:r>
          </w:p>
        </w:tc>
        <w:tc>
          <w:tcPr>
            <w:tcW w:type="dxa" w:w="886"/>
          </w:tcPr>
          <w:p>
            <w:pPr>
              <w:spacing w:after="20"/>
              <w:jc w:val="right"/>
            </w:pPr>
            <w:r>
              <w:rPr>
                <w:color w:val="1C3A36"/>
                <w:sz w:val="16"/>
              </w:rPr>
              <w:t>24,689</w:t>
            </w:r>
          </w:p>
        </w:tc>
        <w:tc>
          <w:tcPr>
            <w:tcW w:type="dxa" w:w="886"/>
          </w:tcPr>
          <w:p>
            <w:pPr>
              <w:spacing w:after="20"/>
              <w:jc w:val="right"/>
            </w:pPr>
            <w:r>
              <w:rPr>
                <w:color w:val="1C3A36"/>
                <w:sz w:val="16"/>
              </w:rPr>
              <w:t>14,828</w:t>
            </w:r>
          </w:p>
        </w:tc>
        <w:tc>
          <w:tcPr>
            <w:tcW w:type="dxa" w:w="886"/>
          </w:tcPr>
          <w:p>
            <w:pPr>
              <w:spacing w:after="20"/>
              <w:jc w:val="right"/>
            </w:pPr>
            <w:r>
              <w:rPr>
                <w:color w:val="1C3A36"/>
                <w:sz w:val="16"/>
              </w:rPr>
              <w:t>14,089</w:t>
            </w:r>
          </w:p>
        </w:tc>
        <w:tc>
          <w:tcPr>
            <w:tcW w:type="dxa" w:w="886"/>
          </w:tcPr>
          <w:p>
            <w:pPr>
              <w:spacing w:after="20"/>
              <w:jc w:val="right"/>
            </w:pPr>
            <w:r>
              <w:rPr>
                <w:color w:val="1C3A36"/>
                <w:sz w:val="16"/>
              </w:rPr>
              <w:t>14,908</w:t>
            </w:r>
          </w:p>
        </w:tc>
        <w:tc>
          <w:tcPr>
            <w:tcW w:type="dxa" w:w="886"/>
          </w:tcPr>
          <w:p>
            <w:pPr>
              <w:spacing w:after="20"/>
              <w:jc w:val="right"/>
            </w:pPr>
            <w:r>
              <w:rPr>
                <w:color w:val="1C3A36"/>
                <w:sz w:val="16"/>
              </w:rPr>
              <w:t>15,726</w:t>
            </w:r>
          </w:p>
        </w:tc>
        <w:tc>
          <w:tcPr>
            <w:tcW w:type="dxa" w:w="886"/>
          </w:tcPr>
          <w:p>
            <w:pPr>
              <w:spacing w:after="20"/>
              <w:jc w:val="right"/>
            </w:pPr>
            <w:r>
              <w:rPr>
                <w:color w:val="1C3A36"/>
                <w:sz w:val="16"/>
              </w:rPr>
              <w:t>16,453</w:t>
            </w:r>
          </w:p>
        </w:tc>
        <w:tc>
          <w:tcPr>
            <w:tcW w:type="dxa" w:w="886"/>
          </w:tcPr>
          <w:p>
            <w:pPr>
              <w:spacing w:after="20"/>
              <w:jc w:val="right"/>
            </w:pPr>
            <w:r>
              <w:rPr>
                <w:color w:val="1C3A36"/>
                <w:sz w:val="16"/>
              </w:rPr>
              <w:t>17,234</w:t>
            </w:r>
          </w:p>
        </w:tc>
      </w:tr>
      <w:tr>
        <w:tc>
          <w:tcPr>
            <w:tcW w:type="dxa" w:w="2952"/>
          </w:tcPr>
          <w:p>
            <w:pPr>
              <w:spacing w:after="20"/>
            </w:pPr>
            <w:r>
              <w:rPr>
                <w:b/>
                <w:color w:val="1C3A36"/>
                <w:sz w:val="16"/>
              </w:rPr>
              <w:t>EPS (SAR)</w:t>
            </w:r>
          </w:p>
        </w:tc>
        <w:tc>
          <w:tcPr>
            <w:tcW w:type="dxa" w:w="886"/>
          </w:tcPr>
          <w:p>
            <w:pPr>
              <w:spacing w:after="20"/>
              <w:jc w:val="right"/>
            </w:pPr>
            <w:r>
              <w:rPr>
                <w:color w:val="1C3A36"/>
                <w:sz w:val="16"/>
              </w:rPr>
              <w:t>2.67</w:t>
            </w:r>
          </w:p>
        </w:tc>
        <w:tc>
          <w:tcPr>
            <w:tcW w:type="dxa" w:w="886"/>
          </w:tcPr>
          <w:p>
            <w:pPr>
              <w:spacing w:after="20"/>
              <w:jc w:val="right"/>
            </w:pPr>
            <w:r>
              <w:rPr>
                <w:color w:val="1C3A36"/>
                <w:sz w:val="16"/>
              </w:rPr>
              <w:t>4.95</w:t>
            </w:r>
          </w:p>
        </w:tc>
        <w:tc>
          <w:tcPr>
            <w:tcW w:type="dxa" w:w="886"/>
          </w:tcPr>
          <w:p>
            <w:pPr>
              <w:spacing w:after="20"/>
              <w:jc w:val="right"/>
            </w:pPr>
            <w:r>
              <w:rPr>
                <w:color w:val="1C3A36"/>
                <w:sz w:val="16"/>
              </w:rPr>
              <w:t>2.97</w:t>
            </w:r>
          </w:p>
        </w:tc>
        <w:tc>
          <w:tcPr>
            <w:tcW w:type="dxa" w:w="886"/>
          </w:tcPr>
          <w:p>
            <w:pPr>
              <w:spacing w:after="20"/>
              <w:jc w:val="right"/>
            </w:pPr>
            <w:r>
              <w:rPr>
                <w:color w:val="1C3A36"/>
                <w:sz w:val="16"/>
              </w:rPr>
              <w:t>2.82</w:t>
            </w:r>
          </w:p>
        </w:tc>
        <w:tc>
          <w:tcPr>
            <w:tcW w:type="dxa" w:w="886"/>
          </w:tcPr>
          <w:p>
            <w:pPr>
              <w:spacing w:after="20"/>
              <w:jc w:val="right"/>
            </w:pPr>
            <w:r>
              <w:rPr>
                <w:color w:val="1C3A36"/>
                <w:sz w:val="16"/>
              </w:rPr>
              <w:t>2.99</w:t>
            </w:r>
          </w:p>
        </w:tc>
        <w:tc>
          <w:tcPr>
            <w:tcW w:type="dxa" w:w="886"/>
          </w:tcPr>
          <w:p>
            <w:pPr>
              <w:spacing w:after="20"/>
              <w:jc w:val="right"/>
            </w:pPr>
            <w:r>
              <w:rPr>
                <w:color w:val="1C3A36"/>
                <w:sz w:val="16"/>
              </w:rPr>
              <w:t>3.15</w:t>
            </w:r>
          </w:p>
        </w:tc>
        <w:tc>
          <w:tcPr>
            <w:tcW w:type="dxa" w:w="886"/>
          </w:tcPr>
          <w:p>
            <w:pPr>
              <w:spacing w:after="20"/>
              <w:jc w:val="right"/>
            </w:pPr>
            <w:r>
              <w:rPr>
                <w:color w:val="1C3A36"/>
                <w:sz w:val="16"/>
              </w:rPr>
              <w:t>3.30</w:t>
            </w:r>
          </w:p>
        </w:tc>
        <w:tc>
          <w:tcPr>
            <w:tcW w:type="dxa" w:w="886"/>
          </w:tcPr>
          <w:p>
            <w:pPr>
              <w:spacing w:after="20"/>
              <w:jc w:val="right"/>
            </w:pPr>
            <w:r>
              <w:rPr>
                <w:color w:val="1C3A36"/>
                <w:sz w:val="16"/>
              </w:rPr>
              <w:t>3.45</w:t>
            </w:r>
          </w:p>
        </w:tc>
      </w:tr>
    </w:tbl>
    <w:p>
      <w:pPr>
        <w:spacing w:after="40"/>
      </w:pPr>
    </w:p>
    <w:p>
      <w:pPr>
        <w:spacing w:after="200" w:before="0"/>
      </w:pPr>
      <w:r>
        <w:rPr>
          <w:b w:val="0"/>
          <w:i/>
          <w:color w:val="6E7B77"/>
          <w:sz w:val="17"/>
        </w:rPr>
        <w:t>FY23–FY25 as disclosed (stc.com IR releases; restated). FY24 discontinued operations include the SAR 12,885 mn TAWAL/Digital-Infrastructure disposal gain. One-offs: FY23 AlKhobar land gain +1,296, WHT reversal +724; FY24 WHT reversal +1,500, ERP −2,577, BGSM impairment −764; FY25 zakat credit +466. Forecast columns are the live model build (rounded); the Excel is the source of truth.</w:t>
      </w:r>
    </w:p>
    <w:p>
      <w:pPr>
        <w:spacing w:after="80" w:before="200"/>
      </w:pPr>
      <w:r>
        <w:rPr>
          <w:b/>
          <w:i w:val="0"/>
          <w:color w:val="1C3A36"/>
          <w:sz w:val="24"/>
        </w:rPr>
        <w:t>A.2  Balance sheet — condensed house layout (consolidated, SAR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3600"/>
            <w:shd w:val="clear" w:color="auto" w:fill="EAF0EE"/>
          </w:tcPr>
          <w:p>
            <w:pPr>
              <w:spacing w:after="20"/>
            </w:pPr>
            <w:r>
              <w:rPr>
                <w:b/>
                <w:color w:val="1C3A36"/>
                <w:sz w:val="16"/>
              </w:rPr>
              <w:t>Line</w:t>
            </w:r>
          </w:p>
        </w:tc>
        <w:tc>
          <w:tcPr>
            <w:tcW w:type="dxa" w:w="1080"/>
            <w:shd w:val="clear" w:color="auto" w:fill="EAF0EE"/>
          </w:tcPr>
          <w:p>
            <w:pPr>
              <w:spacing w:after="20"/>
            </w:pPr>
            <w:r>
              <w:rPr>
                <w:b/>
                <w:color w:val="1C3A36"/>
                <w:sz w:val="16"/>
              </w:rPr>
              <w:t>FY23</w:t>
            </w:r>
          </w:p>
        </w:tc>
        <w:tc>
          <w:tcPr>
            <w:tcW w:type="dxa" w:w="1080"/>
            <w:shd w:val="clear" w:color="auto" w:fill="EAF0EE"/>
          </w:tcPr>
          <w:p>
            <w:pPr>
              <w:spacing w:after="20"/>
            </w:pPr>
            <w:r>
              <w:rPr>
                <w:b/>
                <w:color w:val="1C3A36"/>
                <w:sz w:val="16"/>
              </w:rPr>
              <w:t>FY24</w:t>
            </w:r>
          </w:p>
        </w:tc>
        <w:tc>
          <w:tcPr>
            <w:tcW w:type="dxa" w:w="1080"/>
            <w:shd w:val="clear" w:color="auto" w:fill="EAF0EE"/>
          </w:tcPr>
          <w:p>
            <w:pPr>
              <w:spacing w:after="20"/>
            </w:pPr>
            <w:r>
              <w:rPr>
                <w:b/>
                <w:color w:val="1C3A36"/>
                <w:sz w:val="16"/>
              </w:rPr>
              <w:t>FY25</w:t>
            </w:r>
          </w:p>
        </w:tc>
        <w:tc>
          <w:tcPr>
            <w:tcW w:type="dxa" w:w="1080"/>
            <w:shd w:val="clear" w:color="auto" w:fill="EAF0EE"/>
          </w:tcPr>
          <w:p>
            <w:pPr>
              <w:spacing w:after="20"/>
            </w:pPr>
            <w:r>
              <w:rPr>
                <w:b/>
                <w:color w:val="1C3A36"/>
                <w:sz w:val="16"/>
              </w:rPr>
              <w:t>FY26E</w:t>
            </w:r>
          </w:p>
        </w:tc>
        <w:tc>
          <w:tcPr>
            <w:tcW w:type="dxa" w:w="1080"/>
            <w:shd w:val="clear" w:color="auto" w:fill="EAF0EE"/>
          </w:tcPr>
          <w:p>
            <w:pPr>
              <w:spacing w:after="20"/>
            </w:pPr>
            <w:r>
              <w:rPr>
                <w:b/>
                <w:color w:val="1C3A36"/>
                <w:sz w:val="16"/>
              </w:rPr>
              <w:t>FY28E</w:t>
            </w:r>
          </w:p>
        </w:tc>
        <w:tc>
          <w:tcPr>
            <w:tcW w:type="dxa" w:w="1080"/>
            <w:shd w:val="clear" w:color="auto" w:fill="EAF0EE"/>
          </w:tcPr>
          <w:p>
            <w:pPr>
              <w:spacing w:after="20"/>
            </w:pPr>
            <w:r>
              <w:rPr>
                <w:b/>
                <w:color w:val="1C3A36"/>
                <w:sz w:val="16"/>
              </w:rPr>
              <w:t>FY30E</w:t>
            </w:r>
          </w:p>
        </w:tc>
      </w:tr>
      <w:tr>
        <w:tc>
          <w:tcPr>
            <w:tcW w:type="dxa" w:w="3600"/>
          </w:tcPr>
          <w:p>
            <w:pPr>
              <w:spacing w:after="20"/>
            </w:pPr>
            <w:r>
              <w:rPr>
                <w:b/>
                <w:color w:val="1C3A36"/>
                <w:sz w:val="16"/>
              </w:rPr>
              <w:t>Net fixed &amp; intangible assets</w:t>
            </w:r>
          </w:p>
        </w:tc>
        <w:tc>
          <w:tcPr>
            <w:tcW w:type="dxa" w:w="1080"/>
          </w:tcPr>
          <w:p>
            <w:pPr>
              <w:spacing w:after="20"/>
              <w:jc w:val="right"/>
            </w:pPr>
            <w:r>
              <w:rPr>
                <w:color w:val="1C3A36"/>
                <w:sz w:val="16"/>
              </w:rPr>
              <w:t>78,408</w:t>
            </w:r>
          </w:p>
        </w:tc>
        <w:tc>
          <w:tcPr>
            <w:tcW w:type="dxa" w:w="1080"/>
          </w:tcPr>
          <w:p>
            <w:pPr>
              <w:spacing w:after="20"/>
              <w:jc w:val="right"/>
            </w:pPr>
            <w:r>
              <w:rPr>
                <w:color w:val="1C3A36"/>
                <w:sz w:val="16"/>
              </w:rPr>
              <w:t>74,383</w:t>
            </w:r>
          </w:p>
        </w:tc>
        <w:tc>
          <w:tcPr>
            <w:tcW w:type="dxa" w:w="1080"/>
          </w:tcPr>
          <w:p>
            <w:pPr>
              <w:spacing w:after="20"/>
              <w:jc w:val="right"/>
            </w:pPr>
            <w:r>
              <w:rPr>
                <w:color w:val="1C3A36"/>
                <w:sz w:val="16"/>
              </w:rPr>
              <w:t>83,529</w:t>
            </w:r>
          </w:p>
        </w:tc>
        <w:tc>
          <w:tcPr>
            <w:tcW w:type="dxa" w:w="1080"/>
          </w:tcPr>
          <w:p>
            <w:pPr>
              <w:spacing w:after="20"/>
              <w:jc w:val="right"/>
            </w:pPr>
            <w:r>
              <w:rPr>
                <w:color w:val="1C3A36"/>
                <w:sz w:val="16"/>
              </w:rPr>
              <w:t>86,529</w:t>
            </w:r>
          </w:p>
        </w:tc>
        <w:tc>
          <w:tcPr>
            <w:tcW w:type="dxa" w:w="1080"/>
          </w:tcPr>
          <w:p>
            <w:pPr>
              <w:spacing w:after="20"/>
              <w:jc w:val="right"/>
            </w:pPr>
            <w:r>
              <w:rPr>
                <w:color w:val="1C3A36"/>
                <w:sz w:val="16"/>
              </w:rPr>
              <w:t>91,801</w:t>
            </w:r>
          </w:p>
        </w:tc>
        <w:tc>
          <w:tcPr>
            <w:tcW w:type="dxa" w:w="1080"/>
          </w:tcPr>
          <w:p>
            <w:pPr>
              <w:spacing w:after="20"/>
              <w:jc w:val="right"/>
            </w:pPr>
            <w:r>
              <w:rPr>
                <w:color w:val="1C3A36"/>
                <w:sz w:val="16"/>
              </w:rPr>
              <w:t>95,232</w:t>
            </w:r>
          </w:p>
        </w:tc>
      </w:tr>
      <w:tr>
        <w:tc>
          <w:tcPr>
            <w:tcW w:type="dxa" w:w="3600"/>
          </w:tcPr>
          <w:p>
            <w:pPr>
              <w:spacing w:after="20"/>
            </w:pPr>
            <w:r>
              <w:rPr>
                <w:b/>
                <w:color w:val="1C3A36"/>
                <w:sz w:val="16"/>
              </w:rPr>
              <w:t>Investments in associates &amp; JVs</w:t>
            </w:r>
          </w:p>
        </w:tc>
        <w:tc>
          <w:tcPr>
            <w:tcW w:type="dxa" w:w="1080"/>
          </w:tcPr>
          <w:p>
            <w:pPr>
              <w:spacing w:after="20"/>
              <w:jc w:val="right"/>
            </w:pPr>
            <w:r>
              <w:rPr>
                <w:color w:val="1C3A36"/>
                <w:sz w:val="16"/>
              </w:rPr>
              <w:t>3,800*</w:t>
            </w:r>
          </w:p>
        </w:tc>
        <w:tc>
          <w:tcPr>
            <w:tcW w:type="dxa" w:w="1080"/>
          </w:tcPr>
          <w:p>
            <w:pPr>
              <w:spacing w:after="20"/>
              <w:jc w:val="right"/>
            </w:pPr>
            <w:r>
              <w:rPr>
                <w:color w:val="1C3A36"/>
                <w:sz w:val="16"/>
              </w:rPr>
              <w:t>4,200*</w:t>
            </w:r>
          </w:p>
        </w:tc>
        <w:tc>
          <w:tcPr>
            <w:tcW w:type="dxa" w:w="1080"/>
          </w:tcPr>
          <w:p>
            <w:pPr>
              <w:spacing w:after="20"/>
              <w:jc w:val="right"/>
            </w:pPr>
            <w:r>
              <w:rPr>
                <w:color w:val="1C3A36"/>
                <w:sz w:val="16"/>
              </w:rPr>
              <w:t>4,641</w:t>
            </w:r>
          </w:p>
        </w:tc>
        <w:tc>
          <w:tcPr>
            <w:tcW w:type="dxa" w:w="1080"/>
          </w:tcPr>
          <w:p>
            <w:pPr>
              <w:spacing w:after="20"/>
              <w:jc w:val="right"/>
            </w:pPr>
            <w:r>
              <w:rPr>
                <w:color w:val="1C3A36"/>
                <w:sz w:val="16"/>
              </w:rPr>
              <w:t>5,141</w:t>
            </w:r>
          </w:p>
        </w:tc>
        <w:tc>
          <w:tcPr>
            <w:tcW w:type="dxa" w:w="1080"/>
          </w:tcPr>
          <w:p>
            <w:pPr>
              <w:spacing w:after="20"/>
              <w:jc w:val="right"/>
            </w:pPr>
            <w:r>
              <w:rPr>
                <w:color w:val="1C3A36"/>
                <w:sz w:val="16"/>
              </w:rPr>
              <w:t>6,231</w:t>
            </w:r>
          </w:p>
        </w:tc>
        <w:tc>
          <w:tcPr>
            <w:tcW w:type="dxa" w:w="1080"/>
          </w:tcPr>
          <w:p>
            <w:pPr>
              <w:spacing w:after="20"/>
              <w:jc w:val="right"/>
            </w:pPr>
            <w:r>
              <w:rPr>
                <w:color w:val="1C3A36"/>
                <w:sz w:val="16"/>
              </w:rPr>
              <w:t>7,441</w:t>
            </w:r>
          </w:p>
        </w:tc>
      </w:tr>
      <w:tr>
        <w:tc>
          <w:tcPr>
            <w:tcW w:type="dxa" w:w="3600"/>
          </w:tcPr>
          <w:p>
            <w:pPr>
              <w:spacing w:after="20"/>
            </w:pPr>
            <w:r>
              <w:rPr>
                <w:b/>
                <w:color w:val="1C3A36"/>
                <w:sz w:val="16"/>
              </w:rPr>
              <w:t>Financial assets (incl. Telefónica)</w:t>
            </w:r>
          </w:p>
        </w:tc>
        <w:tc>
          <w:tcPr>
            <w:tcW w:type="dxa" w:w="1080"/>
          </w:tcPr>
          <w:p>
            <w:pPr>
              <w:spacing w:after="20"/>
              <w:jc w:val="right"/>
            </w:pPr>
            <w:r>
              <w:rPr>
                <w:color w:val="1C3A36"/>
                <w:sz w:val="16"/>
              </w:rPr>
              <w:t>22,000*</w:t>
            </w:r>
          </w:p>
        </w:tc>
        <w:tc>
          <w:tcPr>
            <w:tcW w:type="dxa" w:w="1080"/>
          </w:tcPr>
          <w:p>
            <w:pPr>
              <w:spacing w:after="20"/>
              <w:jc w:val="right"/>
            </w:pPr>
            <w:r>
              <w:rPr>
                <w:color w:val="1C3A36"/>
                <w:sz w:val="16"/>
              </w:rPr>
              <w:t>23,500*</w:t>
            </w:r>
          </w:p>
        </w:tc>
        <w:tc>
          <w:tcPr>
            <w:tcW w:type="dxa" w:w="1080"/>
          </w:tcPr>
          <w:p>
            <w:pPr>
              <w:spacing w:after="20"/>
              <w:jc w:val="right"/>
            </w:pPr>
            <w:r>
              <w:rPr>
                <w:color w:val="1C3A36"/>
                <w:sz w:val="16"/>
              </w:rPr>
              <w:t>24,893</w:t>
            </w:r>
          </w:p>
        </w:tc>
        <w:tc>
          <w:tcPr>
            <w:tcW w:type="dxa" w:w="1080"/>
          </w:tcPr>
          <w:p>
            <w:pPr>
              <w:spacing w:after="20"/>
              <w:jc w:val="right"/>
            </w:pPr>
            <w:r>
              <w:rPr>
                <w:color w:val="1C3A36"/>
                <w:sz w:val="16"/>
              </w:rPr>
              <w:t>24,893</w:t>
            </w:r>
          </w:p>
        </w:tc>
        <w:tc>
          <w:tcPr>
            <w:tcW w:type="dxa" w:w="1080"/>
          </w:tcPr>
          <w:p>
            <w:pPr>
              <w:spacing w:after="20"/>
              <w:jc w:val="right"/>
            </w:pPr>
            <w:r>
              <w:rPr>
                <w:color w:val="1C3A36"/>
                <w:sz w:val="16"/>
              </w:rPr>
              <w:t>24,893</w:t>
            </w:r>
          </w:p>
        </w:tc>
        <w:tc>
          <w:tcPr>
            <w:tcW w:type="dxa" w:w="1080"/>
          </w:tcPr>
          <w:p>
            <w:pPr>
              <w:spacing w:after="20"/>
              <w:jc w:val="right"/>
            </w:pPr>
            <w:r>
              <w:rPr>
                <w:color w:val="1C3A36"/>
                <w:sz w:val="16"/>
              </w:rPr>
              <w:t>24,893</w:t>
            </w:r>
          </w:p>
        </w:tc>
      </w:tr>
      <w:tr>
        <w:tc>
          <w:tcPr>
            <w:tcW w:type="dxa" w:w="3600"/>
          </w:tcPr>
          <w:p>
            <w:pPr>
              <w:spacing w:after="20"/>
            </w:pPr>
            <w:r>
              <w:rPr>
                <w:b/>
                <w:color w:val="1C3A36"/>
                <w:sz w:val="16"/>
              </w:rPr>
              <w:t>Trade receivables, net</w:t>
            </w:r>
          </w:p>
        </w:tc>
        <w:tc>
          <w:tcPr>
            <w:tcW w:type="dxa" w:w="1080"/>
          </w:tcPr>
          <w:p>
            <w:pPr>
              <w:spacing w:after="20"/>
              <w:jc w:val="right"/>
            </w:pPr>
            <w:r>
              <w:rPr>
                <w:color w:val="1C3A36"/>
                <w:sz w:val="16"/>
              </w:rPr>
              <w:t>24,500*</w:t>
            </w:r>
          </w:p>
        </w:tc>
        <w:tc>
          <w:tcPr>
            <w:tcW w:type="dxa" w:w="1080"/>
          </w:tcPr>
          <w:p>
            <w:pPr>
              <w:spacing w:after="20"/>
              <w:jc w:val="right"/>
            </w:pPr>
            <w:r>
              <w:rPr>
                <w:color w:val="1C3A36"/>
                <w:sz w:val="16"/>
              </w:rPr>
              <w:t>25,800*</w:t>
            </w:r>
          </w:p>
        </w:tc>
        <w:tc>
          <w:tcPr>
            <w:tcW w:type="dxa" w:w="1080"/>
          </w:tcPr>
          <w:p>
            <w:pPr>
              <w:spacing w:after="20"/>
              <w:jc w:val="right"/>
            </w:pPr>
            <w:r>
              <w:rPr>
                <w:color w:val="1C3A36"/>
                <w:sz w:val="16"/>
              </w:rPr>
              <w:t>26,727</w:t>
            </w:r>
          </w:p>
        </w:tc>
        <w:tc>
          <w:tcPr>
            <w:tcW w:type="dxa" w:w="1080"/>
          </w:tcPr>
          <w:p>
            <w:pPr>
              <w:spacing w:after="20"/>
              <w:jc w:val="right"/>
            </w:pPr>
            <w:r>
              <w:rPr>
                <w:color w:val="1C3A36"/>
                <w:sz w:val="16"/>
              </w:rPr>
              <w:t>27,375</w:t>
            </w:r>
          </w:p>
        </w:tc>
        <w:tc>
          <w:tcPr>
            <w:tcW w:type="dxa" w:w="1080"/>
          </w:tcPr>
          <w:p>
            <w:pPr>
              <w:spacing w:after="20"/>
              <w:jc w:val="right"/>
            </w:pPr>
            <w:r>
              <w:rPr>
                <w:color w:val="1C3A36"/>
                <w:sz w:val="16"/>
              </w:rPr>
              <w:t>28,486</w:t>
            </w:r>
          </w:p>
        </w:tc>
        <w:tc>
          <w:tcPr>
            <w:tcW w:type="dxa" w:w="1080"/>
          </w:tcPr>
          <w:p>
            <w:pPr>
              <w:spacing w:after="20"/>
              <w:jc w:val="right"/>
            </w:pPr>
            <w:r>
              <w:rPr>
                <w:color w:val="1C3A36"/>
                <w:sz w:val="16"/>
              </w:rPr>
              <w:t>29,222</w:t>
            </w:r>
          </w:p>
        </w:tc>
      </w:tr>
      <w:tr>
        <w:tc>
          <w:tcPr>
            <w:tcW w:type="dxa" w:w="3600"/>
          </w:tcPr>
          <w:p>
            <w:pPr>
              <w:spacing w:after="20"/>
            </w:pPr>
            <w:r>
              <w:rPr>
                <w:b/>
                <w:color w:val="1C3A36"/>
                <w:sz w:val="16"/>
              </w:rPr>
              <w:t>Cash, equivalents &amp; ST murabahas</w:t>
            </w:r>
          </w:p>
        </w:tc>
        <w:tc>
          <w:tcPr>
            <w:tcW w:type="dxa" w:w="1080"/>
          </w:tcPr>
          <w:p>
            <w:pPr>
              <w:spacing w:after="20"/>
              <w:jc w:val="right"/>
            </w:pPr>
            <w:r>
              <w:rPr>
                <w:color w:val="1C3A36"/>
                <w:sz w:val="16"/>
              </w:rPr>
              <w:t>28,138</w:t>
            </w:r>
          </w:p>
        </w:tc>
        <w:tc>
          <w:tcPr>
            <w:tcW w:type="dxa" w:w="1080"/>
          </w:tcPr>
          <w:p>
            <w:pPr>
              <w:spacing w:after="20"/>
              <w:jc w:val="right"/>
            </w:pPr>
            <w:r>
              <w:rPr>
                <w:color w:val="1C3A36"/>
                <w:sz w:val="16"/>
              </w:rPr>
              <w:t>30,755</w:t>
            </w:r>
          </w:p>
        </w:tc>
        <w:tc>
          <w:tcPr>
            <w:tcW w:type="dxa" w:w="1080"/>
          </w:tcPr>
          <w:p>
            <w:pPr>
              <w:spacing w:after="20"/>
              <w:jc w:val="right"/>
            </w:pPr>
            <w:r>
              <w:rPr>
                <w:color w:val="1C3A36"/>
                <w:sz w:val="16"/>
              </w:rPr>
              <w:t>15,080</w:t>
            </w:r>
          </w:p>
        </w:tc>
        <w:tc>
          <w:tcPr>
            <w:tcW w:type="dxa" w:w="1080"/>
          </w:tcPr>
          <w:p>
            <w:pPr>
              <w:spacing w:after="20"/>
              <w:jc w:val="right"/>
            </w:pPr>
            <w:r>
              <w:rPr>
                <w:color w:val="1C3A36"/>
                <w:sz w:val="16"/>
              </w:rPr>
              <w:t>21,774</w:t>
            </w:r>
          </w:p>
        </w:tc>
        <w:tc>
          <w:tcPr>
            <w:tcW w:type="dxa" w:w="1080"/>
          </w:tcPr>
          <w:p>
            <w:pPr>
              <w:spacing w:after="20"/>
              <w:jc w:val="right"/>
            </w:pPr>
            <w:r>
              <w:rPr>
                <w:color w:val="1C3A36"/>
                <w:sz w:val="16"/>
              </w:rPr>
              <w:t>25,177</w:t>
            </w:r>
          </w:p>
        </w:tc>
        <w:tc>
          <w:tcPr>
            <w:tcW w:type="dxa" w:w="1080"/>
          </w:tcPr>
          <w:p>
            <w:pPr>
              <w:spacing w:after="20"/>
              <w:jc w:val="right"/>
            </w:pPr>
            <w:r>
              <w:rPr>
                <w:color w:val="1C3A36"/>
                <w:sz w:val="16"/>
              </w:rPr>
              <w:t>31,116</w:t>
            </w:r>
          </w:p>
        </w:tc>
      </w:tr>
      <w:tr>
        <w:tc>
          <w:tcPr>
            <w:tcW w:type="dxa" w:w="3600"/>
          </w:tcPr>
          <w:p>
            <w:pPr>
              <w:spacing w:after="20"/>
            </w:pPr>
            <w:r>
              <w:rPr>
                <w:b/>
                <w:color w:val="1C3A36"/>
                <w:sz w:val="16"/>
              </w:rPr>
              <w:t>Other assets</w:t>
            </w:r>
          </w:p>
        </w:tc>
        <w:tc>
          <w:tcPr>
            <w:tcW w:type="dxa" w:w="1080"/>
          </w:tcPr>
          <w:p>
            <w:pPr>
              <w:spacing w:after="20"/>
              <w:jc w:val="right"/>
            </w:pPr>
            <w:r>
              <w:rPr>
                <w:color w:val="1C3A36"/>
                <w:sz w:val="16"/>
              </w:rPr>
              <w:t>2,800</w:t>
            </w:r>
          </w:p>
        </w:tc>
        <w:tc>
          <w:tcPr>
            <w:tcW w:type="dxa" w:w="1080"/>
          </w:tcPr>
          <w:p>
            <w:pPr>
              <w:spacing w:after="20"/>
              <w:jc w:val="right"/>
            </w:pPr>
            <w:r>
              <w:rPr>
                <w:color w:val="1C3A36"/>
                <w:sz w:val="16"/>
              </w:rPr>
              <w:t>2,000</w:t>
            </w:r>
          </w:p>
        </w:tc>
        <w:tc>
          <w:tcPr>
            <w:tcW w:type="dxa" w:w="1080"/>
          </w:tcPr>
          <w:p>
            <w:pPr>
              <w:spacing w:after="20"/>
              <w:jc w:val="right"/>
            </w:pPr>
            <w:r>
              <w:rPr>
                <w:color w:val="1C3A36"/>
                <w:sz w:val="16"/>
              </w:rPr>
              <w:t>2,952</w:t>
            </w:r>
          </w:p>
        </w:tc>
        <w:tc>
          <w:tcPr>
            <w:tcW w:type="dxa" w:w="1080"/>
          </w:tcPr>
          <w:p>
            <w:pPr>
              <w:spacing w:after="20"/>
              <w:jc w:val="right"/>
            </w:pPr>
            <w:r>
              <w:rPr>
                <w:color w:val="1C3A36"/>
                <w:sz w:val="16"/>
              </w:rPr>
              <w:t>2,952</w:t>
            </w:r>
          </w:p>
        </w:tc>
        <w:tc>
          <w:tcPr>
            <w:tcW w:type="dxa" w:w="1080"/>
          </w:tcPr>
          <w:p>
            <w:pPr>
              <w:spacing w:after="20"/>
              <w:jc w:val="right"/>
            </w:pPr>
            <w:r>
              <w:rPr>
                <w:color w:val="1C3A36"/>
                <w:sz w:val="16"/>
              </w:rPr>
              <w:t>2,952</w:t>
            </w:r>
          </w:p>
        </w:tc>
        <w:tc>
          <w:tcPr>
            <w:tcW w:type="dxa" w:w="1080"/>
          </w:tcPr>
          <w:p>
            <w:pPr>
              <w:spacing w:after="20"/>
              <w:jc w:val="right"/>
            </w:pPr>
            <w:r>
              <w:rPr>
                <w:color w:val="1C3A36"/>
                <w:sz w:val="16"/>
              </w:rPr>
              <w:t>2,952</w:t>
            </w:r>
          </w:p>
        </w:tc>
      </w:tr>
      <w:tr>
        <w:tc>
          <w:tcPr>
            <w:tcW w:type="dxa" w:w="3600"/>
          </w:tcPr>
          <w:p>
            <w:pPr>
              <w:spacing w:after="20"/>
            </w:pPr>
            <w:r>
              <w:rPr>
                <w:b/>
                <w:color w:val="1C3A36"/>
                <w:sz w:val="16"/>
              </w:rPr>
              <w:t>TOTAL ASSETS</w:t>
            </w:r>
          </w:p>
        </w:tc>
        <w:tc>
          <w:tcPr>
            <w:tcW w:type="dxa" w:w="1080"/>
          </w:tcPr>
          <w:p>
            <w:pPr>
              <w:spacing w:after="20"/>
              <w:jc w:val="right"/>
            </w:pPr>
            <w:r>
              <w:rPr>
                <w:color w:val="1C3A36"/>
                <w:sz w:val="16"/>
              </w:rPr>
              <w:t>159,646</w:t>
            </w:r>
          </w:p>
        </w:tc>
        <w:tc>
          <w:tcPr>
            <w:tcW w:type="dxa" w:w="1080"/>
          </w:tcPr>
          <w:p>
            <w:pPr>
              <w:spacing w:after="20"/>
              <w:jc w:val="right"/>
            </w:pPr>
            <w:r>
              <w:rPr>
                <w:color w:val="1C3A36"/>
                <w:sz w:val="16"/>
              </w:rPr>
              <w:t>160,638</w:t>
            </w:r>
          </w:p>
        </w:tc>
        <w:tc>
          <w:tcPr>
            <w:tcW w:type="dxa" w:w="1080"/>
          </w:tcPr>
          <w:p>
            <w:pPr>
              <w:spacing w:after="20"/>
              <w:jc w:val="right"/>
            </w:pPr>
            <w:r>
              <w:rPr>
                <w:color w:val="1C3A36"/>
                <w:sz w:val="16"/>
              </w:rPr>
              <w:t>157,477</w:t>
            </w:r>
          </w:p>
        </w:tc>
        <w:tc>
          <w:tcPr>
            <w:tcW w:type="dxa" w:w="1080"/>
          </w:tcPr>
          <w:p>
            <w:pPr>
              <w:spacing w:after="20"/>
              <w:jc w:val="right"/>
            </w:pPr>
            <w:r>
              <w:rPr>
                <w:color w:val="1C3A36"/>
                <w:sz w:val="16"/>
              </w:rPr>
              <w:t>168,664</w:t>
            </w:r>
          </w:p>
        </w:tc>
        <w:tc>
          <w:tcPr>
            <w:tcW w:type="dxa" w:w="1080"/>
          </w:tcPr>
          <w:p>
            <w:pPr>
              <w:spacing w:after="20"/>
              <w:jc w:val="right"/>
            </w:pPr>
            <w:r>
              <w:rPr>
                <w:color w:val="1C3A36"/>
                <w:sz w:val="16"/>
              </w:rPr>
              <w:t>179,540</w:t>
            </w:r>
          </w:p>
        </w:tc>
        <w:tc>
          <w:tcPr>
            <w:tcW w:type="dxa" w:w="1080"/>
          </w:tcPr>
          <w:p>
            <w:pPr>
              <w:spacing w:after="20"/>
              <w:jc w:val="right"/>
            </w:pPr>
            <w:r>
              <w:rPr>
                <w:color w:val="1C3A36"/>
                <w:sz w:val="16"/>
              </w:rPr>
              <w:t>190,856</w:t>
            </w:r>
          </w:p>
        </w:tc>
      </w:tr>
      <w:tr>
        <w:tc>
          <w:tcPr>
            <w:tcW w:type="dxa" w:w="3600"/>
          </w:tcPr>
          <w:p>
            <w:pPr>
              <w:spacing w:after="20"/>
            </w:pPr>
            <w:r>
              <w:rPr>
                <w:b/>
                <w:color w:val="1C3A36"/>
                <w:sz w:val="16"/>
              </w:rPr>
              <w:t>Equity attributable</w:t>
            </w:r>
          </w:p>
        </w:tc>
        <w:tc>
          <w:tcPr>
            <w:tcW w:type="dxa" w:w="1080"/>
          </w:tcPr>
          <w:p>
            <w:pPr>
              <w:spacing w:after="20"/>
              <w:jc w:val="right"/>
            </w:pPr>
            <w:r>
              <w:rPr>
                <w:color w:val="1C3A36"/>
                <w:sz w:val="16"/>
              </w:rPr>
              <w:t>78,985</w:t>
            </w:r>
          </w:p>
        </w:tc>
        <w:tc>
          <w:tcPr>
            <w:tcW w:type="dxa" w:w="1080"/>
          </w:tcPr>
          <w:p>
            <w:pPr>
              <w:spacing w:after="20"/>
              <w:jc w:val="right"/>
            </w:pPr>
            <w:r>
              <w:rPr>
                <w:color w:val="1C3A36"/>
                <w:sz w:val="16"/>
              </w:rPr>
              <w:t>89,417</w:t>
            </w:r>
          </w:p>
        </w:tc>
        <w:tc>
          <w:tcPr>
            <w:tcW w:type="dxa" w:w="1080"/>
          </w:tcPr>
          <w:p>
            <w:pPr>
              <w:spacing w:after="20"/>
              <w:jc w:val="right"/>
            </w:pPr>
            <w:r>
              <w:rPr>
                <w:color w:val="1C3A36"/>
                <w:sz w:val="16"/>
              </w:rPr>
              <w:t>83,414</w:t>
            </w:r>
          </w:p>
        </w:tc>
        <w:tc>
          <w:tcPr>
            <w:tcW w:type="dxa" w:w="1080"/>
          </w:tcPr>
          <w:p>
            <w:pPr>
              <w:spacing w:after="20"/>
              <w:jc w:val="right"/>
            </w:pPr>
            <w:r>
              <w:rPr>
                <w:color w:val="1C3A36"/>
                <w:sz w:val="16"/>
              </w:rPr>
              <w:t>86,525</w:t>
            </w:r>
          </w:p>
        </w:tc>
        <w:tc>
          <w:tcPr>
            <w:tcW w:type="dxa" w:w="1080"/>
          </w:tcPr>
          <w:p>
            <w:pPr>
              <w:spacing w:after="20"/>
              <w:jc w:val="right"/>
            </w:pPr>
            <w:r>
              <w:rPr>
                <w:color w:val="1C3A36"/>
                <w:sz w:val="16"/>
              </w:rPr>
              <w:t>93,364</w:t>
            </w:r>
          </w:p>
        </w:tc>
        <w:tc>
          <w:tcPr>
            <w:tcW w:type="dxa" w:w="1080"/>
          </w:tcPr>
          <w:p>
            <w:pPr>
              <w:spacing w:after="20"/>
              <w:jc w:val="right"/>
            </w:pPr>
            <w:r>
              <w:rPr>
                <w:color w:val="1C3A36"/>
                <w:sz w:val="16"/>
              </w:rPr>
              <w:t>101,411</w:t>
            </w:r>
          </w:p>
        </w:tc>
      </w:tr>
      <w:tr>
        <w:tc>
          <w:tcPr>
            <w:tcW w:type="dxa" w:w="3600"/>
          </w:tcPr>
          <w:p>
            <w:pPr>
              <w:spacing w:after="20"/>
            </w:pPr>
            <w:r>
              <w:rPr>
                <w:b/>
                <w:color w:val="1C3A36"/>
                <w:sz w:val="16"/>
              </w:rPr>
              <w:t>Non-controlling interests</w:t>
            </w:r>
          </w:p>
        </w:tc>
        <w:tc>
          <w:tcPr>
            <w:tcW w:type="dxa" w:w="1080"/>
          </w:tcPr>
          <w:p>
            <w:pPr>
              <w:spacing w:after="20"/>
              <w:jc w:val="right"/>
            </w:pPr>
            <w:r>
              <w:rPr>
                <w:color w:val="1C3A36"/>
                <w:sz w:val="16"/>
              </w:rPr>
              <w:t>2,530*</w:t>
            </w:r>
          </w:p>
        </w:tc>
        <w:tc>
          <w:tcPr>
            <w:tcW w:type="dxa" w:w="1080"/>
          </w:tcPr>
          <w:p>
            <w:pPr>
              <w:spacing w:after="20"/>
              <w:jc w:val="right"/>
            </w:pPr>
            <w:r>
              <w:rPr>
                <w:color w:val="1C3A36"/>
                <w:sz w:val="16"/>
              </w:rPr>
              <w:t>3,069*</w:t>
            </w:r>
          </w:p>
        </w:tc>
        <w:tc>
          <w:tcPr>
            <w:tcW w:type="dxa" w:w="1080"/>
          </w:tcPr>
          <w:p>
            <w:pPr>
              <w:spacing w:after="20"/>
              <w:jc w:val="right"/>
            </w:pPr>
            <w:r>
              <w:rPr>
                <w:color w:val="1C3A36"/>
                <w:sz w:val="16"/>
              </w:rPr>
              <w:t>3,482</w:t>
            </w:r>
          </w:p>
        </w:tc>
        <w:tc>
          <w:tcPr>
            <w:tcW w:type="dxa" w:w="1080"/>
          </w:tcPr>
          <w:p>
            <w:pPr>
              <w:spacing w:after="20"/>
              <w:jc w:val="right"/>
            </w:pPr>
            <w:r>
              <w:rPr>
                <w:color w:val="1C3A36"/>
                <w:sz w:val="16"/>
              </w:rPr>
              <w:t>3,834</w:t>
            </w:r>
          </w:p>
        </w:tc>
        <w:tc>
          <w:tcPr>
            <w:tcW w:type="dxa" w:w="1080"/>
          </w:tcPr>
          <w:p>
            <w:pPr>
              <w:spacing w:after="20"/>
              <w:jc w:val="right"/>
            </w:pPr>
            <w:r>
              <w:rPr>
                <w:color w:val="1C3A36"/>
                <w:sz w:val="16"/>
              </w:rPr>
              <w:t>4,606</w:t>
            </w:r>
          </w:p>
        </w:tc>
        <w:tc>
          <w:tcPr>
            <w:tcW w:type="dxa" w:w="1080"/>
          </w:tcPr>
          <w:p>
            <w:pPr>
              <w:spacing w:after="20"/>
              <w:jc w:val="right"/>
            </w:pPr>
            <w:r>
              <w:rPr>
                <w:color w:val="1C3A36"/>
                <w:sz w:val="16"/>
              </w:rPr>
              <w:t>5,455</w:t>
            </w:r>
          </w:p>
        </w:tc>
      </w:tr>
      <w:tr>
        <w:tc>
          <w:tcPr>
            <w:tcW w:type="dxa" w:w="3600"/>
          </w:tcPr>
          <w:p>
            <w:pPr>
              <w:spacing w:after="20"/>
            </w:pPr>
            <w:r>
              <w:rPr>
                <w:b/>
                <w:color w:val="1C3A36"/>
                <w:sz w:val="16"/>
              </w:rPr>
              <w:t>Borrowings &amp; sukuk (excl. leases)</w:t>
            </w:r>
          </w:p>
        </w:tc>
        <w:tc>
          <w:tcPr>
            <w:tcW w:type="dxa" w:w="1080"/>
          </w:tcPr>
          <w:p>
            <w:pPr>
              <w:spacing w:after="20"/>
              <w:jc w:val="right"/>
            </w:pPr>
            <w:r>
              <w:rPr>
                <w:color w:val="1C3A36"/>
                <w:sz w:val="16"/>
              </w:rPr>
              <w:t>21,958</w:t>
            </w:r>
          </w:p>
        </w:tc>
        <w:tc>
          <w:tcPr>
            <w:tcW w:type="dxa" w:w="1080"/>
          </w:tcPr>
          <w:p>
            <w:pPr>
              <w:spacing w:after="20"/>
              <w:jc w:val="right"/>
            </w:pPr>
            <w:r>
              <w:rPr>
                <w:color w:val="1C3A36"/>
                <w:sz w:val="16"/>
              </w:rPr>
              <w:t>15,132</w:t>
            </w:r>
          </w:p>
        </w:tc>
        <w:tc>
          <w:tcPr>
            <w:tcW w:type="dxa" w:w="1080"/>
          </w:tcPr>
          <w:p>
            <w:pPr>
              <w:spacing w:after="20"/>
              <w:jc w:val="right"/>
            </w:pPr>
            <w:r>
              <w:rPr>
                <w:color w:val="1C3A36"/>
                <w:sz w:val="16"/>
              </w:rPr>
              <w:t>15,191</w:t>
            </w:r>
          </w:p>
        </w:tc>
        <w:tc>
          <w:tcPr>
            <w:tcW w:type="dxa" w:w="1080"/>
          </w:tcPr>
          <w:p>
            <w:pPr>
              <w:spacing w:after="20"/>
              <w:jc w:val="right"/>
            </w:pPr>
            <w:r>
              <w:rPr>
                <w:color w:val="1C3A36"/>
                <w:sz w:val="16"/>
              </w:rPr>
              <w:t>22,475</w:t>
            </w:r>
          </w:p>
        </w:tc>
        <w:tc>
          <w:tcPr>
            <w:tcW w:type="dxa" w:w="1080"/>
          </w:tcPr>
          <w:p>
            <w:pPr>
              <w:spacing w:after="20"/>
              <w:jc w:val="right"/>
            </w:pPr>
            <w:r>
              <w:rPr>
                <w:color w:val="1C3A36"/>
                <w:sz w:val="16"/>
              </w:rPr>
              <w:t>22,475</w:t>
            </w:r>
          </w:p>
        </w:tc>
        <w:tc>
          <w:tcPr>
            <w:tcW w:type="dxa" w:w="1080"/>
          </w:tcPr>
          <w:p>
            <w:pPr>
              <w:spacing w:after="20"/>
              <w:jc w:val="right"/>
            </w:pPr>
            <w:r>
              <w:rPr>
                <w:color w:val="1C3A36"/>
                <w:sz w:val="16"/>
              </w:rPr>
              <w:t>22,475</w:t>
            </w:r>
          </w:p>
        </w:tc>
      </w:tr>
      <w:tr>
        <w:tc>
          <w:tcPr>
            <w:tcW w:type="dxa" w:w="3600"/>
          </w:tcPr>
          <w:p>
            <w:pPr>
              <w:spacing w:after="20"/>
            </w:pPr>
            <w:r>
              <w:rPr>
                <w:b/>
                <w:color w:val="1C3A36"/>
                <w:sz w:val="16"/>
              </w:rPr>
              <w:t>Lease liabilities</w:t>
            </w:r>
          </w:p>
        </w:tc>
        <w:tc>
          <w:tcPr>
            <w:tcW w:type="dxa" w:w="1080"/>
          </w:tcPr>
          <w:p>
            <w:pPr>
              <w:spacing w:after="20"/>
              <w:jc w:val="right"/>
            </w:pPr>
            <w:r>
              <w:rPr>
                <w:color w:val="1C3A36"/>
                <w:sz w:val="16"/>
              </w:rPr>
              <w:t>6,985*</w:t>
            </w:r>
          </w:p>
        </w:tc>
        <w:tc>
          <w:tcPr>
            <w:tcW w:type="dxa" w:w="1080"/>
          </w:tcPr>
          <w:p>
            <w:pPr>
              <w:spacing w:after="20"/>
              <w:jc w:val="right"/>
            </w:pPr>
            <w:r>
              <w:rPr>
                <w:color w:val="1C3A36"/>
                <w:sz w:val="16"/>
              </w:rPr>
              <w:t>4,580*</w:t>
            </w:r>
          </w:p>
        </w:tc>
        <w:tc>
          <w:tcPr>
            <w:tcW w:type="dxa" w:w="1080"/>
          </w:tcPr>
          <w:p>
            <w:pPr>
              <w:spacing w:after="20"/>
              <w:jc w:val="right"/>
            </w:pPr>
            <w:r>
              <w:rPr>
                <w:color w:val="1C3A36"/>
                <w:sz w:val="16"/>
              </w:rPr>
              <w:t>2,253</w:t>
            </w:r>
          </w:p>
        </w:tc>
        <w:tc>
          <w:tcPr>
            <w:tcW w:type="dxa" w:w="1080"/>
          </w:tcPr>
          <w:p>
            <w:pPr>
              <w:spacing w:after="20"/>
              <w:jc w:val="right"/>
            </w:pPr>
            <w:r>
              <w:rPr>
                <w:color w:val="1C3A36"/>
                <w:sz w:val="16"/>
              </w:rPr>
              <w:t>2,253</w:t>
            </w:r>
          </w:p>
        </w:tc>
        <w:tc>
          <w:tcPr>
            <w:tcW w:type="dxa" w:w="1080"/>
          </w:tcPr>
          <w:p>
            <w:pPr>
              <w:spacing w:after="20"/>
              <w:jc w:val="right"/>
            </w:pPr>
            <w:r>
              <w:rPr>
                <w:color w:val="1C3A36"/>
                <w:sz w:val="16"/>
              </w:rPr>
              <w:t>2,253</w:t>
            </w:r>
          </w:p>
        </w:tc>
        <w:tc>
          <w:tcPr>
            <w:tcW w:type="dxa" w:w="1080"/>
          </w:tcPr>
          <w:p>
            <w:pPr>
              <w:spacing w:after="20"/>
              <w:jc w:val="right"/>
            </w:pPr>
            <w:r>
              <w:rPr>
                <w:color w:val="1C3A36"/>
                <w:sz w:val="16"/>
              </w:rPr>
              <w:t>2,253</w:t>
            </w:r>
          </w:p>
        </w:tc>
      </w:tr>
      <w:tr>
        <w:tc>
          <w:tcPr>
            <w:tcW w:type="dxa" w:w="3600"/>
          </w:tcPr>
          <w:p>
            <w:pPr>
              <w:spacing w:after="20"/>
            </w:pPr>
            <w:r>
              <w:rPr>
                <w:b/>
                <w:color w:val="1C3A36"/>
                <w:sz w:val="16"/>
              </w:rPr>
              <w:t>Trade payables &amp; financial liabilities</w:t>
            </w:r>
          </w:p>
        </w:tc>
        <w:tc>
          <w:tcPr>
            <w:tcW w:type="dxa" w:w="1080"/>
          </w:tcPr>
          <w:p>
            <w:pPr>
              <w:spacing w:after="20"/>
              <w:jc w:val="right"/>
            </w:pPr>
            <w:r>
              <w:rPr>
                <w:color w:val="1C3A36"/>
                <w:sz w:val="16"/>
              </w:rPr>
              <w:t>25,000*</w:t>
            </w:r>
          </w:p>
        </w:tc>
        <w:tc>
          <w:tcPr>
            <w:tcW w:type="dxa" w:w="1080"/>
          </w:tcPr>
          <w:p>
            <w:pPr>
              <w:spacing w:after="20"/>
              <w:jc w:val="right"/>
            </w:pPr>
            <w:r>
              <w:rPr>
                <w:color w:val="1C3A36"/>
                <w:sz w:val="16"/>
              </w:rPr>
              <w:t>26,500*</w:t>
            </w:r>
          </w:p>
        </w:tc>
        <w:tc>
          <w:tcPr>
            <w:tcW w:type="dxa" w:w="1080"/>
          </w:tcPr>
          <w:p>
            <w:pPr>
              <w:spacing w:after="20"/>
              <w:jc w:val="right"/>
            </w:pPr>
            <w:r>
              <w:rPr>
                <w:color w:val="1C3A36"/>
                <w:sz w:val="16"/>
              </w:rPr>
              <w:t>29,610</w:t>
            </w:r>
          </w:p>
        </w:tc>
        <w:tc>
          <w:tcPr>
            <w:tcW w:type="dxa" w:w="1080"/>
          </w:tcPr>
          <w:p>
            <w:pPr>
              <w:spacing w:after="20"/>
              <w:jc w:val="right"/>
            </w:pPr>
            <w:r>
              <w:rPr>
                <w:color w:val="1C3A36"/>
                <w:sz w:val="16"/>
              </w:rPr>
              <w:t>29,610</w:t>
            </w:r>
          </w:p>
        </w:tc>
        <w:tc>
          <w:tcPr>
            <w:tcW w:type="dxa" w:w="1080"/>
          </w:tcPr>
          <w:p>
            <w:pPr>
              <w:spacing w:after="20"/>
              <w:jc w:val="right"/>
            </w:pPr>
            <w:r>
              <w:rPr>
                <w:color w:val="1C3A36"/>
                <w:sz w:val="16"/>
              </w:rPr>
              <w:t>29,610</w:t>
            </w:r>
          </w:p>
        </w:tc>
        <w:tc>
          <w:tcPr>
            <w:tcW w:type="dxa" w:w="1080"/>
          </w:tcPr>
          <w:p>
            <w:pPr>
              <w:spacing w:after="20"/>
              <w:jc w:val="right"/>
            </w:pPr>
            <w:r>
              <w:rPr>
                <w:color w:val="1C3A36"/>
                <w:sz w:val="16"/>
              </w:rPr>
              <w:t>29,610</w:t>
            </w:r>
          </w:p>
        </w:tc>
      </w:tr>
      <w:tr>
        <w:tc>
          <w:tcPr>
            <w:tcW w:type="dxa" w:w="3600"/>
          </w:tcPr>
          <w:p>
            <w:pPr>
              <w:spacing w:after="20"/>
            </w:pPr>
            <w:r>
              <w:rPr>
                <w:b/>
                <w:color w:val="1C3A36"/>
                <w:sz w:val="16"/>
              </w:rPr>
              <w:t>Zakat, provisions &amp; other liabilities</w:t>
            </w:r>
          </w:p>
        </w:tc>
        <w:tc>
          <w:tcPr>
            <w:tcW w:type="dxa" w:w="1080"/>
          </w:tcPr>
          <w:p>
            <w:pPr>
              <w:spacing w:after="20"/>
              <w:jc w:val="right"/>
            </w:pPr>
            <w:r>
              <w:rPr>
                <w:color w:val="1C3A36"/>
                <w:sz w:val="16"/>
              </w:rPr>
              <w:t>24,188</w:t>
            </w:r>
          </w:p>
        </w:tc>
        <w:tc>
          <w:tcPr>
            <w:tcW w:type="dxa" w:w="1080"/>
          </w:tcPr>
          <w:p>
            <w:pPr>
              <w:spacing w:after="20"/>
              <w:jc w:val="right"/>
            </w:pPr>
            <w:r>
              <w:rPr>
                <w:color w:val="1C3A36"/>
                <w:sz w:val="16"/>
              </w:rPr>
              <w:t>21,940</w:t>
            </w:r>
          </w:p>
        </w:tc>
        <w:tc>
          <w:tcPr>
            <w:tcW w:type="dxa" w:w="1080"/>
          </w:tcPr>
          <w:p>
            <w:pPr>
              <w:spacing w:after="20"/>
              <w:jc w:val="right"/>
            </w:pPr>
            <w:r>
              <w:rPr>
                <w:color w:val="1C3A36"/>
                <w:sz w:val="16"/>
              </w:rPr>
              <w:t>23,527</w:t>
            </w:r>
          </w:p>
        </w:tc>
        <w:tc>
          <w:tcPr>
            <w:tcW w:type="dxa" w:w="1080"/>
          </w:tcPr>
          <w:p>
            <w:pPr>
              <w:spacing w:after="20"/>
              <w:jc w:val="right"/>
            </w:pPr>
            <w:r>
              <w:rPr>
                <w:color w:val="1C3A36"/>
                <w:sz w:val="16"/>
              </w:rPr>
              <w:t>23,967</w:t>
            </w:r>
          </w:p>
        </w:tc>
        <w:tc>
          <w:tcPr>
            <w:tcW w:type="dxa" w:w="1080"/>
          </w:tcPr>
          <w:p>
            <w:pPr>
              <w:spacing w:after="20"/>
              <w:jc w:val="right"/>
            </w:pPr>
            <w:r>
              <w:rPr>
                <w:color w:val="1C3A36"/>
                <w:sz w:val="16"/>
              </w:rPr>
              <w:t>27,232</w:t>
            </w:r>
          </w:p>
        </w:tc>
        <w:tc>
          <w:tcPr>
            <w:tcW w:type="dxa" w:w="1080"/>
          </w:tcPr>
          <w:p>
            <w:pPr>
              <w:spacing w:after="20"/>
              <w:jc w:val="right"/>
            </w:pPr>
            <w:r>
              <w:rPr>
                <w:color w:val="1C3A36"/>
                <w:sz w:val="16"/>
              </w:rPr>
              <w:t>29,652</w:t>
            </w:r>
          </w:p>
        </w:tc>
      </w:tr>
      <w:tr>
        <w:tc>
          <w:tcPr>
            <w:tcW w:type="dxa" w:w="3600"/>
          </w:tcPr>
          <w:p>
            <w:pPr>
              <w:spacing w:after="20"/>
            </w:pPr>
            <w:r>
              <w:rPr>
                <w:b/>
                <w:color w:val="1C3A36"/>
                <w:sz w:val="16"/>
              </w:rPr>
              <w:t>Balance check (assets − L&amp;E)</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c>
          <w:tcPr>
            <w:tcW w:type="dxa" w:w="1080"/>
          </w:tcPr>
          <w:p>
            <w:pPr>
              <w:spacing w:after="20"/>
              <w:jc w:val="right"/>
            </w:pPr>
            <w:r>
              <w:rPr>
                <w:color w:val="1C3A36"/>
                <w:sz w:val="16"/>
              </w:rPr>
              <w:t>0</w:t>
            </w:r>
          </w:p>
        </w:tc>
      </w:tr>
    </w:tbl>
    <w:p>
      <w:pPr>
        <w:spacing w:after="40"/>
      </w:pPr>
    </w:p>
    <w:p>
      <w:pPr>
        <w:spacing w:after="200" w:before="0"/>
      </w:pPr>
      <w:r>
        <w:rPr>
          <w:b w:val="0"/>
          <w:i/>
          <w:color w:val="6E7B77"/>
          <w:sz w:val="17"/>
        </w:rPr>
        <w:t>Disclosed anchors (total assets, cash+murabaha, total debt, attributable equity) exactly as reported; * = grouped estimate tying to the disclosed totals; FY25 line detail from the Q1-2026 FS 31-Dec-25 comparatives. "Net fixed &amp; intangible assets" and "Zakat, provisions &amp; other" are the balancing lines, shown as formulas in the Excel so the check row is exact in every column. FY26E borrowings step up by the completed Jan-2026 $2 bn sukuk. Forecast values here are indicative reads of the live model.</w:t>
      </w:r>
    </w:p>
    <w:p>
      <w:pPr>
        <w:spacing w:after="80" w:before="200"/>
      </w:pPr>
      <w:r>
        <w:rPr>
          <w:b/>
          <w:i w:val="0"/>
          <w:color w:val="1C3A36"/>
          <w:sz w:val="24"/>
        </w:rPr>
        <w:t>A.3  Cash flow, the two FCF framings, and the DPS schedule (device A-2)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3600"/>
            <w:shd w:val="clear" w:color="auto" w:fill="EAF0EE"/>
          </w:tcPr>
          <w:p>
            <w:pPr>
              <w:spacing w:after="20"/>
            </w:pPr>
            <w:r>
              <w:rPr>
                <w:b/>
                <w:color w:val="1C3A36"/>
                <w:sz w:val="17"/>
              </w:rPr>
              <w:t>Cash flow (SAR mn)</w:t>
            </w:r>
          </w:p>
        </w:tc>
        <w:tc>
          <w:tcPr>
            <w:tcW w:type="dxa" w:w="1080"/>
            <w:shd w:val="clear" w:color="auto" w:fill="EAF0EE"/>
          </w:tcPr>
          <w:p>
            <w:pPr>
              <w:spacing w:after="20"/>
            </w:pPr>
            <w:r>
              <w:rPr>
                <w:b/>
                <w:color w:val="1C3A36"/>
                <w:sz w:val="17"/>
              </w:rPr>
              <w:t>FY23</w:t>
            </w:r>
          </w:p>
        </w:tc>
        <w:tc>
          <w:tcPr>
            <w:tcW w:type="dxa" w:w="1080"/>
            <w:shd w:val="clear" w:color="auto" w:fill="EAF0EE"/>
          </w:tcPr>
          <w:p>
            <w:pPr>
              <w:spacing w:after="20"/>
            </w:pPr>
            <w:r>
              <w:rPr>
                <w:b/>
                <w:color w:val="1C3A36"/>
                <w:sz w:val="17"/>
              </w:rPr>
              <w:t>FY24</w:t>
            </w:r>
          </w:p>
        </w:tc>
        <w:tc>
          <w:tcPr>
            <w:tcW w:type="dxa" w:w="1080"/>
            <w:shd w:val="clear" w:color="auto" w:fill="EAF0EE"/>
          </w:tcPr>
          <w:p>
            <w:pPr>
              <w:spacing w:after="20"/>
            </w:pPr>
            <w:r>
              <w:rPr>
                <w:b/>
                <w:color w:val="1C3A36"/>
                <w:sz w:val="17"/>
              </w:rPr>
              <w:t>FY25</w:t>
            </w:r>
          </w:p>
        </w:tc>
        <w:tc>
          <w:tcPr>
            <w:tcW w:type="dxa" w:w="1080"/>
            <w:shd w:val="clear" w:color="auto" w:fill="EAF0EE"/>
          </w:tcPr>
          <w:p>
            <w:pPr>
              <w:spacing w:after="20"/>
            </w:pPr>
            <w:r>
              <w:rPr>
                <w:b/>
                <w:color w:val="1C3A36"/>
                <w:sz w:val="17"/>
              </w:rPr>
              <w:t>FY26E</w:t>
            </w:r>
          </w:p>
        </w:tc>
        <w:tc>
          <w:tcPr>
            <w:tcW w:type="dxa" w:w="1080"/>
            <w:shd w:val="clear" w:color="auto" w:fill="EAF0EE"/>
          </w:tcPr>
          <w:p>
            <w:pPr>
              <w:spacing w:after="20"/>
            </w:pPr>
            <w:r>
              <w:rPr>
                <w:b/>
                <w:color w:val="1C3A36"/>
                <w:sz w:val="17"/>
              </w:rPr>
              <w:t>FY28E</w:t>
            </w:r>
          </w:p>
        </w:tc>
        <w:tc>
          <w:tcPr>
            <w:tcW w:type="dxa" w:w="1080"/>
            <w:shd w:val="clear" w:color="auto" w:fill="EAF0EE"/>
          </w:tcPr>
          <w:p>
            <w:pPr>
              <w:spacing w:after="20"/>
            </w:pPr>
            <w:r>
              <w:rPr>
                <w:b/>
                <w:color w:val="1C3A36"/>
                <w:sz w:val="17"/>
              </w:rPr>
              <w:t>FY30E</w:t>
            </w:r>
          </w:p>
        </w:tc>
      </w:tr>
      <w:tr>
        <w:tc>
          <w:tcPr>
            <w:tcW w:type="dxa" w:w="3600"/>
          </w:tcPr>
          <w:p>
            <w:pPr>
              <w:spacing w:after="20"/>
            </w:pPr>
            <w:r>
              <w:rPr>
                <w:b/>
                <w:color w:val="1C3A36"/>
                <w:sz w:val="17"/>
              </w:rPr>
              <w:t>Operating cash flow (disclosed / model)</w:t>
            </w:r>
          </w:p>
        </w:tc>
        <w:tc>
          <w:tcPr>
            <w:tcW w:type="dxa" w:w="1080"/>
          </w:tcPr>
          <w:p>
            <w:pPr>
              <w:spacing w:after="20"/>
              <w:jc w:val="right"/>
            </w:pPr>
            <w:r>
              <w:rPr>
                <w:color w:val="1C3A36"/>
                <w:sz w:val="17"/>
              </w:rPr>
              <w:t>22,418</w:t>
            </w:r>
          </w:p>
        </w:tc>
        <w:tc>
          <w:tcPr>
            <w:tcW w:type="dxa" w:w="1080"/>
          </w:tcPr>
          <w:p>
            <w:pPr>
              <w:spacing w:after="20"/>
              <w:jc w:val="right"/>
            </w:pPr>
            <w:r>
              <w:rPr>
                <w:color w:val="1C3A36"/>
                <w:sz w:val="17"/>
              </w:rPr>
              <w:t>19,885</w:t>
            </w:r>
          </w:p>
        </w:tc>
        <w:tc>
          <w:tcPr>
            <w:tcW w:type="dxa" w:w="1080"/>
          </w:tcPr>
          <w:p>
            <w:pPr>
              <w:spacing w:after="20"/>
              <w:jc w:val="right"/>
            </w:pPr>
            <w:r>
              <w:rPr>
                <w:color w:val="1C3A36"/>
                <w:sz w:val="17"/>
              </w:rPr>
              <w:t>18,283</w:t>
            </w:r>
          </w:p>
        </w:tc>
        <w:tc>
          <w:tcPr>
            <w:tcW w:type="dxa" w:w="1080"/>
          </w:tcPr>
          <w:p>
            <w:pPr>
              <w:spacing w:after="20"/>
              <w:jc w:val="right"/>
            </w:pPr>
            <w:r>
              <w:rPr>
                <w:color w:val="1C3A36"/>
                <w:sz w:val="17"/>
              </w:rPr>
              <w:t>23,647</w:t>
            </w:r>
          </w:p>
        </w:tc>
        <w:tc>
          <w:tcPr>
            <w:tcW w:type="dxa" w:w="1080"/>
          </w:tcPr>
          <w:p>
            <w:pPr>
              <w:spacing w:after="20"/>
              <w:jc w:val="right"/>
            </w:pPr>
            <w:r>
              <w:rPr>
                <w:color w:val="1C3A36"/>
                <w:sz w:val="17"/>
              </w:rPr>
              <w:t>26,155</w:t>
            </w:r>
          </w:p>
        </w:tc>
        <w:tc>
          <w:tcPr>
            <w:tcW w:type="dxa" w:w="1080"/>
          </w:tcPr>
          <w:p>
            <w:pPr>
              <w:spacing w:after="20"/>
              <w:jc w:val="right"/>
            </w:pPr>
            <w:r>
              <w:rPr>
                <w:color w:val="1C3A36"/>
                <w:sz w:val="17"/>
              </w:rPr>
              <w:t>28,441</w:t>
            </w:r>
          </w:p>
        </w:tc>
      </w:tr>
      <w:tr>
        <w:tc>
          <w:tcPr>
            <w:tcW w:type="dxa" w:w="3600"/>
          </w:tcPr>
          <w:p>
            <w:pPr>
              <w:spacing w:after="20"/>
            </w:pPr>
            <w:r>
              <w:rPr>
                <w:b/>
                <w:color w:val="1C3A36"/>
                <w:sz w:val="17"/>
              </w:rPr>
              <w:t>Capex (disclosed / model)</w:t>
            </w:r>
          </w:p>
        </w:tc>
        <w:tc>
          <w:tcPr>
            <w:tcW w:type="dxa" w:w="1080"/>
          </w:tcPr>
          <w:p>
            <w:pPr>
              <w:spacing w:after="20"/>
              <w:jc w:val="right"/>
            </w:pPr>
            <w:r>
              <w:rPr>
                <w:color w:val="1C3A36"/>
                <w:sz w:val="17"/>
              </w:rPr>
              <w:t>(9,790)</w:t>
            </w:r>
          </w:p>
        </w:tc>
        <w:tc>
          <w:tcPr>
            <w:tcW w:type="dxa" w:w="1080"/>
          </w:tcPr>
          <w:p>
            <w:pPr>
              <w:spacing w:after="20"/>
              <w:jc w:val="right"/>
            </w:pPr>
            <w:r>
              <w:rPr>
                <w:color w:val="1C3A36"/>
                <w:sz w:val="17"/>
              </w:rPr>
              <w:t>(11,927)</w:t>
            </w:r>
          </w:p>
        </w:tc>
        <w:tc>
          <w:tcPr>
            <w:tcW w:type="dxa" w:w="1080"/>
          </w:tcPr>
          <w:p>
            <w:pPr>
              <w:spacing w:after="20"/>
              <w:jc w:val="right"/>
            </w:pPr>
            <w:r>
              <w:rPr>
                <w:color w:val="1C3A36"/>
                <w:sz w:val="17"/>
              </w:rPr>
              <w:t>(11,795)</w:t>
            </w:r>
          </w:p>
        </w:tc>
        <w:tc>
          <w:tcPr>
            <w:tcW w:type="dxa" w:w="1080"/>
          </w:tcPr>
          <w:p>
            <w:pPr>
              <w:spacing w:after="20"/>
              <w:jc w:val="right"/>
            </w:pPr>
            <w:r>
              <w:rPr>
                <w:color w:val="1C3A36"/>
                <w:sz w:val="17"/>
              </w:rPr>
              <w:t>(13,359)</w:t>
            </w:r>
          </w:p>
        </w:tc>
        <w:tc>
          <w:tcPr>
            <w:tcW w:type="dxa" w:w="1080"/>
          </w:tcPr>
          <w:p>
            <w:pPr>
              <w:spacing w:after="20"/>
              <w:jc w:val="right"/>
            </w:pPr>
            <w:r>
              <w:rPr>
                <w:color w:val="1C3A36"/>
                <w:sz w:val="17"/>
              </w:rPr>
              <w:t>(14,000)</w:t>
            </w:r>
          </w:p>
        </w:tc>
        <w:tc>
          <w:tcPr>
            <w:tcW w:type="dxa" w:w="1080"/>
          </w:tcPr>
          <w:p>
            <w:pPr>
              <w:spacing w:after="20"/>
              <w:jc w:val="right"/>
            </w:pPr>
            <w:r>
              <w:rPr>
                <w:color w:val="1C3A36"/>
                <w:sz w:val="17"/>
              </w:rPr>
              <w:t>(14,006)</w:t>
            </w:r>
          </w:p>
        </w:tc>
      </w:tr>
      <w:tr>
        <w:tc>
          <w:tcPr>
            <w:tcW w:type="dxa" w:w="3600"/>
          </w:tcPr>
          <w:p>
            <w:pPr>
              <w:spacing w:after="20"/>
            </w:pPr>
            <w:r>
              <w:rPr>
                <w:b/>
                <w:color w:val="1C3A36"/>
                <w:sz w:val="17"/>
              </w:rPr>
              <w:t>Free cash flow</w:t>
            </w:r>
          </w:p>
        </w:tc>
        <w:tc>
          <w:tcPr>
            <w:tcW w:type="dxa" w:w="1080"/>
          </w:tcPr>
          <w:p>
            <w:pPr>
              <w:spacing w:after="20"/>
              <w:jc w:val="right"/>
            </w:pPr>
            <w:r>
              <w:rPr>
                <w:color w:val="1C3A36"/>
                <w:sz w:val="17"/>
              </w:rPr>
              <w:t>12,628</w:t>
            </w:r>
          </w:p>
        </w:tc>
        <w:tc>
          <w:tcPr>
            <w:tcW w:type="dxa" w:w="1080"/>
          </w:tcPr>
          <w:p>
            <w:pPr>
              <w:spacing w:after="20"/>
              <w:jc w:val="right"/>
            </w:pPr>
            <w:r>
              <w:rPr>
                <w:color w:val="1C3A36"/>
                <w:sz w:val="17"/>
              </w:rPr>
              <w:t>7,959</w:t>
            </w:r>
          </w:p>
        </w:tc>
        <w:tc>
          <w:tcPr>
            <w:tcW w:type="dxa" w:w="1080"/>
          </w:tcPr>
          <w:p>
            <w:pPr>
              <w:spacing w:after="20"/>
              <w:jc w:val="right"/>
            </w:pPr>
            <w:r>
              <w:rPr>
                <w:color w:val="1C3A36"/>
                <w:sz w:val="17"/>
              </w:rPr>
              <w:t>6,488</w:t>
            </w:r>
          </w:p>
        </w:tc>
        <w:tc>
          <w:tcPr>
            <w:tcW w:type="dxa" w:w="1080"/>
          </w:tcPr>
          <w:p>
            <w:pPr>
              <w:spacing w:after="20"/>
              <w:jc w:val="right"/>
            </w:pPr>
            <w:r>
              <w:rPr>
                <w:color w:val="1C3A36"/>
                <w:sz w:val="17"/>
              </w:rPr>
              <w:t>10,287</w:t>
            </w:r>
          </w:p>
        </w:tc>
        <w:tc>
          <w:tcPr>
            <w:tcW w:type="dxa" w:w="1080"/>
          </w:tcPr>
          <w:p>
            <w:pPr>
              <w:spacing w:after="20"/>
              <w:jc w:val="right"/>
            </w:pPr>
            <w:r>
              <w:rPr>
                <w:color w:val="1C3A36"/>
                <w:sz w:val="17"/>
              </w:rPr>
              <w:t>12,156</w:t>
            </w:r>
          </w:p>
        </w:tc>
        <w:tc>
          <w:tcPr>
            <w:tcW w:type="dxa" w:w="1080"/>
          </w:tcPr>
          <w:p>
            <w:pPr>
              <w:spacing w:after="20"/>
              <w:jc w:val="right"/>
            </w:pPr>
            <w:r>
              <w:rPr>
                <w:color w:val="1C3A36"/>
                <w:sz w:val="17"/>
              </w:rPr>
              <w:t>14,435</w:t>
            </w:r>
          </w:p>
        </w:tc>
      </w:tr>
      <w:tr>
        <w:tc>
          <w:tcPr>
            <w:tcW w:type="dxa" w:w="3600"/>
          </w:tcPr>
          <w:p>
            <w:pPr>
              <w:spacing w:after="20"/>
            </w:pPr>
            <w:r>
              <w:rPr>
                <w:b/>
                <w:color w:val="1C3A36"/>
                <w:sz w:val="17"/>
              </w:rPr>
              <w:t>Dividends paid (attributable)</w:t>
            </w:r>
          </w:p>
        </w:tc>
        <w:tc>
          <w:tcPr>
            <w:tcW w:type="dxa" w:w="1080"/>
          </w:tcPr>
          <w:p>
            <w:pPr>
              <w:spacing w:after="20"/>
              <w:jc w:val="right"/>
            </w:pPr>
            <w:r>
              <w:rPr>
                <w:color w:val="1C3A36"/>
                <w:sz w:val="17"/>
              </w:rPr>
              <w:t>(8,000)</w:t>
            </w:r>
          </w:p>
        </w:tc>
        <w:tc>
          <w:tcPr>
            <w:tcW w:type="dxa" w:w="1080"/>
          </w:tcPr>
          <w:p>
            <w:pPr>
              <w:spacing w:after="20"/>
              <w:jc w:val="right"/>
            </w:pPr>
            <w:r>
              <w:rPr>
                <w:color w:val="1C3A36"/>
                <w:sz w:val="17"/>
              </w:rPr>
              <w:t>(18,712)</w:t>
            </w:r>
          </w:p>
        </w:tc>
        <w:tc>
          <w:tcPr>
            <w:tcW w:type="dxa" w:w="1080"/>
          </w:tcPr>
          <w:p>
            <w:pPr>
              <w:spacing w:after="20"/>
              <w:jc w:val="right"/>
            </w:pPr>
            <w:r>
              <w:rPr>
                <w:color w:val="1C3A36"/>
                <w:sz w:val="17"/>
              </w:rPr>
              <w:t>(10,978)</w:t>
            </w:r>
          </w:p>
        </w:tc>
        <w:tc>
          <w:tcPr>
            <w:tcW w:type="dxa" w:w="1080"/>
          </w:tcPr>
          <w:p>
            <w:pPr>
              <w:spacing w:after="20"/>
              <w:jc w:val="right"/>
            </w:pPr>
            <w:r>
              <w:rPr>
                <w:color w:val="1C3A36"/>
                <w:sz w:val="17"/>
              </w:rPr>
              <w:t>(10,978)</w:t>
            </w:r>
          </w:p>
        </w:tc>
        <w:tc>
          <w:tcPr>
            <w:tcW w:type="dxa" w:w="1080"/>
          </w:tcPr>
          <w:p>
            <w:pPr>
              <w:spacing w:after="20"/>
              <w:jc w:val="right"/>
            </w:pPr>
            <w:r>
              <w:rPr>
                <w:color w:val="1C3A36"/>
                <w:sz w:val="17"/>
              </w:rPr>
              <w:t>(11,477)</w:t>
            </w:r>
          </w:p>
        </w:tc>
        <w:tc>
          <w:tcPr>
            <w:tcW w:type="dxa" w:w="1080"/>
          </w:tcPr>
          <w:p>
            <w:pPr>
              <w:spacing w:after="20"/>
              <w:jc w:val="right"/>
            </w:pPr>
            <w:r>
              <w:rPr>
                <w:color w:val="1C3A36"/>
                <w:sz w:val="17"/>
              </w:rPr>
              <w:t>(12,724)</w:t>
            </w:r>
          </w:p>
        </w:tc>
      </w:tr>
    </w:tbl>
    <w:p>
      <w:pPr>
        <w:spacing w:after="40"/>
      </w:pPr>
    </w:p>
    <w:p>
      <w:pPr>
        <w:spacing w:after="200" w:before="0"/>
      </w:pPr>
      <w:r>
        <w:rPr>
          <w:b w:val="0"/>
          <w:i/>
          <w:color w:val="6E7B77"/>
          <w:sz w:val="17"/>
        </w:rPr>
        <w:t>FY23–FY25 disclosed (stc IR); FY24 dividends-paid include the FY24 quarterly schedule; calendar-2025 cash dividends ≈ SAR 20.9 bn including the SAR 2.00/share special. Model OCF is a NOPAT-based construct and runs richer than the disclosed series — the conversion gap (receivables, ERP cash, zakat timing) is modelled as an explicit drag and discussed in §1.1; both framings shown per house rule.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736"/>
            <w:shd w:val="clear" w:color="auto" w:fill="EAF0EE"/>
          </w:tcPr>
          <w:p>
            <w:pPr>
              <w:spacing w:after="20"/>
            </w:pPr>
            <w:r>
              <w:rPr>
                <w:b/>
                <w:color w:val="1C3A36"/>
                <w:sz w:val="17"/>
              </w:rPr>
              <w:t>Dividend schedule</w:t>
            </w:r>
          </w:p>
        </w:tc>
        <w:tc>
          <w:tcPr>
            <w:tcW w:type="dxa" w:w="1224"/>
            <w:shd w:val="clear" w:color="auto" w:fill="EAF0EE"/>
          </w:tcPr>
          <w:p>
            <w:pPr>
              <w:spacing w:after="20"/>
            </w:pPr>
            <w:r>
              <w:rPr>
                <w:b/>
                <w:color w:val="1C3A36"/>
                <w:sz w:val="17"/>
              </w:rPr>
              <w:t>FY25A</w:t>
            </w:r>
          </w:p>
        </w:tc>
        <w:tc>
          <w:tcPr>
            <w:tcW w:type="dxa" w:w="1224"/>
            <w:shd w:val="clear" w:color="auto" w:fill="EAF0EE"/>
          </w:tcPr>
          <w:p>
            <w:pPr>
              <w:spacing w:after="20"/>
            </w:pPr>
            <w:r>
              <w:rPr>
                <w:b/>
                <w:color w:val="1C3A36"/>
                <w:sz w:val="17"/>
              </w:rPr>
              <w:t>FY26E</w:t>
            </w:r>
          </w:p>
        </w:tc>
        <w:tc>
          <w:tcPr>
            <w:tcW w:type="dxa" w:w="1224"/>
            <w:shd w:val="clear" w:color="auto" w:fill="EAF0EE"/>
          </w:tcPr>
          <w:p>
            <w:pPr>
              <w:spacing w:after="20"/>
            </w:pPr>
            <w:r>
              <w:rPr>
                <w:b/>
                <w:color w:val="1C3A36"/>
                <w:sz w:val="17"/>
              </w:rPr>
              <w:t>FY27E</w:t>
            </w:r>
          </w:p>
        </w:tc>
        <w:tc>
          <w:tcPr>
            <w:tcW w:type="dxa" w:w="1224"/>
            <w:shd w:val="clear" w:color="auto" w:fill="EAF0EE"/>
          </w:tcPr>
          <w:p>
            <w:pPr>
              <w:spacing w:after="20"/>
            </w:pPr>
            <w:r>
              <w:rPr>
                <w:b/>
                <w:color w:val="1C3A36"/>
                <w:sz w:val="17"/>
              </w:rPr>
              <w:t>FY28E</w:t>
            </w:r>
          </w:p>
        </w:tc>
        <w:tc>
          <w:tcPr>
            <w:tcW w:type="dxa" w:w="1224"/>
            <w:shd w:val="clear" w:color="auto" w:fill="EAF0EE"/>
          </w:tcPr>
          <w:p>
            <w:pPr>
              <w:spacing w:after="20"/>
            </w:pPr>
            <w:r>
              <w:rPr>
                <w:b/>
                <w:color w:val="1C3A36"/>
                <w:sz w:val="17"/>
              </w:rPr>
              <w:t>FY29E</w:t>
            </w:r>
          </w:p>
        </w:tc>
        <w:tc>
          <w:tcPr>
            <w:tcW w:type="dxa" w:w="1224"/>
            <w:shd w:val="clear" w:color="auto" w:fill="EAF0EE"/>
          </w:tcPr>
          <w:p>
            <w:pPr>
              <w:spacing w:after="20"/>
            </w:pPr>
            <w:r>
              <w:rPr>
                <w:b/>
                <w:color w:val="1C3A36"/>
                <w:sz w:val="17"/>
              </w:rPr>
              <w:t>FY30E</w:t>
            </w:r>
          </w:p>
        </w:tc>
      </w:tr>
      <w:tr>
        <w:tc>
          <w:tcPr>
            <w:tcW w:type="dxa" w:w="2736"/>
          </w:tcPr>
          <w:p>
            <w:pPr>
              <w:spacing w:after="20"/>
            </w:pPr>
            <w:r>
              <w:rPr>
                <w:b/>
                <w:color w:val="1C3A36"/>
                <w:sz w:val="17"/>
              </w:rPr>
              <w:t>DPS declared (SAR)</w:t>
            </w:r>
          </w:p>
        </w:tc>
        <w:tc>
          <w:tcPr>
            <w:tcW w:type="dxa" w:w="1224"/>
          </w:tcPr>
          <w:p>
            <w:pPr>
              <w:spacing w:after="20"/>
              <w:jc w:val="right"/>
            </w:pPr>
            <w:r>
              <w:rPr>
                <w:color w:val="1C3A36"/>
                <w:sz w:val="17"/>
              </w:rPr>
              <w:t>2.20</w:t>
            </w:r>
          </w:p>
        </w:tc>
        <w:tc>
          <w:tcPr>
            <w:tcW w:type="dxa" w:w="1224"/>
          </w:tcPr>
          <w:p>
            <w:pPr>
              <w:spacing w:after="20"/>
              <w:jc w:val="right"/>
            </w:pPr>
            <w:r>
              <w:rPr>
                <w:color w:val="1C3A36"/>
                <w:sz w:val="17"/>
              </w:rPr>
              <w:t>2.20</w:t>
            </w:r>
          </w:p>
        </w:tc>
        <w:tc>
          <w:tcPr>
            <w:tcW w:type="dxa" w:w="1224"/>
          </w:tcPr>
          <w:p>
            <w:pPr>
              <w:spacing w:after="20"/>
              <w:jc w:val="right"/>
            </w:pPr>
            <w:r>
              <w:rPr>
                <w:color w:val="1C3A36"/>
                <w:sz w:val="17"/>
              </w:rPr>
              <w:t>2.20</w:t>
            </w:r>
          </w:p>
        </w:tc>
        <w:tc>
          <w:tcPr>
            <w:tcW w:type="dxa" w:w="1224"/>
          </w:tcPr>
          <w:p>
            <w:pPr>
              <w:spacing w:after="20"/>
              <w:jc w:val="right"/>
            </w:pPr>
            <w:r>
              <w:rPr>
                <w:color w:val="1C3A36"/>
                <w:sz w:val="17"/>
              </w:rPr>
              <w:t>2.30</w:t>
            </w:r>
          </w:p>
        </w:tc>
        <w:tc>
          <w:tcPr>
            <w:tcW w:type="dxa" w:w="1224"/>
          </w:tcPr>
          <w:p>
            <w:pPr>
              <w:spacing w:after="20"/>
              <w:jc w:val="right"/>
            </w:pPr>
            <w:r>
              <w:rPr>
                <w:color w:val="1C3A36"/>
                <w:sz w:val="17"/>
              </w:rPr>
              <w:t>2.40</w:t>
            </w:r>
          </w:p>
        </w:tc>
        <w:tc>
          <w:tcPr>
            <w:tcW w:type="dxa" w:w="1224"/>
          </w:tcPr>
          <w:p>
            <w:pPr>
              <w:spacing w:after="20"/>
              <w:jc w:val="right"/>
            </w:pPr>
            <w:r>
              <w:rPr>
                <w:color w:val="1C3A36"/>
                <w:sz w:val="17"/>
              </w:rPr>
              <w:t>2.55</w:t>
            </w:r>
          </w:p>
        </w:tc>
      </w:tr>
      <w:tr>
        <w:tc>
          <w:tcPr>
            <w:tcW w:type="dxa" w:w="2736"/>
          </w:tcPr>
          <w:p>
            <w:pPr>
              <w:spacing w:after="20"/>
            </w:pPr>
            <w:r>
              <w:rPr>
                <w:b/>
                <w:color w:val="1C3A36"/>
                <w:sz w:val="17"/>
              </w:rPr>
              <w:t>Dividend bill (SAR bn)</w:t>
            </w:r>
          </w:p>
        </w:tc>
        <w:tc>
          <w:tcPr>
            <w:tcW w:type="dxa" w:w="1224"/>
          </w:tcPr>
          <w:p>
            <w:pPr>
              <w:spacing w:after="20"/>
              <w:jc w:val="right"/>
            </w:pPr>
            <w:r>
              <w:rPr>
                <w:color w:val="1C3A36"/>
                <w:sz w:val="17"/>
              </w:rPr>
              <w:t>11.0</w:t>
            </w:r>
          </w:p>
        </w:tc>
        <w:tc>
          <w:tcPr>
            <w:tcW w:type="dxa" w:w="1224"/>
          </w:tcPr>
          <w:p>
            <w:pPr>
              <w:spacing w:after="20"/>
              <w:jc w:val="right"/>
            </w:pPr>
            <w:r>
              <w:rPr>
                <w:color w:val="1C3A36"/>
                <w:sz w:val="17"/>
              </w:rPr>
              <w:t>11.0</w:t>
            </w:r>
          </w:p>
        </w:tc>
        <w:tc>
          <w:tcPr>
            <w:tcW w:type="dxa" w:w="1224"/>
          </w:tcPr>
          <w:p>
            <w:pPr>
              <w:spacing w:after="20"/>
              <w:jc w:val="right"/>
            </w:pPr>
            <w:r>
              <w:rPr>
                <w:color w:val="1C3A36"/>
                <w:sz w:val="17"/>
              </w:rPr>
              <w:t>11.0</w:t>
            </w:r>
          </w:p>
        </w:tc>
        <w:tc>
          <w:tcPr>
            <w:tcW w:type="dxa" w:w="1224"/>
          </w:tcPr>
          <w:p>
            <w:pPr>
              <w:spacing w:after="20"/>
              <w:jc w:val="right"/>
            </w:pPr>
            <w:r>
              <w:rPr>
                <w:color w:val="1C3A36"/>
                <w:sz w:val="17"/>
              </w:rPr>
              <w:t>11.5</w:t>
            </w:r>
          </w:p>
        </w:tc>
        <w:tc>
          <w:tcPr>
            <w:tcW w:type="dxa" w:w="1224"/>
          </w:tcPr>
          <w:p>
            <w:pPr>
              <w:spacing w:after="20"/>
              <w:jc w:val="right"/>
            </w:pPr>
            <w:r>
              <w:rPr>
                <w:color w:val="1C3A36"/>
                <w:sz w:val="17"/>
              </w:rPr>
              <w:t>12.0</w:t>
            </w:r>
          </w:p>
        </w:tc>
        <w:tc>
          <w:tcPr>
            <w:tcW w:type="dxa" w:w="1224"/>
          </w:tcPr>
          <w:p>
            <w:pPr>
              <w:spacing w:after="20"/>
              <w:jc w:val="right"/>
            </w:pPr>
            <w:r>
              <w:rPr>
                <w:color w:val="1C3A36"/>
                <w:sz w:val="17"/>
              </w:rPr>
              <w:t>12.7</w:t>
            </w:r>
          </w:p>
        </w:tc>
      </w:tr>
      <w:tr>
        <w:tc>
          <w:tcPr>
            <w:tcW w:type="dxa" w:w="2736"/>
          </w:tcPr>
          <w:p>
            <w:pPr>
              <w:spacing w:after="20"/>
            </w:pPr>
            <w:r>
              <w:rPr>
                <w:b/>
                <w:color w:val="1C3A36"/>
                <w:sz w:val="17"/>
              </w:rPr>
              <w:t>Payout of attributable NP</w:t>
            </w:r>
          </w:p>
        </w:tc>
        <w:tc>
          <w:tcPr>
            <w:tcW w:type="dxa" w:w="1224"/>
          </w:tcPr>
          <w:p>
            <w:pPr>
              <w:spacing w:after="20"/>
              <w:jc w:val="right"/>
            </w:pPr>
            <w:r>
              <w:rPr>
                <w:color w:val="1C3A36"/>
                <w:sz w:val="17"/>
              </w:rPr>
              <w:t>74%</w:t>
            </w:r>
          </w:p>
        </w:tc>
        <w:tc>
          <w:tcPr>
            <w:tcW w:type="dxa" w:w="1224"/>
          </w:tcPr>
          <w:p>
            <w:pPr>
              <w:spacing w:after="20"/>
              <w:jc w:val="right"/>
            </w:pPr>
            <w:r>
              <w:rPr>
                <w:color w:val="1C3A36"/>
                <w:sz w:val="17"/>
              </w:rPr>
              <w:t>78%</w:t>
            </w:r>
          </w:p>
        </w:tc>
        <w:tc>
          <w:tcPr>
            <w:tcW w:type="dxa" w:w="1224"/>
          </w:tcPr>
          <w:p>
            <w:pPr>
              <w:spacing w:after="20"/>
              <w:jc w:val="right"/>
            </w:pPr>
            <w:r>
              <w:rPr>
                <w:color w:val="1C3A36"/>
                <w:sz w:val="17"/>
              </w:rPr>
              <w:t>75%</w:t>
            </w:r>
          </w:p>
        </w:tc>
        <w:tc>
          <w:tcPr>
            <w:tcW w:type="dxa" w:w="1224"/>
          </w:tcPr>
          <w:p>
            <w:pPr>
              <w:spacing w:after="20"/>
              <w:jc w:val="right"/>
            </w:pPr>
            <w:r>
              <w:rPr>
                <w:color w:val="1C3A36"/>
                <w:sz w:val="17"/>
              </w:rPr>
              <w:t>75%</w:t>
            </w:r>
          </w:p>
        </w:tc>
        <w:tc>
          <w:tcPr>
            <w:tcW w:type="dxa" w:w="1224"/>
          </w:tcPr>
          <w:p>
            <w:pPr>
              <w:spacing w:after="20"/>
              <w:jc w:val="right"/>
            </w:pPr>
            <w:r>
              <w:rPr>
                <w:color w:val="1C3A36"/>
                <w:sz w:val="17"/>
              </w:rPr>
              <w:t>74%</w:t>
            </w:r>
          </w:p>
        </w:tc>
        <w:tc>
          <w:tcPr>
            <w:tcW w:type="dxa" w:w="1224"/>
          </w:tcPr>
          <w:p>
            <w:pPr>
              <w:spacing w:after="20"/>
              <w:jc w:val="right"/>
            </w:pPr>
            <w:r>
              <w:rPr>
                <w:color w:val="1C3A36"/>
                <w:sz w:val="17"/>
              </w:rPr>
              <w:t>74%</w:t>
            </w:r>
          </w:p>
        </w:tc>
      </w:tr>
      <w:tr>
        <w:tc>
          <w:tcPr>
            <w:tcW w:type="dxa" w:w="2736"/>
          </w:tcPr>
          <w:p>
            <w:pPr>
              <w:spacing w:after="20"/>
            </w:pPr>
            <w:r>
              <w:rPr>
                <w:b/>
                <w:color w:val="1C3A36"/>
                <w:sz w:val="17"/>
              </w:rPr>
              <w:t>Yield at spot (declared)</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5.0%</w:t>
            </w:r>
          </w:p>
        </w:tc>
        <w:tc>
          <w:tcPr>
            <w:tcW w:type="dxa" w:w="1224"/>
          </w:tcPr>
          <w:p>
            <w:pPr>
              <w:spacing w:after="20"/>
              <w:jc w:val="right"/>
            </w:pPr>
            <w:r>
              <w:rPr>
                <w:color w:val="1C3A36"/>
                <w:sz w:val="17"/>
              </w:rPr>
              <w:t>5.3%</w:t>
            </w:r>
          </w:p>
        </w:tc>
        <w:tc>
          <w:tcPr>
            <w:tcW w:type="dxa" w:w="1224"/>
          </w:tcPr>
          <w:p>
            <w:pPr>
              <w:spacing w:after="20"/>
              <w:jc w:val="right"/>
            </w:pPr>
            <w:r>
              <w:rPr>
                <w:color w:val="1C3A36"/>
                <w:sz w:val="17"/>
              </w:rPr>
              <w:t>5.5%</w:t>
            </w:r>
          </w:p>
        </w:tc>
        <w:tc>
          <w:tcPr>
            <w:tcW w:type="dxa" w:w="1224"/>
          </w:tcPr>
          <w:p>
            <w:pPr>
              <w:spacing w:after="20"/>
              <w:jc w:val="right"/>
            </w:pPr>
            <w:r>
              <w:rPr>
                <w:color w:val="1C3A36"/>
                <w:sz w:val="17"/>
              </w:rPr>
              <w:t>5.9%</w:t>
            </w:r>
          </w:p>
        </w:tc>
      </w:tr>
      <w:tr>
        <w:tc>
          <w:tcPr>
            <w:tcW w:type="dxa" w:w="2736"/>
          </w:tcPr>
          <w:p>
            <w:pPr>
              <w:spacing w:after="20"/>
            </w:pPr>
            <w:r>
              <w:rPr>
                <w:b/>
                <w:color w:val="1C3A36"/>
                <w:sz w:val="17"/>
              </w:rPr>
              <w:t>Stress check</w:t>
            </w:r>
          </w:p>
        </w:tc>
        <w:tc>
          <w:tcPr>
            <w:tcW w:type="dxa" w:w="1224"/>
          </w:tcPr>
          <w:p>
            <w:pPr>
              <w:spacing w:after="20"/>
              <w:jc w:val="right"/>
            </w:pPr>
            <w:r>
              <w:rPr>
                <w:color w:val="1C3A36"/>
                <w:sz w:val="17"/>
              </w:rPr>
              <w:t>At the 17.5% top of the capex band, FY26E cover is 0.86× — the SAR 15.4 bn core cash pile funds the gap for &gt;3 years before leverage exceeds 1× EBITDA; the policy is safe to Q3-2027 barring a margin break.</w:t>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c>
          <w:tcPr>
            <w:tcW w:type="dxa" w:w="1224"/>
          </w:tcPr>
          <w:p>
            <w:pPr>
              <w:spacing w:after="20"/>
              <w:jc w:val="right"/>
            </w:pPr>
            <w:r>
              <w:rPr>
                <w:color w:val="1C3A36"/>
                <w:sz w:val="17"/>
              </w:rPr>
            </w:r>
          </w:p>
        </w:tc>
      </w:tr>
    </w:tbl>
    <w:p>
      <w:pPr>
        <w:spacing w:after="40"/>
      </w:pPr>
    </w:p>
    <w:p>
      <w:pPr>
        <w:spacing w:after="200" w:before="0"/>
      </w:pPr>
      <w:r>
        <w:rPr>
          <w:b w:val="0"/>
          <w:i/>
          <w:color w:val="6E7B77"/>
          <w:sz w:val="17"/>
        </w:rPr>
        <w:t>Two yield framings (house rule): declared-regular 2.20/sh = 5.0%; cash paid during calendar-2025 incl. the FY24 special = 4.20/sh = 9.6%. Forecast-vs-actual scorecard (device A-3) and new-vs-old reconciliation (A-4): not applicable on an initiation; both become standing sections from the first 3-month update.</w:t>
      </w:r>
    </w:p>
    <w:p>
      <w:pPr>
        <w:spacing w:after="120" w:before="280"/>
      </w:pPr>
      <w:r>
        <w:rPr>
          <w:b/>
          <w:i w:val="0"/>
          <w:color w:val="1C3A36"/>
          <w:sz w:val="30"/>
        </w:rPr>
        <w:t>Appendix B  Peer set, sector structure, and risks</w:t>
      </w:r>
    </w:p>
    <w:p>
      <w:pPr>
        <w:spacing w:after="120" w:before="0"/>
      </w:pPr>
      <w:r>
        <w:rPr>
          <w:b w:val="0"/>
          <w:i w:val="0"/>
          <w:color w:val="1C3A36"/>
          <w:sz w:val="21"/>
        </w:rPr>
        <w:t>stc is the premium name in a three-player Saudi market inside a GCC cohort where telecom equity is increasingly a yield-plus-digital-infrastructure asset class.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232"/>
            <w:shd w:val="clear" w:color="auto" w:fill="EAF0EE"/>
          </w:tcPr>
          <w:p>
            <w:pPr>
              <w:spacing w:after="20"/>
            </w:pPr>
            <w:r>
              <w:rPr>
                <w:b/>
                <w:color w:val="1C3A36"/>
                <w:sz w:val="17"/>
              </w:rPr>
              <w:t>Name</w:t>
            </w:r>
          </w:p>
        </w:tc>
        <w:tc>
          <w:tcPr>
            <w:tcW w:type="dxa" w:w="1512"/>
            <w:shd w:val="clear" w:color="auto" w:fill="EAF0EE"/>
          </w:tcPr>
          <w:p>
            <w:pPr>
              <w:spacing w:after="20"/>
            </w:pPr>
            <w:r>
              <w:rPr>
                <w:b/>
                <w:color w:val="1C3A36"/>
                <w:sz w:val="17"/>
              </w:rPr>
              <w:t>P/E (t)</w:t>
            </w:r>
          </w:p>
        </w:tc>
        <w:tc>
          <w:tcPr>
            <w:tcW w:type="dxa" w:w="1944"/>
            <w:shd w:val="clear" w:color="auto" w:fill="EAF0EE"/>
          </w:tcPr>
          <w:p>
            <w:pPr>
              <w:spacing w:after="20"/>
            </w:pPr>
            <w:r>
              <w:rPr>
                <w:b/>
                <w:color w:val="1C3A36"/>
                <w:sz w:val="17"/>
              </w:rPr>
              <w:t>Div yield</w:t>
            </w:r>
          </w:p>
        </w:tc>
        <w:tc>
          <w:tcPr>
            <w:tcW w:type="dxa" w:w="4392"/>
            <w:shd w:val="clear" w:color="auto" w:fill="EAF0EE"/>
          </w:tcPr>
          <w:p>
            <w:pPr>
              <w:spacing w:after="20"/>
            </w:pPr>
            <w:r>
              <w:rPr>
                <w:b/>
                <w:color w:val="1C3A36"/>
                <w:sz w:val="17"/>
              </w:rPr>
              <w:t>One-line profile</w:t>
            </w:r>
          </w:p>
        </w:tc>
      </w:tr>
      <w:tr>
        <w:tc>
          <w:tcPr>
            <w:tcW w:type="dxa" w:w="2232"/>
          </w:tcPr>
          <w:p>
            <w:pPr>
              <w:spacing w:after="20"/>
            </w:pPr>
            <w:r>
              <w:rPr>
                <w:b/>
                <w:color w:val="1C3A36"/>
                <w:sz w:val="17"/>
              </w:rPr>
              <w:t>stc (7010)</w:t>
            </w:r>
          </w:p>
        </w:tc>
        <w:tc>
          <w:tcPr>
            <w:tcW w:type="dxa" w:w="1512"/>
          </w:tcPr>
          <w:p>
            <w:pPr>
              <w:spacing w:after="20"/>
              <w:jc w:val="right"/>
            </w:pPr>
            <w:r>
              <w:rPr>
                <w:color w:val="1C3A36"/>
                <w:sz w:val="17"/>
              </w:rPr>
              <w:t>~14.7×</w:t>
            </w:r>
          </w:p>
        </w:tc>
        <w:tc>
          <w:tcPr>
            <w:tcW w:type="dxa" w:w="1944"/>
          </w:tcPr>
          <w:p>
            <w:pPr>
              <w:spacing w:after="20"/>
              <w:jc w:val="right"/>
            </w:pPr>
            <w:r>
              <w:rPr>
                <w:color w:val="1C3A36"/>
                <w:sz w:val="17"/>
              </w:rPr>
              <w:t>5.0% (9.6% incl. special)</w:t>
            </w:r>
          </w:p>
        </w:tc>
        <w:tc>
          <w:tcPr>
            <w:tcW w:type="dxa" w:w="4392"/>
          </w:tcPr>
          <w:p>
            <w:pPr>
              <w:spacing w:after="20"/>
              <w:jc w:val="right"/>
            </w:pPr>
            <w:r>
              <w:rPr>
                <w:color w:val="1C3A36"/>
                <w:sz w:val="17"/>
              </w:rPr>
              <w:t>Incumbent; ~57% mobile share; net debt ~0; AI-DC and fintech options</w:t>
            </w:r>
          </w:p>
        </w:tc>
      </w:tr>
      <w:tr>
        <w:tc>
          <w:tcPr>
            <w:tcW w:type="dxa" w:w="2232"/>
          </w:tcPr>
          <w:p>
            <w:pPr>
              <w:spacing w:after="20"/>
            </w:pPr>
            <w:r>
              <w:rPr>
                <w:b/>
                <w:color w:val="1C3A36"/>
                <w:sz w:val="17"/>
              </w:rPr>
              <w:t>Mobily (7020)</w:t>
            </w:r>
          </w:p>
        </w:tc>
        <w:tc>
          <w:tcPr>
            <w:tcW w:type="dxa" w:w="1512"/>
          </w:tcPr>
          <w:p>
            <w:pPr>
              <w:spacing w:after="20"/>
              <w:jc w:val="right"/>
            </w:pPr>
            <w:r>
              <w:rPr>
                <w:color w:val="1C3A36"/>
                <w:sz w:val="17"/>
              </w:rPr>
              <w:t>~13.5×</w:t>
            </w:r>
          </w:p>
        </w:tc>
        <w:tc>
          <w:tcPr>
            <w:tcW w:type="dxa" w:w="1944"/>
          </w:tcPr>
          <w:p>
            <w:pPr>
              <w:spacing w:after="20"/>
              <w:jc w:val="right"/>
            </w:pPr>
            <w:r>
              <w:rPr>
                <w:color w:val="1C3A36"/>
                <w:sz w:val="17"/>
              </w:rPr>
              <w:t>4.5%</w:t>
            </w:r>
          </w:p>
        </w:tc>
        <w:tc>
          <w:tcPr>
            <w:tcW w:type="dxa" w:w="4392"/>
          </w:tcPr>
          <w:p>
            <w:pPr>
              <w:spacing w:after="20"/>
              <w:jc w:val="right"/>
            </w:pPr>
            <w:r>
              <w:rPr>
                <w:color w:val="1C3A36"/>
                <w:sz w:val="17"/>
              </w:rPr>
              <w:t>No.2; e&amp; anchor (~28%); fastest subscriber momentum</w:t>
            </w:r>
          </w:p>
        </w:tc>
      </w:tr>
      <w:tr>
        <w:tc>
          <w:tcPr>
            <w:tcW w:type="dxa" w:w="2232"/>
          </w:tcPr>
          <w:p>
            <w:pPr>
              <w:spacing w:after="20"/>
            </w:pPr>
            <w:r>
              <w:rPr>
                <w:b/>
                <w:color w:val="1C3A36"/>
                <w:sz w:val="17"/>
              </w:rPr>
              <w:t>Zain KSA (7030)</w:t>
            </w:r>
          </w:p>
        </w:tc>
        <w:tc>
          <w:tcPr>
            <w:tcW w:type="dxa" w:w="1512"/>
          </w:tcPr>
          <w:p>
            <w:pPr>
              <w:spacing w:after="20"/>
              <w:jc w:val="right"/>
            </w:pPr>
            <w:r>
              <w:rPr>
                <w:color w:val="1C3A36"/>
                <w:sz w:val="17"/>
              </w:rPr>
              <w:t>~12.8×</w:t>
            </w:r>
          </w:p>
        </w:tc>
        <w:tc>
          <w:tcPr>
            <w:tcW w:type="dxa" w:w="1944"/>
          </w:tcPr>
          <w:p>
            <w:pPr>
              <w:spacing w:after="20"/>
              <w:jc w:val="right"/>
            </w:pPr>
            <w:r>
              <w:rPr>
                <w:color w:val="1C3A36"/>
                <w:sz w:val="17"/>
              </w:rPr>
              <w:t>4.9%</w:t>
            </w:r>
          </w:p>
        </w:tc>
        <w:tc>
          <w:tcPr>
            <w:tcW w:type="dxa" w:w="4392"/>
          </w:tcPr>
          <w:p>
            <w:pPr>
              <w:spacing w:after="20"/>
              <w:jc w:val="right"/>
            </w:pPr>
            <w:r>
              <w:rPr>
                <w:color w:val="1C3A36"/>
                <w:sz w:val="17"/>
              </w:rPr>
              <w:t>No.3; tower-light; balance-sheet repair done</w:t>
            </w:r>
          </w:p>
        </w:tc>
      </w:tr>
      <w:tr>
        <w:tc>
          <w:tcPr>
            <w:tcW w:type="dxa" w:w="2232"/>
          </w:tcPr>
          <w:p>
            <w:pPr>
              <w:spacing w:after="20"/>
            </w:pPr>
            <w:r>
              <w:rPr>
                <w:b/>
                <w:color w:val="1C3A36"/>
                <w:sz w:val="17"/>
              </w:rPr>
              <w:t>e&amp; (UAE)</w:t>
            </w:r>
          </w:p>
        </w:tc>
        <w:tc>
          <w:tcPr>
            <w:tcW w:type="dxa" w:w="1512"/>
          </w:tcPr>
          <w:p>
            <w:pPr>
              <w:spacing w:after="20"/>
              <w:jc w:val="right"/>
            </w:pPr>
            <w:r>
              <w:rPr>
                <w:color w:val="1C3A36"/>
                <w:sz w:val="17"/>
              </w:rPr>
              <w:t>~13.2×</w:t>
            </w:r>
          </w:p>
        </w:tc>
        <w:tc>
          <w:tcPr>
            <w:tcW w:type="dxa" w:w="1944"/>
          </w:tcPr>
          <w:p>
            <w:pPr>
              <w:spacing w:after="20"/>
              <w:jc w:val="right"/>
            </w:pPr>
            <w:r>
              <w:rPr>
                <w:color w:val="1C3A36"/>
                <w:sz w:val="17"/>
              </w:rPr>
              <w:t>5.1%</w:t>
            </w:r>
          </w:p>
        </w:tc>
        <w:tc>
          <w:tcPr>
            <w:tcW w:type="dxa" w:w="4392"/>
          </w:tcPr>
          <w:p>
            <w:pPr>
              <w:spacing w:after="20"/>
              <w:jc w:val="right"/>
            </w:pPr>
            <w:r>
              <w:rPr>
                <w:color w:val="1C3A36"/>
                <w:sz w:val="17"/>
              </w:rPr>
              <w:t>UAE incumbent + Vodafone/PPF international portfolio</w:t>
            </w:r>
          </w:p>
        </w:tc>
      </w:tr>
      <w:tr>
        <w:tc>
          <w:tcPr>
            <w:tcW w:type="dxa" w:w="2232"/>
          </w:tcPr>
          <w:p>
            <w:pPr>
              <w:spacing w:after="20"/>
            </w:pPr>
            <w:r>
              <w:rPr>
                <w:b/>
                <w:color w:val="1C3A36"/>
                <w:sz w:val="17"/>
              </w:rPr>
              <w:t>Ooredoo (Qatar)</w:t>
            </w:r>
          </w:p>
        </w:tc>
        <w:tc>
          <w:tcPr>
            <w:tcW w:type="dxa" w:w="1512"/>
          </w:tcPr>
          <w:p>
            <w:pPr>
              <w:spacing w:after="20"/>
              <w:jc w:val="right"/>
            </w:pPr>
            <w:r>
              <w:rPr>
                <w:color w:val="1C3A36"/>
                <w:sz w:val="17"/>
              </w:rPr>
              <w:t>~10.7×</w:t>
            </w:r>
          </w:p>
        </w:tc>
        <w:tc>
          <w:tcPr>
            <w:tcW w:type="dxa" w:w="1944"/>
          </w:tcPr>
          <w:p>
            <w:pPr>
              <w:spacing w:after="20"/>
              <w:jc w:val="right"/>
            </w:pPr>
            <w:r>
              <w:rPr>
                <w:color w:val="1C3A36"/>
                <w:sz w:val="17"/>
              </w:rPr>
              <w:t>5.7%</w:t>
            </w:r>
          </w:p>
        </w:tc>
        <w:tc>
          <w:tcPr>
            <w:tcW w:type="dxa" w:w="4392"/>
          </w:tcPr>
          <w:p>
            <w:pPr>
              <w:spacing w:after="20"/>
              <w:jc w:val="right"/>
            </w:pPr>
            <w:r>
              <w:rPr>
                <w:color w:val="1C3A36"/>
                <w:sz w:val="17"/>
              </w:rPr>
              <w:t>Multi-market; MENA data-centre pivot</w:t>
            </w:r>
          </w:p>
        </w:tc>
      </w:tr>
      <w:tr>
        <w:tc>
          <w:tcPr>
            <w:tcW w:type="dxa" w:w="2232"/>
          </w:tcPr>
          <w:p>
            <w:pPr>
              <w:spacing w:after="20"/>
            </w:pPr>
            <w:r>
              <w:rPr>
                <w:b/>
                <w:color w:val="1C3A36"/>
                <w:sz w:val="17"/>
              </w:rPr>
              <w:t>du (UAE)</w:t>
            </w:r>
          </w:p>
        </w:tc>
        <w:tc>
          <w:tcPr>
            <w:tcW w:type="dxa" w:w="1512"/>
          </w:tcPr>
          <w:p>
            <w:pPr>
              <w:spacing w:after="20"/>
              <w:jc w:val="right"/>
            </w:pPr>
            <w:r>
              <w:rPr>
                <w:color w:val="1C3A36"/>
                <w:sz w:val="17"/>
              </w:rPr>
              <w:t>~17.6×</w:t>
            </w:r>
          </w:p>
        </w:tc>
        <w:tc>
          <w:tcPr>
            <w:tcW w:type="dxa" w:w="1944"/>
          </w:tcPr>
          <w:p>
            <w:pPr>
              <w:spacing w:after="20"/>
              <w:jc w:val="right"/>
            </w:pPr>
            <w:r>
              <w:rPr>
                <w:color w:val="1C3A36"/>
                <w:sz w:val="17"/>
              </w:rPr>
              <w:t>5.5%</w:t>
            </w:r>
          </w:p>
        </w:tc>
        <w:tc>
          <w:tcPr>
            <w:tcW w:type="dxa" w:w="4392"/>
          </w:tcPr>
          <w:p>
            <w:pPr>
              <w:spacing w:after="20"/>
              <w:jc w:val="right"/>
            </w:pPr>
            <w:r>
              <w:rPr>
                <w:color w:val="1C3A36"/>
                <w:sz w:val="17"/>
              </w:rPr>
              <w:t>No.2 UAE; hyperscale data-centre momentum — the multiple stc’s DC build aspires to</w:t>
            </w:r>
          </w:p>
        </w:tc>
      </w:tr>
      <w:tr>
        <w:tc>
          <w:tcPr>
            <w:tcW w:type="dxa" w:w="2232"/>
          </w:tcPr>
          <w:p>
            <w:pPr>
              <w:spacing w:after="20"/>
            </w:pPr>
            <w:r>
              <w:rPr>
                <w:b/>
                <w:color w:val="1C3A36"/>
                <w:sz w:val="17"/>
              </w:rPr>
              <w:t>Omantel / Beyon / Telecom Egypt</w:t>
            </w:r>
          </w:p>
        </w:tc>
        <w:tc>
          <w:tcPr>
            <w:tcW w:type="dxa" w:w="1512"/>
          </w:tcPr>
          <w:p>
            <w:pPr>
              <w:spacing w:after="20"/>
              <w:jc w:val="right"/>
            </w:pPr>
            <w:r>
              <w:rPr>
                <w:color w:val="1C3A36"/>
                <w:sz w:val="17"/>
              </w:rPr>
              <w:t>11.5× / 11.1× / 8.8×</w:t>
            </w:r>
          </w:p>
        </w:tc>
        <w:tc>
          <w:tcPr>
            <w:tcW w:type="dxa" w:w="1944"/>
          </w:tcPr>
          <w:p>
            <w:pPr>
              <w:spacing w:after="20"/>
              <w:jc w:val="right"/>
            </w:pPr>
            <w:r>
              <w:rPr>
                <w:color w:val="1C3A36"/>
                <w:sz w:val="17"/>
              </w:rPr>
              <w:t>3.9% / 7.1% / 1.5%</w:t>
            </w:r>
          </w:p>
        </w:tc>
        <w:tc>
          <w:tcPr>
            <w:tcW w:type="dxa" w:w="4392"/>
          </w:tcPr>
          <w:p>
            <w:pPr>
              <w:spacing w:after="20"/>
              <w:jc w:val="right"/>
            </w:pPr>
            <w:r>
              <w:rPr>
                <w:color w:val="1C3A36"/>
                <w:sz w:val="17"/>
              </w:rPr>
              <w:t>Regional context</w:t>
            </w:r>
          </w:p>
        </w:tc>
      </w:tr>
    </w:tbl>
    <w:p>
      <w:pPr>
        <w:spacing w:after="40"/>
      </w:pPr>
    </w:p>
    <w:p>
      <w:pPr>
        <w:spacing w:after="200" w:before="0"/>
      </w:pPr>
      <w:r>
        <w:rPr>
          <w:b w:val="0"/>
          <w:i/>
          <w:color w:val="6E7B77"/>
          <w:sz w:val="17"/>
        </w:rPr>
        <w:t>Multiples approximate, mixed as-of dates (May–Jul 2026), secondary aggregators — context only, never model inputs.</w:t>
      </w:r>
    </w:p>
    <w:p>
      <w:pPr>
        <w:spacing w:after="120" w:before="0"/>
      </w:pPr>
      <w:r>
        <w:rPr>
          <w:b w:val="0"/>
          <w:i w:val="0"/>
          <w:color w:val="1C3A36"/>
          <w:sz w:val="21"/>
        </w:rPr>
        <w:t>Sector structure. Saudi mobile is a disciplined three-player market (~57/27/16 stc/Mobily/Zain) under CST regulation, with spectrum freshly allocated (Nov-2024 auction: stc took 600 MHz + 3.8 GHz), 5G at 63% populated coverage for stc and FWA adoption among the highest globally — FWA is both an opportunity (4.1 mn of stc’s 6.0 mn fixed lines) and the competitive vector through which mobile capacity attacks fixed pricing. Fibre stays an stc moat (3.75 mn FTTH, 258k km). The Kingdom’s AI push (HUMAIN, sovereign compute, the center3 1 GW ambition) is turning telecom capex into a national-strategy line item. Principal risks: a mobile price war; capex overshoot on the AI build; government-receivables cycles; subsidiary execution (stc bank credit costs as it scales); the Telefónica mark; regional geopolitics; and the rate path staying higher for longer.</w:t>
      </w:r>
    </w:p>
    <w:p>
      <w:pPr>
        <w:spacing w:after="120" w:before="280"/>
      </w:pPr>
      <w:r>
        <w:rPr>
          <w:b/>
          <w:i w:val="0"/>
          <w:color w:val="1C3A36"/>
          <w:sz w:val="30"/>
        </w:rPr>
        <w:t>Appendix C  The expert valuation panel</w:t>
      </w:r>
    </w:p>
    <w:p>
      <w:pPr>
        <w:spacing w:after="120" w:before="0"/>
      </w:pPr>
      <w:r>
        <w:rPr>
          <w:b w:val="0"/>
          <w:i w:val="0"/>
          <w:color w:val="1C3A36"/>
          <w:sz w:val="21"/>
        </w:rPr>
        <w:t>Every Testahil study closes with a panel of standing expert personas — drawn from the house Expert Persona Library, not invented for the occasion, so each accumulates a track record across studies and a quarterly update is a re-run, not a re-training. For stc we cast the telecom trio from the library’s coverage map — cash-returns (DCF + returns on capital against WACC), earnings-power (normalized through-cycle earnings + multiples), and macro-policy (scenario-weighted policy options) — labelled Expert 1 / 2 / 3. Each runs a genuinely different method, derives its fair value from shown workings, and states a falsification condition.</w:t>
      </w:r>
    </w:p>
    <w:p>
      <w:pPr>
        <w:spacing w:after="80" w:before="200"/>
      </w:pPr>
      <w:r>
        <w:rPr>
          <w:b/>
          <w:i w:val="0"/>
          <w:color w:val="1C3A36"/>
          <w:sz w:val="24"/>
        </w:rPr>
        <w:t>C.1  Expert 1 — cash returns: ROIC against the cost of capital</w:t>
      </w:r>
    </w:p>
    <w:p>
      <w:pPr>
        <w:spacing w:after="120" w:before="0"/>
      </w:pPr>
      <w:r>
        <w:rPr>
          <w:b w:val="0"/>
          <w:i w:val="0"/>
          <w:color w:val="1C3A36"/>
          <w:sz w:val="19"/>
        </w:rPr>
        <w:t>Worldview and tradition. A business is worth the cash it returns over its life, and it creates value only when each riyal of capital earns above its cost. He looks past accounting earnings to free cash flow and to the economic-profit spread — and he is temperamentally suspicious of capex programs described with the word “vision.”</w:t>
      </w:r>
    </w:p>
    <w:p>
      <w:pPr>
        <w:spacing w:after="120" w:before="0"/>
      </w:pPr>
      <w:r>
        <w:rPr>
          <w:b w:val="0"/>
          <w:i w:val="0"/>
          <w:color w:val="1C3A36"/>
          <w:sz w:val="19"/>
        </w:rPr>
        <w:t>When it works / fails. Best for capital-intensive businesses where returns on capital are the crux — precisely a telecom. Fails where reinvestment economics are genuinely improving (past ROIC misleads a new-moat story) — his risk here if the AI-data-centre build earns structurally above telecom returns.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1’s economic-profit test</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Invested capital (equity 83.4 bn + net debt 7.1 bn)</w:t>
            </w:r>
          </w:p>
        </w:tc>
        <w:tc>
          <w:tcPr>
            <w:tcW w:type="dxa" w:w="2448"/>
          </w:tcPr>
          <w:p>
            <w:pPr>
              <w:spacing w:after="20"/>
              <w:jc w:val="right"/>
            </w:pPr>
            <w:r>
              <w:rPr>
                <w:color w:val="1C3A36"/>
                <w:sz w:val="18"/>
              </w:rPr>
              <w:t>SAR 90.5 bn</w:t>
            </w:r>
          </w:p>
        </w:tc>
      </w:tr>
      <w:tr>
        <w:tc>
          <w:tcPr>
            <w:tcW w:type="dxa" w:w="6336"/>
          </w:tcPr>
          <w:p>
            <w:pPr>
              <w:spacing w:after="20"/>
            </w:pPr>
            <w:r>
              <w:rPr>
                <w:b/>
                <w:color w:val="1C3A36"/>
                <w:sz w:val="18"/>
              </w:rPr>
              <w:t>FY26E NOPAT → ROIC</w:t>
            </w:r>
          </w:p>
        </w:tc>
        <w:tc>
          <w:tcPr>
            <w:tcW w:type="dxa" w:w="2448"/>
          </w:tcPr>
          <w:p>
            <w:pPr>
              <w:spacing w:after="20"/>
              <w:jc w:val="right"/>
            </w:pPr>
            <w:r>
              <w:rPr>
                <w:color w:val="1C3A36"/>
                <w:sz w:val="18"/>
              </w:rPr>
              <w:t>SAR 13.9 bn → 15.3%</w:t>
            </w:r>
          </w:p>
        </w:tc>
      </w:tr>
      <w:tr>
        <w:tc>
          <w:tcPr>
            <w:tcW w:type="dxa" w:w="6336"/>
          </w:tcPr>
          <w:p>
            <w:pPr>
              <w:spacing w:after="20"/>
            </w:pPr>
            <w:r>
              <w:rPr>
                <w:b/>
                <w:color w:val="1C3A36"/>
                <w:sz w:val="18"/>
              </w:rPr>
              <w:t>WACC (accepts the §1.8 build)</w:t>
            </w:r>
          </w:p>
        </w:tc>
        <w:tc>
          <w:tcPr>
            <w:tcW w:type="dxa" w:w="2448"/>
          </w:tcPr>
          <w:p>
            <w:pPr>
              <w:spacing w:after="20"/>
              <w:jc w:val="right"/>
            </w:pPr>
            <w:r>
              <w:rPr>
                <w:color w:val="1C3A36"/>
                <w:sz w:val="18"/>
              </w:rPr>
              <w:t>7.59%</w:t>
            </w:r>
          </w:p>
        </w:tc>
      </w:tr>
      <w:tr>
        <w:tc>
          <w:tcPr>
            <w:tcW w:type="dxa" w:w="6336"/>
          </w:tcPr>
          <w:p>
            <w:pPr>
              <w:spacing w:after="20"/>
            </w:pPr>
            <w:r>
              <w:rPr>
                <w:b/>
                <w:color w:val="1C3A36"/>
                <w:sz w:val="18"/>
              </w:rPr>
              <w:t>Economic profit = (ROIC − WACC) × IC</w:t>
            </w:r>
          </w:p>
        </w:tc>
        <w:tc>
          <w:tcPr>
            <w:tcW w:type="dxa" w:w="2448"/>
          </w:tcPr>
          <w:p>
            <w:pPr>
              <w:spacing w:after="20"/>
              <w:jc w:val="right"/>
            </w:pPr>
            <w:r>
              <w:rPr>
                <w:color w:val="1C3A36"/>
                <w:sz w:val="18"/>
              </w:rPr>
              <w:t>SAR ~7.0 bn/yr</w:t>
            </w:r>
          </w:p>
        </w:tc>
      </w:tr>
      <w:tr>
        <w:tc>
          <w:tcPr>
            <w:tcW w:type="dxa" w:w="6336"/>
          </w:tcPr>
          <w:p>
            <w:pPr>
              <w:spacing w:after="20"/>
            </w:pPr>
            <w:r>
              <w:rPr>
                <w:b/>
                <w:color w:val="1C3A36"/>
                <w:sz w:val="18"/>
              </w:rPr>
              <w:t>Fade: excess returns decay 2.5%/yr toward WACC</w:t>
            </w:r>
          </w:p>
        </w:tc>
        <w:tc>
          <w:tcPr>
            <w:tcW w:type="dxa" w:w="2448"/>
          </w:tcPr>
          <w:p>
            <w:pPr>
              <w:spacing w:after="20"/>
              <w:jc w:val="right"/>
            </w:pPr>
            <w:r>
              <w:rPr>
                <w:color w:val="1C3A36"/>
                <w:sz w:val="18"/>
              </w:rPr>
              <w:t>EP multiple ≈ 13.2×</w:t>
            </w:r>
          </w:p>
        </w:tc>
      </w:tr>
      <w:tr>
        <w:tc>
          <w:tcPr>
            <w:tcW w:type="dxa" w:w="6336"/>
          </w:tcPr>
          <w:p>
            <w:pPr>
              <w:spacing w:after="20"/>
            </w:pPr>
            <w:r>
              <w:rPr>
                <w:b/>
                <w:color w:val="1C3A36"/>
                <w:sz w:val="18"/>
              </w:rPr>
              <w:t>Core EV = IC + PV(fading EP)</w:t>
            </w:r>
          </w:p>
        </w:tc>
        <w:tc>
          <w:tcPr>
            <w:tcW w:type="dxa" w:w="2448"/>
          </w:tcPr>
          <w:p>
            <w:pPr>
              <w:spacing w:after="20"/>
              <w:jc w:val="right"/>
            </w:pPr>
            <w:r>
              <w:rPr>
                <w:color w:val="1C3A36"/>
                <w:sz w:val="18"/>
              </w:rPr>
              <w:t>SAR ~183 bn</w:t>
            </w:r>
          </w:p>
        </w:tc>
      </w:tr>
      <w:tr>
        <w:tc>
          <w:tcPr>
            <w:tcW w:type="dxa" w:w="6336"/>
          </w:tcPr>
          <w:p>
            <w:pPr>
              <w:spacing w:after="20"/>
            </w:pPr>
            <w:r>
              <w:rPr>
                <w:b/>
                <w:color w:val="1C3A36"/>
                <w:sz w:val="18"/>
              </w:rPr>
              <w:t>+ stakes − net debt − NCI, / 4,989.8 mn shares</w:t>
            </w:r>
          </w:p>
        </w:tc>
        <w:tc>
          <w:tcPr>
            <w:tcW w:type="dxa" w:w="2448"/>
          </w:tcPr>
          <w:p>
            <w:pPr>
              <w:spacing w:after="20"/>
              <w:jc w:val="right"/>
            </w:pPr>
            <w:r>
              <w:rPr>
                <w:color w:val="1C3A36"/>
                <w:sz w:val="18"/>
              </w:rPr>
              <w:t>→ SAR 37.3/share</w:t>
            </w:r>
          </w:p>
        </w:tc>
      </w:tr>
    </w:tbl>
    <w:p>
      <w:pPr>
        <w:spacing w:after="40"/>
      </w:pPr>
    </w:p>
    <w:p>
      <w:pPr>
        <w:spacing w:after="120" w:before="0"/>
      </w:pPr>
      <w:r>
        <w:rPr>
          <w:b w:val="0"/>
          <w:i w:val="0"/>
          <w:color w:val="1C3A36"/>
          <w:sz w:val="19"/>
        </w:rPr>
        <w:t>Sensitivity (swing = the fade rate): at a 1%/yr fade (a durable moat) his value rises to ≈SAR 45; at 4%/yr (competition and technology churn eat the spread) it falls to ≈SAR 32. Cross-examination: he tells Expert 2 that a 15× multiple on normalized earnings quietly capitalizes today’s ROIC forever without charging for the capital that sustains it — his fade does explicitly what the multiple hides. He tells Expert 3 that scenario trees on the policy rate are fine, but the bigger lever is inside the company: each percentage point of capex intensity is SAR 0.8 bn of cash that either earns the spread or doesn’t.</w:t>
      </w:r>
    </w:p>
    <w:p>
      <w:pPr>
        <w:spacing w:after="120" w:before="0"/>
      </w:pPr>
      <w:r>
        <w:rPr>
          <w:b/>
          <w:i w:val="0"/>
          <w:color w:val="1C3A36"/>
          <w:sz w:val="21"/>
        </w:rPr>
        <w:t xml:space="preserve">Verdict, falsification, market-implied. </w:t>
      </w:r>
      <w:r>
        <w:rPr>
          <w:b w:val="0"/>
          <w:i w:val="0"/>
          <w:color w:val="1C3A36"/>
          <w:sz w:val="21"/>
        </w:rPr>
        <w:t>Fair SAR 37.3 (range 32–45) — the panel’s conservative anchor, below spot: on his arithmetic the market already pays for the excess returns to persist a decade-plus. Falsified by disclosed data-centre economics showing contracted returns above telecom ROIC (the fade would then be too harsh), or by ROIC holding ≥15% through FY28 while capex normalizes. What the price implies: at SAR 43.58 the market discounts a fade of roughly 1.5%/yr — gentler than his 2.5%, i.e. the market believes in the moat slightly more than he does.</w:t>
      </w:r>
    </w:p>
    <w:p>
      <w:pPr>
        <w:spacing w:after="80" w:before="200"/>
      </w:pPr>
      <w:r>
        <w:rPr>
          <w:b/>
          <w:i w:val="0"/>
          <w:color w:val="1C3A36"/>
          <w:sz w:val="24"/>
        </w:rPr>
        <w:t>C.2  Expert 2 — normalized earnings power</w:t>
      </w:r>
    </w:p>
    <w:p>
      <w:pPr>
        <w:spacing w:after="120" w:before="0"/>
      </w:pPr>
      <w:r>
        <w:rPr>
          <w:b w:val="0"/>
          <w:i w:val="0"/>
          <w:color w:val="1C3A36"/>
          <w:sz w:val="19"/>
        </w:rPr>
        <w:t>Worldview and tradition. An operating company is worth a fair multiple of its sustainable, mid-cycle earnings power; peaks, troughs and one-off gains are noise to be stripped before anything is capitalized.</w:t>
      </w:r>
    </w:p>
    <w:p>
      <w:pPr>
        <w:spacing w:after="120" w:before="0"/>
      </w:pPr>
      <w:r>
        <w:rPr>
          <w:b w:val="0"/>
          <w:i w:val="0"/>
          <w:color w:val="1C3A36"/>
          <w:sz w:val="19"/>
        </w:rPr>
        <w:t>When it works / fails. Best for stable operating businesses with a track record — a fit for stc, whose underlying earnings have grown 12–13% (adjusted) for two straight years. Fails at structural breaks: if the subsidiary portfolio re-rates the growth profile, his through-cycle multiple is too low; if a price war breaks the margin, too high.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8"/>
              </w:rPr>
              <w:t>Expert 2’s normalization</w:t>
            </w:r>
          </w:p>
        </w:tc>
        <w:tc>
          <w:tcPr>
            <w:tcW w:type="dxa" w:w="2448"/>
            <w:shd w:val="clear" w:color="auto" w:fill="EAF0EE"/>
          </w:tcPr>
          <w:p>
            <w:pPr>
              <w:spacing w:after="20"/>
            </w:pPr>
            <w:r>
              <w:rPr>
                <w:b/>
                <w:color w:val="1C3A36"/>
                <w:sz w:val="18"/>
              </w:rPr>
              <w:t>Value</w:t>
            </w:r>
          </w:p>
        </w:tc>
      </w:tr>
      <w:tr>
        <w:tc>
          <w:tcPr>
            <w:tcW w:type="dxa" w:w="6336"/>
          </w:tcPr>
          <w:p>
            <w:pPr>
              <w:spacing w:after="20"/>
            </w:pPr>
            <w:r>
              <w:rPr>
                <w:b/>
                <w:color w:val="1C3A36"/>
                <w:sz w:val="18"/>
              </w:rPr>
              <w:t>FY25 attributable profit, reported</w:t>
            </w:r>
          </w:p>
        </w:tc>
        <w:tc>
          <w:tcPr>
            <w:tcW w:type="dxa" w:w="2448"/>
          </w:tcPr>
          <w:p>
            <w:pPr>
              <w:spacing w:after="20"/>
              <w:jc w:val="right"/>
            </w:pPr>
            <w:r>
              <w:rPr>
                <w:color w:val="1C3A36"/>
                <w:sz w:val="18"/>
              </w:rPr>
              <w:t>SAR 14,828 mn</w:t>
            </w:r>
          </w:p>
        </w:tc>
      </w:tr>
      <w:tr>
        <w:tc>
          <w:tcPr>
            <w:tcW w:type="dxa" w:w="6336"/>
          </w:tcPr>
          <w:p>
            <w:pPr>
              <w:spacing w:after="20"/>
            </w:pPr>
            <w:r>
              <w:rPr>
                <w:b/>
                <w:color w:val="1C3A36"/>
                <w:sz w:val="18"/>
              </w:rPr>
              <w:t>less: one-off zakat credit</w:t>
            </w:r>
          </w:p>
        </w:tc>
        <w:tc>
          <w:tcPr>
            <w:tcW w:type="dxa" w:w="2448"/>
          </w:tcPr>
          <w:p>
            <w:pPr>
              <w:spacing w:after="20"/>
              <w:jc w:val="right"/>
            </w:pPr>
            <w:r>
              <w:rPr>
                <w:color w:val="1C3A36"/>
                <w:sz w:val="18"/>
              </w:rPr>
              <w:t>(466)</w:t>
            </w:r>
          </w:p>
        </w:tc>
      </w:tr>
      <w:tr>
        <w:tc>
          <w:tcPr>
            <w:tcW w:type="dxa" w:w="6336"/>
          </w:tcPr>
          <w:p>
            <w:pPr>
              <w:spacing w:after="20"/>
            </w:pPr>
            <w:r>
              <w:rPr>
                <w:b/>
                <w:color w:val="1C3A36"/>
                <w:sz w:val="18"/>
              </w:rPr>
              <w:t>Normalized PAT → EPS</w:t>
            </w:r>
          </w:p>
        </w:tc>
        <w:tc>
          <w:tcPr>
            <w:tcW w:type="dxa" w:w="2448"/>
          </w:tcPr>
          <w:p>
            <w:pPr>
              <w:spacing w:after="20"/>
              <w:jc w:val="right"/>
            </w:pPr>
            <w:r>
              <w:rPr>
                <w:color w:val="1C3A36"/>
                <w:sz w:val="18"/>
              </w:rPr>
              <w:t>SAR ~14,400 mn → SAR 2.89</w:t>
            </w:r>
          </w:p>
        </w:tc>
      </w:tr>
      <w:tr>
        <w:tc>
          <w:tcPr>
            <w:tcW w:type="dxa" w:w="6336"/>
          </w:tcPr>
          <w:p>
            <w:pPr>
              <w:spacing w:after="20"/>
            </w:pPr>
            <w:r>
              <w:rPr>
                <w:b/>
                <w:color w:val="1C3A36"/>
                <w:sz w:val="18"/>
              </w:rPr>
              <w:t>Justified through-cycle P/E</w:t>
            </w:r>
          </w:p>
        </w:tc>
        <w:tc>
          <w:tcPr>
            <w:tcW w:type="dxa" w:w="2448"/>
          </w:tcPr>
          <w:p>
            <w:pPr>
              <w:spacing w:after="20"/>
              <w:jc w:val="right"/>
            </w:pPr>
            <w:r>
              <w:rPr>
                <w:color w:val="1C3A36"/>
                <w:sz w:val="18"/>
              </w:rPr>
              <w:t>15.0×</w:t>
            </w:r>
          </w:p>
        </w:tc>
      </w:tr>
      <w:tr>
        <w:tc>
          <w:tcPr>
            <w:tcW w:type="dxa" w:w="6336"/>
          </w:tcPr>
          <w:p>
            <w:pPr>
              <w:spacing w:after="20"/>
            </w:pPr>
            <w:r>
              <w:rPr>
                <w:b/>
                <w:color w:val="1C3A36"/>
                <w:sz w:val="18"/>
              </w:rPr>
              <w:t>Fair value</w:t>
            </w:r>
          </w:p>
        </w:tc>
        <w:tc>
          <w:tcPr>
            <w:tcW w:type="dxa" w:w="2448"/>
          </w:tcPr>
          <w:p>
            <w:pPr>
              <w:spacing w:after="20"/>
              <w:jc w:val="right"/>
            </w:pPr>
            <w:r>
              <w:rPr>
                <w:color w:val="1C3A36"/>
                <w:sz w:val="18"/>
              </w:rPr>
              <w:t>→ SAR 43.3/share</w:t>
            </w:r>
          </w:p>
        </w:tc>
      </w:tr>
    </w:tbl>
    <w:p>
      <w:pPr>
        <w:spacing w:after="40"/>
      </w:pPr>
    </w:p>
    <w:p>
      <w:pPr>
        <w:spacing w:after="120" w:before="0"/>
      </w:pPr>
      <w:r>
        <w:rPr>
          <w:b w:val="0"/>
          <w:i w:val="0"/>
          <w:color w:val="1C3A36"/>
          <w:sz w:val="19"/>
        </w:rPr>
        <w:t>Sensitivity (swing = the multiple): at 13.5× SAR 36.8; at 16.5× SAR 50.3; each 1× of P/E ≈ SAR 2.9. Cross-examination: he tells Expert 1 that a fade model is just a multiple wearing a lab coat — the honest disagreement is the number, and 15× for a zero-net-debt incumbent yielding 5% is not heroic when du trades at 17.6×. He tells Expert 3 that the dividend lens undervalues whatever the board chooses not to distribute — the same retained cash the specials keep proving exists.</w:t>
      </w:r>
    </w:p>
    <w:p>
      <w:pPr>
        <w:spacing w:after="120" w:before="0"/>
      </w:pPr>
      <w:r>
        <w:rPr>
          <w:b/>
          <w:i w:val="0"/>
          <w:color w:val="1C3A36"/>
          <w:sz w:val="21"/>
        </w:rPr>
        <w:t xml:space="preserve">Verdict, falsification, market-implied. </w:t>
      </w:r>
      <w:r>
        <w:rPr>
          <w:b w:val="0"/>
          <w:i w:val="0"/>
          <w:color w:val="1C3A36"/>
          <w:sz w:val="21"/>
        </w:rPr>
        <w:t>Fair SAR 43.3 (range 37–50) — a whisker below spot: on clean current earnings the stock is fully priced, and everything above 15× is paying for growth not yet printed. Falsified by two consecutive years of double-digit adjusted EPS growth (his base would be stale), or by the margin glide reversing. The market pays 15.1× his normalized EPS — it agrees with him almost exactly.</w:t>
      </w:r>
    </w:p>
    <w:p>
      <w:pPr>
        <w:spacing w:after="80" w:before="200"/>
      </w:pPr>
      <w:r>
        <w:rPr>
          <w:b/>
          <w:i w:val="0"/>
          <w:color w:val="1C3A36"/>
          <w:sz w:val="24"/>
        </w:rPr>
        <w:t>C.3  Expert 3 — macro-policy: the scenario tree</w:t>
      </w:r>
    </w:p>
    <w:p>
      <w:pPr>
        <w:spacing w:after="120" w:before="0"/>
      </w:pPr>
      <w:r>
        <w:rPr>
          <w:b w:val="0"/>
          <w:i w:val="0"/>
          <w:color w:val="1C3A36"/>
          <w:sz w:val="19"/>
        </w:rPr>
        <w:t>Worldview and tradition. In a policy-driven market, policy outranks fundamentals: the Fed/SAMA rate path, the oil-funded fiscal impulse, and sovereign strategic priorities (Vision 2030, the AI build, PIF’s portfolio choices) move this stock more than management execution does. He prices the equity as a probability-weighted set of policy worlds, expressed through the dividend stream — the one cash flow a policy-anchored shareholder actually receives.</w:t>
      </w:r>
    </w:p>
    <w:p>
      <w:pPr>
        <w:spacing w:after="120" w:before="0"/>
      </w:pPr>
      <w:r>
        <w:rPr>
          <w:b w:val="0"/>
          <w:i w:val="0"/>
          <w:color w:val="1C3A36"/>
          <w:sz w:val="19"/>
        </w:rPr>
        <w:t>When it works / fails. Best where binary policy catalysts dominate — rate cuts, sovereign flows, national-champion capex mandates. Fails through false precision: the probabilities are judgments, and the tree can miss the branch that grows (his own flag: a KSA price war appears in nobody’s policy scenario, yet would dominate all of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168"/>
            <w:shd w:val="clear" w:color="auto" w:fill="EAF0EE"/>
          </w:tcPr>
          <w:p>
            <w:pPr>
              <w:spacing w:after="20"/>
            </w:pPr>
            <w:r>
              <w:rPr>
                <w:b/>
                <w:color w:val="1C3A36"/>
                <w:sz w:val="17"/>
              </w:rPr>
              <w:t>Scenario (through 2027)</w:t>
            </w:r>
          </w:p>
        </w:tc>
        <w:tc>
          <w:tcPr>
            <w:tcW w:type="dxa" w:w="1008"/>
            <w:shd w:val="clear" w:color="auto" w:fill="EAF0EE"/>
          </w:tcPr>
          <w:p>
            <w:pPr>
              <w:spacing w:after="20"/>
            </w:pPr>
            <w:r>
              <w:rPr>
                <w:b/>
                <w:color w:val="1C3A36"/>
                <w:sz w:val="17"/>
              </w:rPr>
              <w:t>Prob.</w:t>
            </w:r>
          </w:p>
        </w:tc>
        <w:tc>
          <w:tcPr>
            <w:tcW w:type="dxa" w:w="3888"/>
            <w:shd w:val="clear" w:color="auto" w:fill="EAF0EE"/>
          </w:tcPr>
          <w:p>
            <w:pPr>
              <w:spacing w:after="20"/>
            </w:pPr>
            <w:r>
              <w:rPr>
                <w:b/>
                <w:color w:val="1C3A36"/>
                <w:sz w:val="17"/>
              </w:rPr>
              <w:t>World</w:t>
            </w:r>
          </w:p>
        </w:tc>
        <w:tc>
          <w:tcPr>
            <w:tcW w:type="dxa" w:w="1584"/>
            <w:shd w:val="clear" w:color="auto" w:fill="EAF0EE"/>
          </w:tcPr>
          <w:p>
            <w:pPr>
              <w:spacing w:after="20"/>
            </w:pPr>
            <w:r>
              <w:rPr>
                <w:b/>
                <w:color w:val="1C3A36"/>
                <w:sz w:val="17"/>
              </w:rPr>
              <w:t>DDM value</w:t>
            </w:r>
          </w:p>
        </w:tc>
      </w:tr>
      <w:tr>
        <w:tc>
          <w:tcPr>
            <w:tcW w:type="dxa" w:w="3168"/>
          </w:tcPr>
          <w:p>
            <w:pPr>
              <w:spacing w:after="20"/>
            </w:pPr>
            <w:r>
              <w:rPr>
                <w:b/>
                <w:color w:val="1C3A36"/>
                <w:sz w:val="17"/>
              </w:rPr>
              <w:t>Easing + special dividends</w:t>
            </w:r>
          </w:p>
        </w:tc>
        <w:tc>
          <w:tcPr>
            <w:tcW w:type="dxa" w:w="1008"/>
          </w:tcPr>
          <w:p>
            <w:pPr>
              <w:spacing w:after="20"/>
              <w:jc w:val="right"/>
            </w:pPr>
            <w:r>
              <w:rPr>
                <w:color w:val="1C3A36"/>
                <w:sz w:val="17"/>
              </w:rPr>
              <w:t>30%</w:t>
            </w:r>
          </w:p>
        </w:tc>
        <w:tc>
          <w:tcPr>
            <w:tcW w:type="dxa" w:w="3888"/>
          </w:tcPr>
          <w:p>
            <w:pPr>
              <w:spacing w:after="20"/>
              <w:jc w:val="right"/>
            </w:pPr>
            <w:r>
              <w:rPr>
                <w:color w:val="1C3A36"/>
                <w:sz w:val="17"/>
              </w:rPr>
              <w:t>Fed/SAMA cut 75–100 bp; cover proven; a special repeats</w:t>
            </w:r>
          </w:p>
        </w:tc>
        <w:tc>
          <w:tcPr>
            <w:tcW w:type="dxa" w:w="1584"/>
          </w:tcPr>
          <w:p>
            <w:pPr>
              <w:spacing w:after="20"/>
              <w:jc w:val="right"/>
            </w:pPr>
            <w:r>
              <w:rPr>
                <w:color w:val="1C3A36"/>
                <w:sz w:val="17"/>
              </w:rPr>
              <w:t>SAR 59</w:t>
            </w:r>
          </w:p>
        </w:tc>
      </w:tr>
      <w:tr>
        <w:tc>
          <w:tcPr>
            <w:tcW w:type="dxa" w:w="3168"/>
          </w:tcPr>
          <w:p>
            <w:pPr>
              <w:spacing w:after="20"/>
            </w:pPr>
            <w:r>
              <w:rPr>
                <w:b/>
                <w:color w:val="1C3A36"/>
                <w:sz w:val="17"/>
              </w:rPr>
              <w:t>Base: policy held, dividend locked</w:t>
            </w:r>
          </w:p>
        </w:tc>
        <w:tc>
          <w:tcPr>
            <w:tcW w:type="dxa" w:w="1008"/>
          </w:tcPr>
          <w:p>
            <w:pPr>
              <w:spacing w:after="20"/>
              <w:jc w:val="right"/>
            </w:pPr>
            <w:r>
              <w:rPr>
                <w:color w:val="1C3A36"/>
                <w:sz w:val="17"/>
              </w:rPr>
              <w:t>45%</w:t>
            </w:r>
          </w:p>
        </w:tc>
        <w:tc>
          <w:tcPr>
            <w:tcW w:type="dxa" w:w="3888"/>
          </w:tcPr>
          <w:p>
            <w:pPr>
              <w:spacing w:after="20"/>
              <w:jc w:val="right"/>
            </w:pPr>
            <w:r>
              <w:rPr>
                <w:color w:val="1C3A36"/>
                <w:sz w:val="17"/>
              </w:rPr>
              <w:t>Gradual cuts; capex mid-band; SAR 2.20 through 2027 then +3%</w:t>
            </w:r>
          </w:p>
        </w:tc>
        <w:tc>
          <w:tcPr>
            <w:tcW w:type="dxa" w:w="1584"/>
          </w:tcPr>
          <w:p>
            <w:pPr>
              <w:spacing w:after="20"/>
              <w:jc w:val="right"/>
            </w:pPr>
            <w:r>
              <w:rPr>
                <w:color w:val="1C3A36"/>
                <w:sz w:val="17"/>
              </w:rPr>
              <w:t>SAR 46</w:t>
            </w:r>
          </w:p>
        </w:tc>
      </w:tr>
      <w:tr>
        <w:tc>
          <w:tcPr>
            <w:tcW w:type="dxa" w:w="3168"/>
          </w:tcPr>
          <w:p>
            <w:pPr>
              <w:spacing w:after="20"/>
            </w:pPr>
            <w:r>
              <w:rPr>
                <w:b/>
                <w:color w:val="1C3A36"/>
                <w:sz w:val="17"/>
              </w:rPr>
              <w:t>Higher-for-longer + capex overrun</w:t>
            </w:r>
          </w:p>
        </w:tc>
        <w:tc>
          <w:tcPr>
            <w:tcW w:type="dxa" w:w="1008"/>
          </w:tcPr>
          <w:p>
            <w:pPr>
              <w:spacing w:after="20"/>
              <w:jc w:val="right"/>
            </w:pPr>
            <w:r>
              <w:rPr>
                <w:color w:val="1C3A36"/>
                <w:sz w:val="17"/>
              </w:rPr>
              <w:t>25%</w:t>
            </w:r>
          </w:p>
        </w:tc>
        <w:tc>
          <w:tcPr>
            <w:tcW w:type="dxa" w:w="3888"/>
          </w:tcPr>
          <w:p>
            <w:pPr>
              <w:spacing w:after="20"/>
              <w:jc w:val="right"/>
            </w:pPr>
            <w:r>
              <w:rPr>
                <w:color w:val="1C3A36"/>
                <w:sz w:val="17"/>
              </w:rPr>
              <w:t>No cuts to mid-2027; capex at 17.5%; no specials</w:t>
            </w:r>
          </w:p>
        </w:tc>
        <w:tc>
          <w:tcPr>
            <w:tcW w:type="dxa" w:w="1584"/>
          </w:tcPr>
          <w:p>
            <w:pPr>
              <w:spacing w:after="20"/>
              <w:jc w:val="right"/>
            </w:pPr>
            <w:r>
              <w:rPr>
                <w:color w:val="1C3A36"/>
                <w:sz w:val="17"/>
              </w:rPr>
              <w:t>SAR 31</w:t>
            </w:r>
          </w:p>
        </w:tc>
      </w:tr>
      <w:tr>
        <w:tc>
          <w:tcPr>
            <w:tcW w:type="dxa" w:w="3168"/>
            <w:shd w:val="clear" w:color="auto" w:fill="F6F1E6"/>
          </w:tcPr>
          <w:p>
            <w:pPr>
              <w:spacing w:after="20"/>
            </w:pPr>
            <w:r>
              <w:rPr>
                <w:b/>
                <w:color w:val="1C3A36"/>
                <w:sz w:val="17"/>
              </w:rPr>
              <w:t>Probability-weighted fair value</w:t>
            </w:r>
          </w:p>
        </w:tc>
        <w:tc>
          <w:tcPr>
            <w:tcW w:type="dxa" w:w="1008"/>
            <w:shd w:val="clear" w:color="auto" w:fill="F6F1E6"/>
          </w:tcPr>
          <w:p>
            <w:pPr>
              <w:spacing w:after="20"/>
              <w:jc w:val="right"/>
            </w:pPr>
            <w:r>
              <w:rPr>
                <w:b/>
                <w:color w:val="1C3A36"/>
                <w:sz w:val="17"/>
              </w:rPr>
            </w:r>
          </w:p>
        </w:tc>
        <w:tc>
          <w:tcPr>
            <w:tcW w:type="dxa" w:w="3888"/>
            <w:shd w:val="clear" w:color="auto" w:fill="F6F1E6"/>
          </w:tcPr>
          <w:p>
            <w:pPr>
              <w:spacing w:after="20"/>
              <w:jc w:val="right"/>
            </w:pPr>
            <w:r>
              <w:rPr>
                <w:b/>
                <w:color w:val="1C3A36"/>
                <w:sz w:val="17"/>
              </w:rPr>
            </w:r>
          </w:p>
        </w:tc>
        <w:tc>
          <w:tcPr>
            <w:tcW w:type="dxa" w:w="1584"/>
            <w:shd w:val="clear" w:color="auto" w:fill="F6F1E6"/>
          </w:tcPr>
          <w:p>
            <w:pPr>
              <w:spacing w:after="20"/>
              <w:jc w:val="right"/>
            </w:pPr>
            <w:r>
              <w:rPr>
                <w:b/>
                <w:color w:val="1C3A36"/>
                <w:sz w:val="17"/>
              </w:rPr>
              <w:t>SAR 45.9</w:t>
            </w:r>
          </w:p>
        </w:tc>
      </w:tr>
    </w:tbl>
    <w:p>
      <w:pPr>
        <w:spacing w:after="40"/>
      </w:pPr>
    </w:p>
    <w:p>
      <w:pPr>
        <w:spacing w:after="120" w:before="0"/>
      </w:pPr>
      <w:r>
        <w:rPr>
          <w:b w:val="0"/>
          <w:i w:val="0"/>
          <w:color w:val="1C3A36"/>
          <w:sz w:val="19"/>
        </w:rPr>
        <w:t>Sensitivity (swing = the scenario weights): shifting 10 points from base to bear moves him ≈SAR 1.5; his answer is more stable than either colleague’s because the dividend floor does most of the work in every branch. Cross-examination: he tells Expert 1 that a fade rate is unknowable to the decimal while the policy calendar is published — model what is scheduled. He tells Expert 2 that a through-cycle multiple assumes a cycle; Saudi rates are pegged to a foreign central bank, so the local 'cycle' is imported and can stay dislocated from local fundamentals for years.</w:t>
      </w:r>
    </w:p>
    <w:p>
      <w:pPr>
        <w:spacing w:after="120" w:before="0"/>
      </w:pPr>
      <w:r>
        <w:rPr>
          <w:b/>
          <w:i w:val="0"/>
          <w:color w:val="1C3A36"/>
          <w:sz w:val="21"/>
        </w:rPr>
        <w:t xml:space="preserve">Verdict, falsification, market-implied. </w:t>
      </w:r>
      <w:r>
        <w:rPr>
          <w:b w:val="0"/>
          <w:i w:val="0"/>
          <w:color w:val="1C3A36"/>
          <w:sz w:val="21"/>
        </w:rPr>
        <w:t>Fair SAR 45.9 — essentially the DDM with eyes open, and the panel value closest to spot. Falsified by the board breaking the policy (either direction: a cut dividend or a step-change up), or by a Fed path outside his tree (no cuts through 2027, or emergency easing). What the price implies: the market is pricing roughly his base case with a small weight on the bear — i.e. the locked dividend at a ~5% yield, and near-zero credit for specials or the AI build.</w:t>
      </w:r>
    </w:p>
    <w:p>
      <w:pPr>
        <w:spacing w:after="80" w:before="200"/>
      </w:pPr>
      <w:r>
        <w:rPr>
          <w:b/>
          <w:i w:val="0"/>
          <w:color w:val="1C3A36"/>
          <w:sz w:val="24"/>
        </w:rPr>
        <w:t>C.5  The three in one room</w:t>
      </w:r>
    </w:p>
    <w:p>
      <w:pPr>
        <w:spacing w:after="120" w:before="0"/>
      </w:pPr>
      <w:r>
        <w:rPr>
          <w:b w:val="0"/>
          <w:i w:val="0"/>
          <w:color w:val="1C3A36"/>
          <w:sz w:val="19"/>
        </w:rPr>
        <w:t>Put the three in a room and the argument is about one thing: what happens to stc’s return on capital as the Kingdom’s AI-infrastructure build runs through its income statement.</w:t>
      </w:r>
    </w:p>
    <w:p>
      <w:pPr>
        <w:spacing w:after="120" w:before="0"/>
      </w:pPr>
      <w:r>
        <w:rPr>
          <w:b w:val="0"/>
          <w:i w:val="0"/>
          <w:color w:val="1C3A36"/>
          <w:sz w:val="19"/>
        </w:rPr>
        <w:t>Expert 1: “Fifteen percent returns on ninety billion of capital, fading as every telecom’s returns have always faded. The data centres are capex with a press release until someone shows me contracted economics. I pay SAR 37.”</w:t>
      </w:r>
    </w:p>
    <w:p>
      <w:pPr>
        <w:spacing w:after="120" w:before="0"/>
      </w:pPr>
      <w:r>
        <w:rPr>
          <w:b w:val="0"/>
          <w:i w:val="0"/>
          <w:color w:val="1C3A36"/>
          <w:sz w:val="19"/>
        </w:rPr>
        <w:t>Expert 3: “Your fade rate is a guess dressed as physics. What is not a guess: the board has signed a cheque for SAR 2.20 a year through 2027, SAMA’s next moves are the Fed’s, and the sovereign has made this company its digital-infrastructure champion. Price the policy, not the physics — SAR 46.”</w:t>
      </w:r>
    </w:p>
    <w:p>
      <w:pPr>
        <w:spacing w:after="120" w:before="0"/>
      </w:pPr>
      <w:r>
        <w:rPr>
          <w:b w:val="0"/>
          <w:i w:val="0"/>
          <w:color w:val="1C3A36"/>
          <w:sz w:val="19"/>
        </w:rPr>
        <w:t>Expert 2: “You are both reaching. Clean earnings are SAR 2.89 a share, growing high single digits; the market pays 15× for that across the Gulf. Everything else — fades, scenario trees, gigawatts — is a story about the sixteenth multiple point. SAR 43, and the market agrees with me to the decimal.”</w:t>
      </w:r>
    </w:p>
    <w:p>
      <w:pPr>
        <w:spacing w:after="80" w:before="200"/>
      </w:pPr>
      <w:r>
        <w:rPr>
          <w:b/>
          <w:i w:val="0"/>
          <w:color w:val="1C3A36"/>
          <w:sz w:val="24"/>
        </w:rPr>
        <w:t>C.6  Reading the divergence</w:t>
      </w:r>
    </w:p>
    <w:p>
      <w:pPr>
        <w:spacing w:after="40"/>
        <w:jc w:val="center"/>
      </w:pPr>
      <w:r>
        <w:drawing>
          <wp:inline xmlns:a="http://schemas.openxmlformats.org/drawingml/2006/main" xmlns:pic="http://schemas.openxmlformats.org/drawingml/2006/picture">
            <wp:extent cx="5486400" cy="1866507"/>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5486400" cy="1866507"/>
                    </a:xfrm>
                    <a:prstGeom prst="rect"/>
                  </pic:spPr>
                </pic:pic>
              </a:graphicData>
            </a:graphic>
          </wp:inline>
        </w:drawing>
      </w:r>
    </w:p>
    <w:p>
      <w:pPr>
        <w:spacing w:after="200" w:before="0"/>
      </w:pPr>
      <w:r>
        <w:rPr>
          <w:b w:val="0"/>
          <w:i/>
          <w:color w:val="6E7B77"/>
          <w:sz w:val="17"/>
        </w:rPr>
        <w:t>Figure C-1 — The three experts’ fair-value ranges. Brass ticks are base cases; the gold band is the panel centre; the ink line is spot. The spread is the return-fade question.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440"/>
            <w:shd w:val="clear" w:color="auto" w:fill="EAF0EE"/>
          </w:tcPr>
          <w:p>
            <w:pPr>
              <w:spacing w:after="20"/>
            </w:pPr>
            <w:r>
              <w:rPr>
                <w:b/>
                <w:color w:val="1C3A36"/>
                <w:sz w:val="18"/>
              </w:rPr>
              <w:t>Expert</w:t>
            </w:r>
          </w:p>
        </w:tc>
        <w:tc>
          <w:tcPr>
            <w:tcW w:type="dxa" w:w="3168"/>
            <w:shd w:val="clear" w:color="auto" w:fill="EAF0EE"/>
          </w:tcPr>
          <w:p>
            <w:pPr>
              <w:spacing w:after="20"/>
            </w:pPr>
            <w:r>
              <w:rPr>
                <w:b/>
                <w:color w:val="1C3A36"/>
                <w:sz w:val="18"/>
              </w:rPr>
              <w:t>Method</w:t>
            </w:r>
          </w:p>
        </w:tc>
        <w:tc>
          <w:tcPr>
            <w:tcW w:type="dxa" w:w="3600"/>
            <w:shd w:val="clear" w:color="auto" w:fill="EAF0EE"/>
          </w:tcPr>
          <w:p>
            <w:pPr>
              <w:spacing w:after="20"/>
            </w:pPr>
            <w:r>
              <w:rPr>
                <w:b/>
                <w:color w:val="1C3A36"/>
                <w:sz w:val="18"/>
              </w:rPr>
              <w:t>Single swing assumption</w:t>
            </w:r>
          </w:p>
        </w:tc>
        <w:tc>
          <w:tcPr>
            <w:tcW w:type="dxa" w:w="1872"/>
            <w:shd w:val="clear" w:color="auto" w:fill="EAF0EE"/>
          </w:tcPr>
          <w:p>
            <w:pPr>
              <w:spacing w:after="20"/>
            </w:pPr>
            <w:r>
              <w:rPr>
                <w:b/>
                <w:color w:val="1C3A36"/>
                <w:sz w:val="18"/>
              </w:rPr>
              <w:t>Base fair value</w:t>
            </w:r>
          </w:p>
        </w:tc>
      </w:tr>
      <w:tr>
        <w:tc>
          <w:tcPr>
            <w:tcW w:type="dxa" w:w="1440"/>
          </w:tcPr>
          <w:p>
            <w:pPr>
              <w:spacing w:after="20"/>
            </w:pPr>
            <w:r>
              <w:rPr>
                <w:b/>
                <w:color w:val="1C3A36"/>
                <w:sz w:val="18"/>
              </w:rPr>
              <w:t>Expert 1</w:t>
            </w:r>
          </w:p>
        </w:tc>
        <w:tc>
          <w:tcPr>
            <w:tcW w:type="dxa" w:w="3168"/>
          </w:tcPr>
          <w:p>
            <w:pPr>
              <w:spacing w:after="20"/>
              <w:jc w:val="right"/>
            </w:pPr>
            <w:r>
              <w:rPr>
                <w:color w:val="1C3A36"/>
                <w:sz w:val="18"/>
              </w:rPr>
              <w:t>Cash returns / economic profit</w:t>
            </w:r>
          </w:p>
        </w:tc>
        <w:tc>
          <w:tcPr>
            <w:tcW w:type="dxa" w:w="3600"/>
          </w:tcPr>
          <w:p>
            <w:pPr>
              <w:spacing w:after="20"/>
              <w:jc w:val="right"/>
            </w:pPr>
            <w:r>
              <w:rPr>
                <w:color w:val="1C3A36"/>
                <w:sz w:val="18"/>
              </w:rPr>
              <w:t>The fade rate on excess returns (2.5%/yr)</w:t>
            </w:r>
          </w:p>
        </w:tc>
        <w:tc>
          <w:tcPr>
            <w:tcW w:type="dxa" w:w="1872"/>
          </w:tcPr>
          <w:p>
            <w:pPr>
              <w:spacing w:after="20"/>
              <w:jc w:val="right"/>
            </w:pPr>
            <w:r>
              <w:rPr>
                <w:color w:val="1C3A36"/>
                <w:sz w:val="18"/>
              </w:rPr>
              <w:t>SAR 37.3</w:t>
            </w:r>
          </w:p>
        </w:tc>
      </w:tr>
      <w:tr>
        <w:tc>
          <w:tcPr>
            <w:tcW w:type="dxa" w:w="1440"/>
          </w:tcPr>
          <w:p>
            <w:pPr>
              <w:spacing w:after="20"/>
            </w:pPr>
            <w:r>
              <w:rPr>
                <w:b/>
                <w:color w:val="1C3A36"/>
                <w:sz w:val="18"/>
              </w:rPr>
              <w:t>Expert 2</w:t>
            </w:r>
          </w:p>
        </w:tc>
        <w:tc>
          <w:tcPr>
            <w:tcW w:type="dxa" w:w="3168"/>
          </w:tcPr>
          <w:p>
            <w:pPr>
              <w:spacing w:after="20"/>
              <w:jc w:val="right"/>
            </w:pPr>
            <w:r>
              <w:rPr>
                <w:color w:val="1C3A36"/>
                <w:sz w:val="18"/>
              </w:rPr>
              <w:t>Normalized earnings power</w:t>
            </w:r>
          </w:p>
        </w:tc>
        <w:tc>
          <w:tcPr>
            <w:tcW w:type="dxa" w:w="3600"/>
          </w:tcPr>
          <w:p>
            <w:pPr>
              <w:spacing w:after="20"/>
              <w:jc w:val="right"/>
            </w:pPr>
            <w:r>
              <w:rPr>
                <w:color w:val="1C3A36"/>
                <w:sz w:val="18"/>
              </w:rPr>
              <w:t>The through-cycle multiple (15×)</w:t>
            </w:r>
          </w:p>
        </w:tc>
        <w:tc>
          <w:tcPr>
            <w:tcW w:type="dxa" w:w="1872"/>
          </w:tcPr>
          <w:p>
            <w:pPr>
              <w:spacing w:after="20"/>
              <w:jc w:val="right"/>
            </w:pPr>
            <w:r>
              <w:rPr>
                <w:color w:val="1C3A36"/>
                <w:sz w:val="18"/>
              </w:rPr>
              <w:t>SAR 43.3</w:t>
            </w:r>
          </w:p>
        </w:tc>
      </w:tr>
      <w:tr>
        <w:tc>
          <w:tcPr>
            <w:tcW w:type="dxa" w:w="1440"/>
          </w:tcPr>
          <w:p>
            <w:pPr>
              <w:spacing w:after="20"/>
            </w:pPr>
            <w:r>
              <w:rPr>
                <w:b/>
                <w:color w:val="1C3A36"/>
                <w:sz w:val="18"/>
              </w:rPr>
              <w:t>Expert 3</w:t>
            </w:r>
          </w:p>
        </w:tc>
        <w:tc>
          <w:tcPr>
            <w:tcW w:type="dxa" w:w="3168"/>
          </w:tcPr>
          <w:p>
            <w:pPr>
              <w:spacing w:after="20"/>
              <w:jc w:val="right"/>
            </w:pPr>
            <w:r>
              <w:rPr>
                <w:color w:val="1C3A36"/>
                <w:sz w:val="18"/>
              </w:rPr>
              <w:t>Macro-policy scenario tree</w:t>
            </w:r>
          </w:p>
        </w:tc>
        <w:tc>
          <w:tcPr>
            <w:tcW w:type="dxa" w:w="3600"/>
          </w:tcPr>
          <w:p>
            <w:pPr>
              <w:spacing w:after="20"/>
              <w:jc w:val="right"/>
            </w:pPr>
            <w:r>
              <w:rPr>
                <w:color w:val="1C3A36"/>
                <w:sz w:val="18"/>
              </w:rPr>
              <w:t>The scenario weights on the rate/payout path</w:t>
            </w:r>
          </w:p>
        </w:tc>
        <w:tc>
          <w:tcPr>
            <w:tcW w:type="dxa" w:w="1872"/>
          </w:tcPr>
          <w:p>
            <w:pPr>
              <w:spacing w:after="20"/>
              <w:jc w:val="right"/>
            </w:pPr>
            <w:r>
              <w:rPr>
                <w:color w:val="1C3A36"/>
                <w:sz w:val="18"/>
              </w:rPr>
              <w:t>SAR 45.9</w:t>
            </w:r>
          </w:p>
        </w:tc>
      </w:tr>
    </w:tbl>
    <w:p>
      <w:pPr>
        <w:spacing w:after="40"/>
      </w:pPr>
    </w:p>
    <w:p>
      <w:pPr>
        <w:spacing w:after="120" w:before="0"/>
      </w:pPr>
      <w:r>
        <w:rPr>
          <w:b w:val="0"/>
          <w:i w:val="0"/>
          <w:color w:val="1C3A36"/>
          <w:sz w:val="21"/>
        </w:rPr>
        <w:t>The spread — SAR 37 to 46, about 23% of the low — is narrow by this series’ standards, and it measures one thing cleanly: how much of stc’s current 15% return on capital survives the next decade of competition, technology churn and nation-scale capex. Expert 1 charges for the erosion explicitly and lands below spot; Expert 2 freezes today’s clean earnings at a market multiple and lands at spot; Expert 3 prices the policy floor and lands above it. The house lenses (§1.5) sit above the panel because the DCF credits the margin glide and capex fade the experts decline to pre-pay for — that gap, ~SAR 4, is the price of believing management’s own guidance. An investor’s position on this stock reduces to a position on that one axis: if the AI-infrastructure build earns telecom-plus returns, the house DCF is right and the stock is cheap; if it earns telecom-minus, Expert 1 is right and today’s price already flatters it.</w:t>
      </w:r>
    </w:p>
    <w:p>
      <w:pPr>
        <w:spacing w:after="200" w:before="0"/>
      </w:pPr>
      <w:r>
        <w:rPr>
          <w:b w:val="0"/>
          <w:i/>
          <w:color w:val="6E7B77"/>
          <w:sz w:val="17"/>
        </w:rPr>
        <w:t>Each expert’s point fair value (and bull/base/bear where applicable) is logged with the study date (9 Jul 2026) and spot (SAR 43.58) as an internal per-expert track record, kept separate from the core Calibration Ledger.</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after="120" w:before="280"/>
      </w:pPr>
      <w:r>
        <w:rPr>
          <w:b/>
          <w:i w:val="0"/>
          <w:color w:val="1C3A36"/>
          <w:sz w:val="30"/>
        </w:rPr>
        <w:t>Disclosure &amp; Disclaimer</w:t>
      </w:r>
    </w:p>
    <w:p>
      <w:pPr>
        <w:spacing w:after="100" w:before="0"/>
      </w:pPr>
      <w:r>
        <w:rPr>
          <w:b/>
          <w:i/>
          <w:color w:val="1C3A36"/>
          <w:sz w:val="19"/>
        </w:rPr>
        <w:t xml:space="preserve">Not investment advice. </w:t>
      </w:r>
      <w:r>
        <w:rPr>
          <w:b w:val="0"/>
          <w:i w:val="0"/>
          <w:color w:val="1C3A36"/>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pPr>
      <w:r>
        <w:rPr>
          <w:b/>
          <w:i/>
          <w:color w:val="1C3A36"/>
          <w:sz w:val="19"/>
        </w:rPr>
        <w:t xml:space="preserve">No licence; no advisory relationship. </w:t>
      </w:r>
      <w:r>
        <w:rPr>
          <w:b w:val="0"/>
          <w:i w:val="0"/>
          <w:color w:val="1C3A36"/>
          <w:sz w:val="19"/>
        </w:rPr>
        <w:t>The preparer is not registered or licensed with any securities or financial regulator in any jurisdiction — including the Saudi Capital Market Authority (CMA) — holds no brokerage or investment-advisory authorisation, and is not acting as your adviser or fiduciary. Nothing here is personalised to your circumstances.</w:t>
      </w:r>
    </w:p>
    <w:p>
      <w:pPr>
        <w:spacing w:after="100" w:before="0"/>
      </w:pPr>
      <w:r>
        <w:rPr>
          <w:b/>
          <w:i/>
          <w:color w:val="1C3A36"/>
          <w:sz w:val="19"/>
        </w:rPr>
        <w:t xml:space="preserve">Holdings disclosure. </w:t>
      </w:r>
      <w:r>
        <w:rPr>
          <w:b w:val="0"/>
          <w:i w:val="0"/>
          <w:color w:val="1C3A36"/>
          <w:sz w:val="19"/>
        </w:rPr>
        <w:t>The preparer may hold, and may in the future take or dispose of, a position in the security discussed in this report, and may transact at any time without notice. This is a potential conflict of interest you should weigh.</w:t>
      </w:r>
    </w:p>
    <w:p>
      <w:pPr>
        <w:spacing w:after="100" w:before="0"/>
      </w:pPr>
      <w:r>
        <w:rPr>
          <w:b/>
          <w:i/>
          <w:color w:val="1C3A36"/>
          <w:sz w:val="19"/>
        </w:rPr>
        <w:t xml:space="preserve">Sources &amp; accuracy. </w:t>
      </w:r>
      <w:r>
        <w:rPr>
          <w:b w:val="0"/>
          <w:i w:val="0"/>
          <w:color w:val="1C3A36"/>
          <w:sz w:val="19"/>
        </w:rPr>
        <w:t>Reported financial and operating figures are drawn from the company’s public disclosure (stc.com IR releases and interim financial statements) and other public sources believed reliable but not independently verified; they may contain errors or be superseded. Forward-looking inputs — the segment growth and margin paths, capex intensity, the derived risk-free rate and regressed beta, terminal growth, the multiples, the stake marks and the Monte-Carlo factor probabilities — are the preparer’s own judgments and are inherently uncertain. Some balance-sheet detail lines are grouped estimates tying to disclosed totals.</w:t>
      </w:r>
    </w:p>
    <w:p>
      <w:pPr>
        <w:spacing w:after="100" w:before="0"/>
      </w:pPr>
      <w:r>
        <w:rPr>
          <w:b/>
          <w:i/>
          <w:color w:val="1C3A36"/>
          <w:sz w:val="19"/>
        </w:rPr>
        <w:t xml:space="preserve">Forward-looking statements. </w:t>
      </w:r>
      <w:r>
        <w:rPr>
          <w:b w:val="0"/>
          <w:i w:val="0"/>
          <w:color w:val="1C3A36"/>
          <w:sz w:val="19"/>
        </w:rPr>
        <w:t>Any statements about the future are estimates subject to risks and uncertainties; actual results may differ materially. The Monte Carlo models price, not value, and encodes subjective probabilities for events that have not occurred.</w:t>
      </w:r>
    </w:p>
    <w:p>
      <w:pPr>
        <w:spacing w:after="100" w:before="0"/>
      </w:pPr>
      <w:r>
        <w:rPr>
          <w:b/>
          <w:i/>
          <w:color w:val="1C3A36"/>
          <w:sz w:val="19"/>
        </w:rPr>
        <w:t xml:space="preserve">No reliance; your responsibility. </w:t>
      </w:r>
      <w:r>
        <w:rPr>
          <w:b w:val="0"/>
          <w:i w:val="0"/>
          <w:color w:val="1C3A36"/>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pPr>
      <w:r>
        <w:rPr>
          <w:b/>
          <w:i/>
          <w:color w:val="1C3A36"/>
          <w:sz w:val="19"/>
        </w:rPr>
        <w:t xml:space="preserve">Currency &amp; figures. </w:t>
      </w:r>
      <w:r>
        <w:rPr>
          <w:b w:val="0"/>
          <w:i w:val="0"/>
          <w:color w:val="1C3A36"/>
          <w:sz w:val="19"/>
        </w:rPr>
        <w:t>Figures are in Saudi riyals (SAR), millions unless stated; bn denotes billion. The riyal is pegged to the US dollar at 3.75. Rounding may cause totals to differ slightly. Spot price and market data are as of 7 July 2026 and change continuously.</w:t>
      </w:r>
    </w:p>
    <w:p>
      <w:pPr>
        <w:spacing w:after="120" w:before="200"/>
        <w:jc w:val="center"/>
      </w:pPr>
      <w:r>
        <w:rPr>
          <w:b w:val="0"/>
          <w:i w:val="0"/>
          <w:color w:val="6E7B77"/>
          <w:sz w:val="17"/>
        </w:rPr>
        <w:t>TESTAHIL · Independent Valuation Study · Educational Analysis · Saudi Telecom Company (Tadawul: 7010) · edition 09-07-2026 · reporting currency SAR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