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5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14.41</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(190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an_gran_nitrogen_pct</w:t>
            </w:r>
          </w:p>
        </w:tc>
        <w:tc>
          <w:tcPr>
            <w:tcW w:type="dxa" w:w="1944"/>
          </w:tcPr>
          <w:p>
            <w:pPr>
              <w:spacing w:after="20"/>
              <w:jc w:val="left"/>
            </w:pPr>
            <w:r>
              <w:rPr>
                <w:color w:val="1C3A36"/>
                <w:sz w:val="14"/>
              </w:rPr>
              <w:t>0.335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 where the product is named by its grade (granulated ammonium nitrate at 33.5% nitrogen)</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fa_accum_dep_FY2425</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accumulated depreciation at 30 June 2025 — read by OCR off the rendered page; the accumulated-depreciation movement table reproduces it, and cost less accumulated reproduces the balance-sheet net book value of 13,587.193</w:t>
            </w:r>
          </w:p>
        </w:tc>
      </w:tr>
      <w:tr>
        <w:tc>
          <w:tcPr>
            <w:tcW w:type="dxa" w:w="2448"/>
          </w:tcPr>
          <w:p>
            <w:pPr>
              <w:spacing w:after="20"/>
              <w:jc w:val="left"/>
            </w:pPr>
            <w:r>
              <w:rPr>
                <w:color w:val="1C3A36"/>
                <w:sz w:val="14"/>
              </w:rPr>
              <w:t>fa_cost_gross_FY2425</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 cost column at 30 June 2025 — read by OCR off the rendered page; the cost movement table (opening balance plus additions less disposals) reproduces this figure exactly</w:t>
            </w:r>
          </w:p>
        </w:tc>
      </w:tr>
      <w:tr>
        <w:tc>
          <w:tcPr>
            <w:tcW w:type="dxa" w:w="2448"/>
          </w:tcPr>
          <w:p>
            <w:pPr>
              <w:spacing w:after="20"/>
              <w:jc w:val="left"/>
            </w:pPr>
            <w:r>
              <w:rPr>
                <w:color w:val="1C3A36"/>
                <w:sz w:val="14"/>
              </w:rPr>
              <w:t>fa_fully_dep_in_use_FY2425</w:t>
            </w:r>
          </w:p>
        </w:tc>
        <w:tc>
          <w:tcPr>
            <w:tcW w:type="dxa" w:w="1944"/>
          </w:tcPr>
          <w:p>
            <w:pPr>
              <w:spacing w:after="20"/>
              <w:jc w:val="left"/>
            </w:pPr>
            <w:r>
              <w:rPr>
                <w:color w:val="1C3A36"/>
                <w:sz w:val="14"/>
              </w:rPr>
              <w:t>220.4956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disclosure of assets fully depreciated and still in production — 1.3% of the depreciable base, which is what makes the gross-over-charge identity read close to a true weighted accounting life here rather than a longer economic cycle</w:t>
            </w:r>
          </w:p>
        </w:tc>
      </w:tr>
      <w:tr>
        <w:tc>
          <w:tcPr>
            <w:tcW w:type="dxa" w:w="2448"/>
          </w:tcPr>
          <w:p>
            <w:pPr>
              <w:spacing w:after="20"/>
              <w:jc w:val="left"/>
            </w:pPr>
            <w:r>
              <w:rPr>
                <w:color w:val="1C3A36"/>
                <w:sz w:val="14"/>
              </w:rPr>
              <w:t>fa_land_FY2425</w:t>
            </w:r>
          </w:p>
        </w:tc>
        <w:tc>
          <w:tcPr>
            <w:tcW w:type="dxa" w:w="1944"/>
          </w:tcPr>
          <w:p>
            <w:pPr>
              <w:spacing w:after="20"/>
              <w:jc w:val="left"/>
            </w:pPr>
            <w:r>
              <w:rPr>
                <w:color w:val="1C3A36"/>
                <w:sz w:val="14"/>
              </w:rPr>
              <w:t>1.6629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land, cross-checked against the total in note 4-6 — land is never depreciated and is removed before any life or age is derived</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14.41</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EGCH closing price on the Egyptian Exchange, 3 September 2026. The previous edition was struck on the 6 August close of 13.98</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2026-09-03</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taken from the house macro path and NOT typed here — the SAME figure terminal growth is set at, so the two cannot drift apart. (This sentence previously described the value as 5%, the central bank's Q4-2028 target, while the path supplies 7%: a 7% value carrying a 5% justification, which is exactly the kind of unfalsifiable typed rate this series does not permit. The value has always come from the path; only the sentence was wrong.)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erp_cds_superseded</w:t>
            </w:r>
          </w:p>
        </w:tc>
        <w:tc>
          <w:tcPr>
            <w:tcW w:type="dxa" w:w="1944"/>
          </w:tcPr>
          <w:p>
            <w:pPr>
              <w:spacing w:after="20"/>
              <w:jc w:val="left"/>
            </w:pPr>
            <w:r>
              <w:rPr>
                <w:color w:val="1C3A36"/>
                <w:sz w:val="14"/>
              </w:rPr>
              <w:t>0.0942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credit-default-swap equity risk premium this study carried BEFORE the correction of 9 August 2026, reconstructed at the time from a sovereign spread the source file does not carry. Registered as the historical fact it is so the correction note beside it is computed rather than typed.</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 NO DECREE, MINISTRY OR RATE DOCUMENT HAS BEEN LOCATED: this rests on press reporting (Mada Masr, Edge Consultancy) as this study's own sweep register states, not on an official instrument, and it is tiered L4 for that reason while the three policy inputs above cite their decisions by number</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sov_spread_cds_superseded</w:t>
            </w:r>
          </w:p>
        </w:tc>
        <w:tc>
          <w:tcPr>
            <w:tcW w:type="dxa" w:w="1944"/>
          </w:tcPr>
          <w:p>
            <w:pPr>
              <w:spacing w:after="20"/>
              <w:jc w:val="left"/>
            </w:pPr>
            <w:r>
              <w:rPr>
                <w:color w:val="1C3A36"/>
                <w:sz w:val="14"/>
              </w:rPr>
              <w:t>0.0355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sovereign credit-default-swap spread the superseded premium above was reconstructed from. It appears in no source file, which is why the premium built on it was corrected; it is registered here for the same reason as the premium.</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(65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26000, 26000, 26000, 26000, 26000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0.14, 0.105, 0.0825, 0.0725, 0.07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from the single Egyptian inflation path this series uses for every Egyptian company it values (as of 2026-09-02), mapped onto this company's 30 June fiscal year end: each fiscal year takes half of each of the two calendar years it spans, and beyond the path's last published year its long-run rate. That path is 2026 16.0% / 2027 12.0% / 2028 9.0% / 2029 7.5% / 2030 7.0%. No number here is chosen for this study: a company cannot be valued in an economy the study beside it does not recognise, so no valuation in this series sets an inflation rate of its own. Until 3 September 2026 this array read 10.0 / 7.0 / 6.0 / 5.0 / 5.0 and ended at 5% while the same study already took 7% as the long-run rate.</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0.0449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530, 530, 530, 530, 530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Held FLAT in nominal dollars at the opening level. No forecast of a traded commodity price is defensible, which is the convention this house applies to the same class of input elsewhere; the previous path fell 17% over five years on a construction nothing sourced.</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fa_avg_age_years</w:t>
            </w:r>
          </w:p>
        </w:tc>
        <w:tc>
          <w:tcPr>
            <w:tcW w:type="dxa" w:w="1944"/>
          </w:tcPr>
          <w:p>
            <w:pPr>
              <w:spacing w:after="20"/>
              <w:jc w:val="left"/>
            </w:pPr>
            <w:r>
              <w:rPr>
                <w:color w:val="1C3A36"/>
                <w:sz w:val="14"/>
              </w:rPr>
              <w:t>4.4544</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accumulated depreciation over the year's own charge. Under straight-line depreciation accumulated equals age times charge, so the ratio is the charge-weighted average age of the base. THE THREE CONDITIONS THAT BREAK THAT IDENTITY ARE CHECKED AND CLEAR HERE. There is no residual value: the policy note writes off cost over the useful life and mentions none. No useful life has been reassessed: the disclosed rates are unchanged from the prior year's identical table. And the base was not assembled by acquisition — it is one plant, built and extended by this company. The corroboration is that only EGP 220mn, 1.3% of the base, is fully depreciated and still in production, so almost nothing is past its accounting life and the gross-over-charge life below reads close to a true weighted life rather than a longer economic cycle. 4.45 years against the 11.04 that half of that life would assume: this plant was rebuilt recently and has another complex still under construction.</w:t>
            </w:r>
          </w:p>
        </w:tc>
      </w:tr>
      <w:tr>
        <w:tc>
          <w:tcPr>
            <w:tcW w:type="dxa" w:w="2448"/>
          </w:tcPr>
          <w:p>
            <w:pPr>
              <w:spacing w:after="20"/>
              <w:jc w:val="left"/>
            </w:pPr>
            <w:r>
              <w:rPr>
                <w:color w:val="1C3A36"/>
                <w:sz w:val="14"/>
              </w:rPr>
              <w:t>fa_life_implied_years</w:t>
            </w:r>
          </w:p>
        </w:tc>
        <w:tc>
          <w:tcPr>
            <w:tcW w:type="dxa" w:w="1944"/>
          </w:tcPr>
          <w:p>
            <w:pPr>
              <w:spacing w:after="20"/>
              <w:jc w:val="left"/>
            </w:pPr>
            <w:r>
              <w:rPr>
                <w:color w:val="1C3A36"/>
                <w:sz w:val="14"/>
              </w:rPr>
              <w:t>22.0702</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the depreciable gross cost — cost less land, which is never depreciated — over the year's own charge. It is the replacement cycle the accounts themselves run, and it sits inside the disclosed range: note 5-2 gives 3.95% on the urea and ammonia machinery (25.3 years), 9.5% on the factories (10.5), 6.5% on the workshops (15.4), 6% on the factory buildings (16.7), 2 to 5% on the residential city and the water and sewage pipes (20 to 50) and 4.75% on the intangible (21.1). A weighted life cannot be read off the note because it publishes no class balances, so the identity supplies one and the disclosed range is what checks it.</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from the house macro path: terminal inflation plus a STATED real growth of zero, so the real assumption is written down rather than inferred from the gap to the discount rate. It was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RETIRED — this series no longer averages its methods — and consumed by nothing. It is kept in the register so a reader of the 01-09-2026 edition can see what changed, and it is recorded here as retired rather than deleted because a number that was published once should stay traceable. THE CENTRAL IS THE CLASS PRIMARY -- the cash-flow lens, which on this company is two-sided -- and every other lens is a cross-check published beside it, never weighted into it. What follows is the description of the retired construction, kept verbatim: Weights of the four lenses in the weighted central the 01-09-2026 edition published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40000, 41000, 42000, 43000, 44000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house real-rate convention,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7,526, 8,429, 9,272, 10,106, 10,915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155000, 160000, 165000, 170000, 175000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4.00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