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Arabian Cement Company S.A.E. (EGX: ARCC)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What this study is built on</w:t>
      </w:r>
    </w:p>
    <w:p>
      <w:pPr>
        <w:spacing w:after="100" w:before="0"/>
      </w:pPr>
      <w:r>
        <w:rPr>
          <w:b w:val="0"/>
          <w:i w:val="0"/>
          <w:color w:val="1C3A36"/>
          <w:sz w:val="19"/>
        </w:rPr>
        <w:t>The audited consolidated financial statements. That is a change from the first edition of this work, and the change is worth stating at the top rather than buried.</w:t>
      </w:r>
    </w:p>
    <w:p>
      <w:pPr>
        <w:spacing w:after="100" w:before="0"/>
      </w:pPr>
      <w:r>
        <w:rPr>
          <w:b w:val="0"/>
          <w:i w:val="0"/>
          <w:color w:val="1C3A36"/>
          <w:sz w:val="19"/>
        </w:rPr>
        <w:t>The first edition was written without opening a source document: every outbound request was refused by the network policy in force, so every company figure reached the model as relayed in a web-search summary of reporting about the accounts — two steps from the audited print, not one. Four documents were subsequently supplied and this edition is rebuilt on them line by line:</w:t>
      </w:r>
    </w:p>
    <w:p>
      <w:pPr>
        <w:spacing w:after="100" w:before="0"/>
      </w:pPr>
      <w:r>
        <w:rPr>
          <w:b w:val="0"/>
          <w:i w:val="0"/>
          <w:color w:val="1C3A36"/>
          <w:sz w:val="19"/>
        </w:rPr>
        <w:t xml:space="preserve">   •  Consolidated financial statements for the year ended 31 December 2025, audited by Deloitte (Wafik, Ramy &amp; Partners), unqualified opinion signed in Cairo on 25 February 2026. 47 pages including 33 notes.</w:t>
      </w:r>
    </w:p>
    <w:p>
      <w:pPr>
        <w:spacing w:after="100" w:before="0"/>
      </w:pPr>
      <w:r>
        <w:rPr>
          <w:b w:val="0"/>
          <w:i w:val="0"/>
          <w:color w:val="1C3A36"/>
          <w:sz w:val="19"/>
        </w:rPr>
        <w:t xml:space="preserve">   •  Consolidated financial statements for the year ended 31 December 2024, same auditor, unqualified opinion signed 23 March 2025, carrying the FY2023 comparatives.</w:t>
      </w:r>
    </w:p>
    <w:p>
      <w:pPr>
        <w:spacing w:after="100" w:before="0"/>
      </w:pPr>
      <w:r>
        <w:rPr>
          <w:b w:val="0"/>
          <w:i w:val="0"/>
          <w:color w:val="1C3A36"/>
          <w:sz w:val="19"/>
        </w:rPr>
        <w:t xml:space="preserve">   •  Consolidated financial statements for the year ended 31 December 2023.</w:t>
      </w:r>
    </w:p>
    <w:p>
      <w:pPr>
        <w:spacing w:after="100" w:before="0"/>
      </w:pPr>
      <w:r>
        <w:rPr>
          <w:b w:val="0"/>
          <w:i w:val="0"/>
          <w:color w:val="1C3A36"/>
          <w:sz w:val="19"/>
        </w:rPr>
        <w:t xml:space="preserve">   •  Condensed consolidated interim financial statements for the three months ended 31 March 2026, limited review by the same auditor, concluded 25 May 2026.</w:t>
      </w:r>
    </w:p>
    <w:p>
      <w:pPr>
        <w:spacing w:after="100" w:before="0"/>
      </w:pPr>
      <w:r>
        <w:rPr>
          <w:b w:val="0"/>
          <w:i w:val="0"/>
          <w:color w:val="1C3A36"/>
          <w:sz w:val="19"/>
        </w:rPr>
        <w:t>Every figure in the input register below that carries a Company ring is now read from one of those four documents, with the note number given. Nothing historical is reconstructed. What remains estimated is named in section 3 and is short: two prices, a set of forecast paths, and the cost-of-capital parameters.</w:t>
      </w:r>
    </w:p>
    <w:p>
      <w:pPr>
        <w:spacing w:after="100" w:before="0"/>
      </w:pPr>
      <w:r>
        <w:rPr>
          <w:b w:val="0"/>
          <w:i w:val="0"/>
          <w:color w:val="1C3A36"/>
          <w:sz w:val="19"/>
        </w:rPr>
        <w:t>Four things the reconstructed edition got materially wrong, recorded because they show where reconstruction fails rather than to dwell on it: non-controlling interests were deducted at EGP 150mn against an audited EGP 158,005; the effective tax rate was inferred at 29.43% against a disclosed 23.82%; the cost of debt was assumed at 21.5% against a 91%-euro-denominated book contracted at about 7.5%; and kiln capacity was assumed at 3.6Mt against a disclosed 4.2Mt. Three things it got right and are now confirmed: the share count of 374,867,445, FY2025 operating income of EGP 4,595.82mn to the pound, and total liabilities of EGP 4,140.99mn — which it DERIVED as assets less equity after rejecting an aggregator print of EGP 2,894.13mn that would not close. That print turns out to be total CURRENT liabilities.</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
        <w:gridCol w:w="2448"/>
        <w:gridCol w:w="1325"/>
        <w:gridCol w:w="1066"/>
        <w:gridCol w:w="7171"/>
        <w:gridCol w:w="1210"/>
      </w:tblGrid>
      <w:tr>
        <w:tc>
          <w:tcPr>
            <w:tcW w:type="dxa" w:w="432"/>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171"/>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32"/>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77</w:t>
            </w:r>
          </w:p>
        </w:tc>
        <w:tc>
          <w:tcPr>
            <w:tcW w:type="dxa" w:w="1066"/>
          </w:tcPr>
          <w:p>
            <w:pPr>
              <w:spacing w:after="20"/>
            </w:pPr>
            <w:r>
              <w:rPr>
                <w:color w:val="1C3A36"/>
                <w:sz w:val="14"/>
              </w:rPr>
              <w:t>Market</w:t>
            </w:r>
          </w:p>
        </w:tc>
        <w:tc>
          <w:tcPr>
            <w:tcW w:type="dxa" w:w="7171"/>
          </w:tcPr>
          <w:p>
            <w:pPr>
              <w:spacing w:after="20"/>
            </w:pPr>
            <w:r>
              <w:rPr>
                <w:color w:val="1C3A36"/>
                <w:sz w:val="14"/>
              </w:rPr>
              <w:t>Closing price on the Egyptian Exchange, 3 September 2026. The previous edition was struck on the 6 August close of 59.00</w:t>
            </w:r>
          </w:p>
        </w:tc>
        <w:tc>
          <w:tcPr>
            <w:tcW w:type="dxa" w:w="1210"/>
          </w:tcPr>
          <w:p>
            <w:pPr>
              <w:spacing w:after="20"/>
            </w:pPr>
            <w:r>
              <w:rPr>
                <w:color w:val="1C3A36"/>
                <w:sz w:val="14"/>
              </w:rPr>
              <w:t>2026-09-03</w:t>
            </w:r>
          </w:p>
        </w:tc>
      </w:tr>
      <w:tr>
        <w:tc>
          <w:tcPr>
            <w:tcW w:type="dxa" w:w="432"/>
          </w:tcPr>
          <w:p>
            <w:pPr>
              <w:spacing w:after="20"/>
            </w:pPr>
            <w:r>
              <w:rPr>
                <w:color w:val="1C3A36"/>
                <w:sz w:val="14"/>
              </w:rPr>
              <w:t>2</w:t>
            </w:r>
          </w:p>
        </w:tc>
        <w:tc>
          <w:tcPr>
            <w:tcW w:type="dxa" w:w="2448"/>
          </w:tcPr>
          <w:p>
            <w:pPr>
              <w:spacing w:after="20"/>
            </w:pPr>
            <w:r>
              <w:rPr>
                <w:color w:val="1C3A36"/>
                <w:sz w:val="14"/>
              </w:rPr>
              <w:t>auc_altfuel_fy25</w:t>
            </w:r>
          </w:p>
        </w:tc>
        <w:tc>
          <w:tcPr>
            <w:tcW w:type="dxa" w:w="1325"/>
          </w:tcPr>
          <w:p>
            <w:pPr>
              <w:spacing w:after="20"/>
            </w:pPr>
            <w:r>
              <w:rPr>
                <w:color w:val="1C3A36"/>
                <w:sz w:val="14"/>
              </w:rPr>
              <w:t>240.2354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13, assets under construction: alternative-fuel system for production line 2</w:t>
            </w:r>
          </w:p>
        </w:tc>
        <w:tc>
          <w:tcPr>
            <w:tcW w:type="dxa" w:w="1210"/>
          </w:tcPr>
          <w:p>
            <w:pPr>
              <w:spacing w:after="20"/>
            </w:pPr>
            <w:r>
              <w:rPr>
                <w:color w:val="1C3A36"/>
                <w:sz w:val="14"/>
              </w:rPr>
              <w:t>2025-12-31</w:t>
            </w:r>
          </w:p>
        </w:tc>
      </w:tr>
      <w:tr>
        <w:tc>
          <w:tcPr>
            <w:tcW w:type="dxa" w:w="432"/>
          </w:tcPr>
          <w:p>
            <w:pPr>
              <w:spacing w:after="20"/>
            </w:pPr>
            <w:r>
              <w:rPr>
                <w:color w:val="1C3A36"/>
                <w:sz w:val="14"/>
              </w:rPr>
              <w:t>3</w:t>
            </w:r>
          </w:p>
        </w:tc>
        <w:tc>
          <w:tcPr>
            <w:tcW w:type="dxa" w:w="2448"/>
          </w:tcPr>
          <w:p>
            <w:pPr>
              <w:spacing w:after="20"/>
            </w:pPr>
            <w:r>
              <w:rPr>
                <w:color w:val="1C3A36"/>
                <w:sz w:val="14"/>
              </w:rPr>
              <w:t>auc_fy25</w:t>
            </w:r>
          </w:p>
        </w:tc>
        <w:tc>
          <w:tcPr>
            <w:tcW w:type="dxa" w:w="1325"/>
          </w:tcPr>
          <w:p>
            <w:pPr>
              <w:spacing w:after="20"/>
            </w:pPr>
            <w:r>
              <w:rPr>
                <w:color w:val="1C3A36"/>
                <w:sz w:val="14"/>
              </w:rPr>
              <w:t>391.5438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assets under construction, note 13</w:t>
            </w:r>
          </w:p>
        </w:tc>
        <w:tc>
          <w:tcPr>
            <w:tcW w:type="dxa" w:w="1210"/>
          </w:tcPr>
          <w:p>
            <w:pPr>
              <w:spacing w:after="20"/>
            </w:pPr>
            <w:r>
              <w:rPr>
                <w:color w:val="1C3A36"/>
                <w:sz w:val="14"/>
              </w:rPr>
              <w:t>2025-12-31</w:t>
            </w:r>
          </w:p>
        </w:tc>
      </w:tr>
      <w:tr>
        <w:tc>
          <w:tcPr>
            <w:tcW w:type="dxa" w:w="432"/>
          </w:tcPr>
          <w:p>
            <w:pPr>
              <w:spacing w:after="20"/>
            </w:pPr>
            <w:r>
              <w:rPr>
                <w:color w:val="1C3A36"/>
                <w:sz w:val="14"/>
              </w:rPr>
              <w:t>4</w:t>
            </w:r>
          </w:p>
        </w:tc>
        <w:tc>
          <w:tcPr>
            <w:tcW w:type="dxa" w:w="2448"/>
          </w:tcPr>
          <w:p>
            <w:pPr>
              <w:spacing w:after="20"/>
            </w:pPr>
            <w:r>
              <w:rPr>
                <w:color w:val="1C3A36"/>
                <w:sz w:val="14"/>
              </w:rPr>
              <w:t>auc_h1_26</w:t>
            </w:r>
          </w:p>
        </w:tc>
        <w:tc>
          <w:tcPr>
            <w:tcW w:type="dxa" w:w="1325"/>
          </w:tcPr>
          <w:p>
            <w:pPr>
              <w:spacing w:after="20"/>
            </w:pPr>
            <w:r>
              <w:rPr>
                <w:color w:val="1C3A36"/>
                <w:sz w:val="14"/>
              </w:rPr>
              <w:t>897.0842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assets under construction at 30 June 2026, against 391.543753 at 31 December 2025</w:t>
            </w:r>
          </w:p>
        </w:tc>
        <w:tc>
          <w:tcPr>
            <w:tcW w:type="dxa" w:w="1210"/>
          </w:tcPr>
          <w:p>
            <w:pPr>
              <w:spacing w:after="20"/>
            </w:pPr>
            <w:r>
              <w:rPr>
                <w:color w:val="1C3A36"/>
                <w:sz w:val="14"/>
              </w:rPr>
              <w:t>2026-06-30</w:t>
            </w:r>
          </w:p>
        </w:tc>
      </w:tr>
      <w:tr>
        <w:tc>
          <w:tcPr>
            <w:tcW w:type="dxa" w:w="432"/>
          </w:tcPr>
          <w:p>
            <w:pPr>
              <w:spacing w:after="20"/>
            </w:pPr>
            <w:r>
              <w:rPr>
                <w:color w:val="1C3A36"/>
                <w:sz w:val="14"/>
              </w:rPr>
              <w:t>5</w:t>
            </w:r>
          </w:p>
        </w:tc>
        <w:tc>
          <w:tcPr>
            <w:tcW w:type="dxa" w:w="2448"/>
          </w:tcPr>
          <w:p>
            <w:pPr>
              <w:spacing w:after="20"/>
            </w:pPr>
            <w:r>
              <w:rPr>
                <w:color w:val="1C3A36"/>
                <w:sz w:val="14"/>
              </w:rPr>
              <w:t>auc_silo_fy25</w:t>
            </w:r>
          </w:p>
        </w:tc>
        <w:tc>
          <w:tcPr>
            <w:tcW w:type="dxa" w:w="1325"/>
          </w:tcPr>
          <w:p>
            <w:pPr>
              <w:spacing w:after="20"/>
            </w:pPr>
            <w:r>
              <w:rPr>
                <w:color w:val="1C3A36"/>
                <w:sz w:val="14"/>
              </w:rPr>
              <w:t>146.2385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13, assets under construction: new steel cement silo for production line 1</w:t>
            </w:r>
          </w:p>
        </w:tc>
        <w:tc>
          <w:tcPr>
            <w:tcW w:type="dxa" w:w="1210"/>
          </w:tcPr>
          <w:p>
            <w:pPr>
              <w:spacing w:after="20"/>
            </w:pPr>
            <w:r>
              <w:rPr>
                <w:color w:val="1C3A36"/>
                <w:sz w:val="14"/>
              </w:rPr>
              <w:t>2025-12-31</w:t>
            </w:r>
          </w:p>
        </w:tc>
      </w:tr>
      <w:tr>
        <w:tc>
          <w:tcPr>
            <w:tcW w:type="dxa" w:w="432"/>
          </w:tcPr>
          <w:p>
            <w:pPr>
              <w:spacing w:after="20"/>
            </w:pPr>
            <w:r>
              <w:rPr>
                <w:color w:val="1C3A36"/>
                <w:sz w:val="14"/>
              </w:rPr>
              <w:t>6</w:t>
            </w:r>
          </w:p>
        </w:tc>
        <w:tc>
          <w:tcPr>
            <w:tcW w:type="dxa" w:w="2448"/>
          </w:tcPr>
          <w:p>
            <w:pPr>
              <w:spacing w:after="20"/>
            </w:pPr>
            <w:r>
              <w:rPr>
                <w:color w:val="1C3A36"/>
                <w:sz w:val="14"/>
              </w:rPr>
              <w:t>cap_cement_mt</w:t>
            </w:r>
          </w:p>
        </w:tc>
        <w:tc>
          <w:tcPr>
            <w:tcW w:type="dxa" w:w="1325"/>
          </w:tcPr>
          <w:p>
            <w:pPr>
              <w:spacing w:after="20"/>
            </w:pPr>
            <w:r>
              <w:rPr>
                <w:color w:val="1C3A36"/>
                <w:sz w:val="14"/>
              </w:rPr>
              <w:t>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'...that can produce 5 million tons per annum of cement'</w:t>
            </w:r>
          </w:p>
        </w:tc>
        <w:tc>
          <w:tcPr>
            <w:tcW w:type="dxa" w:w="1210"/>
          </w:tcPr>
          <w:p>
            <w:pPr>
              <w:spacing w:after="20"/>
            </w:pPr>
            <w:r>
              <w:rPr>
                <w:color w:val="1C3A36"/>
                <w:sz w:val="14"/>
              </w:rPr>
              <w:t>2025-12-31</w:t>
            </w:r>
          </w:p>
        </w:tc>
      </w:tr>
      <w:tr>
        <w:tc>
          <w:tcPr>
            <w:tcW w:type="dxa" w:w="432"/>
          </w:tcPr>
          <w:p>
            <w:pPr>
              <w:spacing w:after="20"/>
            </w:pPr>
            <w:r>
              <w:rPr>
                <w:color w:val="1C3A36"/>
                <w:sz w:val="14"/>
              </w:rPr>
              <w:t>7</w:t>
            </w:r>
          </w:p>
        </w:tc>
        <w:tc>
          <w:tcPr>
            <w:tcW w:type="dxa" w:w="2448"/>
          </w:tcPr>
          <w:p>
            <w:pPr>
              <w:spacing w:after="20"/>
            </w:pPr>
            <w:r>
              <w:rPr>
                <w:color w:val="1C3A36"/>
                <w:sz w:val="14"/>
              </w:rPr>
              <w:t>cap_clinker_mt</w:t>
            </w:r>
          </w:p>
        </w:tc>
        <w:tc>
          <w:tcPr>
            <w:tcW w:type="dxa" w:w="1325"/>
          </w:tcPr>
          <w:p>
            <w:pPr>
              <w:spacing w:after="20"/>
            </w:pPr>
            <w:r>
              <w:rPr>
                <w:color w:val="1C3A36"/>
                <w:sz w:val="14"/>
              </w:rPr>
              <w:t>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'a cement producer with a clinker capacity of 4.2 million tons per annum'</w:t>
            </w:r>
          </w:p>
        </w:tc>
        <w:tc>
          <w:tcPr>
            <w:tcW w:type="dxa" w:w="1210"/>
          </w:tcPr>
          <w:p>
            <w:pPr>
              <w:spacing w:after="20"/>
            </w:pPr>
            <w:r>
              <w:rPr>
                <w:color w:val="1C3A36"/>
                <w:sz w:val="14"/>
              </w:rPr>
              <w:t>2025-12-31</w:t>
            </w:r>
          </w:p>
        </w:tc>
      </w:tr>
      <w:tr>
        <w:tc>
          <w:tcPr>
            <w:tcW w:type="dxa" w:w="432"/>
          </w:tcPr>
          <w:p>
            <w:pPr>
              <w:spacing w:after="20"/>
            </w:pPr>
            <w:r>
              <w:rPr>
                <w:color w:val="1C3A36"/>
                <w:sz w:val="14"/>
              </w:rPr>
              <w:t>8</w:t>
            </w:r>
          </w:p>
        </w:tc>
        <w:tc>
          <w:tcPr>
            <w:tcW w:type="dxa" w:w="2448"/>
          </w:tcPr>
          <w:p>
            <w:pPr>
              <w:spacing w:after="20"/>
            </w:pPr>
            <w:r>
              <w:rPr>
                <w:color w:val="1C3A36"/>
                <w:sz w:val="14"/>
              </w:rPr>
              <w:t>capex_fy23</w:t>
            </w:r>
          </w:p>
        </w:tc>
        <w:tc>
          <w:tcPr>
            <w:tcW w:type="dxa" w:w="1325"/>
          </w:tcPr>
          <w:p>
            <w:pPr>
              <w:spacing w:after="20"/>
            </w:pPr>
            <w:r>
              <w:rPr>
                <w:color w:val="1C3A36"/>
                <w:sz w:val="14"/>
              </w:rPr>
              <w:t>58.544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comparative: purchases of property 56.808 plus assets under construction 1.736</w:t>
            </w:r>
          </w:p>
        </w:tc>
        <w:tc>
          <w:tcPr>
            <w:tcW w:type="dxa" w:w="1210"/>
          </w:tcPr>
          <w:p>
            <w:pPr>
              <w:spacing w:after="20"/>
            </w:pPr>
            <w:r>
              <w:rPr>
                <w:color w:val="1C3A36"/>
                <w:sz w:val="14"/>
              </w:rPr>
              <w:t>2023-12-31</w:t>
            </w:r>
          </w:p>
        </w:tc>
      </w:tr>
      <w:tr>
        <w:tc>
          <w:tcPr>
            <w:tcW w:type="dxa" w:w="432"/>
          </w:tcPr>
          <w:p>
            <w:pPr>
              <w:spacing w:after="20"/>
            </w:pPr>
            <w:r>
              <w:rPr>
                <w:color w:val="1C3A36"/>
                <w:sz w:val="14"/>
              </w:rPr>
              <w:t>9</w:t>
            </w:r>
          </w:p>
        </w:tc>
        <w:tc>
          <w:tcPr>
            <w:tcW w:type="dxa" w:w="2448"/>
          </w:tcPr>
          <w:p>
            <w:pPr>
              <w:spacing w:after="20"/>
            </w:pPr>
            <w:r>
              <w:rPr>
                <w:color w:val="1C3A36"/>
                <w:sz w:val="14"/>
              </w:rPr>
              <w:t>capex_fy24</w:t>
            </w:r>
          </w:p>
        </w:tc>
        <w:tc>
          <w:tcPr>
            <w:tcW w:type="dxa" w:w="1325"/>
          </w:tcPr>
          <w:p>
            <w:pPr>
              <w:spacing w:after="20"/>
            </w:pPr>
            <w:r>
              <w:rPr>
                <w:color w:val="1C3A36"/>
                <w:sz w:val="14"/>
              </w:rPr>
              <w:t>912.0154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comparative: 206.543 plus 705.473</w:t>
            </w:r>
          </w:p>
        </w:tc>
        <w:tc>
          <w:tcPr>
            <w:tcW w:type="dxa" w:w="1210"/>
          </w:tcPr>
          <w:p>
            <w:pPr>
              <w:spacing w:after="20"/>
            </w:pPr>
            <w:r>
              <w:rPr>
                <w:color w:val="1C3A36"/>
                <w:sz w:val="14"/>
              </w:rPr>
              <w:t>2024-12-31</w:t>
            </w:r>
          </w:p>
        </w:tc>
      </w:tr>
      <w:tr>
        <w:tc>
          <w:tcPr>
            <w:tcW w:type="dxa" w:w="432"/>
          </w:tcPr>
          <w:p>
            <w:pPr>
              <w:spacing w:after="20"/>
            </w:pPr>
            <w:r>
              <w:rPr>
                <w:color w:val="1C3A36"/>
                <w:sz w:val="14"/>
              </w:rPr>
              <w:t>10</w:t>
            </w:r>
          </w:p>
        </w:tc>
        <w:tc>
          <w:tcPr>
            <w:tcW w:type="dxa" w:w="2448"/>
          </w:tcPr>
          <w:p>
            <w:pPr>
              <w:spacing w:after="20"/>
            </w:pPr>
            <w:r>
              <w:rPr>
                <w:color w:val="1C3A36"/>
                <w:sz w:val="14"/>
              </w:rPr>
              <w:t>capex_fy25</w:t>
            </w:r>
          </w:p>
        </w:tc>
        <w:tc>
          <w:tcPr>
            <w:tcW w:type="dxa" w:w="1325"/>
          </w:tcPr>
          <w:p>
            <w:pPr>
              <w:spacing w:after="20"/>
            </w:pPr>
            <w:r>
              <w:rPr>
                <w:color w:val="1C3A36"/>
                <w:sz w:val="14"/>
              </w:rPr>
              <w:t>796.4708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purchases of property 329.893 plus assets under construction 466.578</w:t>
            </w:r>
          </w:p>
        </w:tc>
        <w:tc>
          <w:tcPr>
            <w:tcW w:type="dxa" w:w="1210"/>
          </w:tcPr>
          <w:p>
            <w:pPr>
              <w:spacing w:after="20"/>
            </w:pPr>
            <w:r>
              <w:rPr>
                <w:color w:val="1C3A36"/>
                <w:sz w:val="14"/>
              </w:rPr>
              <w:t>2025-12-31</w:t>
            </w:r>
          </w:p>
        </w:tc>
      </w:tr>
      <w:tr>
        <w:tc>
          <w:tcPr>
            <w:tcW w:type="dxa" w:w="432"/>
          </w:tcPr>
          <w:p>
            <w:pPr>
              <w:spacing w:after="20"/>
            </w:pPr>
            <w:r>
              <w:rPr>
                <w:color w:val="1C3A36"/>
                <w:sz w:val="14"/>
              </w:rPr>
              <w:t>11</w:t>
            </w:r>
          </w:p>
        </w:tc>
        <w:tc>
          <w:tcPr>
            <w:tcW w:type="dxa" w:w="2448"/>
          </w:tcPr>
          <w:p>
            <w:pPr>
              <w:spacing w:after="20"/>
            </w:pPr>
            <w:r>
              <w:rPr>
                <w:color w:val="1C3A36"/>
                <w:sz w:val="14"/>
              </w:rPr>
              <w:t>capex_h1_26</w:t>
            </w:r>
          </w:p>
        </w:tc>
        <w:tc>
          <w:tcPr>
            <w:tcW w:type="dxa" w:w="1325"/>
          </w:tcPr>
          <w:p>
            <w:pPr>
              <w:spacing w:after="20"/>
            </w:pPr>
            <w:r>
              <w:rPr>
                <w:color w:val="1C3A36"/>
                <w:sz w:val="14"/>
              </w:rPr>
              <w:t>608.4339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payments for purchase of property, plant and equipment 102.893492 plus payments for assets under construction 505.540414</w:t>
            </w:r>
          </w:p>
        </w:tc>
        <w:tc>
          <w:tcPr>
            <w:tcW w:type="dxa" w:w="1210"/>
          </w:tcPr>
          <w:p>
            <w:pPr>
              <w:spacing w:after="20"/>
            </w:pPr>
            <w:r>
              <w:rPr>
                <w:color w:val="1C3A36"/>
                <w:sz w:val="14"/>
              </w:rPr>
              <w:t>2026-06-30</w:t>
            </w:r>
          </w:p>
        </w:tc>
      </w:tr>
      <w:tr>
        <w:tc>
          <w:tcPr>
            <w:tcW w:type="dxa" w:w="432"/>
          </w:tcPr>
          <w:p>
            <w:pPr>
              <w:spacing w:after="20"/>
            </w:pPr>
            <w:r>
              <w:rPr>
                <w:color w:val="1C3A36"/>
                <w:sz w:val="14"/>
              </w:rPr>
              <w:t>12</w:t>
            </w:r>
          </w:p>
        </w:tc>
        <w:tc>
          <w:tcPr>
            <w:tcW w:type="dxa" w:w="2448"/>
          </w:tcPr>
          <w:p>
            <w:pPr>
              <w:spacing w:after="20"/>
            </w:pPr>
            <w:r>
              <w:rPr>
                <w:color w:val="1C3A36"/>
                <w:sz w:val="14"/>
              </w:rPr>
              <w:t>capex_usd_t_cap</w:t>
            </w:r>
          </w:p>
        </w:tc>
        <w:tc>
          <w:tcPr>
            <w:tcW w:type="dxa" w:w="1325"/>
          </w:tcPr>
          <w:p>
            <w:pPr>
              <w:spacing w:after="20"/>
            </w:pPr>
            <w:r>
              <w:rPr>
                <w:color w:val="1C3A36"/>
                <w:sz w:val="14"/>
              </w:rPr>
              <w:t>3.23</w:t>
            </w:r>
          </w:p>
        </w:tc>
        <w:tc>
          <w:tcPr>
            <w:tcW w:type="dxa" w:w="1066"/>
          </w:tcPr>
          <w:p>
            <w:pPr>
              <w:spacing w:after="20"/>
            </w:pPr>
            <w:r>
              <w:rPr>
                <w:color w:val="1C3A36"/>
                <w:sz w:val="14"/>
              </w:rPr>
              <w:t>Company</w:t>
            </w:r>
          </w:p>
        </w:tc>
        <w:tc>
          <w:tcPr>
            <w:tcW w:type="dxa" w:w="7171"/>
          </w:tcPr>
          <w:p>
            <w:pPr>
              <w:spacing w:after="20"/>
            </w:pPr>
            <w:r>
              <w:rPr>
                <w:color w:val="1C3A36"/>
                <w:sz w:val="14"/>
              </w:rPr>
              <w:t>Maintenance capital expenditure in US dollars per tonne of installed capacity, SET AT THE MOST RECENT FULL YEAR'S TOTAL CAPITAL SPENDING PER TONNE — EGP 796.471mn on 5.0Mt at USD/EGP 49.26. REVISION 4 CORRECTS THE REASONING BEHIND THIS INPUT, WHICH WAS BACKWARDS. Revision 3 observed that FY2024 (USD 3.70/t) and FY2025 (USD 3.23/t) 'both carry the alternative-fuel and silo programmes' and then set maintenance at USD 4.00 — the MIDDLE of a band it had just said was inflated by growth spending, and above both observed years. If both observations INCLUDE growth capital, they are an UPPER BOUND on maintenance, so the maintenance level belongs at or below them, not above. The H1-2026 cash-flow statement settles the direction: it splits the spend into payments for property, plant and equipment of EGP 102.893mn and payments for ASSETS UNDER CONSTRUCTION of EGP 505.540mn, so 83% of six months' capital spending is the growth programme and the sustaining line is running near USD 0.8/t annualised. That is a deferral rather than a sustainable rate, so the input is NOT cut to it; it is set at the most recent full year's TOTAL, which remains an upper bound on maintenance and is still above the industry sustaining norm of about USD 3/t. Worth EGP 1.77 a share against revision 3's figure, and the whole range is published as a sensitivity</w:t>
            </w:r>
          </w:p>
        </w:tc>
        <w:tc>
          <w:tcPr>
            <w:tcW w:type="dxa" w:w="1210"/>
          </w:tcPr>
          <w:p>
            <w:pPr>
              <w:spacing w:after="20"/>
            </w:pPr>
            <w:r>
              <w:rPr>
                <w:color w:val="1C3A36"/>
                <w:sz w:val="14"/>
              </w:rPr>
              <w:t>2025-12-31</w:t>
            </w:r>
          </w:p>
        </w:tc>
      </w:tr>
      <w:tr>
        <w:tc>
          <w:tcPr>
            <w:tcW w:type="dxa" w:w="432"/>
          </w:tcPr>
          <w:p>
            <w:pPr>
              <w:spacing w:after="20"/>
            </w:pPr>
            <w:r>
              <w:rPr>
                <w:color w:val="1C3A36"/>
                <w:sz w:val="14"/>
              </w:rPr>
              <w:t>13</w:t>
            </w:r>
          </w:p>
        </w:tc>
        <w:tc>
          <w:tcPr>
            <w:tcW w:type="dxa" w:w="2448"/>
          </w:tcPr>
          <w:p>
            <w:pPr>
              <w:spacing w:after="20"/>
            </w:pPr>
            <w:r>
              <w:rPr>
                <w:color w:val="1C3A36"/>
                <w:sz w:val="14"/>
              </w:rPr>
              <w:t>capital_h1_26</w:t>
            </w:r>
          </w:p>
        </w:tc>
        <w:tc>
          <w:tcPr>
            <w:tcW w:type="dxa" w:w="1325"/>
          </w:tcPr>
          <w:p>
            <w:pPr>
              <w:spacing w:after="20"/>
            </w:pPr>
            <w:r>
              <w:rPr>
                <w:color w:val="1C3A36"/>
                <w:sz w:val="14"/>
              </w:rPr>
              <w:t>749.7349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issued and paid-up capital at 30 June 2026, against 757.479400 at 31 December 2025, the treasury shares having been CANCELLED. At the EGP 2 par value this is 374,867,445 shares — exactly the count this study already used (issued less treasury), so the cancellation confirms the share count rather than changing it</w:t>
            </w:r>
          </w:p>
        </w:tc>
        <w:tc>
          <w:tcPr>
            <w:tcW w:type="dxa" w:w="1210"/>
          </w:tcPr>
          <w:p>
            <w:pPr>
              <w:spacing w:after="20"/>
            </w:pPr>
            <w:r>
              <w:rPr>
                <w:color w:val="1C3A36"/>
                <w:sz w:val="14"/>
              </w:rPr>
              <w:t>2026-06-30</w:t>
            </w:r>
          </w:p>
        </w:tc>
      </w:tr>
      <w:tr>
        <w:tc>
          <w:tcPr>
            <w:tcW w:type="dxa" w:w="432"/>
          </w:tcPr>
          <w:p>
            <w:pPr>
              <w:spacing w:after="20"/>
            </w:pPr>
            <w:r>
              <w:rPr>
                <w:color w:val="1C3A36"/>
                <w:sz w:val="14"/>
              </w:rPr>
              <w:t>14</w:t>
            </w:r>
          </w:p>
        </w:tc>
        <w:tc>
          <w:tcPr>
            <w:tcW w:type="dxa" w:w="2448"/>
          </w:tcPr>
          <w:p>
            <w:pPr>
              <w:spacing w:after="20"/>
            </w:pPr>
            <w:r>
              <w:rPr>
                <w:color w:val="1C3A36"/>
                <w:sz w:val="14"/>
              </w:rPr>
              <w:t>cash_fy23</w:t>
            </w:r>
          </w:p>
        </w:tc>
        <w:tc>
          <w:tcPr>
            <w:tcW w:type="dxa" w:w="1325"/>
          </w:tcPr>
          <w:p>
            <w:pPr>
              <w:spacing w:after="20"/>
            </w:pPr>
            <w:r>
              <w:rPr>
                <w:color w:val="1C3A36"/>
                <w:sz w:val="14"/>
              </w:rPr>
              <w:t>561.0997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and bank balances, comparative</w:t>
            </w:r>
          </w:p>
        </w:tc>
        <w:tc>
          <w:tcPr>
            <w:tcW w:type="dxa" w:w="1210"/>
          </w:tcPr>
          <w:p>
            <w:pPr>
              <w:spacing w:after="20"/>
            </w:pPr>
            <w:r>
              <w:rPr>
                <w:color w:val="1C3A36"/>
                <w:sz w:val="14"/>
              </w:rPr>
              <w:t>2023-12-31</w:t>
            </w:r>
          </w:p>
        </w:tc>
      </w:tr>
      <w:tr>
        <w:tc>
          <w:tcPr>
            <w:tcW w:type="dxa" w:w="432"/>
          </w:tcPr>
          <w:p>
            <w:pPr>
              <w:spacing w:after="20"/>
            </w:pPr>
            <w:r>
              <w:rPr>
                <w:color w:val="1C3A36"/>
                <w:sz w:val="14"/>
              </w:rPr>
              <w:t>15</w:t>
            </w:r>
          </w:p>
        </w:tc>
        <w:tc>
          <w:tcPr>
            <w:tcW w:type="dxa" w:w="2448"/>
          </w:tcPr>
          <w:p>
            <w:pPr>
              <w:spacing w:after="20"/>
            </w:pPr>
            <w:r>
              <w:rPr>
                <w:color w:val="1C3A36"/>
                <w:sz w:val="14"/>
              </w:rPr>
              <w:t>cash_fy24</w:t>
            </w:r>
          </w:p>
        </w:tc>
        <w:tc>
          <w:tcPr>
            <w:tcW w:type="dxa" w:w="1325"/>
          </w:tcPr>
          <w:p>
            <w:pPr>
              <w:spacing w:after="20"/>
            </w:pPr>
            <w:r>
              <w:rPr>
                <w:color w:val="1C3A36"/>
                <w:sz w:val="14"/>
              </w:rPr>
              <w:t>1,687.0629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16</w:t>
            </w:r>
          </w:p>
        </w:tc>
        <w:tc>
          <w:tcPr>
            <w:tcW w:type="dxa" w:w="2448"/>
          </w:tcPr>
          <w:p>
            <w:pPr>
              <w:spacing w:after="20"/>
            </w:pPr>
            <w:r>
              <w:rPr>
                <w:color w:val="1C3A36"/>
                <w:sz w:val="14"/>
              </w:rPr>
              <w:t>cash_fy25</w:t>
            </w:r>
          </w:p>
        </w:tc>
        <w:tc>
          <w:tcPr>
            <w:tcW w:type="dxa" w:w="1325"/>
          </w:tcPr>
          <w:p>
            <w:pPr>
              <w:spacing w:after="20"/>
            </w:pPr>
            <w:r>
              <w:rPr>
                <w:color w:val="1C3A36"/>
                <w:sz w:val="14"/>
              </w:rPr>
              <w:t>3,459.3912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note 19: local-currency current accounts 1,839.630, foreign-currency current accounts 1,599.702, deposits 8.733, cash in hand 11.325</w:t>
            </w:r>
          </w:p>
        </w:tc>
        <w:tc>
          <w:tcPr>
            <w:tcW w:type="dxa" w:w="1210"/>
          </w:tcPr>
          <w:p>
            <w:pPr>
              <w:spacing w:after="20"/>
            </w:pPr>
            <w:r>
              <w:rPr>
                <w:color w:val="1C3A36"/>
                <w:sz w:val="14"/>
              </w:rPr>
              <w:t>2025-12-31</w:t>
            </w:r>
          </w:p>
        </w:tc>
      </w:tr>
      <w:tr>
        <w:tc>
          <w:tcPr>
            <w:tcW w:type="dxa" w:w="432"/>
          </w:tcPr>
          <w:p>
            <w:pPr>
              <w:spacing w:after="20"/>
            </w:pPr>
            <w:r>
              <w:rPr>
                <w:color w:val="1C3A36"/>
                <w:sz w:val="14"/>
              </w:rPr>
              <w:t>17</w:t>
            </w:r>
          </w:p>
        </w:tc>
        <w:tc>
          <w:tcPr>
            <w:tcW w:type="dxa" w:w="2448"/>
          </w:tcPr>
          <w:p>
            <w:pPr>
              <w:spacing w:after="20"/>
            </w:pPr>
            <w:r>
              <w:rPr>
                <w:color w:val="1C3A36"/>
                <w:sz w:val="14"/>
              </w:rPr>
              <w:t>cash_h1_26</w:t>
            </w:r>
          </w:p>
        </w:tc>
        <w:tc>
          <w:tcPr>
            <w:tcW w:type="dxa" w:w="1325"/>
          </w:tcPr>
          <w:p>
            <w:pPr>
              <w:spacing w:after="20"/>
            </w:pPr>
            <w:r>
              <w:rPr>
                <w:color w:val="1C3A36"/>
                <w:sz w:val="14"/>
              </w:rPr>
              <w:t>1,970.5011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and bank balances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18</w:t>
            </w:r>
          </w:p>
        </w:tc>
        <w:tc>
          <w:tcPr>
            <w:tcW w:type="dxa" w:w="2448"/>
          </w:tcPr>
          <w:p>
            <w:pPr>
              <w:spacing w:after="20"/>
            </w:pPr>
            <w:r>
              <w:rPr>
                <w:color w:val="1C3A36"/>
                <w:sz w:val="14"/>
              </w:rPr>
              <w:t>cash_q1_26</w:t>
            </w:r>
          </w:p>
        </w:tc>
        <w:tc>
          <w:tcPr>
            <w:tcW w:type="dxa" w:w="1325"/>
          </w:tcPr>
          <w:p>
            <w:pPr>
              <w:spacing w:after="20"/>
            </w:pPr>
            <w:r>
              <w:rPr>
                <w:color w:val="1C3A36"/>
                <w:sz w:val="14"/>
              </w:rPr>
              <w:t>4,379.6274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cash and bank balances</w:t>
            </w:r>
          </w:p>
        </w:tc>
        <w:tc>
          <w:tcPr>
            <w:tcW w:type="dxa" w:w="1210"/>
          </w:tcPr>
          <w:p>
            <w:pPr>
              <w:spacing w:after="20"/>
            </w:pPr>
            <w:r>
              <w:rPr>
                <w:color w:val="1C3A36"/>
                <w:sz w:val="14"/>
              </w:rPr>
              <w:t>2026-03-31</w:t>
            </w:r>
          </w:p>
        </w:tc>
      </w:tr>
      <w:tr>
        <w:tc>
          <w:tcPr>
            <w:tcW w:type="dxa" w:w="432"/>
          </w:tcPr>
          <w:p>
            <w:pPr>
              <w:spacing w:after="20"/>
            </w:pPr>
            <w:r>
              <w:rPr>
                <w:color w:val="1C3A36"/>
                <w:sz w:val="14"/>
              </w:rPr>
              <w:t>19</w:t>
            </w:r>
          </w:p>
        </w:tc>
        <w:tc>
          <w:tcPr>
            <w:tcW w:type="dxa" w:w="2448"/>
          </w:tcPr>
          <w:p>
            <w:pPr>
              <w:spacing w:after="20"/>
            </w:pPr>
            <w:r>
              <w:rPr>
                <w:color w:val="1C3A36"/>
                <w:sz w:val="14"/>
              </w:rPr>
              <w:t>cem_export_share</w:t>
            </w:r>
          </w:p>
        </w:tc>
        <w:tc>
          <w:tcPr>
            <w:tcW w:type="dxa" w:w="1325"/>
          </w:tcPr>
          <w:p>
            <w:pPr>
              <w:spacing w:after="20"/>
            </w:pPr>
            <w:r>
              <w:rPr>
                <w:color w:val="1C3A36"/>
                <w:sz w:val="14"/>
              </w:rPr>
              <w:t>0.1772, 0.18, 0.18, 0.175, 0.17, 0.165</w:t>
            </w:r>
          </w:p>
        </w:tc>
        <w:tc>
          <w:tcPr>
            <w:tcW w:type="dxa" w:w="1066"/>
          </w:tcPr>
          <w:p>
            <w:pPr>
              <w:spacing w:after="20"/>
            </w:pPr>
            <w:r>
              <w:rPr>
                <w:color w:val="1C3A36"/>
                <w:sz w:val="14"/>
              </w:rPr>
              <w:t>Company</w:t>
            </w:r>
          </w:p>
        </w:tc>
        <w:tc>
          <w:tcPr>
            <w:tcW w:type="dxa" w:w="7171"/>
          </w:tcPr>
          <w:p>
            <w:pPr>
              <w:spacing w:after="20"/>
            </w:pPr>
            <w:r>
              <w:rPr>
                <w:color w:val="1C3A36"/>
                <w:sz w:val="14"/>
              </w:rPr>
              <w:t>Share of cement SOLD that is exported. FY2025 is DISCLOSED: FY2025 Investor Presentation, Arabian Cement Company S.A.E., investor relations library, page 5 (sales volumes and production indicators) gives cement exports of 629.5 kt against local sales of 2,923.6 kt, i.e. 17.72% of the 3,553.1 kt of cement sold. Well inside the 30% statutory cap; revision 3's single-product build put exports at 31.5% of volume and BREACHED the cap its own text called binding</w:t>
            </w:r>
          </w:p>
        </w:tc>
        <w:tc>
          <w:tcPr>
            <w:tcW w:type="dxa" w:w="1210"/>
          </w:tcPr>
          <w:p>
            <w:pPr>
              <w:spacing w:after="20"/>
            </w:pPr>
            <w:r>
              <w:rPr>
                <w:color w:val="1C3A36"/>
                <w:sz w:val="14"/>
              </w:rPr>
              <w:t>2026-03-01</w:t>
            </w:r>
          </w:p>
        </w:tc>
      </w:tr>
      <w:tr>
        <w:tc>
          <w:tcPr>
            <w:tcW w:type="dxa" w:w="432"/>
          </w:tcPr>
          <w:p>
            <w:pPr>
              <w:spacing w:after="20"/>
            </w:pPr>
            <w:r>
              <w:rPr>
                <w:color w:val="1C3A36"/>
                <w:sz w:val="14"/>
              </w:rPr>
              <w:t>20</w:t>
            </w:r>
          </w:p>
        </w:tc>
        <w:tc>
          <w:tcPr>
            <w:tcW w:type="dxa" w:w="2448"/>
          </w:tcPr>
          <w:p>
            <w:pPr>
              <w:spacing w:after="20"/>
            </w:pPr>
            <w:r>
              <w:rPr>
                <w:color w:val="1C3A36"/>
                <w:sz w:val="14"/>
              </w:rPr>
              <w:t>cem_stock_draw</w:t>
            </w:r>
          </w:p>
        </w:tc>
        <w:tc>
          <w:tcPr>
            <w:tcW w:type="dxa" w:w="1325"/>
          </w:tcPr>
          <w:p>
            <w:pPr>
              <w:spacing w:after="20"/>
            </w:pPr>
            <w:r>
              <w:rPr>
                <w:color w:val="1C3A36"/>
                <w:sz w:val="14"/>
              </w:rPr>
              <w:t>0.0725, 0, 0, 0, 0, 0</w:t>
            </w:r>
          </w:p>
        </w:tc>
        <w:tc>
          <w:tcPr>
            <w:tcW w:type="dxa" w:w="1066"/>
          </w:tcPr>
          <w:p>
            <w:pPr>
              <w:spacing w:after="20"/>
            </w:pPr>
            <w:r>
              <w:rPr>
                <w:color w:val="1C3A36"/>
                <w:sz w:val="14"/>
              </w:rPr>
              <w:t>Company</w:t>
            </w:r>
          </w:p>
        </w:tc>
        <w:tc>
          <w:tcPr>
            <w:tcW w:type="dxa" w:w="7171"/>
          </w:tcPr>
          <w:p>
            <w:pPr>
              <w:spacing w:after="20"/>
            </w:pPr>
            <w:r>
              <w:rPr>
                <w:color w:val="1C3A36"/>
                <w:sz w:val="14"/>
              </w:rPr>
              <w:t>Cement sold LESS cement produced, in Mt. FY2025 Investor Presentation, Arabian Cement Company S.A.E., investor relations library, page 5 (sales volumes and production indicators) discloses cement production of 3,480.6 kt against sales of 3,553.1 kt (2,923.6 local plus 629.5 exported), so FY2025 drew 72.5 kt out of finished-goods inventory. Revision 4 equated sales to production and understated despatches by 1.5%. Held at zero across the forecast: a stock draw is a one-off by construction and the inventory note shows only EGP 320.8mn of finished goods at the year end</w:t>
            </w:r>
          </w:p>
        </w:tc>
        <w:tc>
          <w:tcPr>
            <w:tcW w:type="dxa" w:w="1210"/>
          </w:tcPr>
          <w:p>
            <w:pPr>
              <w:spacing w:after="20"/>
            </w:pPr>
            <w:r>
              <w:rPr>
                <w:color w:val="1C3A36"/>
                <w:sz w:val="14"/>
              </w:rPr>
              <w:t>2026-03-01</w:t>
            </w:r>
          </w:p>
        </w:tc>
      </w:tr>
      <w:tr>
        <w:tc>
          <w:tcPr>
            <w:tcW w:type="dxa" w:w="432"/>
          </w:tcPr>
          <w:p>
            <w:pPr>
              <w:spacing w:after="20"/>
            </w:pPr>
            <w:r>
              <w:rPr>
                <w:color w:val="1C3A36"/>
                <w:sz w:val="14"/>
              </w:rPr>
              <w:t>21</w:t>
            </w:r>
          </w:p>
        </w:tc>
        <w:tc>
          <w:tcPr>
            <w:tcW w:type="dxa" w:w="2448"/>
          </w:tcPr>
          <w:p>
            <w:pPr>
              <w:spacing w:after="20"/>
            </w:pPr>
            <w:r>
              <w:rPr>
                <w:color w:val="1C3A36"/>
                <w:sz w:val="14"/>
              </w:rPr>
              <w:t>clinker_factor</w:t>
            </w:r>
          </w:p>
        </w:tc>
        <w:tc>
          <w:tcPr>
            <w:tcW w:type="dxa" w:w="1325"/>
          </w:tcPr>
          <w:p>
            <w:pPr>
              <w:spacing w:after="20"/>
            </w:pPr>
            <w:r>
              <w:rPr>
                <w:color w:val="1C3A36"/>
                <w:sz w:val="14"/>
              </w:rPr>
              <w:t>0.7329</w:t>
            </w:r>
          </w:p>
        </w:tc>
        <w:tc>
          <w:tcPr>
            <w:tcW w:type="dxa" w:w="1066"/>
          </w:tcPr>
          <w:p>
            <w:pPr>
              <w:spacing w:after="20"/>
            </w:pPr>
            <w:r>
              <w:rPr>
                <w:color w:val="1C3A36"/>
                <w:sz w:val="14"/>
              </w:rPr>
              <w:t>Company</w:t>
            </w:r>
          </w:p>
        </w:tc>
        <w:tc>
          <w:tcPr>
            <w:tcW w:type="dxa" w:w="7171"/>
          </w:tcPr>
          <w:p>
            <w:pPr>
              <w:spacing w:after="20"/>
            </w:pPr>
            <w:r>
              <w:rPr>
                <w:color w:val="1C3A36"/>
                <w:sz w:val="14"/>
              </w:rPr>
              <w:t>Tonnes of clinker per tonne of cement PRODUCED. Revision 3 used 0.84, taken from the ratio of the two nameplate capacities in note 1 and described as 'observed'. It is not observed and it is not a clinker factor: 4.2/5.0 is a ratio of two DESIGN capacities, and a clinker factor is a production-composition ratio. 0.84 also sits above the 0.65-0.80 band typical of blended cement, and the study then called this producer 'low-clinker' three sections later. The figure carried here is the production ratio implied by the FY2025 physical disclosure: clinker produced less clinker exported, over cement produced: FY2025 Investor Presentation, Arabian Cement Company S.A.E., investor relations library, page 5 (sales volumes and production indicators) gives clinker production 3,851.6 kt less clinker exports 1,300.5 kt = 2,551.1 kt ground into 3,480.6 kt of cement</w:t>
            </w:r>
          </w:p>
        </w:tc>
        <w:tc>
          <w:tcPr>
            <w:tcW w:type="dxa" w:w="1210"/>
          </w:tcPr>
          <w:p>
            <w:pPr>
              <w:spacing w:after="20"/>
            </w:pPr>
            <w:r>
              <w:rPr>
                <w:color w:val="1C3A36"/>
                <w:sz w:val="14"/>
              </w:rPr>
              <w:t>2026-03-01</w:t>
            </w:r>
          </w:p>
        </w:tc>
      </w:tr>
      <w:tr>
        <w:tc>
          <w:tcPr>
            <w:tcW w:type="dxa" w:w="432"/>
          </w:tcPr>
          <w:p>
            <w:pPr>
              <w:spacing w:after="20"/>
            </w:pPr>
            <w:r>
              <w:rPr>
                <w:color w:val="1C3A36"/>
                <w:sz w:val="14"/>
              </w:rPr>
              <w:t>22</w:t>
            </w:r>
          </w:p>
        </w:tc>
        <w:tc>
          <w:tcPr>
            <w:tcW w:type="dxa" w:w="2448"/>
          </w:tcPr>
          <w:p>
            <w:pPr>
              <w:spacing w:after="20"/>
            </w:pPr>
            <w:r>
              <w:rPr>
                <w:color w:val="1C3A36"/>
                <w:sz w:val="14"/>
              </w:rPr>
              <w:t>clk_export_share</w:t>
            </w:r>
          </w:p>
        </w:tc>
        <w:tc>
          <w:tcPr>
            <w:tcW w:type="dxa" w:w="1325"/>
          </w:tcPr>
          <w:p>
            <w:pPr>
              <w:spacing w:after="20"/>
            </w:pPr>
            <w:r>
              <w:rPr>
                <w:color w:val="1C3A36"/>
                <w:sz w:val="14"/>
              </w:rPr>
              <w:t>0.3377, 0.33, 0.32, 0.31, 0.305, 0.3</w:t>
            </w:r>
          </w:p>
        </w:tc>
        <w:tc>
          <w:tcPr>
            <w:tcW w:type="dxa" w:w="1066"/>
          </w:tcPr>
          <w:p>
            <w:pPr>
              <w:spacing w:after="20"/>
            </w:pPr>
            <w:r>
              <w:rPr>
                <w:color w:val="1C3A36"/>
                <w:sz w:val="14"/>
              </w:rPr>
              <w:t>Company</w:t>
            </w:r>
          </w:p>
        </w:tc>
        <w:tc>
          <w:tcPr>
            <w:tcW w:type="dxa" w:w="7171"/>
          </w:tcPr>
          <w:p>
            <w:pPr>
              <w:spacing w:after="20"/>
            </w:pPr>
            <w:r>
              <w:rPr>
                <w:color w:val="1C3A36"/>
                <w:sz w:val="14"/>
              </w:rPr>
              <w:t>Share of clinker production sold AS CLINKER rather than ground into cement. FY2025 is DISCLOSED: FY2025 Investor Presentation, Arabian Cement Company S.A.E., investor relations library, page 5 (sales volumes and production indicators) gives clinker exports of 1,300.5 kt on production of 3,851.6 kt = 33.77%. This is the central operating lever and revision 3 could not see it at all: clinker exports and domestic cement compete for the same kiln, and a tonne of clinker realises a fraction of the tonne of cement it could have become. Note the direction of travel — clinker exports FELL 37% in FY2025 (2,074.4 kt to 1,300.5) while cement exports rose 74%, so the mix was already shifting toward the higher-value product before this forecast starts</w:t>
            </w:r>
          </w:p>
        </w:tc>
        <w:tc>
          <w:tcPr>
            <w:tcW w:type="dxa" w:w="1210"/>
          </w:tcPr>
          <w:p>
            <w:pPr>
              <w:spacing w:after="20"/>
            </w:pPr>
            <w:r>
              <w:rPr>
                <w:color w:val="1C3A36"/>
                <w:sz w:val="14"/>
              </w:rPr>
              <w:t>2026-03-01</w:t>
            </w:r>
          </w:p>
        </w:tc>
      </w:tr>
      <w:tr>
        <w:tc>
          <w:tcPr>
            <w:tcW w:type="dxa" w:w="432"/>
          </w:tcPr>
          <w:p>
            <w:pPr>
              <w:spacing w:after="20"/>
            </w:pPr>
            <w:r>
              <w:rPr>
                <w:color w:val="1C3A36"/>
                <w:sz w:val="14"/>
              </w:rPr>
              <w:t>23</w:t>
            </w:r>
          </w:p>
        </w:tc>
        <w:tc>
          <w:tcPr>
            <w:tcW w:type="dxa" w:w="2448"/>
          </w:tcPr>
          <w:p>
            <w:pPr>
              <w:spacing w:after="20"/>
            </w:pPr>
            <w:r>
              <w:rPr>
                <w:color w:val="1C3A36"/>
                <w:sz w:val="14"/>
              </w:rPr>
              <w:t>cogs_fy22</w:t>
            </w:r>
          </w:p>
        </w:tc>
        <w:tc>
          <w:tcPr>
            <w:tcW w:type="dxa" w:w="1325"/>
          </w:tcPr>
          <w:p>
            <w:pPr>
              <w:spacing w:after="20"/>
            </w:pPr>
            <w:r>
              <w:rPr>
                <w:color w:val="1C3A36"/>
                <w:sz w:val="14"/>
              </w:rPr>
              <w:t>3,789.8162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2022 — cost of sales</w:t>
            </w:r>
          </w:p>
        </w:tc>
        <w:tc>
          <w:tcPr>
            <w:tcW w:type="dxa" w:w="1210"/>
          </w:tcPr>
          <w:p>
            <w:pPr>
              <w:spacing w:after="20"/>
            </w:pPr>
            <w:r>
              <w:rPr>
                <w:color w:val="1C3A36"/>
                <w:sz w:val="14"/>
              </w:rPr>
              <w:t>2022-12-31</w:t>
            </w:r>
          </w:p>
        </w:tc>
      </w:tr>
      <w:tr>
        <w:tc>
          <w:tcPr>
            <w:tcW w:type="dxa" w:w="432"/>
          </w:tcPr>
          <w:p>
            <w:pPr>
              <w:spacing w:after="20"/>
            </w:pPr>
            <w:r>
              <w:rPr>
                <w:color w:val="1C3A36"/>
                <w:sz w:val="14"/>
              </w:rPr>
              <w:t>24</w:t>
            </w:r>
          </w:p>
        </w:tc>
        <w:tc>
          <w:tcPr>
            <w:tcW w:type="dxa" w:w="2448"/>
          </w:tcPr>
          <w:p>
            <w:pPr>
              <w:spacing w:after="20"/>
            </w:pPr>
            <w:r>
              <w:rPr>
                <w:color w:val="1C3A36"/>
                <w:sz w:val="14"/>
              </w:rPr>
              <w:t>cogs_fy23</w:t>
            </w:r>
          </w:p>
        </w:tc>
        <w:tc>
          <w:tcPr>
            <w:tcW w:type="dxa" w:w="1325"/>
          </w:tcPr>
          <w:p>
            <w:pPr>
              <w:spacing w:after="20"/>
            </w:pPr>
            <w:r>
              <w:rPr>
                <w:color w:val="1C3A36"/>
                <w:sz w:val="14"/>
              </w:rPr>
              <w:t>4,759.8152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cost of sales,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25</w:t>
            </w:r>
          </w:p>
        </w:tc>
        <w:tc>
          <w:tcPr>
            <w:tcW w:type="dxa" w:w="2448"/>
          </w:tcPr>
          <w:p>
            <w:pPr>
              <w:spacing w:after="20"/>
            </w:pPr>
            <w:r>
              <w:rPr>
                <w:color w:val="1C3A36"/>
                <w:sz w:val="14"/>
              </w:rPr>
              <w:t>cogs_fy24</w:t>
            </w:r>
          </w:p>
        </w:tc>
        <w:tc>
          <w:tcPr>
            <w:tcW w:type="dxa" w:w="1325"/>
          </w:tcPr>
          <w:p>
            <w:pPr>
              <w:spacing w:after="20"/>
            </w:pPr>
            <w:r>
              <w:rPr>
                <w:color w:val="1C3A36"/>
                <w:sz w:val="14"/>
              </w:rPr>
              <w:t>6,642.9725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26</w:t>
            </w:r>
          </w:p>
        </w:tc>
        <w:tc>
          <w:tcPr>
            <w:tcW w:type="dxa" w:w="2448"/>
          </w:tcPr>
          <w:p>
            <w:pPr>
              <w:spacing w:after="20"/>
            </w:pPr>
            <w:r>
              <w:rPr>
                <w:color w:val="1C3A36"/>
                <w:sz w:val="14"/>
              </w:rPr>
              <w:t>cogs_fy25</w:t>
            </w:r>
          </w:p>
        </w:tc>
        <w:tc>
          <w:tcPr>
            <w:tcW w:type="dxa" w:w="1325"/>
          </w:tcPr>
          <w:p>
            <w:pPr>
              <w:spacing w:after="20"/>
            </w:pPr>
            <w:r>
              <w:rPr>
                <w:color w:val="1C3A36"/>
                <w:sz w:val="14"/>
              </w:rPr>
              <w:t>7,389.0544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w:t>
            </w:r>
          </w:p>
        </w:tc>
        <w:tc>
          <w:tcPr>
            <w:tcW w:type="dxa" w:w="1210"/>
          </w:tcPr>
          <w:p>
            <w:pPr>
              <w:spacing w:after="20"/>
            </w:pPr>
            <w:r>
              <w:rPr>
                <w:color w:val="1C3A36"/>
                <w:sz w:val="14"/>
              </w:rPr>
              <w:t>2025-12-31</w:t>
            </w:r>
          </w:p>
        </w:tc>
      </w:tr>
      <w:tr>
        <w:tc>
          <w:tcPr>
            <w:tcW w:type="dxa" w:w="432"/>
          </w:tcPr>
          <w:p>
            <w:pPr>
              <w:spacing w:after="20"/>
            </w:pPr>
            <w:r>
              <w:rPr>
                <w:color w:val="1C3A36"/>
                <w:sz w:val="14"/>
              </w:rPr>
              <w:t>27</w:t>
            </w:r>
          </w:p>
        </w:tc>
        <w:tc>
          <w:tcPr>
            <w:tcW w:type="dxa" w:w="2448"/>
          </w:tcPr>
          <w:p>
            <w:pPr>
              <w:spacing w:after="20"/>
            </w:pPr>
            <w:r>
              <w:rPr>
                <w:color w:val="1C3A36"/>
                <w:sz w:val="14"/>
              </w:rPr>
              <w:t>cogs_h1_22</w:t>
            </w:r>
          </w:p>
        </w:tc>
        <w:tc>
          <w:tcPr>
            <w:tcW w:type="dxa" w:w="1325"/>
          </w:tcPr>
          <w:p>
            <w:pPr>
              <w:spacing w:after="20"/>
            </w:pPr>
            <w:r>
              <w:rPr>
                <w:color w:val="1C3A36"/>
                <w:sz w:val="14"/>
              </w:rPr>
              <w:t>1,704.8347</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2022, comparative — cost of sales</w:t>
            </w:r>
          </w:p>
        </w:tc>
        <w:tc>
          <w:tcPr>
            <w:tcW w:type="dxa" w:w="1210"/>
          </w:tcPr>
          <w:p>
            <w:pPr>
              <w:spacing w:after="20"/>
            </w:pPr>
            <w:r>
              <w:rPr>
                <w:color w:val="1C3A36"/>
                <w:sz w:val="14"/>
              </w:rPr>
              <w:t>2022-06-30</w:t>
            </w:r>
          </w:p>
        </w:tc>
      </w:tr>
      <w:tr>
        <w:tc>
          <w:tcPr>
            <w:tcW w:type="dxa" w:w="432"/>
          </w:tcPr>
          <w:p>
            <w:pPr>
              <w:spacing w:after="20"/>
            </w:pPr>
            <w:r>
              <w:rPr>
                <w:color w:val="1C3A36"/>
                <w:sz w:val="14"/>
              </w:rPr>
              <w:t>28</w:t>
            </w:r>
          </w:p>
        </w:tc>
        <w:tc>
          <w:tcPr>
            <w:tcW w:type="dxa" w:w="2448"/>
          </w:tcPr>
          <w:p>
            <w:pPr>
              <w:spacing w:after="20"/>
            </w:pPr>
            <w:r>
              <w:rPr>
                <w:color w:val="1C3A36"/>
                <w:sz w:val="14"/>
              </w:rPr>
              <w:t>cogs_h1_23</w:t>
            </w:r>
          </w:p>
        </w:tc>
        <w:tc>
          <w:tcPr>
            <w:tcW w:type="dxa" w:w="1325"/>
          </w:tcPr>
          <w:p>
            <w:pPr>
              <w:spacing w:after="20"/>
            </w:pPr>
            <w:r>
              <w:rPr>
                <w:color w:val="1C3A36"/>
                <w:sz w:val="14"/>
              </w:rPr>
              <w:t>2,536.4112</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2023 — cost of sales</w:t>
            </w:r>
          </w:p>
        </w:tc>
        <w:tc>
          <w:tcPr>
            <w:tcW w:type="dxa" w:w="1210"/>
          </w:tcPr>
          <w:p>
            <w:pPr>
              <w:spacing w:after="20"/>
            </w:pPr>
            <w:r>
              <w:rPr>
                <w:color w:val="1C3A36"/>
                <w:sz w:val="14"/>
              </w:rPr>
              <w:t>2023-06-30</w:t>
            </w:r>
          </w:p>
        </w:tc>
      </w:tr>
      <w:tr>
        <w:tc>
          <w:tcPr>
            <w:tcW w:type="dxa" w:w="432"/>
          </w:tcPr>
          <w:p>
            <w:pPr>
              <w:spacing w:after="20"/>
            </w:pPr>
            <w:r>
              <w:rPr>
                <w:color w:val="1C3A36"/>
                <w:sz w:val="14"/>
              </w:rPr>
              <w:t>29</w:t>
            </w:r>
          </w:p>
        </w:tc>
        <w:tc>
          <w:tcPr>
            <w:tcW w:type="dxa" w:w="2448"/>
          </w:tcPr>
          <w:p>
            <w:pPr>
              <w:spacing w:after="20"/>
            </w:pPr>
            <w:r>
              <w:rPr>
                <w:color w:val="1C3A36"/>
                <w:sz w:val="14"/>
              </w:rPr>
              <w:t>cogs_h1_25</w:t>
            </w:r>
          </w:p>
        </w:tc>
        <w:tc>
          <w:tcPr>
            <w:tcW w:type="dxa" w:w="1325"/>
          </w:tcPr>
          <w:p>
            <w:pPr>
              <w:spacing w:after="20"/>
            </w:pPr>
            <w:r>
              <w:rPr>
                <w:color w:val="1C3A36"/>
                <w:sz w:val="14"/>
              </w:rPr>
              <w:t>3,404.817</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 comparative six months</w:t>
            </w:r>
          </w:p>
        </w:tc>
        <w:tc>
          <w:tcPr>
            <w:tcW w:type="dxa" w:w="1210"/>
          </w:tcPr>
          <w:p>
            <w:pPr>
              <w:spacing w:after="20"/>
            </w:pPr>
            <w:r>
              <w:rPr>
                <w:color w:val="1C3A36"/>
                <w:sz w:val="14"/>
              </w:rPr>
              <w:t>2025-06-30</w:t>
            </w:r>
          </w:p>
        </w:tc>
      </w:tr>
      <w:tr>
        <w:tc>
          <w:tcPr>
            <w:tcW w:type="dxa" w:w="432"/>
          </w:tcPr>
          <w:p>
            <w:pPr>
              <w:spacing w:after="20"/>
            </w:pPr>
            <w:r>
              <w:rPr>
                <w:color w:val="1C3A36"/>
                <w:sz w:val="14"/>
              </w:rPr>
              <w:t>30</w:t>
            </w:r>
          </w:p>
        </w:tc>
        <w:tc>
          <w:tcPr>
            <w:tcW w:type="dxa" w:w="2448"/>
          </w:tcPr>
          <w:p>
            <w:pPr>
              <w:spacing w:after="20"/>
            </w:pPr>
            <w:r>
              <w:rPr>
                <w:color w:val="1C3A36"/>
                <w:sz w:val="14"/>
              </w:rPr>
              <w:t>cogs_h1_26</w:t>
            </w:r>
          </w:p>
        </w:tc>
        <w:tc>
          <w:tcPr>
            <w:tcW w:type="dxa" w:w="1325"/>
          </w:tcPr>
          <w:p>
            <w:pPr>
              <w:spacing w:after="20"/>
            </w:pPr>
            <w:r>
              <w:rPr>
                <w:color w:val="1C3A36"/>
                <w:sz w:val="14"/>
              </w:rPr>
              <w:t>3,619.0396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w:t>
            </w:r>
          </w:p>
        </w:tc>
        <w:tc>
          <w:tcPr>
            <w:tcW w:type="dxa" w:w="1210"/>
          </w:tcPr>
          <w:p>
            <w:pPr>
              <w:spacing w:after="20"/>
            </w:pPr>
            <w:r>
              <w:rPr>
                <w:color w:val="1C3A36"/>
                <w:sz w:val="14"/>
              </w:rPr>
              <w:t>2026-06-30</w:t>
            </w:r>
          </w:p>
        </w:tc>
      </w:tr>
      <w:tr>
        <w:tc>
          <w:tcPr>
            <w:tcW w:type="dxa" w:w="432"/>
          </w:tcPr>
          <w:p>
            <w:pPr>
              <w:spacing w:after="20"/>
            </w:pPr>
            <w:r>
              <w:rPr>
                <w:color w:val="1C3A36"/>
                <w:sz w:val="14"/>
              </w:rPr>
              <w:t>31</w:t>
            </w:r>
          </w:p>
        </w:tc>
        <w:tc>
          <w:tcPr>
            <w:tcW w:type="dxa" w:w="2448"/>
          </w:tcPr>
          <w:p>
            <w:pPr>
              <w:spacing w:after="20"/>
            </w:pPr>
            <w:r>
              <w:rPr>
                <w:color w:val="1C3A36"/>
                <w:sz w:val="14"/>
              </w:rPr>
              <w:t>cos_intang_amort_fy25</w:t>
            </w:r>
          </w:p>
        </w:tc>
        <w:tc>
          <w:tcPr>
            <w:tcW w:type="dxa" w:w="1325"/>
          </w:tcPr>
          <w:p>
            <w:pPr>
              <w:spacing w:after="20"/>
            </w:pPr>
            <w:r>
              <w:rPr>
                <w:color w:val="1C3A36"/>
                <w:sz w:val="14"/>
              </w:rPr>
              <w:t>30.6816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amortisation of intangible assets charged to cost of sales</w:t>
            </w:r>
          </w:p>
        </w:tc>
        <w:tc>
          <w:tcPr>
            <w:tcW w:type="dxa" w:w="1210"/>
          </w:tcPr>
          <w:p>
            <w:pPr>
              <w:spacing w:after="20"/>
            </w:pPr>
            <w:r>
              <w:rPr>
                <w:color w:val="1C3A36"/>
                <w:sz w:val="14"/>
              </w:rPr>
              <w:t>2025-12-31</w:t>
            </w:r>
          </w:p>
        </w:tc>
      </w:tr>
      <w:tr>
        <w:tc>
          <w:tcPr>
            <w:tcW w:type="dxa" w:w="432"/>
          </w:tcPr>
          <w:p>
            <w:pPr>
              <w:spacing w:after="20"/>
            </w:pPr>
            <w:r>
              <w:rPr>
                <w:color w:val="1C3A36"/>
                <w:sz w:val="14"/>
              </w:rPr>
              <w:t>32</w:t>
            </w:r>
          </w:p>
        </w:tc>
        <w:tc>
          <w:tcPr>
            <w:tcW w:type="dxa" w:w="2448"/>
          </w:tcPr>
          <w:p>
            <w:pPr>
              <w:spacing w:after="20"/>
            </w:pPr>
            <w:r>
              <w:rPr>
                <w:color w:val="1C3A36"/>
                <w:sz w:val="14"/>
              </w:rPr>
              <w:t>cos_materials_fy25</w:t>
            </w:r>
          </w:p>
        </w:tc>
        <w:tc>
          <w:tcPr>
            <w:tcW w:type="dxa" w:w="1325"/>
          </w:tcPr>
          <w:p>
            <w:pPr>
              <w:spacing w:after="20"/>
            </w:pPr>
            <w:r>
              <w:rPr>
                <w:color w:val="1C3A36"/>
                <w:sz w:val="14"/>
              </w:rPr>
              <w:t>5,698.1847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raw materials; note 16 confirms this is the cost of inventories charged to cost of sales, so it carries fuel, packing and spares as well as raw meal</w:t>
            </w:r>
          </w:p>
        </w:tc>
        <w:tc>
          <w:tcPr>
            <w:tcW w:type="dxa" w:w="1210"/>
          </w:tcPr>
          <w:p>
            <w:pPr>
              <w:spacing w:after="20"/>
            </w:pPr>
            <w:r>
              <w:rPr>
                <w:color w:val="1C3A36"/>
                <w:sz w:val="14"/>
              </w:rPr>
              <w:t>2025-12-31</w:t>
            </w:r>
          </w:p>
        </w:tc>
      </w:tr>
      <w:tr>
        <w:tc>
          <w:tcPr>
            <w:tcW w:type="dxa" w:w="432"/>
          </w:tcPr>
          <w:p>
            <w:pPr>
              <w:spacing w:after="20"/>
            </w:pPr>
            <w:r>
              <w:rPr>
                <w:color w:val="1C3A36"/>
                <w:sz w:val="14"/>
              </w:rPr>
              <w:t>33</w:t>
            </w:r>
          </w:p>
        </w:tc>
        <w:tc>
          <w:tcPr>
            <w:tcW w:type="dxa" w:w="2448"/>
          </w:tcPr>
          <w:p>
            <w:pPr>
              <w:spacing w:after="20"/>
            </w:pPr>
            <w:r>
              <w:rPr>
                <w:color w:val="1C3A36"/>
                <w:sz w:val="14"/>
              </w:rPr>
              <w:t>cos_mfg_dep_fy25</w:t>
            </w:r>
          </w:p>
        </w:tc>
        <w:tc>
          <w:tcPr>
            <w:tcW w:type="dxa" w:w="1325"/>
          </w:tcPr>
          <w:p>
            <w:pPr>
              <w:spacing w:after="20"/>
            </w:pPr>
            <w:r>
              <w:rPr>
                <w:color w:val="1C3A36"/>
                <w:sz w:val="14"/>
              </w:rPr>
              <w:t>254.7655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manufacturing depreciation</w:t>
            </w:r>
          </w:p>
        </w:tc>
        <w:tc>
          <w:tcPr>
            <w:tcW w:type="dxa" w:w="1210"/>
          </w:tcPr>
          <w:p>
            <w:pPr>
              <w:spacing w:after="20"/>
            </w:pPr>
            <w:r>
              <w:rPr>
                <w:color w:val="1C3A36"/>
                <w:sz w:val="14"/>
              </w:rPr>
              <w:t>2025-12-31</w:t>
            </w:r>
          </w:p>
        </w:tc>
      </w:tr>
      <w:tr>
        <w:tc>
          <w:tcPr>
            <w:tcW w:type="dxa" w:w="432"/>
          </w:tcPr>
          <w:p>
            <w:pPr>
              <w:spacing w:after="20"/>
            </w:pPr>
            <w:r>
              <w:rPr>
                <w:color w:val="1C3A36"/>
                <w:sz w:val="14"/>
              </w:rPr>
              <w:t>34</w:t>
            </w:r>
          </w:p>
        </w:tc>
        <w:tc>
          <w:tcPr>
            <w:tcW w:type="dxa" w:w="2448"/>
          </w:tcPr>
          <w:p>
            <w:pPr>
              <w:spacing w:after="20"/>
            </w:pPr>
            <w:r>
              <w:rPr>
                <w:color w:val="1C3A36"/>
                <w:sz w:val="14"/>
              </w:rPr>
              <w:t>cos_overhead_fy25</w:t>
            </w:r>
          </w:p>
        </w:tc>
        <w:tc>
          <w:tcPr>
            <w:tcW w:type="dxa" w:w="1325"/>
          </w:tcPr>
          <w:p>
            <w:pPr>
              <w:spacing w:after="20"/>
            </w:pPr>
            <w:r>
              <w:rPr>
                <w:color w:val="1C3A36"/>
                <w:sz w:val="14"/>
              </w:rPr>
              <w:t>641.1432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overhead costs</w:t>
            </w:r>
          </w:p>
        </w:tc>
        <w:tc>
          <w:tcPr>
            <w:tcW w:type="dxa" w:w="1210"/>
          </w:tcPr>
          <w:p>
            <w:pPr>
              <w:spacing w:after="20"/>
            </w:pPr>
            <w:r>
              <w:rPr>
                <w:color w:val="1C3A36"/>
                <w:sz w:val="14"/>
              </w:rPr>
              <w:t>2025-12-31</w:t>
            </w:r>
          </w:p>
        </w:tc>
      </w:tr>
      <w:tr>
        <w:tc>
          <w:tcPr>
            <w:tcW w:type="dxa" w:w="432"/>
          </w:tcPr>
          <w:p>
            <w:pPr>
              <w:spacing w:after="20"/>
            </w:pPr>
            <w:r>
              <w:rPr>
                <w:color w:val="1C3A36"/>
                <w:sz w:val="14"/>
              </w:rPr>
              <w:t>35</w:t>
            </w:r>
          </w:p>
        </w:tc>
        <w:tc>
          <w:tcPr>
            <w:tcW w:type="dxa" w:w="2448"/>
          </w:tcPr>
          <w:p>
            <w:pPr>
              <w:spacing w:after="20"/>
            </w:pPr>
            <w:r>
              <w:rPr>
                <w:color w:val="1C3A36"/>
                <w:sz w:val="14"/>
              </w:rPr>
              <w:t>cos_transport_fy25</w:t>
            </w:r>
          </w:p>
        </w:tc>
        <w:tc>
          <w:tcPr>
            <w:tcW w:type="dxa" w:w="1325"/>
          </w:tcPr>
          <w:p>
            <w:pPr>
              <w:spacing w:after="20"/>
            </w:pPr>
            <w:r>
              <w:rPr>
                <w:color w:val="1C3A36"/>
                <w:sz w:val="14"/>
              </w:rPr>
              <w:t>764.2793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transportation costs</w:t>
            </w:r>
          </w:p>
        </w:tc>
        <w:tc>
          <w:tcPr>
            <w:tcW w:type="dxa" w:w="1210"/>
          </w:tcPr>
          <w:p>
            <w:pPr>
              <w:spacing w:after="20"/>
            </w:pPr>
            <w:r>
              <w:rPr>
                <w:color w:val="1C3A36"/>
                <w:sz w:val="14"/>
              </w:rPr>
              <w:t>2025-12-31</w:t>
            </w:r>
          </w:p>
        </w:tc>
      </w:tr>
      <w:tr>
        <w:tc>
          <w:tcPr>
            <w:tcW w:type="dxa" w:w="432"/>
          </w:tcPr>
          <w:p>
            <w:pPr>
              <w:spacing w:after="20"/>
            </w:pPr>
            <w:r>
              <w:rPr>
                <w:color w:val="1C3A36"/>
                <w:sz w:val="14"/>
              </w:rPr>
              <w:t>36</w:t>
            </w:r>
          </w:p>
        </w:tc>
        <w:tc>
          <w:tcPr>
            <w:tcW w:type="dxa" w:w="2448"/>
          </w:tcPr>
          <w:p>
            <w:pPr>
              <w:spacing w:after="20"/>
            </w:pPr>
            <w:r>
              <w:rPr>
                <w:color w:val="1C3A36"/>
                <w:sz w:val="14"/>
              </w:rPr>
              <w:t>debt_cib_fy25</w:t>
            </w:r>
          </w:p>
        </w:tc>
        <w:tc>
          <w:tcPr>
            <w:tcW w:type="dxa" w:w="1325"/>
          </w:tcPr>
          <w:p>
            <w:pPr>
              <w:spacing w:after="20"/>
            </w:pPr>
            <w:r>
              <w:rPr>
                <w:color w:val="1C3A36"/>
                <w:sz w:val="14"/>
              </w:rPr>
              <w:t>99.9169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Commercial International Bank credit facilities. EGP 650mn package at the Central Bank corridor offer rate plus 0.6%, EGP-denominated, for working capital</w:t>
            </w:r>
          </w:p>
        </w:tc>
        <w:tc>
          <w:tcPr>
            <w:tcW w:type="dxa" w:w="1210"/>
          </w:tcPr>
          <w:p>
            <w:pPr>
              <w:spacing w:after="20"/>
            </w:pPr>
            <w:r>
              <w:rPr>
                <w:color w:val="1C3A36"/>
                <w:sz w:val="14"/>
              </w:rPr>
              <w:t>2025-12-31</w:t>
            </w:r>
          </w:p>
        </w:tc>
      </w:tr>
      <w:tr>
        <w:tc>
          <w:tcPr>
            <w:tcW w:type="dxa" w:w="432"/>
          </w:tcPr>
          <w:p>
            <w:pPr>
              <w:spacing w:after="20"/>
            </w:pPr>
            <w:r>
              <w:rPr>
                <w:color w:val="1C3A36"/>
                <w:sz w:val="14"/>
              </w:rPr>
              <w:t>37</w:t>
            </w:r>
          </w:p>
        </w:tc>
        <w:tc>
          <w:tcPr>
            <w:tcW w:type="dxa" w:w="2448"/>
          </w:tcPr>
          <w:p>
            <w:pPr>
              <w:spacing w:after="20"/>
            </w:pPr>
            <w:r>
              <w:rPr>
                <w:color w:val="1C3A36"/>
                <w:sz w:val="14"/>
              </w:rPr>
              <w:t>debt_ebrd_fy25</w:t>
            </w:r>
          </w:p>
        </w:tc>
        <w:tc>
          <w:tcPr>
            <w:tcW w:type="dxa" w:w="1325"/>
          </w:tcPr>
          <w:p>
            <w:pPr>
              <w:spacing w:after="20"/>
            </w:pPr>
            <w:r>
              <w:rPr>
                <w:color w:val="1C3A36"/>
                <w:sz w:val="14"/>
              </w:rPr>
              <w:t>888.2742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European Bank for Reconstruction and Development facility (current 118.437 plus non-current 769.838). EUR 25mn at 3-month Euribor plus 4.35%, drawn to EUR 18.5mn, funding alternative-fuel capacity for kiln 2 and hydrogen injection on both kilns; 15 equal quarterly instalments from 18 months after signing</w:t>
            </w:r>
          </w:p>
        </w:tc>
        <w:tc>
          <w:tcPr>
            <w:tcW w:type="dxa" w:w="1210"/>
          </w:tcPr>
          <w:p>
            <w:pPr>
              <w:spacing w:after="20"/>
            </w:pPr>
            <w:r>
              <w:rPr>
                <w:color w:val="1C3A36"/>
                <w:sz w:val="14"/>
              </w:rPr>
              <w:t>2025-12-31</w:t>
            </w:r>
          </w:p>
        </w:tc>
      </w:tr>
      <w:tr>
        <w:tc>
          <w:tcPr>
            <w:tcW w:type="dxa" w:w="432"/>
          </w:tcPr>
          <w:p>
            <w:pPr>
              <w:spacing w:after="20"/>
            </w:pPr>
            <w:r>
              <w:rPr>
                <w:color w:val="1C3A36"/>
                <w:sz w:val="14"/>
              </w:rPr>
              <w:t>38</w:t>
            </w:r>
          </w:p>
        </w:tc>
        <w:tc>
          <w:tcPr>
            <w:tcW w:type="dxa" w:w="2448"/>
          </w:tcPr>
          <w:p>
            <w:pPr>
              <w:spacing w:after="20"/>
            </w:pPr>
            <w:r>
              <w:rPr>
                <w:color w:val="1C3A36"/>
                <w:sz w:val="14"/>
              </w:rPr>
              <w:t>debt_fy23</w:t>
            </w:r>
          </w:p>
        </w:tc>
        <w:tc>
          <w:tcPr>
            <w:tcW w:type="dxa" w:w="1325"/>
          </w:tcPr>
          <w:p>
            <w:pPr>
              <w:spacing w:after="20"/>
            </w:pPr>
            <w:r>
              <w:rPr>
                <w:color w:val="1C3A36"/>
                <w:sz w:val="14"/>
              </w:rPr>
              <w:t>90.0743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credit facilities, comparative; no term borrowings at that date</w:t>
            </w:r>
          </w:p>
        </w:tc>
        <w:tc>
          <w:tcPr>
            <w:tcW w:type="dxa" w:w="1210"/>
          </w:tcPr>
          <w:p>
            <w:pPr>
              <w:spacing w:after="20"/>
            </w:pPr>
            <w:r>
              <w:rPr>
                <w:color w:val="1C3A36"/>
                <w:sz w:val="14"/>
              </w:rPr>
              <w:t>2023-12-31</w:t>
            </w:r>
          </w:p>
        </w:tc>
      </w:tr>
      <w:tr>
        <w:tc>
          <w:tcPr>
            <w:tcW w:type="dxa" w:w="432"/>
          </w:tcPr>
          <w:p>
            <w:pPr>
              <w:spacing w:after="20"/>
            </w:pPr>
            <w:r>
              <w:rPr>
                <w:color w:val="1C3A36"/>
                <w:sz w:val="14"/>
              </w:rPr>
              <w:t>39</w:t>
            </w:r>
          </w:p>
        </w:tc>
        <w:tc>
          <w:tcPr>
            <w:tcW w:type="dxa" w:w="2448"/>
          </w:tcPr>
          <w:p>
            <w:pPr>
              <w:spacing w:after="20"/>
            </w:pPr>
            <w:r>
              <w:rPr>
                <w:color w:val="1C3A36"/>
                <w:sz w:val="14"/>
              </w:rPr>
              <w:t>debt_fy24</w:t>
            </w:r>
          </w:p>
        </w:tc>
        <w:tc>
          <w:tcPr>
            <w:tcW w:type="dxa" w:w="1325"/>
          </w:tcPr>
          <w:p>
            <w:pPr>
              <w:spacing w:after="20"/>
            </w:pPr>
            <w:r>
              <w:rPr>
                <w:color w:val="1C3A36"/>
                <w:sz w:val="14"/>
              </w:rPr>
              <w:t>760.9177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comparative: credit facilities 615.044 plus bank loans 145.874</w:t>
            </w:r>
          </w:p>
        </w:tc>
        <w:tc>
          <w:tcPr>
            <w:tcW w:type="dxa" w:w="1210"/>
          </w:tcPr>
          <w:p>
            <w:pPr>
              <w:spacing w:after="20"/>
            </w:pPr>
            <w:r>
              <w:rPr>
                <w:color w:val="1C3A36"/>
                <w:sz w:val="14"/>
              </w:rPr>
              <w:t>2024-12-31</w:t>
            </w:r>
          </w:p>
        </w:tc>
      </w:tr>
      <w:tr>
        <w:tc>
          <w:tcPr>
            <w:tcW w:type="dxa" w:w="432"/>
          </w:tcPr>
          <w:p>
            <w:pPr>
              <w:spacing w:after="20"/>
            </w:pPr>
            <w:r>
              <w:rPr>
                <w:color w:val="1C3A36"/>
                <w:sz w:val="14"/>
              </w:rPr>
              <w:t>40</w:t>
            </w:r>
          </w:p>
        </w:tc>
        <w:tc>
          <w:tcPr>
            <w:tcW w:type="dxa" w:w="2448"/>
          </w:tcPr>
          <w:p>
            <w:pPr>
              <w:spacing w:after="20"/>
            </w:pPr>
            <w:r>
              <w:rPr>
                <w:color w:val="1C3A36"/>
                <w:sz w:val="14"/>
              </w:rPr>
              <w:t>debt_h1_26</w:t>
            </w:r>
          </w:p>
        </w:tc>
        <w:tc>
          <w:tcPr>
            <w:tcW w:type="dxa" w:w="1325"/>
          </w:tcPr>
          <w:p>
            <w:pPr>
              <w:spacing w:after="20"/>
            </w:pPr>
            <w:r>
              <w:rPr>
                <w:color w:val="1C3A36"/>
                <w:sz w:val="14"/>
              </w:rPr>
              <w:t>1,283.2884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INTEREST-BEARING borrowings only: non-current borrowings 761.097643 plus current portion of long-term borrowings 269.115255 plus credit facilities 253.075496. Trade and notes payable, creditors and other credit balances and current tax liabilities bear no interest and are excluded by construction</w:t>
            </w:r>
          </w:p>
        </w:tc>
        <w:tc>
          <w:tcPr>
            <w:tcW w:type="dxa" w:w="1210"/>
          </w:tcPr>
          <w:p>
            <w:pPr>
              <w:spacing w:after="20"/>
            </w:pPr>
            <w:r>
              <w:rPr>
                <w:color w:val="1C3A36"/>
                <w:sz w:val="14"/>
              </w:rPr>
              <w:t>2026-06-30</w:t>
            </w:r>
          </w:p>
        </w:tc>
      </w:tr>
      <w:tr>
        <w:tc>
          <w:tcPr>
            <w:tcW w:type="dxa" w:w="432"/>
          </w:tcPr>
          <w:p>
            <w:pPr>
              <w:spacing w:after="20"/>
            </w:pPr>
            <w:r>
              <w:rPr>
                <w:color w:val="1C3A36"/>
                <w:sz w:val="14"/>
              </w:rPr>
              <w:t>41</w:t>
            </w:r>
          </w:p>
        </w:tc>
        <w:tc>
          <w:tcPr>
            <w:tcW w:type="dxa" w:w="2448"/>
          </w:tcPr>
          <w:p>
            <w:pPr>
              <w:spacing w:after="20"/>
            </w:pPr>
            <w:r>
              <w:rPr>
                <w:color w:val="1C3A36"/>
                <w:sz w:val="14"/>
              </w:rPr>
              <w:t>debt_nbe_fy25</w:t>
            </w:r>
          </w:p>
        </w:tc>
        <w:tc>
          <w:tcPr>
            <w:tcW w:type="dxa" w:w="1325"/>
          </w:tcPr>
          <w:p>
            <w:pPr>
              <w:spacing w:after="20"/>
            </w:pPr>
            <w:r>
              <w:rPr>
                <w:color w:val="1C3A36"/>
                <w:sz w:val="14"/>
              </w:rPr>
              <w:t>145.7415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National Bank of Egypt facility (current 27.057 plus non-current 118.685). EUR 3.09mn under a KfW industrial-pollution grant programme, 20 quarterly instalments at 6-month Euribor plus 3%</w:t>
            </w:r>
          </w:p>
        </w:tc>
        <w:tc>
          <w:tcPr>
            <w:tcW w:type="dxa" w:w="1210"/>
          </w:tcPr>
          <w:p>
            <w:pPr>
              <w:spacing w:after="20"/>
            </w:pPr>
            <w:r>
              <w:rPr>
                <w:color w:val="1C3A36"/>
                <w:sz w:val="14"/>
              </w:rPr>
              <w:t>2025-12-31</w:t>
            </w:r>
          </w:p>
        </w:tc>
      </w:tr>
      <w:tr>
        <w:tc>
          <w:tcPr>
            <w:tcW w:type="dxa" w:w="432"/>
          </w:tcPr>
          <w:p>
            <w:pPr>
              <w:spacing w:after="20"/>
            </w:pPr>
            <w:r>
              <w:rPr>
                <w:color w:val="1C3A36"/>
                <w:sz w:val="14"/>
              </w:rPr>
              <w:t>42</w:t>
            </w:r>
          </w:p>
        </w:tc>
        <w:tc>
          <w:tcPr>
            <w:tcW w:type="dxa" w:w="2448"/>
          </w:tcPr>
          <w:p>
            <w:pPr>
              <w:spacing w:after="20"/>
            </w:pPr>
            <w:r>
              <w:rPr>
                <w:color w:val="1C3A36"/>
                <w:sz w:val="14"/>
              </w:rPr>
              <w:t>debt_q1_26</w:t>
            </w:r>
          </w:p>
        </w:tc>
        <w:tc>
          <w:tcPr>
            <w:tcW w:type="dxa" w:w="1325"/>
          </w:tcPr>
          <w:p>
            <w:pPr>
              <w:spacing w:after="20"/>
            </w:pPr>
            <w:r>
              <w:rPr>
                <w:color w:val="1C3A36"/>
                <w:sz w:val="14"/>
              </w:rPr>
              <w:t>1,260.5091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borrowings 925.152 plus current portion 234.899 plus credit facilities 99.784 plus lease liabilities 0.675</w:t>
            </w:r>
          </w:p>
        </w:tc>
        <w:tc>
          <w:tcPr>
            <w:tcW w:type="dxa" w:w="1210"/>
          </w:tcPr>
          <w:p>
            <w:pPr>
              <w:spacing w:after="20"/>
            </w:pPr>
            <w:r>
              <w:rPr>
                <w:color w:val="1C3A36"/>
                <w:sz w:val="14"/>
              </w:rPr>
              <w:t>2026-03-31</w:t>
            </w:r>
          </w:p>
        </w:tc>
      </w:tr>
      <w:tr>
        <w:tc>
          <w:tcPr>
            <w:tcW w:type="dxa" w:w="432"/>
          </w:tcPr>
          <w:p>
            <w:pPr>
              <w:spacing w:after="20"/>
            </w:pPr>
            <w:r>
              <w:rPr>
                <w:color w:val="1C3A36"/>
                <w:sz w:val="14"/>
              </w:rPr>
              <w:t>43</w:t>
            </w:r>
          </w:p>
        </w:tc>
        <w:tc>
          <w:tcPr>
            <w:tcW w:type="dxa" w:w="2448"/>
          </w:tcPr>
          <w:p>
            <w:pPr>
              <w:spacing w:after="20"/>
            </w:pPr>
            <w:r>
              <w:rPr>
                <w:color w:val="1C3A36"/>
                <w:sz w:val="14"/>
              </w:rPr>
              <w:t>debtors_fy25</w:t>
            </w:r>
          </w:p>
        </w:tc>
        <w:tc>
          <w:tcPr>
            <w:tcW w:type="dxa" w:w="1325"/>
          </w:tcPr>
          <w:p>
            <w:pPr>
              <w:spacing w:after="20"/>
            </w:pPr>
            <w:r>
              <w:rPr>
                <w:color w:val="1C3A36"/>
                <w:sz w:val="14"/>
              </w:rPr>
              <w:t>1,004.7791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debtors and other debit balances (net), note 18, of which advances to suppliers 826.903</w:t>
            </w:r>
          </w:p>
        </w:tc>
        <w:tc>
          <w:tcPr>
            <w:tcW w:type="dxa" w:w="1210"/>
          </w:tcPr>
          <w:p>
            <w:pPr>
              <w:spacing w:after="20"/>
            </w:pPr>
            <w:r>
              <w:rPr>
                <w:color w:val="1C3A36"/>
                <w:sz w:val="14"/>
              </w:rPr>
              <w:t>2025-12-31</w:t>
            </w:r>
          </w:p>
        </w:tc>
      </w:tr>
      <w:tr>
        <w:tc>
          <w:tcPr>
            <w:tcW w:type="dxa" w:w="432"/>
          </w:tcPr>
          <w:p>
            <w:pPr>
              <w:spacing w:after="20"/>
            </w:pPr>
            <w:r>
              <w:rPr>
                <w:color w:val="1C3A36"/>
                <w:sz w:val="14"/>
              </w:rPr>
              <w:t>44</w:t>
            </w:r>
          </w:p>
        </w:tc>
        <w:tc>
          <w:tcPr>
            <w:tcW w:type="dxa" w:w="2448"/>
          </w:tcPr>
          <w:p>
            <w:pPr>
              <w:spacing w:after="20"/>
            </w:pPr>
            <w:r>
              <w:rPr>
                <w:color w:val="1C3A36"/>
                <w:sz w:val="14"/>
              </w:rPr>
              <w:t>div_fy24_paid</w:t>
            </w:r>
          </w:p>
        </w:tc>
        <w:tc>
          <w:tcPr>
            <w:tcW w:type="dxa" w:w="1325"/>
          </w:tcPr>
          <w:p>
            <w:pPr>
              <w:spacing w:after="20"/>
            </w:pPr>
            <w:r>
              <w:rPr>
                <w:color w:val="1C3A36"/>
                <w:sz w:val="14"/>
              </w:rPr>
              <w:t>1,102.1103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28: the ordinary general assembly of 2 December 2025 approved EGP 1,102,110,289 to shareholders for FY2024, plus EGP 15,045,727 to employees</w:t>
            </w:r>
          </w:p>
        </w:tc>
        <w:tc>
          <w:tcPr>
            <w:tcW w:type="dxa" w:w="1210"/>
          </w:tcPr>
          <w:p>
            <w:pPr>
              <w:spacing w:after="20"/>
            </w:pPr>
            <w:r>
              <w:rPr>
                <w:color w:val="1C3A36"/>
                <w:sz w:val="14"/>
              </w:rPr>
              <w:t>2025-12-02</w:t>
            </w:r>
          </w:p>
        </w:tc>
      </w:tr>
      <w:tr>
        <w:tc>
          <w:tcPr>
            <w:tcW w:type="dxa" w:w="432"/>
          </w:tcPr>
          <w:p>
            <w:pPr>
              <w:spacing w:after="20"/>
            </w:pPr>
            <w:r>
              <w:rPr>
                <w:color w:val="1C3A36"/>
                <w:sz w:val="14"/>
              </w:rPr>
              <w:t>45</w:t>
            </w:r>
          </w:p>
        </w:tc>
        <w:tc>
          <w:tcPr>
            <w:tcW w:type="dxa" w:w="2448"/>
          </w:tcPr>
          <w:p>
            <w:pPr>
              <w:spacing w:after="20"/>
            </w:pPr>
            <w:r>
              <w:rPr>
                <w:color w:val="1C3A36"/>
                <w:sz w:val="14"/>
              </w:rPr>
              <w:t>div_fy25_declared</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at 31 March 2026 for the FY2025 result</w:t>
            </w:r>
          </w:p>
        </w:tc>
        <w:tc>
          <w:tcPr>
            <w:tcW w:type="dxa" w:w="1210"/>
          </w:tcPr>
          <w:p>
            <w:pPr>
              <w:spacing w:after="20"/>
            </w:pPr>
            <w:r>
              <w:rPr>
                <w:color w:val="1C3A36"/>
                <w:sz w:val="14"/>
              </w:rPr>
              <w:t>2026-03-31</w:t>
            </w:r>
          </w:p>
        </w:tc>
      </w:tr>
      <w:tr>
        <w:tc>
          <w:tcPr>
            <w:tcW w:type="dxa" w:w="432"/>
          </w:tcPr>
          <w:p>
            <w:pPr>
              <w:spacing w:after="20"/>
            </w:pPr>
            <w:r>
              <w:rPr>
                <w:color w:val="1C3A36"/>
                <w:sz w:val="14"/>
              </w:rPr>
              <w:t>46</w:t>
            </w:r>
          </w:p>
        </w:tc>
        <w:tc>
          <w:tcPr>
            <w:tcW w:type="dxa" w:w="2448"/>
          </w:tcPr>
          <w:p>
            <w:pPr>
              <w:spacing w:after="20"/>
            </w:pPr>
            <w:r>
              <w:rPr>
                <w:color w:val="1C3A36"/>
                <w:sz w:val="14"/>
              </w:rPr>
              <w:t>divpay_q1_26</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This is the FY2025 distribution declared and unpaid at 31 March 2026, and it divides to EGP 5.34 per share on the shares outstanding</w:t>
            </w:r>
          </w:p>
        </w:tc>
        <w:tc>
          <w:tcPr>
            <w:tcW w:type="dxa" w:w="1210"/>
          </w:tcPr>
          <w:p>
            <w:pPr>
              <w:spacing w:after="20"/>
            </w:pPr>
            <w:r>
              <w:rPr>
                <w:color w:val="1C3A36"/>
                <w:sz w:val="14"/>
              </w:rPr>
              <w:t>2026-03-31</w:t>
            </w:r>
          </w:p>
        </w:tc>
      </w:tr>
      <w:tr>
        <w:tc>
          <w:tcPr>
            <w:tcW w:type="dxa" w:w="432"/>
          </w:tcPr>
          <w:p>
            <w:pPr>
              <w:spacing w:after="20"/>
            </w:pPr>
            <w:r>
              <w:rPr>
                <w:color w:val="1C3A36"/>
                <w:sz w:val="14"/>
              </w:rPr>
              <w:t>47</w:t>
            </w:r>
          </w:p>
        </w:tc>
        <w:tc>
          <w:tcPr>
            <w:tcW w:type="dxa" w:w="2448"/>
          </w:tcPr>
          <w:p>
            <w:pPr>
              <w:spacing w:after="20"/>
            </w:pPr>
            <w:r>
              <w:rPr>
                <w:color w:val="1C3A36"/>
                <w:sz w:val="14"/>
              </w:rPr>
              <w:t>dna_fy23</w:t>
            </w:r>
          </w:p>
        </w:tc>
        <w:tc>
          <w:tcPr>
            <w:tcW w:type="dxa" w:w="1325"/>
          </w:tcPr>
          <w:p>
            <w:pPr>
              <w:spacing w:after="20"/>
            </w:pPr>
            <w:r>
              <w:rPr>
                <w:color w:val="1C3A36"/>
                <w:sz w:val="14"/>
              </w:rPr>
              <w:t>250.4245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statement, comparative column: property depreciation 215.377 plus intangible amortisation 28.156 plus right-of-use amortisation 6.891</w:t>
            </w:r>
          </w:p>
        </w:tc>
        <w:tc>
          <w:tcPr>
            <w:tcW w:type="dxa" w:w="1210"/>
          </w:tcPr>
          <w:p>
            <w:pPr>
              <w:spacing w:after="20"/>
            </w:pPr>
            <w:r>
              <w:rPr>
                <w:color w:val="1C3A36"/>
                <w:sz w:val="14"/>
              </w:rPr>
              <w:t>2023-12-31</w:t>
            </w:r>
          </w:p>
        </w:tc>
      </w:tr>
      <w:tr>
        <w:tc>
          <w:tcPr>
            <w:tcW w:type="dxa" w:w="432"/>
          </w:tcPr>
          <w:p>
            <w:pPr>
              <w:spacing w:after="20"/>
            </w:pPr>
            <w:r>
              <w:rPr>
                <w:color w:val="1C3A36"/>
                <w:sz w:val="14"/>
              </w:rPr>
              <w:t>48</w:t>
            </w:r>
          </w:p>
        </w:tc>
        <w:tc>
          <w:tcPr>
            <w:tcW w:type="dxa" w:w="2448"/>
          </w:tcPr>
          <w:p>
            <w:pPr>
              <w:spacing w:after="20"/>
            </w:pPr>
            <w:r>
              <w:rPr>
                <w:color w:val="1C3A36"/>
                <w:sz w:val="14"/>
              </w:rPr>
              <w:t>dna_fy24</w:t>
            </w:r>
          </w:p>
        </w:tc>
        <w:tc>
          <w:tcPr>
            <w:tcW w:type="dxa" w:w="1325"/>
          </w:tcPr>
          <w:p>
            <w:pPr>
              <w:spacing w:after="20"/>
            </w:pPr>
            <w:r>
              <w:rPr>
                <w:color w:val="1C3A36"/>
                <w:sz w:val="14"/>
              </w:rPr>
              <w:t>256.8015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comparative: 221.563 plus 28.156 plus 7.082</w:t>
            </w:r>
          </w:p>
        </w:tc>
        <w:tc>
          <w:tcPr>
            <w:tcW w:type="dxa" w:w="1210"/>
          </w:tcPr>
          <w:p>
            <w:pPr>
              <w:spacing w:after="20"/>
            </w:pPr>
            <w:r>
              <w:rPr>
                <w:color w:val="1C3A36"/>
                <w:sz w:val="14"/>
              </w:rPr>
              <w:t>2024-12-31</w:t>
            </w:r>
          </w:p>
        </w:tc>
      </w:tr>
      <w:tr>
        <w:tc>
          <w:tcPr>
            <w:tcW w:type="dxa" w:w="432"/>
          </w:tcPr>
          <w:p>
            <w:pPr>
              <w:spacing w:after="20"/>
            </w:pPr>
            <w:r>
              <w:rPr>
                <w:color w:val="1C3A36"/>
                <w:sz w:val="14"/>
              </w:rPr>
              <w:t>49</w:t>
            </w:r>
          </w:p>
        </w:tc>
        <w:tc>
          <w:tcPr>
            <w:tcW w:type="dxa" w:w="2448"/>
          </w:tcPr>
          <w:p>
            <w:pPr>
              <w:spacing w:after="20"/>
            </w:pPr>
            <w:r>
              <w:rPr>
                <w:color w:val="1C3A36"/>
                <w:sz w:val="14"/>
              </w:rPr>
              <w:t>dna_fy25</w:t>
            </w:r>
          </w:p>
        </w:tc>
        <w:tc>
          <w:tcPr>
            <w:tcW w:type="dxa" w:w="1325"/>
          </w:tcPr>
          <w:p>
            <w:pPr>
              <w:spacing w:after="20"/>
            </w:pPr>
            <w:r>
              <w:rPr>
                <w:color w:val="1C3A36"/>
                <w:sz w:val="14"/>
              </w:rPr>
              <w:t>289.7713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property depreciation 259.090 plus intangible amortisation 28.156 plus right-of-use amortisation 2.525</w:t>
            </w:r>
          </w:p>
        </w:tc>
        <w:tc>
          <w:tcPr>
            <w:tcW w:type="dxa" w:w="1210"/>
          </w:tcPr>
          <w:p>
            <w:pPr>
              <w:spacing w:after="20"/>
            </w:pPr>
            <w:r>
              <w:rPr>
                <w:color w:val="1C3A36"/>
                <w:sz w:val="14"/>
              </w:rPr>
              <w:t>2025-12-31</w:t>
            </w:r>
          </w:p>
        </w:tc>
      </w:tr>
      <w:tr>
        <w:tc>
          <w:tcPr>
            <w:tcW w:type="dxa" w:w="432"/>
          </w:tcPr>
          <w:p>
            <w:pPr>
              <w:spacing w:after="20"/>
            </w:pPr>
            <w:r>
              <w:rPr>
                <w:color w:val="1C3A36"/>
                <w:sz w:val="14"/>
              </w:rPr>
              <w:t>50</w:t>
            </w:r>
          </w:p>
        </w:tc>
        <w:tc>
          <w:tcPr>
            <w:tcW w:type="dxa" w:w="2448"/>
          </w:tcPr>
          <w:p>
            <w:pPr>
              <w:spacing w:after="20"/>
            </w:pPr>
            <w:r>
              <w:rPr>
                <w:color w:val="1C3A36"/>
                <w:sz w:val="14"/>
              </w:rPr>
              <w:t>dna_h1_26</w:t>
            </w:r>
          </w:p>
        </w:tc>
        <w:tc>
          <w:tcPr>
            <w:tcW w:type="dxa" w:w="1325"/>
          </w:tcPr>
          <w:p>
            <w:pPr>
              <w:spacing w:after="20"/>
            </w:pPr>
            <w:r>
              <w:rPr>
                <w:color w:val="1C3A36"/>
                <w:sz w:val="14"/>
              </w:rPr>
              <w:t>161.2548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depreciation of property, plant and equipment 146.470318 plus amortisation of intangibles 13.962414 plus amortisation of right-of-use assets 0.822030</w:t>
            </w:r>
          </w:p>
        </w:tc>
        <w:tc>
          <w:tcPr>
            <w:tcW w:type="dxa" w:w="1210"/>
          </w:tcPr>
          <w:p>
            <w:pPr>
              <w:spacing w:after="20"/>
            </w:pPr>
            <w:r>
              <w:rPr>
                <w:color w:val="1C3A36"/>
                <w:sz w:val="14"/>
              </w:rPr>
              <w:t>2026-06-30</w:t>
            </w:r>
          </w:p>
        </w:tc>
      </w:tr>
      <w:tr>
        <w:tc>
          <w:tcPr>
            <w:tcW w:type="dxa" w:w="432"/>
          </w:tcPr>
          <w:p>
            <w:pPr>
              <w:spacing w:after="20"/>
            </w:pPr>
            <w:r>
              <w:rPr>
                <w:color w:val="1C3A36"/>
                <w:sz w:val="14"/>
              </w:rPr>
              <w:t>51</w:t>
            </w:r>
          </w:p>
        </w:tc>
        <w:tc>
          <w:tcPr>
            <w:tcW w:type="dxa" w:w="2448"/>
          </w:tcPr>
          <w:p>
            <w:pPr>
              <w:spacing w:after="20"/>
            </w:pPr>
            <w:r>
              <w:rPr>
                <w:color w:val="1C3A36"/>
                <w:sz w:val="14"/>
              </w:rPr>
              <w:t>ebrd_margin</w:t>
            </w:r>
          </w:p>
        </w:tc>
        <w:tc>
          <w:tcPr>
            <w:tcW w:type="dxa" w:w="1325"/>
          </w:tcPr>
          <w:p>
            <w:pPr>
              <w:spacing w:after="20"/>
            </w:pPr>
            <w:r>
              <w:rPr>
                <w:color w:val="1C3A36"/>
                <w:sz w:val="14"/>
              </w:rPr>
              <w:t>0.0435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10, facility schedule — the European Bank for Reconstruction and Development euro facility prices at three-month Euribor plus this margin</w:t>
            </w:r>
          </w:p>
        </w:tc>
        <w:tc>
          <w:tcPr>
            <w:tcW w:type="dxa" w:w="1210"/>
          </w:tcPr>
          <w:p>
            <w:pPr>
              <w:spacing w:after="20"/>
            </w:pPr>
            <w:r>
              <w:rPr>
                <w:color w:val="1C3A36"/>
                <w:sz w:val="14"/>
              </w:rPr>
              <w:t>2025-12-31</w:t>
            </w:r>
          </w:p>
        </w:tc>
      </w:tr>
      <w:tr>
        <w:tc>
          <w:tcPr>
            <w:tcW w:type="dxa" w:w="432"/>
          </w:tcPr>
          <w:p>
            <w:pPr>
              <w:spacing w:after="20"/>
            </w:pPr>
            <w:r>
              <w:rPr>
                <w:color w:val="1C3A36"/>
                <w:sz w:val="14"/>
              </w:rPr>
              <w:t>52</w:t>
            </w:r>
          </w:p>
        </w:tc>
        <w:tc>
          <w:tcPr>
            <w:tcW w:type="dxa" w:w="2448"/>
          </w:tcPr>
          <w:p>
            <w:pPr>
              <w:spacing w:after="20"/>
            </w:pPr>
            <w:r>
              <w:rPr>
                <w:color w:val="1C3A36"/>
                <w:sz w:val="14"/>
              </w:rPr>
              <w:t>ecl_fy23</w:t>
            </w:r>
          </w:p>
        </w:tc>
        <w:tc>
          <w:tcPr>
            <w:tcW w:type="dxa" w:w="1325"/>
          </w:tcPr>
          <w:p>
            <w:pPr>
              <w:spacing w:after="20"/>
            </w:pPr>
            <w:r>
              <w:rPr>
                <w:color w:val="1C3A36"/>
                <w:sz w:val="14"/>
              </w:rPr>
              <w:t>4.7458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expected credit losses on trade receivables,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53</w:t>
            </w:r>
          </w:p>
        </w:tc>
        <w:tc>
          <w:tcPr>
            <w:tcW w:type="dxa" w:w="2448"/>
          </w:tcPr>
          <w:p>
            <w:pPr>
              <w:spacing w:after="20"/>
            </w:pPr>
            <w:r>
              <w:rPr>
                <w:color w:val="1C3A36"/>
                <w:sz w:val="14"/>
              </w:rPr>
              <w:t>ecl_fy24</w:t>
            </w:r>
          </w:p>
        </w:tc>
        <w:tc>
          <w:tcPr>
            <w:tcW w:type="dxa" w:w="1325"/>
          </w:tcPr>
          <w:p>
            <w:pPr>
              <w:spacing w:after="20"/>
            </w:pPr>
            <w:r>
              <w:rPr>
                <w:color w:val="1C3A36"/>
                <w:sz w:val="14"/>
              </w:rPr>
              <w:t>-1.1065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REVERSAL of expected credit losses, comparative (negative, i.e. a credit)</w:t>
            </w:r>
          </w:p>
        </w:tc>
        <w:tc>
          <w:tcPr>
            <w:tcW w:type="dxa" w:w="1210"/>
          </w:tcPr>
          <w:p>
            <w:pPr>
              <w:spacing w:after="20"/>
            </w:pPr>
            <w:r>
              <w:rPr>
                <w:color w:val="1C3A36"/>
                <w:sz w:val="14"/>
              </w:rPr>
              <w:t>2024-12-31</w:t>
            </w:r>
          </w:p>
        </w:tc>
      </w:tr>
      <w:tr>
        <w:tc>
          <w:tcPr>
            <w:tcW w:type="dxa" w:w="432"/>
          </w:tcPr>
          <w:p>
            <w:pPr>
              <w:spacing w:after="20"/>
            </w:pPr>
            <w:r>
              <w:rPr>
                <w:color w:val="1C3A36"/>
                <w:sz w:val="14"/>
              </w:rPr>
              <w:t>54</w:t>
            </w:r>
          </w:p>
        </w:tc>
        <w:tc>
          <w:tcPr>
            <w:tcW w:type="dxa" w:w="2448"/>
          </w:tcPr>
          <w:p>
            <w:pPr>
              <w:spacing w:after="20"/>
            </w:pPr>
            <w:r>
              <w:rPr>
                <w:color w:val="1C3A36"/>
                <w:sz w:val="14"/>
              </w:rPr>
              <w:t>ecl_fy25</w:t>
            </w:r>
          </w:p>
        </w:tc>
        <w:tc>
          <w:tcPr>
            <w:tcW w:type="dxa" w:w="1325"/>
          </w:tcPr>
          <w:p>
            <w:pPr>
              <w:spacing w:after="20"/>
            </w:pPr>
            <w:r>
              <w:rPr>
                <w:color w:val="1C3A36"/>
                <w:sz w:val="14"/>
              </w:rPr>
              <w:t>3.6036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expected credit losses on trade receivables, note 17</w:t>
            </w:r>
          </w:p>
        </w:tc>
        <w:tc>
          <w:tcPr>
            <w:tcW w:type="dxa" w:w="1210"/>
          </w:tcPr>
          <w:p>
            <w:pPr>
              <w:spacing w:after="20"/>
            </w:pPr>
            <w:r>
              <w:rPr>
                <w:color w:val="1C3A36"/>
                <w:sz w:val="14"/>
              </w:rPr>
              <w:t>2025-12-31</w:t>
            </w:r>
          </w:p>
        </w:tc>
      </w:tr>
      <w:tr>
        <w:tc>
          <w:tcPr>
            <w:tcW w:type="dxa" w:w="432"/>
          </w:tcPr>
          <w:p>
            <w:pPr>
              <w:spacing w:after="20"/>
            </w:pPr>
            <w:r>
              <w:rPr>
                <w:color w:val="1C3A36"/>
                <w:sz w:val="14"/>
              </w:rPr>
              <w:t>55</w:t>
            </w:r>
          </w:p>
        </w:tc>
        <w:tc>
          <w:tcPr>
            <w:tcW w:type="dxa" w:w="2448"/>
          </w:tcPr>
          <w:p>
            <w:pPr>
              <w:spacing w:after="20"/>
            </w:pPr>
            <w:r>
              <w:rPr>
                <w:color w:val="1C3A36"/>
                <w:sz w:val="14"/>
              </w:rPr>
              <w:t>eff_rate_disclosed_fy24</w:t>
            </w:r>
          </w:p>
        </w:tc>
        <w:tc>
          <w:tcPr>
            <w:tcW w:type="dxa" w:w="1325"/>
          </w:tcPr>
          <w:p>
            <w:pPr>
              <w:spacing w:after="20"/>
            </w:pPr>
            <w:r>
              <w:rPr>
                <w:color w:val="1C3A36"/>
                <w:sz w:val="14"/>
              </w:rPr>
              <w:t>0.2296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note 10.2 — the same disclosure for 2024</w:t>
            </w:r>
          </w:p>
        </w:tc>
        <w:tc>
          <w:tcPr>
            <w:tcW w:type="dxa" w:w="1210"/>
          </w:tcPr>
          <w:p>
            <w:pPr>
              <w:spacing w:after="20"/>
            </w:pPr>
            <w:r>
              <w:rPr>
                <w:color w:val="1C3A36"/>
                <w:sz w:val="14"/>
              </w:rPr>
              <w:t>2024-12-31</w:t>
            </w:r>
          </w:p>
        </w:tc>
      </w:tr>
      <w:tr>
        <w:tc>
          <w:tcPr>
            <w:tcW w:type="dxa" w:w="432"/>
          </w:tcPr>
          <w:p>
            <w:pPr>
              <w:spacing w:after="20"/>
            </w:pPr>
            <w:r>
              <w:rPr>
                <w:color w:val="1C3A36"/>
                <w:sz w:val="14"/>
              </w:rPr>
              <w:t>56</w:t>
            </w:r>
          </w:p>
        </w:tc>
        <w:tc>
          <w:tcPr>
            <w:tcW w:type="dxa" w:w="2448"/>
          </w:tcPr>
          <w:p>
            <w:pPr>
              <w:spacing w:after="20"/>
            </w:pPr>
            <w:r>
              <w:rPr>
                <w:color w:val="1C3A36"/>
                <w:sz w:val="14"/>
              </w:rPr>
              <w:t>eff_rate_disclosed_fy25</w:t>
            </w:r>
          </w:p>
        </w:tc>
        <w:tc>
          <w:tcPr>
            <w:tcW w:type="dxa" w:w="1325"/>
          </w:tcPr>
          <w:p>
            <w:pPr>
              <w:spacing w:after="20"/>
            </w:pPr>
            <w:r>
              <w:rPr>
                <w:color w:val="1C3A36"/>
                <w:sz w:val="14"/>
              </w:rPr>
              <w:t>0.2333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10.2 — the average effective interest rate the company itself states for 2025, distinct from the rate this study computes from the charge and the balance</w:t>
            </w:r>
          </w:p>
        </w:tc>
        <w:tc>
          <w:tcPr>
            <w:tcW w:type="dxa" w:w="1210"/>
          </w:tcPr>
          <w:p>
            <w:pPr>
              <w:spacing w:after="20"/>
            </w:pPr>
            <w:r>
              <w:rPr>
                <w:color w:val="1C3A36"/>
                <w:sz w:val="14"/>
              </w:rPr>
              <w:t>2025-12-31</w:t>
            </w:r>
          </w:p>
        </w:tc>
      </w:tr>
      <w:tr>
        <w:tc>
          <w:tcPr>
            <w:tcW w:type="dxa" w:w="432"/>
          </w:tcPr>
          <w:p>
            <w:pPr>
              <w:spacing w:after="20"/>
            </w:pPr>
            <w:r>
              <w:rPr>
                <w:color w:val="1C3A36"/>
                <w:sz w:val="14"/>
              </w:rPr>
              <w:t>57</w:t>
            </w:r>
          </w:p>
        </w:tc>
        <w:tc>
          <w:tcPr>
            <w:tcW w:type="dxa" w:w="2448"/>
          </w:tcPr>
          <w:p>
            <w:pPr>
              <w:spacing w:after="20"/>
            </w:pPr>
            <w:r>
              <w:rPr>
                <w:color w:val="1C3A36"/>
                <w:sz w:val="14"/>
              </w:rPr>
              <w:t>eff_rate_disclosed_q126</w:t>
            </w:r>
          </w:p>
        </w:tc>
        <w:tc>
          <w:tcPr>
            <w:tcW w:type="dxa" w:w="1325"/>
          </w:tcPr>
          <w:p>
            <w:pPr>
              <w:spacing w:after="20"/>
            </w:pPr>
            <w:r>
              <w:rPr>
                <w:color w:val="1C3A36"/>
                <w:sz w:val="14"/>
              </w:rPr>
              <w:t>0.2592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the same disclosure annualised for the first quarter of 2026</w:t>
            </w:r>
          </w:p>
        </w:tc>
        <w:tc>
          <w:tcPr>
            <w:tcW w:type="dxa" w:w="1210"/>
          </w:tcPr>
          <w:p>
            <w:pPr>
              <w:spacing w:after="20"/>
            </w:pPr>
            <w:r>
              <w:rPr>
                <w:color w:val="1C3A36"/>
                <w:sz w:val="14"/>
              </w:rPr>
              <w:t>2026-03-31</w:t>
            </w:r>
          </w:p>
        </w:tc>
      </w:tr>
      <w:tr>
        <w:tc>
          <w:tcPr>
            <w:tcW w:type="dxa" w:w="432"/>
          </w:tcPr>
          <w:p>
            <w:pPr>
              <w:spacing w:after="20"/>
            </w:pPr>
            <w:r>
              <w:rPr>
                <w:color w:val="1C3A36"/>
                <w:sz w:val="14"/>
              </w:rPr>
              <w:t>58</w:t>
            </w:r>
          </w:p>
        </w:tc>
        <w:tc>
          <w:tcPr>
            <w:tcW w:type="dxa" w:w="2448"/>
          </w:tcPr>
          <w:p>
            <w:pPr>
              <w:spacing w:after="20"/>
            </w:pPr>
            <w:r>
              <w:rPr>
                <w:color w:val="1C3A36"/>
                <w:sz w:val="14"/>
              </w:rPr>
              <w:t>egy_cons_mt</w:t>
            </w:r>
          </w:p>
        </w:tc>
        <w:tc>
          <w:tcPr>
            <w:tcW w:type="dxa" w:w="1325"/>
          </w:tcPr>
          <w:p>
            <w:pPr>
              <w:spacing w:after="20"/>
            </w:pPr>
            <w:r>
              <w:rPr>
                <w:color w:val="1C3A36"/>
                <w:sz w:val="14"/>
              </w:rPr>
              <w:t>53.9</w:t>
            </w:r>
          </w:p>
        </w:tc>
        <w:tc>
          <w:tcPr>
            <w:tcW w:type="dxa" w:w="1066"/>
          </w:tcPr>
          <w:p>
            <w:pPr>
              <w:spacing w:after="20"/>
            </w:pPr>
            <w:r>
              <w:rPr>
                <w:color w:val="1C3A36"/>
                <w:sz w:val="14"/>
              </w:rPr>
              <w:t>Company</w:t>
            </w:r>
          </w:p>
        </w:tc>
        <w:tc>
          <w:tcPr>
            <w:tcW w:type="dxa" w:w="7171"/>
          </w:tcPr>
          <w:p>
            <w:pPr>
              <w:spacing w:after="20"/>
            </w:pPr>
            <w:r>
              <w:rPr>
                <w:color w:val="1C3A36"/>
                <w:sz w:val="14"/>
              </w:rPr>
              <w:t>Egyptian domestic cement sales 2025. FY2025 Investor Presentation, Arabian Cement Company S.A.E., investor relations library, page 5 (sales volumes and production indicators) page 12 gives 53.9Mt, against the 54.0 previously carried on trade estimate</w:t>
            </w:r>
          </w:p>
        </w:tc>
        <w:tc>
          <w:tcPr>
            <w:tcW w:type="dxa" w:w="1210"/>
          </w:tcPr>
          <w:p>
            <w:pPr>
              <w:spacing w:after="20"/>
            </w:pPr>
            <w:r>
              <w:rPr>
                <w:color w:val="1C3A36"/>
                <w:sz w:val="14"/>
              </w:rPr>
              <w:t>2026-03-01</w:t>
            </w:r>
          </w:p>
        </w:tc>
      </w:tr>
      <w:tr>
        <w:tc>
          <w:tcPr>
            <w:tcW w:type="dxa" w:w="432"/>
          </w:tcPr>
          <w:p>
            <w:pPr>
              <w:spacing w:after="20"/>
            </w:pPr>
            <w:r>
              <w:rPr>
                <w:color w:val="1C3A36"/>
                <w:sz w:val="14"/>
              </w:rPr>
              <w:t>59</w:t>
            </w:r>
          </w:p>
        </w:tc>
        <w:tc>
          <w:tcPr>
            <w:tcW w:type="dxa" w:w="2448"/>
          </w:tcPr>
          <w:p>
            <w:pPr>
              <w:spacing w:after="20"/>
            </w:pPr>
            <w:r>
              <w:rPr>
                <w:color w:val="1C3A36"/>
                <w:sz w:val="14"/>
              </w:rPr>
              <w:t>egy_exports_mt</w:t>
            </w:r>
          </w:p>
        </w:tc>
        <w:tc>
          <w:tcPr>
            <w:tcW w:type="dxa" w:w="1325"/>
          </w:tcPr>
          <w:p>
            <w:pPr>
              <w:spacing w:after="20"/>
            </w:pPr>
            <w:r>
              <w:rPr>
                <w:color w:val="1C3A36"/>
                <w:sz w:val="14"/>
              </w:rPr>
              <w:t>18.6</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export sales 2025. FY2025 Investor Presentation, Arabian Cement Company S.A.E., investor relations library, page 5 (sales volumes and production indicators) page 12. The two products are reported together, which is why the earlier balance failed: it set a cement-plus-clinker export figure against a cement-only production figure</w:t>
            </w:r>
          </w:p>
        </w:tc>
        <w:tc>
          <w:tcPr>
            <w:tcW w:type="dxa" w:w="1210"/>
          </w:tcPr>
          <w:p>
            <w:pPr>
              <w:spacing w:after="20"/>
            </w:pPr>
            <w:r>
              <w:rPr>
                <w:color w:val="1C3A36"/>
                <w:sz w:val="14"/>
              </w:rPr>
              <w:t>2026-03-01</w:t>
            </w:r>
          </w:p>
        </w:tc>
      </w:tr>
      <w:tr>
        <w:tc>
          <w:tcPr>
            <w:tcW w:type="dxa" w:w="432"/>
          </w:tcPr>
          <w:p>
            <w:pPr>
              <w:spacing w:after="20"/>
            </w:pPr>
            <w:r>
              <w:rPr>
                <w:color w:val="1C3A36"/>
                <w:sz w:val="14"/>
              </w:rPr>
              <w:t>60</w:t>
            </w:r>
          </w:p>
        </w:tc>
        <w:tc>
          <w:tcPr>
            <w:tcW w:type="dxa" w:w="2448"/>
          </w:tcPr>
          <w:p>
            <w:pPr>
              <w:spacing w:after="20"/>
            </w:pPr>
            <w:r>
              <w:rPr>
                <w:color w:val="1C3A36"/>
                <w:sz w:val="14"/>
              </w:rPr>
              <w:t>egy_prod_mt</w:t>
            </w:r>
          </w:p>
        </w:tc>
        <w:tc>
          <w:tcPr>
            <w:tcW w:type="dxa" w:w="1325"/>
          </w:tcPr>
          <w:p>
            <w:pPr>
              <w:spacing w:after="20"/>
            </w:pPr>
            <w:r>
              <w:rPr>
                <w:color w:val="1C3A36"/>
                <w:sz w:val="14"/>
              </w:rPr>
              <w:t>72.6</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SALES 2025 — local plus export. FY2025 Investor Presentation, Arabian Cement Company S.A.E., investor relations library, page 5 (sales volumes and production indicators) page 12 gives local 53.9Mt and exports 18.6Mt, total 72.6Mt. Revisions 1 to 4 carried 65.0Mt as 'production' against exports of 18.5Mt and consumption of 54Mt, a balance that does not close: 65 less 54 is 11Mt, not 18.5. One reviewer caught the gap and the disclosure now closes it. This changes the sector picture materially — see the utilisation note</w:t>
            </w:r>
          </w:p>
        </w:tc>
        <w:tc>
          <w:tcPr>
            <w:tcW w:type="dxa" w:w="1210"/>
          </w:tcPr>
          <w:p>
            <w:pPr>
              <w:spacing w:after="20"/>
            </w:pPr>
            <w:r>
              <w:rPr>
                <w:color w:val="1C3A36"/>
                <w:sz w:val="14"/>
              </w:rPr>
              <w:t>2026-03-01</w:t>
            </w:r>
          </w:p>
        </w:tc>
      </w:tr>
      <w:tr>
        <w:tc>
          <w:tcPr>
            <w:tcW w:type="dxa" w:w="432"/>
          </w:tcPr>
          <w:p>
            <w:pPr>
              <w:spacing w:after="20"/>
            </w:pPr>
            <w:r>
              <w:rPr>
                <w:color w:val="1C3A36"/>
                <w:sz w:val="14"/>
              </w:rPr>
              <w:t>61</w:t>
            </w:r>
          </w:p>
        </w:tc>
        <w:tc>
          <w:tcPr>
            <w:tcW w:type="dxa" w:w="2448"/>
          </w:tcPr>
          <w:p>
            <w:pPr>
              <w:spacing w:after="20"/>
            </w:pPr>
            <w:r>
              <w:rPr>
                <w:color w:val="1C3A36"/>
                <w:sz w:val="14"/>
              </w:rPr>
              <w:t>eps_fy23</w:t>
            </w:r>
          </w:p>
        </w:tc>
        <w:tc>
          <w:tcPr>
            <w:tcW w:type="dxa" w:w="1325"/>
          </w:tcPr>
          <w:p>
            <w:pPr>
              <w:spacing w:after="20"/>
            </w:pPr>
            <w:r>
              <w:rPr>
                <w:color w:val="1C3A36"/>
                <w:sz w:val="14"/>
              </w:rPr>
              <w:t>1.81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earnings per share, comparative</w:t>
            </w:r>
          </w:p>
        </w:tc>
        <w:tc>
          <w:tcPr>
            <w:tcW w:type="dxa" w:w="1210"/>
          </w:tcPr>
          <w:p>
            <w:pPr>
              <w:spacing w:after="20"/>
            </w:pPr>
            <w:r>
              <w:rPr>
                <w:color w:val="1C3A36"/>
                <w:sz w:val="14"/>
              </w:rPr>
              <w:t>2023-12-31</w:t>
            </w:r>
          </w:p>
        </w:tc>
      </w:tr>
      <w:tr>
        <w:tc>
          <w:tcPr>
            <w:tcW w:type="dxa" w:w="432"/>
          </w:tcPr>
          <w:p>
            <w:pPr>
              <w:spacing w:after="20"/>
            </w:pPr>
            <w:r>
              <w:rPr>
                <w:color w:val="1C3A36"/>
                <w:sz w:val="14"/>
              </w:rPr>
              <w:t>62</w:t>
            </w:r>
          </w:p>
        </w:tc>
        <w:tc>
          <w:tcPr>
            <w:tcW w:type="dxa" w:w="2448"/>
          </w:tcPr>
          <w:p>
            <w:pPr>
              <w:spacing w:after="20"/>
            </w:pPr>
            <w:r>
              <w:rPr>
                <w:color w:val="1C3A36"/>
                <w:sz w:val="14"/>
              </w:rPr>
              <w:t>eps_fy24</w:t>
            </w:r>
          </w:p>
        </w:tc>
        <w:tc>
          <w:tcPr>
            <w:tcW w:type="dxa" w:w="1325"/>
          </w:tcPr>
          <w:p>
            <w:pPr>
              <w:spacing w:after="20"/>
            </w:pPr>
            <w:r>
              <w:rPr>
                <w:color w:val="1C3A36"/>
                <w:sz w:val="14"/>
              </w:rPr>
              <w:t>3.02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comparative</w:t>
            </w:r>
          </w:p>
        </w:tc>
        <w:tc>
          <w:tcPr>
            <w:tcW w:type="dxa" w:w="1210"/>
          </w:tcPr>
          <w:p>
            <w:pPr>
              <w:spacing w:after="20"/>
            </w:pPr>
            <w:r>
              <w:rPr>
                <w:color w:val="1C3A36"/>
                <w:sz w:val="14"/>
              </w:rPr>
              <w:t>2024-12-31</w:t>
            </w:r>
          </w:p>
        </w:tc>
      </w:tr>
      <w:tr>
        <w:tc>
          <w:tcPr>
            <w:tcW w:type="dxa" w:w="432"/>
          </w:tcPr>
          <w:p>
            <w:pPr>
              <w:spacing w:after="20"/>
            </w:pPr>
            <w:r>
              <w:rPr>
                <w:color w:val="1C3A36"/>
                <w:sz w:val="14"/>
              </w:rPr>
              <w:t>63</w:t>
            </w:r>
          </w:p>
        </w:tc>
        <w:tc>
          <w:tcPr>
            <w:tcW w:type="dxa" w:w="2448"/>
          </w:tcPr>
          <w:p>
            <w:pPr>
              <w:spacing w:after="20"/>
            </w:pPr>
            <w:r>
              <w:rPr>
                <w:color w:val="1C3A36"/>
                <w:sz w:val="14"/>
              </w:rPr>
              <w:t>eps_fy25</w:t>
            </w:r>
          </w:p>
        </w:tc>
        <w:tc>
          <w:tcPr>
            <w:tcW w:type="dxa" w:w="1325"/>
          </w:tcPr>
          <w:p>
            <w:pPr>
              <w:spacing w:after="20"/>
            </w:pPr>
            <w:r>
              <w:rPr>
                <w:color w:val="1C3A36"/>
                <w:sz w:val="14"/>
              </w:rPr>
              <w:t>9.49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note 11, struck on distributable profit of 3,580.712 after the employees' share of 18.874</w:t>
            </w:r>
          </w:p>
        </w:tc>
        <w:tc>
          <w:tcPr>
            <w:tcW w:type="dxa" w:w="1210"/>
          </w:tcPr>
          <w:p>
            <w:pPr>
              <w:spacing w:after="20"/>
            </w:pPr>
            <w:r>
              <w:rPr>
                <w:color w:val="1C3A36"/>
                <w:sz w:val="14"/>
              </w:rPr>
              <w:t>2025-12-31</w:t>
            </w:r>
          </w:p>
        </w:tc>
      </w:tr>
      <w:tr>
        <w:tc>
          <w:tcPr>
            <w:tcW w:type="dxa" w:w="432"/>
          </w:tcPr>
          <w:p>
            <w:pPr>
              <w:spacing w:after="20"/>
            </w:pPr>
            <w:r>
              <w:rPr>
                <w:color w:val="1C3A36"/>
                <w:sz w:val="14"/>
              </w:rPr>
              <w:t>64</w:t>
            </w:r>
          </w:p>
        </w:tc>
        <w:tc>
          <w:tcPr>
            <w:tcW w:type="dxa" w:w="2448"/>
          </w:tcPr>
          <w:p>
            <w:pPr>
              <w:spacing w:after="20"/>
            </w:pPr>
            <w:r>
              <w:rPr>
                <w:color w:val="1C3A36"/>
                <w:sz w:val="14"/>
              </w:rPr>
              <w:t>eq_fy23</w:t>
            </w:r>
          </w:p>
        </w:tc>
        <w:tc>
          <w:tcPr>
            <w:tcW w:type="dxa" w:w="1325"/>
          </w:tcPr>
          <w:p>
            <w:pPr>
              <w:spacing w:after="20"/>
            </w:pPr>
            <w:r>
              <w:rPr>
                <w:color w:val="1C3A36"/>
                <w:sz w:val="14"/>
              </w:rPr>
              <w:t>1,754.2217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equity attributable to owners, comparative</w:t>
            </w:r>
          </w:p>
        </w:tc>
        <w:tc>
          <w:tcPr>
            <w:tcW w:type="dxa" w:w="1210"/>
          </w:tcPr>
          <w:p>
            <w:pPr>
              <w:spacing w:after="20"/>
            </w:pPr>
            <w:r>
              <w:rPr>
                <w:color w:val="1C3A36"/>
                <w:sz w:val="14"/>
              </w:rPr>
              <w:t>2023-12-31</w:t>
            </w:r>
          </w:p>
        </w:tc>
      </w:tr>
      <w:tr>
        <w:tc>
          <w:tcPr>
            <w:tcW w:type="dxa" w:w="432"/>
          </w:tcPr>
          <w:p>
            <w:pPr>
              <w:spacing w:after="20"/>
            </w:pPr>
            <w:r>
              <w:rPr>
                <w:color w:val="1C3A36"/>
                <w:sz w:val="14"/>
              </w:rPr>
              <w:t>65</w:t>
            </w:r>
          </w:p>
        </w:tc>
        <w:tc>
          <w:tcPr>
            <w:tcW w:type="dxa" w:w="2448"/>
          </w:tcPr>
          <w:p>
            <w:pPr>
              <w:spacing w:after="20"/>
            </w:pPr>
            <w:r>
              <w:rPr>
                <w:color w:val="1C3A36"/>
                <w:sz w:val="14"/>
              </w:rPr>
              <w:t>eq_fy24</w:t>
            </w:r>
          </w:p>
        </w:tc>
        <w:tc>
          <w:tcPr>
            <w:tcW w:type="dxa" w:w="1325"/>
          </w:tcPr>
          <w:p>
            <w:pPr>
              <w:spacing w:after="20"/>
            </w:pPr>
            <w:r>
              <w:rPr>
                <w:color w:val="1C3A36"/>
                <w:sz w:val="14"/>
              </w:rPr>
              <w:t>2,303.4723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comparative</w:t>
            </w:r>
          </w:p>
        </w:tc>
        <w:tc>
          <w:tcPr>
            <w:tcW w:type="dxa" w:w="1210"/>
          </w:tcPr>
          <w:p>
            <w:pPr>
              <w:spacing w:after="20"/>
            </w:pPr>
            <w:r>
              <w:rPr>
                <w:color w:val="1C3A36"/>
                <w:sz w:val="14"/>
              </w:rPr>
              <w:t>2024-12-31</w:t>
            </w:r>
          </w:p>
        </w:tc>
      </w:tr>
      <w:tr>
        <w:tc>
          <w:tcPr>
            <w:tcW w:type="dxa" w:w="432"/>
          </w:tcPr>
          <w:p>
            <w:pPr>
              <w:spacing w:after="20"/>
            </w:pPr>
            <w:r>
              <w:rPr>
                <w:color w:val="1C3A36"/>
                <w:sz w:val="14"/>
              </w:rPr>
              <w:t>66</w:t>
            </w:r>
          </w:p>
        </w:tc>
        <w:tc>
          <w:tcPr>
            <w:tcW w:type="dxa" w:w="2448"/>
          </w:tcPr>
          <w:p>
            <w:pPr>
              <w:spacing w:after="20"/>
            </w:pPr>
            <w:r>
              <w:rPr>
                <w:color w:val="1C3A36"/>
                <w:sz w:val="14"/>
              </w:rPr>
              <w:t>eq_fy25</w:t>
            </w:r>
          </w:p>
        </w:tc>
        <w:tc>
          <w:tcPr>
            <w:tcW w:type="dxa" w:w="1325"/>
          </w:tcPr>
          <w:p>
            <w:pPr>
              <w:spacing w:after="20"/>
            </w:pPr>
            <w:r>
              <w:rPr>
                <w:color w:val="1C3A36"/>
                <w:sz w:val="14"/>
              </w:rPr>
              <w:t>4,642.5742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of the Parent: issued capital 757.479, treasury shares (143.328), legal reserve 379.506, retained earnings 3,648.917</w:t>
            </w:r>
          </w:p>
        </w:tc>
        <w:tc>
          <w:tcPr>
            <w:tcW w:type="dxa" w:w="1210"/>
          </w:tcPr>
          <w:p>
            <w:pPr>
              <w:spacing w:after="20"/>
            </w:pPr>
            <w:r>
              <w:rPr>
                <w:color w:val="1C3A36"/>
                <w:sz w:val="14"/>
              </w:rPr>
              <w:t>2025-12-31</w:t>
            </w:r>
          </w:p>
        </w:tc>
      </w:tr>
      <w:tr>
        <w:tc>
          <w:tcPr>
            <w:tcW w:type="dxa" w:w="432"/>
          </w:tcPr>
          <w:p>
            <w:pPr>
              <w:spacing w:after="20"/>
            </w:pPr>
            <w:r>
              <w:rPr>
                <w:color w:val="1C3A36"/>
                <w:sz w:val="14"/>
              </w:rPr>
              <w:t>67</w:t>
            </w:r>
          </w:p>
        </w:tc>
        <w:tc>
          <w:tcPr>
            <w:tcW w:type="dxa" w:w="2448"/>
          </w:tcPr>
          <w:p>
            <w:pPr>
              <w:spacing w:after="20"/>
            </w:pPr>
            <w:r>
              <w:rPr>
                <w:color w:val="1C3A36"/>
                <w:sz w:val="14"/>
              </w:rPr>
              <w:t>equity_h1_26</w:t>
            </w:r>
          </w:p>
        </w:tc>
        <w:tc>
          <w:tcPr>
            <w:tcW w:type="dxa" w:w="1325"/>
          </w:tcPr>
          <w:p>
            <w:pPr>
              <w:spacing w:after="20"/>
            </w:pPr>
            <w:r>
              <w:rPr>
                <w:color w:val="1C3A36"/>
                <w:sz w:val="14"/>
              </w:rPr>
              <w:t>4,794.3034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equity attributable to owners of the Parent Company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68</w:t>
            </w:r>
          </w:p>
        </w:tc>
        <w:tc>
          <w:tcPr>
            <w:tcW w:type="dxa" w:w="2448"/>
          </w:tcPr>
          <w:p>
            <w:pPr>
              <w:spacing w:after="20"/>
            </w:pPr>
            <w:r>
              <w:rPr>
                <w:color w:val="1C3A36"/>
                <w:sz w:val="14"/>
              </w:rPr>
              <w:t>export_subsidy_fy25</w:t>
            </w:r>
          </w:p>
        </w:tc>
        <w:tc>
          <w:tcPr>
            <w:tcW w:type="dxa" w:w="1325"/>
          </w:tcPr>
          <w:p>
            <w:pPr>
              <w:spacing w:after="20"/>
            </w:pPr>
            <w:r>
              <w:rPr>
                <w:color w:val="1C3A36"/>
                <w:sz w:val="14"/>
              </w:rPr>
              <w:t>32.6426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7: other income for FY2025 'includes export subsidies amounted to EGP 32 642 586'. The comparison that makes the H1-2026 collection readable as a catch-up rather than a run rate</w:t>
            </w:r>
          </w:p>
        </w:tc>
        <w:tc>
          <w:tcPr>
            <w:tcW w:type="dxa" w:w="1210"/>
          </w:tcPr>
          <w:p>
            <w:pPr>
              <w:spacing w:after="20"/>
            </w:pPr>
            <w:r>
              <w:rPr>
                <w:color w:val="1C3A36"/>
                <w:sz w:val="14"/>
              </w:rPr>
              <w:t>2025-12-31</w:t>
            </w:r>
          </w:p>
        </w:tc>
      </w:tr>
      <w:tr>
        <w:tc>
          <w:tcPr>
            <w:tcW w:type="dxa" w:w="432"/>
          </w:tcPr>
          <w:p>
            <w:pPr>
              <w:spacing w:after="20"/>
            </w:pPr>
            <w:r>
              <w:rPr>
                <w:color w:val="1C3A36"/>
                <w:sz w:val="14"/>
              </w:rPr>
              <w:t>69</w:t>
            </w:r>
          </w:p>
        </w:tc>
        <w:tc>
          <w:tcPr>
            <w:tcW w:type="dxa" w:w="2448"/>
          </w:tcPr>
          <w:p>
            <w:pPr>
              <w:spacing w:after="20"/>
            </w:pPr>
            <w:r>
              <w:rPr>
                <w:color w:val="1C3A36"/>
                <w:sz w:val="14"/>
              </w:rPr>
              <w:t>export_subsidy_h1_26</w:t>
            </w:r>
          </w:p>
        </w:tc>
        <w:tc>
          <w:tcPr>
            <w:tcW w:type="dxa" w:w="1325"/>
          </w:tcPr>
          <w:p>
            <w:pPr>
              <w:spacing w:after="20"/>
            </w:pPr>
            <w:r>
              <w:rPr>
                <w:color w:val="1C3A36"/>
                <w:sz w:val="14"/>
              </w:rPr>
              <w:t>467.8131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29: 'The other income for the period ended June 30, 2026, includes export subsidy amounted to EGP 467 813 139 which have been collected during the three months period ended June 30, 2026.' EXCLUDED from forward operating income and left in the 30 June cash balance</w:t>
            </w:r>
          </w:p>
        </w:tc>
        <w:tc>
          <w:tcPr>
            <w:tcW w:type="dxa" w:w="1210"/>
          </w:tcPr>
          <w:p>
            <w:pPr>
              <w:spacing w:after="20"/>
            </w:pPr>
            <w:r>
              <w:rPr>
                <w:color w:val="1C3A36"/>
                <w:sz w:val="14"/>
              </w:rPr>
              <w:t>2026-06-30</w:t>
            </w:r>
          </w:p>
        </w:tc>
      </w:tr>
      <w:tr>
        <w:tc>
          <w:tcPr>
            <w:tcW w:type="dxa" w:w="432"/>
          </w:tcPr>
          <w:p>
            <w:pPr>
              <w:spacing w:after="20"/>
            </w:pPr>
            <w:r>
              <w:rPr>
                <w:color w:val="1C3A36"/>
                <w:sz w:val="14"/>
              </w:rPr>
              <w:t>70</w:t>
            </w:r>
          </w:p>
        </w:tc>
        <w:tc>
          <w:tcPr>
            <w:tcW w:type="dxa" w:w="2448"/>
          </w:tcPr>
          <w:p>
            <w:pPr>
              <w:spacing w:after="20"/>
            </w:pPr>
            <w:r>
              <w:rPr>
                <w:color w:val="1C3A36"/>
                <w:sz w:val="14"/>
              </w:rPr>
              <w:t>fac_int_fy24</w:t>
            </w:r>
          </w:p>
        </w:tc>
        <w:tc>
          <w:tcPr>
            <w:tcW w:type="dxa" w:w="1325"/>
          </w:tcPr>
          <w:p>
            <w:pPr>
              <w:spacing w:after="20"/>
            </w:pPr>
            <w:r>
              <w:rPr>
                <w:color w:val="1C3A36"/>
                <w:sz w:val="14"/>
              </w:rPr>
              <w:t>85.953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comparative</w:t>
            </w:r>
          </w:p>
        </w:tc>
        <w:tc>
          <w:tcPr>
            <w:tcW w:type="dxa" w:w="1210"/>
          </w:tcPr>
          <w:p>
            <w:pPr>
              <w:spacing w:after="20"/>
            </w:pPr>
            <w:r>
              <w:rPr>
                <w:color w:val="1C3A36"/>
                <w:sz w:val="14"/>
              </w:rPr>
              <w:t>2024-12-31</w:t>
            </w:r>
          </w:p>
        </w:tc>
      </w:tr>
      <w:tr>
        <w:tc>
          <w:tcPr>
            <w:tcW w:type="dxa" w:w="432"/>
          </w:tcPr>
          <w:p>
            <w:pPr>
              <w:spacing w:after="20"/>
            </w:pPr>
            <w:r>
              <w:rPr>
                <w:color w:val="1C3A36"/>
                <w:sz w:val="14"/>
              </w:rPr>
              <w:t>71</w:t>
            </w:r>
          </w:p>
        </w:tc>
        <w:tc>
          <w:tcPr>
            <w:tcW w:type="dxa" w:w="2448"/>
          </w:tcPr>
          <w:p>
            <w:pPr>
              <w:spacing w:after="20"/>
            </w:pPr>
            <w:r>
              <w:rPr>
                <w:color w:val="1C3A36"/>
                <w:sz w:val="14"/>
              </w:rPr>
              <w:t>fac_int_fy25</w:t>
            </w:r>
          </w:p>
        </w:tc>
        <w:tc>
          <w:tcPr>
            <w:tcW w:type="dxa" w:w="1325"/>
          </w:tcPr>
          <w:p>
            <w:pPr>
              <w:spacing w:after="20"/>
            </w:pPr>
            <w:r>
              <w:rPr>
                <w:color w:val="1C3A36"/>
                <w:sz w:val="14"/>
              </w:rPr>
              <w:t>23.0074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72</w:t>
            </w:r>
          </w:p>
        </w:tc>
        <w:tc>
          <w:tcPr>
            <w:tcW w:type="dxa" w:w="2448"/>
          </w:tcPr>
          <w:p>
            <w:pPr>
              <w:spacing w:after="20"/>
            </w:pPr>
            <w:r>
              <w:rPr>
                <w:color w:val="1C3A36"/>
                <w:sz w:val="14"/>
              </w:rPr>
              <w:t>fincost_fy24</w:t>
            </w:r>
          </w:p>
        </w:tc>
        <w:tc>
          <w:tcPr>
            <w:tcW w:type="dxa" w:w="1325"/>
          </w:tcPr>
          <w:p>
            <w:pPr>
              <w:spacing w:after="20"/>
            </w:pPr>
            <w:r>
              <w:rPr>
                <w:color w:val="1C3A36"/>
                <w:sz w:val="14"/>
              </w:rPr>
              <w:t>91.1889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comparative</w:t>
            </w:r>
          </w:p>
        </w:tc>
        <w:tc>
          <w:tcPr>
            <w:tcW w:type="dxa" w:w="1210"/>
          </w:tcPr>
          <w:p>
            <w:pPr>
              <w:spacing w:after="20"/>
            </w:pPr>
            <w:r>
              <w:rPr>
                <w:color w:val="1C3A36"/>
                <w:sz w:val="14"/>
              </w:rPr>
              <w:t>2024-12-31</w:t>
            </w:r>
          </w:p>
        </w:tc>
      </w:tr>
      <w:tr>
        <w:tc>
          <w:tcPr>
            <w:tcW w:type="dxa" w:w="432"/>
          </w:tcPr>
          <w:p>
            <w:pPr>
              <w:spacing w:after="20"/>
            </w:pPr>
            <w:r>
              <w:rPr>
                <w:color w:val="1C3A36"/>
                <w:sz w:val="14"/>
              </w:rPr>
              <w:t>73</w:t>
            </w:r>
          </w:p>
        </w:tc>
        <w:tc>
          <w:tcPr>
            <w:tcW w:type="dxa" w:w="2448"/>
          </w:tcPr>
          <w:p>
            <w:pPr>
              <w:spacing w:after="20"/>
            </w:pPr>
            <w:r>
              <w:rPr>
                <w:color w:val="1C3A36"/>
                <w:sz w:val="14"/>
              </w:rPr>
              <w:t>fincost_fy25</w:t>
            </w:r>
          </w:p>
        </w:tc>
        <w:tc>
          <w:tcPr>
            <w:tcW w:type="dxa" w:w="1325"/>
          </w:tcPr>
          <w:p>
            <w:pPr>
              <w:spacing w:after="20"/>
            </w:pPr>
            <w:r>
              <w:rPr>
                <w:color w:val="1C3A36"/>
                <w:sz w:val="14"/>
              </w:rPr>
              <w:t>49.8417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note 8: loan interest 24.613, credit-facility interest 23.007, lease interest 1.163, long-term trade-payable finance interest 1.059</w:t>
            </w:r>
          </w:p>
        </w:tc>
        <w:tc>
          <w:tcPr>
            <w:tcW w:type="dxa" w:w="1210"/>
          </w:tcPr>
          <w:p>
            <w:pPr>
              <w:spacing w:after="20"/>
            </w:pPr>
            <w:r>
              <w:rPr>
                <w:color w:val="1C3A36"/>
                <w:sz w:val="14"/>
              </w:rPr>
              <w:t>2025-12-31</w:t>
            </w:r>
          </w:p>
        </w:tc>
      </w:tr>
      <w:tr>
        <w:tc>
          <w:tcPr>
            <w:tcW w:type="dxa" w:w="432"/>
          </w:tcPr>
          <w:p>
            <w:pPr>
              <w:spacing w:after="20"/>
            </w:pPr>
            <w:r>
              <w:rPr>
                <w:color w:val="1C3A36"/>
                <w:sz w:val="14"/>
              </w:rPr>
              <w:t>74</w:t>
            </w:r>
          </w:p>
        </w:tc>
        <w:tc>
          <w:tcPr>
            <w:tcW w:type="dxa" w:w="2448"/>
          </w:tcPr>
          <w:p>
            <w:pPr>
              <w:spacing w:after="20"/>
            </w:pPr>
            <w:r>
              <w:rPr>
                <w:color w:val="1C3A36"/>
                <w:sz w:val="14"/>
              </w:rPr>
              <w:t>fincost_h1_26</w:t>
            </w:r>
          </w:p>
        </w:tc>
        <w:tc>
          <w:tcPr>
            <w:tcW w:type="dxa" w:w="1325"/>
          </w:tcPr>
          <w:p>
            <w:pPr>
              <w:spacing w:after="20"/>
            </w:pPr>
            <w:r>
              <w:rPr>
                <w:color w:val="1C3A36"/>
                <w:sz w:val="14"/>
              </w:rPr>
              <w:t>23.4718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finance costs</w:t>
            </w:r>
          </w:p>
        </w:tc>
        <w:tc>
          <w:tcPr>
            <w:tcW w:type="dxa" w:w="1210"/>
          </w:tcPr>
          <w:p>
            <w:pPr>
              <w:spacing w:after="20"/>
            </w:pPr>
            <w:r>
              <w:rPr>
                <w:color w:val="1C3A36"/>
                <w:sz w:val="14"/>
              </w:rPr>
              <w:t>2026-06-30</w:t>
            </w:r>
          </w:p>
        </w:tc>
      </w:tr>
      <w:tr>
        <w:tc>
          <w:tcPr>
            <w:tcW w:type="dxa" w:w="432"/>
          </w:tcPr>
          <w:p>
            <w:pPr>
              <w:spacing w:after="20"/>
            </w:pPr>
            <w:r>
              <w:rPr>
                <w:color w:val="1C3A36"/>
                <w:sz w:val="14"/>
              </w:rPr>
              <w:t>75</w:t>
            </w:r>
          </w:p>
        </w:tc>
        <w:tc>
          <w:tcPr>
            <w:tcW w:type="dxa" w:w="2448"/>
          </w:tcPr>
          <w:p>
            <w:pPr>
              <w:spacing w:after="20"/>
            </w:pPr>
            <w:r>
              <w:rPr>
                <w:color w:val="1C3A36"/>
                <w:sz w:val="14"/>
              </w:rPr>
              <w:t>fincost_q1_26</w:t>
            </w:r>
          </w:p>
        </w:tc>
        <w:tc>
          <w:tcPr>
            <w:tcW w:type="dxa" w:w="1325"/>
          </w:tcPr>
          <w:p>
            <w:pPr>
              <w:spacing w:after="20"/>
            </w:pPr>
            <w:r>
              <w:rPr>
                <w:color w:val="1C3A36"/>
                <w:sz w:val="14"/>
              </w:rPr>
              <w:t>11.1688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finance costs</w:t>
            </w:r>
          </w:p>
        </w:tc>
        <w:tc>
          <w:tcPr>
            <w:tcW w:type="dxa" w:w="1210"/>
          </w:tcPr>
          <w:p>
            <w:pPr>
              <w:spacing w:after="20"/>
            </w:pPr>
            <w:r>
              <w:rPr>
                <w:color w:val="1C3A36"/>
                <w:sz w:val="14"/>
              </w:rPr>
              <w:t>2026-03-31</w:t>
            </w:r>
          </w:p>
        </w:tc>
      </w:tr>
      <w:tr>
        <w:tc>
          <w:tcPr>
            <w:tcW w:type="dxa" w:w="432"/>
          </w:tcPr>
          <w:p>
            <w:pPr>
              <w:spacing w:after="20"/>
            </w:pPr>
            <w:r>
              <w:rPr>
                <w:color w:val="1C3A36"/>
                <w:sz w:val="14"/>
              </w:rPr>
              <w:t>76</w:t>
            </w:r>
          </w:p>
        </w:tc>
        <w:tc>
          <w:tcPr>
            <w:tcW w:type="dxa" w:w="2448"/>
          </w:tcPr>
          <w:p>
            <w:pPr>
              <w:spacing w:after="20"/>
            </w:pPr>
            <w:r>
              <w:rPr>
                <w:color w:val="1C3A36"/>
                <w:sz w:val="14"/>
              </w:rPr>
              <w:t>fx_avg_fy24</w:t>
            </w:r>
          </w:p>
        </w:tc>
        <w:tc>
          <w:tcPr>
            <w:tcW w:type="dxa" w:w="1325"/>
          </w:tcPr>
          <w:p>
            <w:pPr>
              <w:spacing w:after="20"/>
            </w:pPr>
            <w:r>
              <w:rPr>
                <w:color w:val="1C3A36"/>
                <w:sz w:val="14"/>
              </w:rPr>
              <w:t>44.39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average USD/EGP 2024</w:t>
            </w:r>
          </w:p>
        </w:tc>
        <w:tc>
          <w:tcPr>
            <w:tcW w:type="dxa" w:w="1210"/>
          </w:tcPr>
          <w:p>
            <w:pPr>
              <w:spacing w:after="20"/>
            </w:pPr>
            <w:r>
              <w:rPr>
                <w:color w:val="1C3A36"/>
                <w:sz w:val="14"/>
              </w:rPr>
              <w:t>2024-12-31</w:t>
            </w:r>
          </w:p>
        </w:tc>
      </w:tr>
      <w:tr>
        <w:tc>
          <w:tcPr>
            <w:tcW w:type="dxa" w:w="432"/>
          </w:tcPr>
          <w:p>
            <w:pPr>
              <w:spacing w:after="20"/>
            </w:pPr>
            <w:r>
              <w:rPr>
                <w:color w:val="1C3A36"/>
                <w:sz w:val="14"/>
              </w:rPr>
              <w:t>77</w:t>
            </w:r>
          </w:p>
        </w:tc>
        <w:tc>
          <w:tcPr>
            <w:tcW w:type="dxa" w:w="2448"/>
          </w:tcPr>
          <w:p>
            <w:pPr>
              <w:spacing w:after="20"/>
            </w:pPr>
            <w:r>
              <w:rPr>
                <w:color w:val="1C3A36"/>
                <w:sz w:val="14"/>
              </w:rPr>
              <w:t>fx_avg_fy25</w:t>
            </w:r>
          </w:p>
        </w:tc>
        <w:tc>
          <w:tcPr>
            <w:tcW w:type="dxa" w:w="1325"/>
          </w:tcPr>
          <w:p>
            <w:pPr>
              <w:spacing w:after="20"/>
            </w:pPr>
            <w:r>
              <w:rPr>
                <w:color w:val="1C3A36"/>
                <w:sz w:val="14"/>
              </w:rPr>
              <w:t>49.26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currency table: average USD/EGP for 2025</w:t>
            </w:r>
          </w:p>
        </w:tc>
        <w:tc>
          <w:tcPr>
            <w:tcW w:type="dxa" w:w="1210"/>
          </w:tcPr>
          <w:p>
            <w:pPr>
              <w:spacing w:after="20"/>
            </w:pPr>
            <w:r>
              <w:rPr>
                <w:color w:val="1C3A36"/>
                <w:sz w:val="14"/>
              </w:rPr>
              <w:t>2025-12-31</w:t>
            </w:r>
          </w:p>
        </w:tc>
      </w:tr>
      <w:tr>
        <w:tc>
          <w:tcPr>
            <w:tcW w:type="dxa" w:w="432"/>
          </w:tcPr>
          <w:p>
            <w:pPr>
              <w:spacing w:after="20"/>
            </w:pPr>
            <w:r>
              <w:rPr>
                <w:color w:val="1C3A36"/>
                <w:sz w:val="14"/>
              </w:rPr>
              <w:t>78</w:t>
            </w:r>
          </w:p>
        </w:tc>
        <w:tc>
          <w:tcPr>
            <w:tcW w:type="dxa" w:w="2448"/>
          </w:tcPr>
          <w:p>
            <w:pPr>
              <w:spacing w:after="20"/>
            </w:pPr>
            <w:r>
              <w:rPr>
                <w:color w:val="1C3A36"/>
                <w:sz w:val="14"/>
              </w:rPr>
              <w:t>fx_diff_fy25</w:t>
            </w:r>
          </w:p>
        </w:tc>
        <w:tc>
          <w:tcPr>
            <w:tcW w:type="dxa" w:w="1325"/>
          </w:tcPr>
          <w:p>
            <w:pPr>
              <w:spacing w:after="20"/>
            </w:pPr>
            <w:r>
              <w:rPr>
                <w:color w:val="1C3A36"/>
                <w:sz w:val="14"/>
              </w:rPr>
              <w:t>-101.5782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foreign currency exchange differences, a LOSS</w:t>
            </w:r>
          </w:p>
        </w:tc>
        <w:tc>
          <w:tcPr>
            <w:tcW w:type="dxa" w:w="1210"/>
          </w:tcPr>
          <w:p>
            <w:pPr>
              <w:spacing w:after="20"/>
            </w:pPr>
            <w:r>
              <w:rPr>
                <w:color w:val="1C3A36"/>
                <w:sz w:val="14"/>
              </w:rPr>
              <w:t>2025-12-31</w:t>
            </w:r>
          </w:p>
        </w:tc>
      </w:tr>
      <w:tr>
        <w:tc>
          <w:tcPr>
            <w:tcW w:type="dxa" w:w="432"/>
          </w:tcPr>
          <w:p>
            <w:pPr>
              <w:spacing w:after="20"/>
            </w:pPr>
            <w:r>
              <w:rPr>
                <w:color w:val="1C3A36"/>
                <w:sz w:val="14"/>
              </w:rPr>
              <w:t>79</w:t>
            </w:r>
          </w:p>
        </w:tc>
        <w:tc>
          <w:tcPr>
            <w:tcW w:type="dxa" w:w="2448"/>
          </w:tcPr>
          <w:p>
            <w:pPr>
              <w:spacing w:after="20"/>
            </w:pPr>
            <w:r>
              <w:rPr>
                <w:color w:val="1C3A36"/>
                <w:sz w:val="14"/>
              </w:rPr>
              <w:t>fx_h1_26</w:t>
            </w:r>
          </w:p>
        </w:tc>
        <w:tc>
          <w:tcPr>
            <w:tcW w:type="dxa" w:w="1325"/>
          </w:tcPr>
          <w:p>
            <w:pPr>
              <w:spacing w:after="20"/>
            </w:pPr>
            <w:r>
              <w:rPr>
                <w:color w:val="1C3A36"/>
                <w:sz w:val="14"/>
              </w:rPr>
              <w:t>64.6615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foreign currency exchange gains</w:t>
            </w:r>
          </w:p>
        </w:tc>
        <w:tc>
          <w:tcPr>
            <w:tcW w:type="dxa" w:w="1210"/>
          </w:tcPr>
          <w:p>
            <w:pPr>
              <w:spacing w:after="20"/>
            </w:pPr>
            <w:r>
              <w:rPr>
                <w:color w:val="1C3A36"/>
                <w:sz w:val="14"/>
              </w:rPr>
              <w:t>2026-06-30</w:t>
            </w:r>
          </w:p>
        </w:tc>
      </w:tr>
      <w:tr>
        <w:tc>
          <w:tcPr>
            <w:tcW w:type="dxa" w:w="432"/>
          </w:tcPr>
          <w:p>
            <w:pPr>
              <w:spacing w:after="20"/>
            </w:pPr>
            <w:r>
              <w:rPr>
                <w:color w:val="1C3A36"/>
                <w:sz w:val="14"/>
              </w:rPr>
              <w:t>80</w:t>
            </w:r>
          </w:p>
        </w:tc>
        <w:tc>
          <w:tcPr>
            <w:tcW w:type="dxa" w:w="2448"/>
          </w:tcPr>
          <w:p>
            <w:pPr>
              <w:spacing w:after="20"/>
            </w:pPr>
            <w:r>
              <w:rPr>
                <w:color w:val="1C3A36"/>
                <w:sz w:val="14"/>
              </w:rPr>
              <w:t>fx_ye_fy25</w:t>
            </w:r>
          </w:p>
        </w:tc>
        <w:tc>
          <w:tcPr>
            <w:tcW w:type="dxa" w:w="1325"/>
          </w:tcPr>
          <w:p>
            <w:pPr>
              <w:spacing w:after="20"/>
            </w:pPr>
            <w:r>
              <w:rPr>
                <w:color w:val="1C3A36"/>
                <w:sz w:val="14"/>
              </w:rPr>
              <w:t>47.66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year-end USD/EGP 2025</w:t>
            </w:r>
          </w:p>
        </w:tc>
        <w:tc>
          <w:tcPr>
            <w:tcW w:type="dxa" w:w="1210"/>
          </w:tcPr>
          <w:p>
            <w:pPr>
              <w:spacing w:after="20"/>
            </w:pPr>
            <w:r>
              <w:rPr>
                <w:color w:val="1C3A36"/>
                <w:sz w:val="14"/>
              </w:rPr>
              <w:t>2025-12-31</w:t>
            </w:r>
          </w:p>
        </w:tc>
      </w:tr>
      <w:tr>
        <w:tc>
          <w:tcPr>
            <w:tcW w:type="dxa" w:w="432"/>
          </w:tcPr>
          <w:p>
            <w:pPr>
              <w:spacing w:after="20"/>
            </w:pPr>
            <w:r>
              <w:rPr>
                <w:color w:val="1C3A36"/>
                <w:sz w:val="14"/>
              </w:rPr>
              <w:t>81</w:t>
            </w:r>
          </w:p>
        </w:tc>
        <w:tc>
          <w:tcPr>
            <w:tcW w:type="dxa" w:w="2448"/>
          </w:tcPr>
          <w:p>
            <w:pPr>
              <w:spacing w:after="20"/>
            </w:pPr>
            <w:r>
              <w:rPr>
                <w:color w:val="1C3A36"/>
                <w:sz w:val="14"/>
              </w:rPr>
              <w:t>ga_admin_dep_fy25</w:t>
            </w:r>
          </w:p>
        </w:tc>
        <w:tc>
          <w:tcPr>
            <w:tcW w:type="dxa" w:w="1325"/>
          </w:tcPr>
          <w:p>
            <w:pPr>
              <w:spacing w:after="20"/>
            </w:pPr>
            <w:r>
              <w:rPr>
                <w:color w:val="1C3A36"/>
                <w:sz w:val="14"/>
              </w:rPr>
              <w:t>4.3241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6, administrative depreciation</w:t>
            </w:r>
          </w:p>
        </w:tc>
        <w:tc>
          <w:tcPr>
            <w:tcW w:type="dxa" w:w="1210"/>
          </w:tcPr>
          <w:p>
            <w:pPr>
              <w:spacing w:after="20"/>
            </w:pPr>
            <w:r>
              <w:rPr>
                <w:color w:val="1C3A36"/>
                <w:sz w:val="14"/>
              </w:rPr>
              <w:t>2025-12-31</w:t>
            </w:r>
          </w:p>
        </w:tc>
      </w:tr>
      <w:tr>
        <w:tc>
          <w:tcPr>
            <w:tcW w:type="dxa" w:w="432"/>
          </w:tcPr>
          <w:p>
            <w:pPr>
              <w:spacing w:after="20"/>
            </w:pPr>
            <w:r>
              <w:rPr>
                <w:color w:val="1C3A36"/>
                <w:sz w:val="14"/>
              </w:rPr>
              <w:t>82</w:t>
            </w:r>
          </w:p>
        </w:tc>
        <w:tc>
          <w:tcPr>
            <w:tcW w:type="dxa" w:w="2448"/>
          </w:tcPr>
          <w:p>
            <w:pPr>
              <w:spacing w:after="20"/>
            </w:pPr>
            <w:r>
              <w:rPr>
                <w:color w:val="1C3A36"/>
                <w:sz w:val="14"/>
              </w:rPr>
              <w:t>ga_fy23</w:t>
            </w:r>
          </w:p>
        </w:tc>
        <w:tc>
          <w:tcPr>
            <w:tcW w:type="dxa" w:w="1325"/>
          </w:tcPr>
          <w:p>
            <w:pPr>
              <w:spacing w:after="20"/>
            </w:pPr>
            <w:r>
              <w:rPr>
                <w:color w:val="1C3A36"/>
                <w:sz w:val="14"/>
              </w:rPr>
              <w:t>183.9403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general and administrative expenses, comparative</w:t>
            </w:r>
          </w:p>
        </w:tc>
        <w:tc>
          <w:tcPr>
            <w:tcW w:type="dxa" w:w="1210"/>
          </w:tcPr>
          <w:p>
            <w:pPr>
              <w:spacing w:after="20"/>
            </w:pPr>
            <w:r>
              <w:rPr>
                <w:color w:val="1C3A36"/>
                <w:sz w:val="14"/>
              </w:rPr>
              <w:t>2023-12-31</w:t>
            </w:r>
          </w:p>
        </w:tc>
      </w:tr>
      <w:tr>
        <w:tc>
          <w:tcPr>
            <w:tcW w:type="dxa" w:w="432"/>
          </w:tcPr>
          <w:p>
            <w:pPr>
              <w:spacing w:after="20"/>
            </w:pPr>
            <w:r>
              <w:rPr>
                <w:color w:val="1C3A36"/>
                <w:sz w:val="14"/>
              </w:rPr>
              <w:t>83</w:t>
            </w:r>
          </w:p>
        </w:tc>
        <w:tc>
          <w:tcPr>
            <w:tcW w:type="dxa" w:w="2448"/>
          </w:tcPr>
          <w:p>
            <w:pPr>
              <w:spacing w:after="20"/>
            </w:pPr>
            <w:r>
              <w:rPr>
                <w:color w:val="1C3A36"/>
                <w:sz w:val="14"/>
              </w:rPr>
              <w:t>ga_fy24</w:t>
            </w:r>
          </w:p>
        </w:tc>
        <w:tc>
          <w:tcPr>
            <w:tcW w:type="dxa" w:w="1325"/>
          </w:tcPr>
          <w:p>
            <w:pPr>
              <w:spacing w:after="20"/>
            </w:pPr>
            <w:r>
              <w:rPr>
                <w:color w:val="1C3A36"/>
                <w:sz w:val="14"/>
              </w:rPr>
              <w:t>267.7981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comparative</w:t>
            </w:r>
          </w:p>
        </w:tc>
        <w:tc>
          <w:tcPr>
            <w:tcW w:type="dxa" w:w="1210"/>
          </w:tcPr>
          <w:p>
            <w:pPr>
              <w:spacing w:after="20"/>
            </w:pPr>
            <w:r>
              <w:rPr>
                <w:color w:val="1C3A36"/>
                <w:sz w:val="14"/>
              </w:rPr>
              <w:t>2024-12-31</w:t>
            </w:r>
          </w:p>
        </w:tc>
      </w:tr>
      <w:tr>
        <w:tc>
          <w:tcPr>
            <w:tcW w:type="dxa" w:w="432"/>
          </w:tcPr>
          <w:p>
            <w:pPr>
              <w:spacing w:after="20"/>
            </w:pPr>
            <w:r>
              <w:rPr>
                <w:color w:val="1C3A36"/>
                <w:sz w:val="14"/>
              </w:rPr>
              <w:t>84</w:t>
            </w:r>
          </w:p>
        </w:tc>
        <w:tc>
          <w:tcPr>
            <w:tcW w:type="dxa" w:w="2448"/>
          </w:tcPr>
          <w:p>
            <w:pPr>
              <w:spacing w:after="20"/>
            </w:pPr>
            <w:r>
              <w:rPr>
                <w:color w:val="1C3A36"/>
                <w:sz w:val="14"/>
              </w:rPr>
              <w:t>ga_fy25</w:t>
            </w:r>
          </w:p>
        </w:tc>
        <w:tc>
          <w:tcPr>
            <w:tcW w:type="dxa" w:w="1325"/>
          </w:tcPr>
          <w:p>
            <w:pPr>
              <w:spacing w:after="20"/>
            </w:pPr>
            <w:r>
              <w:rPr>
                <w:color w:val="1C3A36"/>
                <w:sz w:val="14"/>
              </w:rPr>
              <w:t>384.3328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note 6</w:t>
            </w:r>
          </w:p>
        </w:tc>
        <w:tc>
          <w:tcPr>
            <w:tcW w:type="dxa" w:w="1210"/>
          </w:tcPr>
          <w:p>
            <w:pPr>
              <w:spacing w:after="20"/>
            </w:pPr>
            <w:r>
              <w:rPr>
                <w:color w:val="1C3A36"/>
                <w:sz w:val="14"/>
              </w:rPr>
              <w:t>2025-12-31</w:t>
            </w:r>
          </w:p>
        </w:tc>
      </w:tr>
      <w:tr>
        <w:tc>
          <w:tcPr>
            <w:tcW w:type="dxa" w:w="432"/>
          </w:tcPr>
          <w:p>
            <w:pPr>
              <w:spacing w:after="20"/>
            </w:pPr>
            <w:r>
              <w:rPr>
                <w:color w:val="1C3A36"/>
                <w:sz w:val="14"/>
              </w:rPr>
              <w:t>85</w:t>
            </w:r>
          </w:p>
        </w:tc>
        <w:tc>
          <w:tcPr>
            <w:tcW w:type="dxa" w:w="2448"/>
          </w:tcPr>
          <w:p>
            <w:pPr>
              <w:spacing w:after="20"/>
            </w:pPr>
            <w:r>
              <w:rPr>
                <w:color w:val="1C3A36"/>
                <w:sz w:val="14"/>
              </w:rPr>
              <w:t>ga_h1_25</w:t>
            </w:r>
          </w:p>
        </w:tc>
        <w:tc>
          <w:tcPr>
            <w:tcW w:type="dxa" w:w="1325"/>
          </w:tcPr>
          <w:p>
            <w:pPr>
              <w:spacing w:after="20"/>
            </w:pPr>
            <w:r>
              <w:rPr>
                <w:color w:val="1C3A36"/>
                <w:sz w:val="14"/>
              </w:rPr>
              <w:t>169.8803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 comparative</w:t>
            </w:r>
          </w:p>
        </w:tc>
        <w:tc>
          <w:tcPr>
            <w:tcW w:type="dxa" w:w="1210"/>
          </w:tcPr>
          <w:p>
            <w:pPr>
              <w:spacing w:after="20"/>
            </w:pPr>
            <w:r>
              <w:rPr>
                <w:color w:val="1C3A36"/>
                <w:sz w:val="14"/>
              </w:rPr>
              <w:t>2025-06-30</w:t>
            </w:r>
          </w:p>
        </w:tc>
      </w:tr>
      <w:tr>
        <w:tc>
          <w:tcPr>
            <w:tcW w:type="dxa" w:w="432"/>
          </w:tcPr>
          <w:p>
            <w:pPr>
              <w:spacing w:after="20"/>
            </w:pPr>
            <w:r>
              <w:rPr>
                <w:color w:val="1C3A36"/>
                <w:sz w:val="14"/>
              </w:rPr>
              <w:t>86</w:t>
            </w:r>
          </w:p>
        </w:tc>
        <w:tc>
          <w:tcPr>
            <w:tcW w:type="dxa" w:w="2448"/>
          </w:tcPr>
          <w:p>
            <w:pPr>
              <w:spacing w:after="20"/>
            </w:pPr>
            <w:r>
              <w:rPr>
                <w:color w:val="1C3A36"/>
                <w:sz w:val="14"/>
              </w:rPr>
              <w:t>ga_h1_26</w:t>
            </w:r>
          </w:p>
        </w:tc>
        <w:tc>
          <w:tcPr>
            <w:tcW w:type="dxa" w:w="1325"/>
          </w:tcPr>
          <w:p>
            <w:pPr>
              <w:spacing w:after="20"/>
            </w:pPr>
            <w:r>
              <w:rPr>
                <w:color w:val="1C3A36"/>
                <w:sz w:val="14"/>
              </w:rPr>
              <w:t>225.7446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w:t>
            </w:r>
          </w:p>
        </w:tc>
        <w:tc>
          <w:tcPr>
            <w:tcW w:type="dxa" w:w="1210"/>
          </w:tcPr>
          <w:p>
            <w:pPr>
              <w:spacing w:after="20"/>
            </w:pPr>
            <w:r>
              <w:rPr>
                <w:color w:val="1C3A36"/>
                <w:sz w:val="14"/>
              </w:rPr>
              <w:t>2026-06-30</w:t>
            </w:r>
          </w:p>
        </w:tc>
      </w:tr>
      <w:tr>
        <w:tc>
          <w:tcPr>
            <w:tcW w:type="dxa" w:w="432"/>
          </w:tcPr>
          <w:p>
            <w:pPr>
              <w:spacing w:after="20"/>
            </w:pPr>
            <w:r>
              <w:rPr>
                <w:color w:val="1C3A36"/>
                <w:sz w:val="14"/>
              </w:rPr>
              <w:t>87</w:t>
            </w:r>
          </w:p>
        </w:tc>
        <w:tc>
          <w:tcPr>
            <w:tcW w:type="dxa" w:w="2448"/>
          </w:tcPr>
          <w:p>
            <w:pPr>
              <w:spacing w:after="20"/>
            </w:pPr>
            <w:r>
              <w:rPr>
                <w:color w:val="1C3A36"/>
                <w:sz w:val="14"/>
              </w:rPr>
              <w:t>ga_q1_26</w:t>
            </w:r>
          </w:p>
        </w:tc>
        <w:tc>
          <w:tcPr>
            <w:tcW w:type="dxa" w:w="1325"/>
          </w:tcPr>
          <w:p>
            <w:pPr>
              <w:spacing w:after="20"/>
            </w:pPr>
            <w:r>
              <w:rPr>
                <w:color w:val="1C3A36"/>
                <w:sz w:val="14"/>
              </w:rPr>
              <w:t>102.2818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general and administrative expenses</w:t>
            </w:r>
          </w:p>
        </w:tc>
        <w:tc>
          <w:tcPr>
            <w:tcW w:type="dxa" w:w="1210"/>
          </w:tcPr>
          <w:p>
            <w:pPr>
              <w:spacing w:after="20"/>
            </w:pPr>
            <w:r>
              <w:rPr>
                <w:color w:val="1C3A36"/>
                <w:sz w:val="14"/>
              </w:rPr>
              <w:t>2026-03-31</w:t>
            </w:r>
          </w:p>
        </w:tc>
      </w:tr>
      <w:tr>
        <w:tc>
          <w:tcPr>
            <w:tcW w:type="dxa" w:w="432"/>
          </w:tcPr>
          <w:p>
            <w:pPr>
              <w:spacing w:after="20"/>
            </w:pPr>
            <w:r>
              <w:rPr>
                <w:color w:val="1C3A36"/>
                <w:sz w:val="14"/>
              </w:rPr>
              <w:t>88</w:t>
            </w:r>
          </w:p>
        </w:tc>
        <w:tc>
          <w:tcPr>
            <w:tcW w:type="dxa" w:w="2448"/>
          </w:tcPr>
          <w:p>
            <w:pPr>
              <w:spacing w:after="20"/>
            </w:pPr>
            <w:r>
              <w:rPr>
                <w:color w:val="1C3A36"/>
                <w:sz w:val="14"/>
              </w:rPr>
              <w:t>gp_h1_26</w:t>
            </w:r>
          </w:p>
        </w:tc>
        <w:tc>
          <w:tcPr>
            <w:tcW w:type="dxa" w:w="1325"/>
          </w:tcPr>
          <w:p>
            <w:pPr>
              <w:spacing w:after="20"/>
            </w:pPr>
            <w:r>
              <w:rPr>
                <w:color w:val="1C3A36"/>
                <w:sz w:val="14"/>
              </w:rPr>
              <w:t>2,461.5381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gross profit</w:t>
            </w:r>
          </w:p>
        </w:tc>
        <w:tc>
          <w:tcPr>
            <w:tcW w:type="dxa" w:w="1210"/>
          </w:tcPr>
          <w:p>
            <w:pPr>
              <w:spacing w:after="20"/>
            </w:pPr>
            <w:r>
              <w:rPr>
                <w:color w:val="1C3A36"/>
                <w:sz w:val="14"/>
              </w:rPr>
              <w:t>2026-06-30</w:t>
            </w:r>
          </w:p>
        </w:tc>
      </w:tr>
      <w:tr>
        <w:tc>
          <w:tcPr>
            <w:tcW w:type="dxa" w:w="432"/>
          </w:tcPr>
          <w:p>
            <w:pPr>
              <w:spacing w:after="20"/>
            </w:pPr>
            <w:r>
              <w:rPr>
                <w:color w:val="1C3A36"/>
                <w:sz w:val="14"/>
              </w:rPr>
              <w:t>89</w:t>
            </w:r>
          </w:p>
        </w:tc>
        <w:tc>
          <w:tcPr>
            <w:tcW w:type="dxa" w:w="2448"/>
          </w:tcPr>
          <w:p>
            <w:pPr>
              <w:spacing w:after="20"/>
            </w:pPr>
            <w:r>
              <w:rPr>
                <w:color w:val="1C3A36"/>
                <w:sz w:val="14"/>
              </w:rPr>
              <w:t>gp_q1_26</w:t>
            </w:r>
          </w:p>
        </w:tc>
        <w:tc>
          <w:tcPr>
            <w:tcW w:type="dxa" w:w="1325"/>
          </w:tcPr>
          <w:p>
            <w:pPr>
              <w:spacing w:after="20"/>
            </w:pPr>
            <w:r>
              <w:rPr>
                <w:color w:val="1C3A36"/>
                <w:sz w:val="14"/>
              </w:rPr>
              <w:t>1,286.1459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gross profit</w:t>
            </w:r>
          </w:p>
        </w:tc>
        <w:tc>
          <w:tcPr>
            <w:tcW w:type="dxa" w:w="1210"/>
          </w:tcPr>
          <w:p>
            <w:pPr>
              <w:spacing w:after="20"/>
            </w:pPr>
            <w:r>
              <w:rPr>
                <w:color w:val="1C3A36"/>
                <w:sz w:val="14"/>
              </w:rPr>
              <w:t>2026-03-31</w:t>
            </w:r>
          </w:p>
        </w:tc>
      </w:tr>
      <w:tr>
        <w:tc>
          <w:tcPr>
            <w:tcW w:type="dxa" w:w="432"/>
          </w:tcPr>
          <w:p>
            <w:pPr>
              <w:spacing w:after="20"/>
            </w:pPr>
            <w:r>
              <w:rPr>
                <w:color w:val="1C3A36"/>
                <w:sz w:val="14"/>
              </w:rPr>
              <w:t>90</w:t>
            </w:r>
          </w:p>
        </w:tc>
        <w:tc>
          <w:tcPr>
            <w:tcW w:type="dxa" w:w="2448"/>
          </w:tcPr>
          <w:p>
            <w:pPr>
              <w:spacing w:after="20"/>
            </w:pPr>
            <w:r>
              <w:rPr>
                <w:color w:val="1C3A36"/>
                <w:sz w:val="14"/>
              </w:rPr>
              <w:t>int_inc_h1_26</w:t>
            </w:r>
          </w:p>
        </w:tc>
        <w:tc>
          <w:tcPr>
            <w:tcW w:type="dxa" w:w="1325"/>
          </w:tcPr>
          <w:p>
            <w:pPr>
              <w:spacing w:after="20"/>
            </w:pPr>
            <w:r>
              <w:rPr>
                <w:color w:val="1C3A36"/>
                <w:sz w:val="14"/>
              </w:rPr>
              <w:t>136.8619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interest income</w:t>
            </w:r>
          </w:p>
        </w:tc>
        <w:tc>
          <w:tcPr>
            <w:tcW w:type="dxa" w:w="1210"/>
          </w:tcPr>
          <w:p>
            <w:pPr>
              <w:spacing w:after="20"/>
            </w:pPr>
            <w:r>
              <w:rPr>
                <w:color w:val="1C3A36"/>
                <w:sz w:val="14"/>
              </w:rPr>
              <w:t>2026-06-30</w:t>
            </w:r>
          </w:p>
        </w:tc>
      </w:tr>
      <w:tr>
        <w:tc>
          <w:tcPr>
            <w:tcW w:type="dxa" w:w="432"/>
          </w:tcPr>
          <w:p>
            <w:pPr>
              <w:spacing w:after="20"/>
            </w:pPr>
            <w:r>
              <w:rPr>
                <w:color w:val="1C3A36"/>
                <w:sz w:val="14"/>
              </w:rPr>
              <w:t>91</w:t>
            </w:r>
          </w:p>
        </w:tc>
        <w:tc>
          <w:tcPr>
            <w:tcW w:type="dxa" w:w="2448"/>
          </w:tcPr>
          <w:p>
            <w:pPr>
              <w:spacing w:after="20"/>
            </w:pPr>
            <w:r>
              <w:rPr>
                <w:color w:val="1C3A36"/>
                <w:sz w:val="14"/>
              </w:rPr>
              <w:t>intang_fy25</w:t>
            </w:r>
          </w:p>
        </w:tc>
        <w:tc>
          <w:tcPr>
            <w:tcW w:type="dxa" w:w="1325"/>
          </w:tcPr>
          <w:p>
            <w:pPr>
              <w:spacing w:after="20"/>
            </w:pPr>
            <w:r>
              <w:rPr>
                <w:color w:val="1C3A36"/>
                <w:sz w:val="14"/>
              </w:rPr>
              <w:t>106.7996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intangible assets (net), note 14: the operating licence</w:t>
            </w:r>
          </w:p>
        </w:tc>
        <w:tc>
          <w:tcPr>
            <w:tcW w:type="dxa" w:w="1210"/>
          </w:tcPr>
          <w:p>
            <w:pPr>
              <w:spacing w:after="20"/>
            </w:pPr>
            <w:r>
              <w:rPr>
                <w:color w:val="1C3A36"/>
                <w:sz w:val="14"/>
              </w:rPr>
              <w:t>2025-12-31</w:t>
            </w:r>
          </w:p>
        </w:tc>
      </w:tr>
      <w:tr>
        <w:tc>
          <w:tcPr>
            <w:tcW w:type="dxa" w:w="432"/>
          </w:tcPr>
          <w:p>
            <w:pPr>
              <w:spacing w:after="20"/>
            </w:pPr>
            <w:r>
              <w:rPr>
                <w:color w:val="1C3A36"/>
                <w:sz w:val="14"/>
              </w:rPr>
              <w:t>92</w:t>
            </w:r>
          </w:p>
        </w:tc>
        <w:tc>
          <w:tcPr>
            <w:tcW w:type="dxa" w:w="2448"/>
          </w:tcPr>
          <w:p>
            <w:pPr>
              <w:spacing w:after="20"/>
            </w:pPr>
            <w:r>
              <w:rPr>
                <w:color w:val="1C3A36"/>
                <w:sz w:val="14"/>
              </w:rPr>
              <w:t>intinc_fy25</w:t>
            </w:r>
          </w:p>
        </w:tc>
        <w:tc>
          <w:tcPr>
            <w:tcW w:type="dxa" w:w="1325"/>
          </w:tcPr>
          <w:p>
            <w:pPr>
              <w:spacing w:after="20"/>
            </w:pPr>
            <w:r>
              <w:rPr>
                <w:color w:val="1C3A36"/>
                <w:sz w:val="14"/>
              </w:rPr>
              <w:t>226.2748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interest income</w:t>
            </w:r>
          </w:p>
        </w:tc>
        <w:tc>
          <w:tcPr>
            <w:tcW w:type="dxa" w:w="1210"/>
          </w:tcPr>
          <w:p>
            <w:pPr>
              <w:spacing w:after="20"/>
            </w:pPr>
            <w:r>
              <w:rPr>
                <w:color w:val="1C3A36"/>
                <w:sz w:val="14"/>
              </w:rPr>
              <w:t>2025-12-31</w:t>
            </w:r>
          </w:p>
        </w:tc>
      </w:tr>
      <w:tr>
        <w:tc>
          <w:tcPr>
            <w:tcW w:type="dxa" w:w="432"/>
          </w:tcPr>
          <w:p>
            <w:pPr>
              <w:spacing w:after="20"/>
            </w:pPr>
            <w:r>
              <w:rPr>
                <w:color w:val="1C3A36"/>
                <w:sz w:val="14"/>
              </w:rPr>
              <w:t>93</w:t>
            </w:r>
          </w:p>
        </w:tc>
        <w:tc>
          <w:tcPr>
            <w:tcW w:type="dxa" w:w="2448"/>
          </w:tcPr>
          <w:p>
            <w:pPr>
              <w:spacing w:after="20"/>
            </w:pPr>
            <w:r>
              <w:rPr>
                <w:color w:val="1C3A36"/>
                <w:sz w:val="14"/>
              </w:rPr>
              <w:t>inv_fy25</w:t>
            </w:r>
          </w:p>
        </w:tc>
        <w:tc>
          <w:tcPr>
            <w:tcW w:type="dxa" w:w="1325"/>
          </w:tcPr>
          <w:p>
            <w:pPr>
              <w:spacing w:after="20"/>
            </w:pPr>
            <w:r>
              <w:rPr>
                <w:color w:val="1C3A36"/>
                <w:sz w:val="14"/>
              </w:rPr>
              <w:t>1,053.6462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inventories, note 16: raw materials 282.765, fuel 200.388, packing 51.934, spares 190.444, work in progress 6.861, goods in transit 0.483, finished goods 320.771</w:t>
            </w:r>
          </w:p>
        </w:tc>
        <w:tc>
          <w:tcPr>
            <w:tcW w:type="dxa" w:w="1210"/>
          </w:tcPr>
          <w:p>
            <w:pPr>
              <w:spacing w:after="20"/>
            </w:pPr>
            <w:r>
              <w:rPr>
                <w:color w:val="1C3A36"/>
                <w:sz w:val="14"/>
              </w:rPr>
              <w:t>2025-12-31</w:t>
            </w:r>
          </w:p>
        </w:tc>
      </w:tr>
      <w:tr>
        <w:tc>
          <w:tcPr>
            <w:tcW w:type="dxa" w:w="432"/>
          </w:tcPr>
          <w:p>
            <w:pPr>
              <w:spacing w:after="20"/>
            </w:pPr>
            <w:r>
              <w:rPr>
                <w:color w:val="1C3A36"/>
                <w:sz w:val="14"/>
              </w:rPr>
              <w:t>94</w:t>
            </w:r>
          </w:p>
        </w:tc>
        <w:tc>
          <w:tcPr>
            <w:tcW w:type="dxa" w:w="2448"/>
          </w:tcPr>
          <w:p>
            <w:pPr>
              <w:spacing w:after="20"/>
            </w:pPr>
            <w:r>
              <w:rPr>
                <w:color w:val="1C3A36"/>
                <w:sz w:val="14"/>
              </w:rPr>
              <w:t>kd_egp_marginal</w:t>
            </w:r>
          </w:p>
        </w:tc>
        <w:tc>
          <w:tcPr>
            <w:tcW w:type="dxa" w:w="1325"/>
          </w:tcPr>
          <w:p>
            <w:pPr>
              <w:spacing w:after="20"/>
            </w:pPr>
            <w:r>
              <w:rPr>
                <w:color w:val="1C3A36"/>
                <w:sz w:val="14"/>
              </w:rPr>
              <w:t>0.206</w:t>
            </w:r>
          </w:p>
        </w:tc>
        <w:tc>
          <w:tcPr>
            <w:tcW w:type="dxa" w:w="1066"/>
          </w:tcPr>
          <w:p>
            <w:pPr>
              <w:spacing w:after="20"/>
            </w:pPr>
            <w:r>
              <w:rPr>
                <w:color w:val="1C3A36"/>
                <w:sz w:val="14"/>
              </w:rPr>
              <w:t>Company</w:t>
            </w:r>
          </w:p>
        </w:tc>
        <w:tc>
          <w:tcPr>
            <w:tcW w:type="dxa" w:w="7171"/>
          </w:tcPr>
          <w:p>
            <w:pPr>
              <w:spacing w:after="20"/>
            </w:pPr>
            <w:r>
              <w:rPr>
                <w:color w:val="1C3A36"/>
                <w:sz w:val="14"/>
              </w:rPr>
              <w:t>Marginal EGP borrowing rate: the Central Bank corridor offer rate of 20.0% plus the 0.6% margin disclosed on the CIB facility</w:t>
            </w:r>
          </w:p>
        </w:tc>
        <w:tc>
          <w:tcPr>
            <w:tcW w:type="dxa" w:w="1210"/>
          </w:tcPr>
          <w:p>
            <w:pPr>
              <w:spacing w:after="20"/>
            </w:pPr>
            <w:r>
              <w:rPr>
                <w:color w:val="1C3A36"/>
                <w:sz w:val="14"/>
              </w:rPr>
              <w:t>2026-08-06</w:t>
            </w:r>
          </w:p>
        </w:tc>
      </w:tr>
      <w:tr>
        <w:tc>
          <w:tcPr>
            <w:tcW w:type="dxa" w:w="432"/>
          </w:tcPr>
          <w:p>
            <w:pPr>
              <w:spacing w:after="20"/>
            </w:pPr>
            <w:r>
              <w:rPr>
                <w:color w:val="1C3A36"/>
                <w:sz w:val="14"/>
              </w:rPr>
              <w:t>95</w:t>
            </w:r>
          </w:p>
        </w:tc>
        <w:tc>
          <w:tcPr>
            <w:tcW w:type="dxa" w:w="2448"/>
          </w:tcPr>
          <w:p>
            <w:pPr>
              <w:spacing w:after="20"/>
            </w:pPr>
            <w:r>
              <w:rPr>
                <w:color w:val="1C3A36"/>
                <w:sz w:val="14"/>
              </w:rPr>
              <w:t>kiln_util</w:t>
            </w:r>
          </w:p>
        </w:tc>
        <w:tc>
          <w:tcPr>
            <w:tcW w:type="dxa" w:w="1325"/>
          </w:tcPr>
          <w:p>
            <w:pPr>
              <w:spacing w:after="20"/>
            </w:pPr>
            <w:r>
              <w:rPr>
                <w:color w:val="1C3A36"/>
                <w:sz w:val="14"/>
              </w:rPr>
              <w:t>0.917, 0.92, 0.925, 0.93, 0.933, 0.935</w:t>
            </w:r>
          </w:p>
        </w:tc>
        <w:tc>
          <w:tcPr>
            <w:tcW w:type="dxa" w:w="1066"/>
          </w:tcPr>
          <w:p>
            <w:pPr>
              <w:spacing w:after="20"/>
            </w:pPr>
            <w:r>
              <w:rPr>
                <w:color w:val="1C3A36"/>
                <w:sz w:val="14"/>
              </w:rPr>
              <w:t>Company</w:t>
            </w:r>
          </w:p>
        </w:tc>
        <w:tc>
          <w:tcPr>
            <w:tcW w:type="dxa" w:w="7171"/>
          </w:tcPr>
          <w:p>
            <w:pPr>
              <w:spacing w:after="20"/>
            </w:pPr>
            <w:r>
              <w:rPr>
                <w:color w:val="1C3A36"/>
                <w:sz w:val="14"/>
              </w:rPr>
              <w:t>Clinker-kiln utilisation, FY2025A then FY2026E-FY2030E, and the primary volume driver. FY2025 is now DISCLOSED, not inferred: FY2025 Investor Presentation, Arabian Cement Company S.A.E., investor relations library, page 5 (sales volumes and production indicators) gives clinker production of 3,851.6 kt, which is 91.70% of the audited 4.2Mt kiln, and the company states the rate as 92%. The plant has run 92-94% in three of the last five years, so the path rises only modestly — the kiln is the binding asset and there is little room above here</w:t>
            </w:r>
          </w:p>
        </w:tc>
        <w:tc>
          <w:tcPr>
            <w:tcW w:type="dxa" w:w="1210"/>
          </w:tcPr>
          <w:p>
            <w:pPr>
              <w:spacing w:after="20"/>
            </w:pPr>
            <w:r>
              <w:rPr>
                <w:color w:val="1C3A36"/>
                <w:sz w:val="14"/>
              </w:rPr>
              <w:t>2026-03-01</w:t>
            </w:r>
          </w:p>
        </w:tc>
      </w:tr>
      <w:tr>
        <w:tc>
          <w:tcPr>
            <w:tcW w:type="dxa" w:w="432"/>
          </w:tcPr>
          <w:p>
            <w:pPr>
              <w:spacing w:after="20"/>
            </w:pPr>
            <w:r>
              <w:rPr>
                <w:color w:val="1C3A36"/>
                <w:sz w:val="14"/>
              </w:rPr>
              <w:t>96</w:t>
            </w:r>
          </w:p>
        </w:tc>
        <w:tc>
          <w:tcPr>
            <w:tcW w:type="dxa" w:w="2448"/>
          </w:tcPr>
          <w:p>
            <w:pPr>
              <w:spacing w:after="20"/>
            </w:pPr>
            <w:r>
              <w:rPr>
                <w:color w:val="1C3A36"/>
                <w:sz w:val="14"/>
              </w:rPr>
              <w:t>lease_fy25</w:t>
            </w:r>
          </w:p>
        </w:tc>
        <w:tc>
          <w:tcPr>
            <w:tcW w:type="dxa" w:w="1325"/>
          </w:tcPr>
          <w:p>
            <w:pPr>
              <w:spacing w:after="20"/>
            </w:pPr>
            <w:r>
              <w:rPr>
                <w:color w:val="1C3A36"/>
                <w:sz w:val="14"/>
              </w:rPr>
              <w:t>1.176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lease liabilities, note 33-2</w:t>
            </w:r>
          </w:p>
        </w:tc>
        <w:tc>
          <w:tcPr>
            <w:tcW w:type="dxa" w:w="1210"/>
          </w:tcPr>
          <w:p>
            <w:pPr>
              <w:spacing w:after="20"/>
            </w:pPr>
            <w:r>
              <w:rPr>
                <w:color w:val="1C3A36"/>
                <w:sz w:val="14"/>
              </w:rPr>
              <w:t>2025-12-31</w:t>
            </w:r>
          </w:p>
        </w:tc>
      </w:tr>
      <w:tr>
        <w:tc>
          <w:tcPr>
            <w:tcW w:type="dxa" w:w="432"/>
          </w:tcPr>
          <w:p>
            <w:pPr>
              <w:spacing w:after="20"/>
            </w:pPr>
            <w:r>
              <w:rPr>
                <w:color w:val="1C3A36"/>
                <w:sz w:val="14"/>
              </w:rPr>
              <w:t>97</w:t>
            </w:r>
          </w:p>
        </w:tc>
        <w:tc>
          <w:tcPr>
            <w:tcW w:type="dxa" w:w="2448"/>
          </w:tcPr>
          <w:p>
            <w:pPr>
              <w:spacing w:after="20"/>
            </w:pPr>
            <w:r>
              <w:rPr>
                <w:color w:val="1C3A36"/>
                <w:sz w:val="14"/>
              </w:rPr>
              <w:t>loan_int_fy24</w:t>
            </w:r>
          </w:p>
        </w:tc>
        <w:tc>
          <w:tcPr>
            <w:tcW w:type="dxa" w:w="1325"/>
          </w:tcPr>
          <w:p>
            <w:pPr>
              <w:spacing w:after="20"/>
            </w:pPr>
            <w:r>
              <w:rPr>
                <w:color w:val="1C3A36"/>
                <w:sz w:val="14"/>
              </w:rPr>
              <w:t>2.7541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 comparative</w:t>
            </w:r>
          </w:p>
        </w:tc>
        <w:tc>
          <w:tcPr>
            <w:tcW w:type="dxa" w:w="1210"/>
          </w:tcPr>
          <w:p>
            <w:pPr>
              <w:spacing w:after="20"/>
            </w:pPr>
            <w:r>
              <w:rPr>
                <w:color w:val="1C3A36"/>
                <w:sz w:val="14"/>
              </w:rPr>
              <w:t>2024-12-31</w:t>
            </w:r>
          </w:p>
        </w:tc>
      </w:tr>
      <w:tr>
        <w:tc>
          <w:tcPr>
            <w:tcW w:type="dxa" w:w="432"/>
          </w:tcPr>
          <w:p>
            <w:pPr>
              <w:spacing w:after="20"/>
            </w:pPr>
            <w:r>
              <w:rPr>
                <w:color w:val="1C3A36"/>
                <w:sz w:val="14"/>
              </w:rPr>
              <w:t>98</w:t>
            </w:r>
          </w:p>
        </w:tc>
        <w:tc>
          <w:tcPr>
            <w:tcW w:type="dxa" w:w="2448"/>
          </w:tcPr>
          <w:p>
            <w:pPr>
              <w:spacing w:after="20"/>
            </w:pPr>
            <w:r>
              <w:rPr>
                <w:color w:val="1C3A36"/>
                <w:sz w:val="14"/>
              </w:rPr>
              <w:t>loan_int_fy25</w:t>
            </w:r>
          </w:p>
        </w:tc>
        <w:tc>
          <w:tcPr>
            <w:tcW w:type="dxa" w:w="1325"/>
          </w:tcPr>
          <w:p>
            <w:pPr>
              <w:spacing w:after="20"/>
            </w:pPr>
            <w:r>
              <w:rPr>
                <w:color w:val="1C3A36"/>
                <w:sz w:val="14"/>
              </w:rPr>
              <w:t>24.6131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99</w:t>
            </w:r>
          </w:p>
        </w:tc>
        <w:tc>
          <w:tcPr>
            <w:tcW w:type="dxa" w:w="2448"/>
          </w:tcPr>
          <w:p>
            <w:pPr>
              <w:spacing w:after="20"/>
            </w:pPr>
            <w:r>
              <w:rPr>
                <w:color w:val="1C3A36"/>
                <w:sz w:val="14"/>
              </w:rPr>
              <w:t>maj_h1_26</w:t>
            </w:r>
          </w:p>
        </w:tc>
        <w:tc>
          <w:tcPr>
            <w:tcW w:type="dxa" w:w="1325"/>
          </w:tcPr>
          <w:p>
            <w:pPr>
              <w:spacing w:after="20"/>
            </w:pPr>
            <w:r>
              <w:rPr>
                <w:color w:val="1C3A36"/>
                <w:sz w:val="14"/>
              </w:rPr>
              <w:t>2,172.3954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profit attributable to owners of the Parent</w:t>
            </w:r>
          </w:p>
        </w:tc>
        <w:tc>
          <w:tcPr>
            <w:tcW w:type="dxa" w:w="1210"/>
          </w:tcPr>
          <w:p>
            <w:pPr>
              <w:spacing w:after="20"/>
            </w:pPr>
            <w:r>
              <w:rPr>
                <w:color w:val="1C3A36"/>
                <w:sz w:val="14"/>
              </w:rPr>
              <w:t>2026-06-30</w:t>
            </w:r>
          </w:p>
        </w:tc>
      </w:tr>
      <w:tr>
        <w:tc>
          <w:tcPr>
            <w:tcW w:type="dxa" w:w="432"/>
          </w:tcPr>
          <w:p>
            <w:pPr>
              <w:spacing w:after="20"/>
            </w:pPr>
            <w:r>
              <w:rPr>
                <w:color w:val="1C3A36"/>
                <w:sz w:val="14"/>
              </w:rPr>
              <w:t>100</w:t>
            </w:r>
          </w:p>
        </w:tc>
        <w:tc>
          <w:tcPr>
            <w:tcW w:type="dxa" w:w="2448"/>
          </w:tcPr>
          <w:p>
            <w:pPr>
              <w:spacing w:after="20"/>
            </w:pPr>
            <w:r>
              <w:rPr>
                <w:color w:val="1C3A36"/>
                <w:sz w:val="14"/>
              </w:rPr>
              <w:t>nci</w:t>
            </w:r>
          </w:p>
        </w:tc>
        <w:tc>
          <w:tcPr>
            <w:tcW w:type="dxa" w:w="1325"/>
          </w:tcPr>
          <w:p>
            <w:pPr>
              <w:spacing w:after="20"/>
            </w:pPr>
            <w:r>
              <w:rPr>
                <w:color w:val="1C3A36"/>
                <w:sz w:val="14"/>
              </w:rPr>
              <w:t>0.158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non-controlling interests, note 24: EGP 158,005. Revision 1 deducted EGP 150mn on inference from the profit statements; the audited figure is 949 times smaller and immaterial to the bridge</w:t>
            </w:r>
          </w:p>
        </w:tc>
        <w:tc>
          <w:tcPr>
            <w:tcW w:type="dxa" w:w="1210"/>
          </w:tcPr>
          <w:p>
            <w:pPr>
              <w:spacing w:after="20"/>
            </w:pPr>
            <w:r>
              <w:rPr>
                <w:color w:val="1C3A36"/>
                <w:sz w:val="14"/>
              </w:rPr>
              <w:t>2025-12-31</w:t>
            </w:r>
          </w:p>
        </w:tc>
      </w:tr>
      <w:tr>
        <w:tc>
          <w:tcPr>
            <w:tcW w:type="dxa" w:w="432"/>
          </w:tcPr>
          <w:p>
            <w:pPr>
              <w:spacing w:after="20"/>
            </w:pPr>
            <w:r>
              <w:rPr>
                <w:color w:val="1C3A36"/>
                <w:sz w:val="14"/>
              </w:rPr>
              <w:t>101</w:t>
            </w:r>
          </w:p>
        </w:tc>
        <w:tc>
          <w:tcPr>
            <w:tcW w:type="dxa" w:w="2448"/>
          </w:tcPr>
          <w:p>
            <w:pPr>
              <w:spacing w:after="20"/>
            </w:pPr>
            <w:r>
              <w:rPr>
                <w:color w:val="1C3A36"/>
                <w:sz w:val="14"/>
              </w:rPr>
              <w:t>nci_h1_26</w:t>
            </w:r>
          </w:p>
        </w:tc>
        <w:tc>
          <w:tcPr>
            <w:tcW w:type="dxa" w:w="1325"/>
          </w:tcPr>
          <w:p>
            <w:pPr>
              <w:spacing w:after="20"/>
            </w:pPr>
            <w:r>
              <w:rPr>
                <w:color w:val="1C3A36"/>
                <w:sz w:val="14"/>
              </w:rPr>
              <w:t>0.2161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non-controlling interest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102</w:t>
            </w:r>
          </w:p>
        </w:tc>
        <w:tc>
          <w:tcPr>
            <w:tcW w:type="dxa" w:w="2448"/>
          </w:tcPr>
          <w:p>
            <w:pPr>
              <w:spacing w:after="20"/>
            </w:pPr>
            <w:r>
              <w:rPr>
                <w:color w:val="1C3A36"/>
                <w:sz w:val="14"/>
              </w:rPr>
              <w:t>oth_inc_fy25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of which EGP 32.642586mn is disclosed export subsidies. REVISION 4 CONSUMES THIS LINE. Revisions 1-3 registered it, quoted it, and let no line of the model use it — which is [L-018] exactly: a registered input that nothing consumes is money the valuation has quietly ignored</w:t>
            </w:r>
          </w:p>
        </w:tc>
        <w:tc>
          <w:tcPr>
            <w:tcW w:type="dxa" w:w="1210"/>
          </w:tcPr>
          <w:p>
            <w:pPr>
              <w:spacing w:after="20"/>
            </w:pPr>
            <w:r>
              <w:rPr>
                <w:color w:val="1C3A36"/>
                <w:sz w:val="14"/>
              </w:rPr>
              <w:t>2025-12-31</w:t>
            </w:r>
          </w:p>
        </w:tc>
      </w:tr>
      <w:tr>
        <w:tc>
          <w:tcPr>
            <w:tcW w:type="dxa" w:w="432"/>
          </w:tcPr>
          <w:p>
            <w:pPr>
              <w:spacing w:after="20"/>
            </w:pPr>
            <w:r>
              <w:rPr>
                <w:color w:val="1C3A36"/>
                <w:sz w:val="14"/>
              </w:rPr>
              <w:t>103</w:t>
            </w:r>
          </w:p>
        </w:tc>
        <w:tc>
          <w:tcPr>
            <w:tcW w:type="dxa" w:w="2448"/>
          </w:tcPr>
          <w:p>
            <w:pPr>
              <w:spacing w:after="20"/>
            </w:pPr>
            <w:r>
              <w:rPr>
                <w:color w:val="1C3A36"/>
                <w:sz w:val="14"/>
              </w:rPr>
              <w:t>oth_inc_h1_26</w:t>
            </w:r>
          </w:p>
        </w:tc>
        <w:tc>
          <w:tcPr>
            <w:tcW w:type="dxa" w:w="1325"/>
          </w:tcPr>
          <w:p>
            <w:pPr>
              <w:spacing w:after="20"/>
            </w:pPr>
            <w:r>
              <w:rPr>
                <w:color w:val="1C3A36"/>
                <w:sz w:val="14"/>
              </w:rPr>
              <w:t>480.3361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other income</w:t>
            </w:r>
          </w:p>
        </w:tc>
        <w:tc>
          <w:tcPr>
            <w:tcW w:type="dxa" w:w="1210"/>
          </w:tcPr>
          <w:p>
            <w:pPr>
              <w:spacing w:after="20"/>
            </w:pPr>
            <w:r>
              <w:rPr>
                <w:color w:val="1C3A36"/>
                <w:sz w:val="14"/>
              </w:rPr>
              <w:t>2026-06-30</w:t>
            </w:r>
          </w:p>
        </w:tc>
      </w:tr>
      <w:tr>
        <w:tc>
          <w:tcPr>
            <w:tcW w:type="dxa" w:w="432"/>
          </w:tcPr>
          <w:p>
            <w:pPr>
              <w:spacing w:after="20"/>
            </w:pPr>
            <w:r>
              <w:rPr>
                <w:color w:val="1C3A36"/>
                <w:sz w:val="14"/>
              </w:rPr>
              <w:t>104</w:t>
            </w:r>
          </w:p>
        </w:tc>
        <w:tc>
          <w:tcPr>
            <w:tcW w:type="dxa" w:w="2448"/>
          </w:tcPr>
          <w:p>
            <w:pPr>
              <w:spacing w:after="20"/>
            </w:pPr>
            <w:r>
              <w:rPr>
                <w:color w:val="1C3A36"/>
                <w:sz w:val="14"/>
              </w:rPr>
              <w:t>othinc_fy25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including export subsidies of EGP 31.643mn</w:t>
            </w:r>
          </w:p>
        </w:tc>
        <w:tc>
          <w:tcPr>
            <w:tcW w:type="dxa" w:w="1210"/>
          </w:tcPr>
          <w:p>
            <w:pPr>
              <w:spacing w:after="20"/>
            </w:pPr>
            <w:r>
              <w:rPr>
                <w:color w:val="1C3A36"/>
                <w:sz w:val="14"/>
              </w:rPr>
              <w:t>2025-12-31</w:t>
            </w:r>
          </w:p>
        </w:tc>
      </w:tr>
      <w:tr>
        <w:tc>
          <w:tcPr>
            <w:tcW w:type="dxa" w:w="432"/>
          </w:tcPr>
          <w:p>
            <w:pPr>
              <w:spacing w:after="20"/>
            </w:pPr>
            <w:r>
              <w:rPr>
                <w:color w:val="1C3A36"/>
                <w:sz w:val="14"/>
              </w:rPr>
              <w:t>105</w:t>
            </w:r>
          </w:p>
        </w:tc>
        <w:tc>
          <w:tcPr>
            <w:tcW w:type="dxa" w:w="2448"/>
          </w:tcPr>
          <w:p>
            <w:pPr>
              <w:spacing w:after="20"/>
            </w:pPr>
            <w:r>
              <w:rPr>
                <w:color w:val="1C3A36"/>
                <w:sz w:val="14"/>
              </w:rPr>
              <w:t>pat_fy23</w:t>
            </w:r>
          </w:p>
        </w:tc>
        <w:tc>
          <w:tcPr>
            <w:tcW w:type="dxa" w:w="1325"/>
          </w:tcPr>
          <w:p>
            <w:pPr>
              <w:spacing w:after="20"/>
            </w:pPr>
            <w:r>
              <w:rPr>
                <w:color w:val="1C3A36"/>
                <w:sz w:val="14"/>
              </w:rPr>
              <w:t>697.4887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profit attributable to owners of the Parent, comparative</w:t>
            </w:r>
          </w:p>
        </w:tc>
        <w:tc>
          <w:tcPr>
            <w:tcW w:type="dxa" w:w="1210"/>
          </w:tcPr>
          <w:p>
            <w:pPr>
              <w:spacing w:after="20"/>
            </w:pPr>
            <w:r>
              <w:rPr>
                <w:color w:val="1C3A36"/>
                <w:sz w:val="14"/>
              </w:rPr>
              <w:t>2023-12-31</w:t>
            </w:r>
          </w:p>
        </w:tc>
      </w:tr>
      <w:tr>
        <w:tc>
          <w:tcPr>
            <w:tcW w:type="dxa" w:w="432"/>
          </w:tcPr>
          <w:p>
            <w:pPr>
              <w:spacing w:after="20"/>
            </w:pPr>
            <w:r>
              <w:rPr>
                <w:color w:val="1C3A36"/>
                <w:sz w:val="14"/>
              </w:rPr>
              <w:t>106</w:t>
            </w:r>
          </w:p>
        </w:tc>
        <w:tc>
          <w:tcPr>
            <w:tcW w:type="dxa" w:w="2448"/>
          </w:tcPr>
          <w:p>
            <w:pPr>
              <w:spacing w:after="20"/>
            </w:pPr>
            <w:r>
              <w:rPr>
                <w:color w:val="1C3A36"/>
                <w:sz w:val="14"/>
              </w:rPr>
              <w:t>pat_fy24</w:t>
            </w:r>
          </w:p>
        </w:tc>
        <w:tc>
          <w:tcPr>
            <w:tcW w:type="dxa" w:w="1325"/>
          </w:tcPr>
          <w:p>
            <w:pPr>
              <w:spacing w:after="20"/>
            </w:pPr>
            <w:r>
              <w:rPr>
                <w:color w:val="1C3A36"/>
                <w:sz w:val="14"/>
              </w:rPr>
              <w:t>1,160.1294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comparative</w:t>
            </w:r>
          </w:p>
        </w:tc>
        <w:tc>
          <w:tcPr>
            <w:tcW w:type="dxa" w:w="1210"/>
          </w:tcPr>
          <w:p>
            <w:pPr>
              <w:spacing w:after="20"/>
            </w:pPr>
            <w:r>
              <w:rPr>
                <w:color w:val="1C3A36"/>
                <w:sz w:val="14"/>
              </w:rPr>
              <w:t>2024-12-31</w:t>
            </w:r>
          </w:p>
        </w:tc>
      </w:tr>
      <w:tr>
        <w:tc>
          <w:tcPr>
            <w:tcW w:type="dxa" w:w="432"/>
          </w:tcPr>
          <w:p>
            <w:pPr>
              <w:spacing w:after="20"/>
            </w:pPr>
            <w:r>
              <w:rPr>
                <w:color w:val="1C3A36"/>
                <w:sz w:val="14"/>
              </w:rPr>
              <w:t>107</w:t>
            </w:r>
          </w:p>
        </w:tc>
        <w:tc>
          <w:tcPr>
            <w:tcW w:type="dxa" w:w="2448"/>
          </w:tcPr>
          <w:p>
            <w:pPr>
              <w:spacing w:after="20"/>
            </w:pPr>
            <w:r>
              <w:rPr>
                <w:color w:val="1C3A36"/>
                <w:sz w:val="14"/>
              </w:rPr>
              <w:t>pat_fy25</w:t>
            </w:r>
          </w:p>
        </w:tc>
        <w:tc>
          <w:tcPr>
            <w:tcW w:type="dxa" w:w="1325"/>
          </w:tcPr>
          <w:p>
            <w:pPr>
              <w:spacing w:after="20"/>
            </w:pPr>
            <w:r>
              <w:rPr>
                <w:color w:val="1C3A36"/>
                <w:sz w:val="14"/>
              </w:rPr>
              <w:t>3,599.5859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(group profit 3,599.690 less 0.104 to non-controlling interests)</w:t>
            </w:r>
          </w:p>
        </w:tc>
        <w:tc>
          <w:tcPr>
            <w:tcW w:type="dxa" w:w="1210"/>
          </w:tcPr>
          <w:p>
            <w:pPr>
              <w:spacing w:after="20"/>
            </w:pPr>
            <w:r>
              <w:rPr>
                <w:color w:val="1C3A36"/>
                <w:sz w:val="14"/>
              </w:rPr>
              <w:t>2025-12-31</w:t>
            </w:r>
          </w:p>
        </w:tc>
      </w:tr>
      <w:tr>
        <w:tc>
          <w:tcPr>
            <w:tcW w:type="dxa" w:w="432"/>
          </w:tcPr>
          <w:p>
            <w:pPr>
              <w:spacing w:after="20"/>
            </w:pPr>
            <w:r>
              <w:rPr>
                <w:color w:val="1C3A36"/>
                <w:sz w:val="14"/>
              </w:rPr>
              <w:t>108</w:t>
            </w:r>
          </w:p>
        </w:tc>
        <w:tc>
          <w:tcPr>
            <w:tcW w:type="dxa" w:w="2448"/>
          </w:tcPr>
          <w:p>
            <w:pPr>
              <w:spacing w:after="20"/>
            </w:pPr>
            <w:r>
              <w:rPr>
                <w:color w:val="1C3A36"/>
                <w:sz w:val="14"/>
              </w:rPr>
              <w:t>pat_h1_26</w:t>
            </w:r>
          </w:p>
        </w:tc>
        <w:tc>
          <w:tcPr>
            <w:tcW w:type="dxa" w:w="1325"/>
          </w:tcPr>
          <w:p>
            <w:pPr>
              <w:spacing w:after="20"/>
            </w:pPr>
            <w:r>
              <w:rPr>
                <w:color w:val="1C3A36"/>
                <w:sz w:val="14"/>
              </w:rPr>
              <w:t>2,172.4535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after tax</w:t>
            </w:r>
          </w:p>
        </w:tc>
        <w:tc>
          <w:tcPr>
            <w:tcW w:type="dxa" w:w="1210"/>
          </w:tcPr>
          <w:p>
            <w:pPr>
              <w:spacing w:after="20"/>
            </w:pPr>
            <w:r>
              <w:rPr>
                <w:color w:val="1C3A36"/>
                <w:sz w:val="14"/>
              </w:rPr>
              <w:t>2026-06-30</w:t>
            </w:r>
          </w:p>
        </w:tc>
      </w:tr>
      <w:tr>
        <w:tc>
          <w:tcPr>
            <w:tcW w:type="dxa" w:w="432"/>
          </w:tcPr>
          <w:p>
            <w:pPr>
              <w:spacing w:after="20"/>
            </w:pPr>
            <w:r>
              <w:rPr>
                <w:color w:val="1C3A36"/>
                <w:sz w:val="14"/>
              </w:rPr>
              <w:t>109</w:t>
            </w:r>
          </w:p>
        </w:tc>
        <w:tc>
          <w:tcPr>
            <w:tcW w:type="dxa" w:w="2448"/>
          </w:tcPr>
          <w:p>
            <w:pPr>
              <w:spacing w:after="20"/>
            </w:pPr>
            <w:r>
              <w:rPr>
                <w:color w:val="1C3A36"/>
                <w:sz w:val="14"/>
              </w:rPr>
              <w:t>pat_q1_26</w:t>
            </w:r>
          </w:p>
        </w:tc>
        <w:tc>
          <w:tcPr>
            <w:tcW w:type="dxa" w:w="1325"/>
          </w:tcPr>
          <w:p>
            <w:pPr>
              <w:spacing w:after="20"/>
            </w:pPr>
            <w:r>
              <w:rPr>
                <w:color w:val="1C3A36"/>
                <w:sz w:val="14"/>
              </w:rPr>
              <w:t>943.0683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profit attributable to owners of the Parent</w:t>
            </w:r>
          </w:p>
        </w:tc>
        <w:tc>
          <w:tcPr>
            <w:tcW w:type="dxa" w:w="1210"/>
          </w:tcPr>
          <w:p>
            <w:pPr>
              <w:spacing w:after="20"/>
            </w:pPr>
            <w:r>
              <w:rPr>
                <w:color w:val="1C3A36"/>
                <w:sz w:val="14"/>
              </w:rPr>
              <w:t>2026-03-31</w:t>
            </w:r>
          </w:p>
        </w:tc>
      </w:tr>
      <w:tr>
        <w:tc>
          <w:tcPr>
            <w:tcW w:type="dxa" w:w="432"/>
          </w:tcPr>
          <w:p>
            <w:pPr>
              <w:spacing w:after="20"/>
            </w:pPr>
            <w:r>
              <w:rPr>
                <w:color w:val="1C3A36"/>
                <w:sz w:val="14"/>
              </w:rPr>
              <w:t>110</w:t>
            </w:r>
          </w:p>
        </w:tc>
        <w:tc>
          <w:tcPr>
            <w:tcW w:type="dxa" w:w="2448"/>
          </w:tcPr>
          <w:p>
            <w:pPr>
              <w:spacing w:after="20"/>
            </w:pPr>
            <w:r>
              <w:rPr>
                <w:color w:val="1C3A36"/>
                <w:sz w:val="14"/>
              </w:rPr>
              <w:t>pbt_fy23</w:t>
            </w:r>
          </w:p>
        </w:tc>
        <w:tc>
          <w:tcPr>
            <w:tcW w:type="dxa" w:w="1325"/>
          </w:tcPr>
          <w:p>
            <w:pPr>
              <w:spacing w:after="20"/>
            </w:pPr>
            <w:r>
              <w:rPr>
                <w:color w:val="1C3A36"/>
                <w:sz w:val="14"/>
              </w:rPr>
              <w:t>930.2314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net profit before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111</w:t>
            </w:r>
          </w:p>
        </w:tc>
        <w:tc>
          <w:tcPr>
            <w:tcW w:type="dxa" w:w="2448"/>
          </w:tcPr>
          <w:p>
            <w:pPr>
              <w:spacing w:after="20"/>
            </w:pPr>
            <w:r>
              <w:rPr>
                <w:color w:val="1C3A36"/>
                <w:sz w:val="14"/>
              </w:rPr>
              <w:t>pbt_fy24</w:t>
            </w:r>
          </w:p>
        </w:tc>
        <w:tc>
          <w:tcPr>
            <w:tcW w:type="dxa" w:w="1325"/>
          </w:tcPr>
          <w:p>
            <w:pPr>
              <w:spacing w:after="20"/>
            </w:pPr>
            <w:r>
              <w:rPr>
                <w:color w:val="1C3A36"/>
                <w:sz w:val="14"/>
              </w:rPr>
              <w:t>1,505.8661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112</w:t>
            </w:r>
          </w:p>
        </w:tc>
        <w:tc>
          <w:tcPr>
            <w:tcW w:type="dxa" w:w="2448"/>
          </w:tcPr>
          <w:p>
            <w:pPr>
              <w:spacing w:after="20"/>
            </w:pPr>
            <w:r>
              <w:rPr>
                <w:color w:val="1C3A36"/>
                <w:sz w:val="14"/>
              </w:rPr>
              <w:t>pbt_fy25</w:t>
            </w:r>
          </w:p>
        </w:tc>
        <w:tc>
          <w:tcPr>
            <w:tcW w:type="dxa" w:w="1325"/>
          </w:tcPr>
          <w:p>
            <w:pPr>
              <w:spacing w:after="20"/>
            </w:pPr>
            <w:r>
              <w:rPr>
                <w:color w:val="1C3A36"/>
                <w:sz w:val="14"/>
              </w:rPr>
              <w:t>4,725.1579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w:t>
            </w:r>
          </w:p>
        </w:tc>
        <w:tc>
          <w:tcPr>
            <w:tcW w:type="dxa" w:w="1210"/>
          </w:tcPr>
          <w:p>
            <w:pPr>
              <w:spacing w:after="20"/>
            </w:pPr>
            <w:r>
              <w:rPr>
                <w:color w:val="1C3A36"/>
                <w:sz w:val="14"/>
              </w:rPr>
              <w:t>2025-12-31</w:t>
            </w:r>
          </w:p>
        </w:tc>
      </w:tr>
      <w:tr>
        <w:tc>
          <w:tcPr>
            <w:tcW w:type="dxa" w:w="432"/>
          </w:tcPr>
          <w:p>
            <w:pPr>
              <w:spacing w:after="20"/>
            </w:pPr>
            <w:r>
              <w:rPr>
                <w:color w:val="1C3A36"/>
                <w:sz w:val="14"/>
              </w:rPr>
              <w:t>113</w:t>
            </w:r>
          </w:p>
        </w:tc>
        <w:tc>
          <w:tcPr>
            <w:tcW w:type="dxa" w:w="2448"/>
          </w:tcPr>
          <w:p>
            <w:pPr>
              <w:spacing w:after="20"/>
            </w:pPr>
            <w:r>
              <w:rPr>
                <w:color w:val="1C3A36"/>
                <w:sz w:val="14"/>
              </w:rPr>
              <w:t>pbt_h1_26</w:t>
            </w:r>
          </w:p>
        </w:tc>
        <w:tc>
          <w:tcPr>
            <w:tcW w:type="dxa" w:w="1325"/>
          </w:tcPr>
          <w:p>
            <w:pPr>
              <w:spacing w:after="20"/>
            </w:pPr>
            <w:r>
              <w:rPr>
                <w:color w:val="1C3A36"/>
                <w:sz w:val="14"/>
              </w:rPr>
              <w:t>2,862.6829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before tax</w:t>
            </w:r>
          </w:p>
        </w:tc>
        <w:tc>
          <w:tcPr>
            <w:tcW w:type="dxa" w:w="1210"/>
          </w:tcPr>
          <w:p>
            <w:pPr>
              <w:spacing w:after="20"/>
            </w:pPr>
            <w:r>
              <w:rPr>
                <w:color w:val="1C3A36"/>
                <w:sz w:val="14"/>
              </w:rPr>
              <w:t>2026-06-30</w:t>
            </w:r>
          </w:p>
        </w:tc>
      </w:tr>
      <w:tr>
        <w:tc>
          <w:tcPr>
            <w:tcW w:type="dxa" w:w="432"/>
          </w:tcPr>
          <w:p>
            <w:pPr>
              <w:spacing w:after="20"/>
            </w:pPr>
            <w:r>
              <w:rPr>
                <w:color w:val="1C3A36"/>
                <w:sz w:val="14"/>
              </w:rPr>
              <w:t>114</w:t>
            </w:r>
          </w:p>
        </w:tc>
        <w:tc>
          <w:tcPr>
            <w:tcW w:type="dxa" w:w="2448"/>
          </w:tcPr>
          <w:p>
            <w:pPr>
              <w:spacing w:after="20"/>
            </w:pPr>
            <w:r>
              <w:rPr>
                <w:color w:val="1C3A36"/>
                <w:sz w:val="14"/>
              </w:rPr>
              <w:t>pbt_q1_26</w:t>
            </w:r>
          </w:p>
        </w:tc>
        <w:tc>
          <w:tcPr>
            <w:tcW w:type="dxa" w:w="1325"/>
          </w:tcPr>
          <w:p>
            <w:pPr>
              <w:spacing w:after="20"/>
            </w:pPr>
            <w:r>
              <w:rPr>
                <w:color w:val="1C3A36"/>
                <w:sz w:val="14"/>
              </w:rPr>
              <w:t>1,273.0342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net profit before tax</w:t>
            </w:r>
          </w:p>
        </w:tc>
        <w:tc>
          <w:tcPr>
            <w:tcW w:type="dxa" w:w="1210"/>
          </w:tcPr>
          <w:p>
            <w:pPr>
              <w:spacing w:after="20"/>
            </w:pPr>
            <w:r>
              <w:rPr>
                <w:color w:val="1C3A36"/>
                <w:sz w:val="14"/>
              </w:rPr>
              <w:t>2026-03-31</w:t>
            </w:r>
          </w:p>
        </w:tc>
      </w:tr>
      <w:tr>
        <w:tc>
          <w:tcPr>
            <w:tcW w:type="dxa" w:w="432"/>
          </w:tcPr>
          <w:p>
            <w:pPr>
              <w:spacing w:after="20"/>
            </w:pPr>
            <w:r>
              <w:rPr>
                <w:color w:val="1C3A36"/>
                <w:sz w:val="14"/>
              </w:rPr>
              <w:t>115</w:t>
            </w:r>
          </w:p>
        </w:tc>
        <w:tc>
          <w:tcPr>
            <w:tcW w:type="dxa" w:w="2448"/>
          </w:tcPr>
          <w:p>
            <w:pPr>
              <w:spacing w:after="20"/>
            </w:pPr>
            <w:r>
              <w:rPr>
                <w:color w:val="1C3A36"/>
                <w:sz w:val="14"/>
              </w:rPr>
              <w:t>ppe_fy25</w:t>
            </w:r>
          </w:p>
        </w:tc>
        <w:tc>
          <w:tcPr>
            <w:tcW w:type="dxa" w:w="1325"/>
          </w:tcPr>
          <w:p>
            <w:pPr>
              <w:spacing w:after="20"/>
            </w:pPr>
            <w:r>
              <w:rPr>
                <w:color w:val="1C3A36"/>
                <w:sz w:val="14"/>
              </w:rPr>
              <w:t>2,522.3235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property, plant and equipment (net), note 12</w:t>
            </w:r>
          </w:p>
        </w:tc>
        <w:tc>
          <w:tcPr>
            <w:tcW w:type="dxa" w:w="1210"/>
          </w:tcPr>
          <w:p>
            <w:pPr>
              <w:spacing w:after="20"/>
            </w:pPr>
            <w:r>
              <w:rPr>
                <w:color w:val="1C3A36"/>
                <w:sz w:val="14"/>
              </w:rPr>
              <w:t>2025-12-31</w:t>
            </w:r>
          </w:p>
        </w:tc>
      </w:tr>
      <w:tr>
        <w:tc>
          <w:tcPr>
            <w:tcW w:type="dxa" w:w="432"/>
          </w:tcPr>
          <w:p>
            <w:pPr>
              <w:spacing w:after="20"/>
            </w:pPr>
            <w:r>
              <w:rPr>
                <w:color w:val="1C3A36"/>
                <w:sz w:val="14"/>
              </w:rPr>
              <w:t>116</w:t>
            </w:r>
          </w:p>
        </w:tc>
        <w:tc>
          <w:tcPr>
            <w:tcW w:type="dxa" w:w="2448"/>
          </w:tcPr>
          <w:p>
            <w:pPr>
              <w:spacing w:after="20"/>
            </w:pPr>
            <w:r>
              <w:rPr>
                <w:color w:val="1C3A36"/>
                <w:sz w:val="14"/>
              </w:rPr>
              <w:t>price_local_path</w:t>
            </w:r>
          </w:p>
        </w:tc>
        <w:tc>
          <w:tcPr>
            <w:tcW w:type="dxa" w:w="1325"/>
          </w:tcPr>
          <w:p>
            <w:pPr>
              <w:spacing w:after="20"/>
            </w:pPr>
            <w:r>
              <w:rPr>
                <w:color w:val="1C3A36"/>
                <w:sz w:val="14"/>
              </w:rPr>
              <w:t>1, 1.08, 1.21, 1.318, 1.417, 1.517</w:t>
            </w:r>
          </w:p>
        </w:tc>
        <w:tc>
          <w:tcPr>
            <w:tcW w:type="dxa" w:w="1066"/>
          </w:tcPr>
          <w:p>
            <w:pPr>
              <w:spacing w:after="20"/>
            </w:pPr>
            <w:r>
              <w:rPr>
                <w:color w:val="1C3A36"/>
                <w:sz w:val="14"/>
              </w:rPr>
              <w:t>Company</w:t>
            </w:r>
          </w:p>
        </w:tc>
        <w:tc>
          <w:tcPr>
            <w:tcW w:type="dxa" w:w="7171"/>
          </w:tcPr>
          <w:p>
            <w:pPr>
              <w:spacing w:after="20"/>
            </w:pPr>
            <w:r>
              <w:rPr>
                <w:color w:val="1C3A36"/>
                <w:sz w:val="14"/>
              </w:rPr>
              <w:t>Local realised price index on the FY2025 base: the FY2026 step of 8.0% is evidenced, and FY2027 onward escalate on the house inflation path at ZERO real growth, the same path the cost index carries. The retired ladder grew 9.0%, 8.0%, 7.0% and 6.5% — below the cost path in every year, with no mechanism offered for the gap, which against the house path is an 11.0% cumulative real price decline nobody wrote down. THE EVIDENCE FOR THE FY2026 STEP. FY2025 Investor Presentation, Arabian Cement Company S.A.E., investor relations library, page 5 (sales volumes and production indicators) and page 4 give local revenue and local volume for both years and both fourth quarters, so the realised local price can be computed rather than assumed: FY2024 EGP 1,810/t, FY2025 EGP 2,909/t — a rise of 60.7% on volume up 11.7%. The FY2025 margin explosion was PRICE, not volume, which settles a question three revisions argued about without evidence. More useful still is the exit rate: the fourth quarter of 2025 realised EGP 3,118/t, 7.2% ABOVE the full-year average. Simply holding the Q4 exit flat through 2026 therefore produces a full-year average 7.2% higher, so the 8.0% carried here is only 0.8 points above a no-further-increase path. Revision 3 assumed 3.0% against 11.5% cost inflation and had nothing behind it; revision 4 assumed 8.0% and had only a plausibility argument. The number is unchanged from revision 4 — but it is now the conservative reading of a disclosed run rate rather than a guess that happened to land in the right place</w:t>
            </w:r>
          </w:p>
        </w:tc>
        <w:tc>
          <w:tcPr>
            <w:tcW w:type="dxa" w:w="1210"/>
          </w:tcPr>
          <w:p>
            <w:pPr>
              <w:spacing w:after="20"/>
            </w:pPr>
            <w:r>
              <w:rPr>
                <w:color w:val="1C3A36"/>
                <w:sz w:val="14"/>
              </w:rPr>
              <w:t>2026-03-01</w:t>
            </w:r>
          </w:p>
        </w:tc>
      </w:tr>
      <w:tr>
        <w:tc>
          <w:tcPr>
            <w:tcW w:type="dxa" w:w="432"/>
          </w:tcPr>
          <w:p>
            <w:pPr>
              <w:spacing w:after="20"/>
            </w:pPr>
            <w:r>
              <w:rPr>
                <w:color w:val="1C3A36"/>
                <w:sz w:val="14"/>
              </w:rPr>
              <w:t>117</w:t>
            </w:r>
          </w:p>
        </w:tc>
        <w:tc>
          <w:tcPr>
            <w:tcW w:type="dxa" w:w="2448"/>
          </w:tcPr>
          <w:p>
            <w:pPr>
              <w:spacing w:after="20"/>
            </w:pPr>
            <w:r>
              <w:rPr>
                <w:color w:val="1C3A36"/>
                <w:sz w:val="14"/>
              </w:rPr>
              <w:t>prov_fy23</w:t>
            </w:r>
          </w:p>
        </w:tc>
        <w:tc>
          <w:tcPr>
            <w:tcW w:type="dxa" w:w="1325"/>
          </w:tcPr>
          <w:p>
            <w:pPr>
              <w:spacing w:after="20"/>
            </w:pPr>
            <w:r>
              <w:rPr>
                <w:color w:val="1C3A36"/>
                <w:sz w:val="14"/>
              </w:rPr>
              <w:t>15.2202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provisions charged, comparative</w:t>
            </w:r>
          </w:p>
        </w:tc>
        <w:tc>
          <w:tcPr>
            <w:tcW w:type="dxa" w:w="1210"/>
          </w:tcPr>
          <w:p>
            <w:pPr>
              <w:spacing w:after="20"/>
            </w:pPr>
            <w:r>
              <w:rPr>
                <w:color w:val="1C3A36"/>
                <w:sz w:val="14"/>
              </w:rPr>
              <w:t>2023-12-31</w:t>
            </w:r>
          </w:p>
        </w:tc>
      </w:tr>
      <w:tr>
        <w:tc>
          <w:tcPr>
            <w:tcW w:type="dxa" w:w="432"/>
          </w:tcPr>
          <w:p>
            <w:pPr>
              <w:spacing w:after="20"/>
            </w:pPr>
            <w:r>
              <w:rPr>
                <w:color w:val="1C3A36"/>
                <w:sz w:val="14"/>
              </w:rPr>
              <w:t>118</w:t>
            </w:r>
          </w:p>
        </w:tc>
        <w:tc>
          <w:tcPr>
            <w:tcW w:type="dxa" w:w="2448"/>
          </w:tcPr>
          <w:p>
            <w:pPr>
              <w:spacing w:after="20"/>
            </w:pPr>
            <w:r>
              <w:rPr>
                <w:color w:val="1C3A36"/>
                <w:sz w:val="14"/>
              </w:rPr>
              <w:t>prov_fy24</w:t>
            </w:r>
          </w:p>
        </w:tc>
        <w:tc>
          <w:tcPr>
            <w:tcW w:type="dxa" w:w="1325"/>
          </w:tcPr>
          <w:p>
            <w:pPr>
              <w:spacing w:after="20"/>
            </w:pPr>
            <w:r>
              <w:rPr>
                <w:color w:val="1C3A36"/>
                <w:sz w:val="14"/>
              </w:rPr>
              <w:t>56.053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comparative</w:t>
            </w:r>
          </w:p>
        </w:tc>
        <w:tc>
          <w:tcPr>
            <w:tcW w:type="dxa" w:w="1210"/>
          </w:tcPr>
          <w:p>
            <w:pPr>
              <w:spacing w:after="20"/>
            </w:pPr>
            <w:r>
              <w:rPr>
                <w:color w:val="1C3A36"/>
                <w:sz w:val="14"/>
              </w:rPr>
              <w:t>2024-12-31</w:t>
            </w:r>
          </w:p>
        </w:tc>
      </w:tr>
      <w:tr>
        <w:tc>
          <w:tcPr>
            <w:tcW w:type="dxa" w:w="432"/>
          </w:tcPr>
          <w:p>
            <w:pPr>
              <w:spacing w:after="20"/>
            </w:pPr>
            <w:r>
              <w:rPr>
                <w:color w:val="1C3A36"/>
                <w:sz w:val="14"/>
              </w:rPr>
              <w:t>119</w:t>
            </w:r>
          </w:p>
        </w:tc>
        <w:tc>
          <w:tcPr>
            <w:tcW w:type="dxa" w:w="2448"/>
          </w:tcPr>
          <w:p>
            <w:pPr>
              <w:spacing w:after="20"/>
            </w:pPr>
            <w:r>
              <w:rPr>
                <w:color w:val="1C3A36"/>
                <w:sz w:val="14"/>
              </w:rPr>
              <w:t>prov_fy25</w:t>
            </w:r>
          </w:p>
        </w:tc>
        <w:tc>
          <w:tcPr>
            <w:tcW w:type="dxa" w:w="1325"/>
          </w:tcPr>
          <w:p>
            <w:pPr>
              <w:spacing w:after="20"/>
            </w:pPr>
            <w:r>
              <w:rPr>
                <w:color w:val="1C3A36"/>
                <w:sz w:val="14"/>
              </w:rPr>
              <w:t>74.5057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note 27</w:t>
            </w:r>
          </w:p>
        </w:tc>
        <w:tc>
          <w:tcPr>
            <w:tcW w:type="dxa" w:w="1210"/>
          </w:tcPr>
          <w:p>
            <w:pPr>
              <w:spacing w:after="20"/>
            </w:pPr>
            <w:r>
              <w:rPr>
                <w:color w:val="1C3A36"/>
                <w:sz w:val="14"/>
              </w:rPr>
              <w:t>2025-12-31</w:t>
            </w:r>
          </w:p>
        </w:tc>
      </w:tr>
      <w:tr>
        <w:tc>
          <w:tcPr>
            <w:tcW w:type="dxa" w:w="432"/>
          </w:tcPr>
          <w:p>
            <w:pPr>
              <w:spacing w:after="20"/>
            </w:pPr>
            <w:r>
              <w:rPr>
                <w:color w:val="1C3A36"/>
                <w:sz w:val="14"/>
              </w:rPr>
              <w:t>120</w:t>
            </w:r>
          </w:p>
        </w:tc>
        <w:tc>
          <w:tcPr>
            <w:tcW w:type="dxa" w:w="2448"/>
          </w:tcPr>
          <w:p>
            <w:pPr>
              <w:spacing w:after="20"/>
            </w:pPr>
            <w:r>
              <w:rPr>
                <w:color w:val="1C3A36"/>
                <w:sz w:val="14"/>
              </w:rPr>
              <w:t>prov_h1_26</w:t>
            </w:r>
          </w:p>
        </w:tc>
        <w:tc>
          <w:tcPr>
            <w:tcW w:type="dxa" w:w="1325"/>
          </w:tcPr>
          <w:p>
            <w:pPr>
              <w:spacing w:after="20"/>
            </w:pPr>
            <w:r>
              <w:rPr>
                <w:color w:val="1C3A36"/>
                <w:sz w:val="14"/>
              </w:rPr>
              <w:t>31.4982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provisions</w:t>
            </w:r>
          </w:p>
        </w:tc>
        <w:tc>
          <w:tcPr>
            <w:tcW w:type="dxa" w:w="1210"/>
          </w:tcPr>
          <w:p>
            <w:pPr>
              <w:spacing w:after="20"/>
            </w:pPr>
            <w:r>
              <w:rPr>
                <w:color w:val="1C3A36"/>
                <w:sz w:val="14"/>
              </w:rPr>
              <w:t>2026-06-30</w:t>
            </w:r>
          </w:p>
        </w:tc>
      </w:tr>
      <w:tr>
        <w:tc>
          <w:tcPr>
            <w:tcW w:type="dxa" w:w="432"/>
          </w:tcPr>
          <w:p>
            <w:pPr>
              <w:spacing w:after="20"/>
            </w:pPr>
            <w:r>
              <w:rPr>
                <w:color w:val="1C3A36"/>
                <w:sz w:val="14"/>
              </w:rPr>
              <w:t>121</w:t>
            </w:r>
          </w:p>
        </w:tc>
        <w:tc>
          <w:tcPr>
            <w:tcW w:type="dxa" w:w="2448"/>
          </w:tcPr>
          <w:p>
            <w:pPr>
              <w:spacing w:after="20"/>
            </w:pPr>
            <w:r>
              <w:rPr>
                <w:color w:val="1C3A36"/>
                <w:sz w:val="14"/>
              </w:rPr>
              <w:t>prov_q1_26</w:t>
            </w:r>
          </w:p>
        </w:tc>
        <w:tc>
          <w:tcPr>
            <w:tcW w:type="dxa" w:w="1325"/>
          </w:tcPr>
          <w:p>
            <w:pPr>
              <w:spacing w:after="20"/>
            </w:pPr>
            <w:r>
              <w:rPr>
                <w:color w:val="1C3A36"/>
                <w:sz w:val="14"/>
              </w:rPr>
              <w:t>6.892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provisions</w:t>
            </w:r>
          </w:p>
        </w:tc>
        <w:tc>
          <w:tcPr>
            <w:tcW w:type="dxa" w:w="1210"/>
          </w:tcPr>
          <w:p>
            <w:pPr>
              <w:spacing w:after="20"/>
            </w:pPr>
            <w:r>
              <w:rPr>
                <w:color w:val="1C3A36"/>
                <w:sz w:val="14"/>
              </w:rPr>
              <w:t>2026-03-31</w:t>
            </w:r>
          </w:p>
        </w:tc>
      </w:tr>
      <w:tr>
        <w:tc>
          <w:tcPr>
            <w:tcW w:type="dxa" w:w="432"/>
          </w:tcPr>
          <w:p>
            <w:pPr>
              <w:spacing w:after="20"/>
            </w:pPr>
            <w:r>
              <w:rPr>
                <w:color w:val="1C3A36"/>
                <w:sz w:val="14"/>
              </w:rPr>
              <w:t>122</w:t>
            </w:r>
          </w:p>
        </w:tc>
        <w:tc>
          <w:tcPr>
            <w:tcW w:type="dxa" w:w="2448"/>
          </w:tcPr>
          <w:p>
            <w:pPr>
              <w:spacing w:after="20"/>
            </w:pPr>
            <w:r>
              <w:rPr>
                <w:color w:val="1C3A36"/>
                <w:sz w:val="14"/>
              </w:rPr>
              <w:t>recv_fy25</w:t>
            </w:r>
          </w:p>
        </w:tc>
        <w:tc>
          <w:tcPr>
            <w:tcW w:type="dxa" w:w="1325"/>
          </w:tcPr>
          <w:p>
            <w:pPr>
              <w:spacing w:after="20"/>
            </w:pPr>
            <w:r>
              <w:rPr>
                <w:color w:val="1C3A36"/>
                <w:sz w:val="14"/>
              </w:rPr>
              <w:t>244.4164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trade receivables (net of EGP 7.639mn expected credit losses), note 17</w:t>
            </w:r>
          </w:p>
        </w:tc>
        <w:tc>
          <w:tcPr>
            <w:tcW w:type="dxa" w:w="1210"/>
          </w:tcPr>
          <w:p>
            <w:pPr>
              <w:spacing w:after="20"/>
            </w:pPr>
            <w:r>
              <w:rPr>
                <w:color w:val="1C3A36"/>
                <w:sz w:val="14"/>
              </w:rPr>
              <w:t>2025-12-31</w:t>
            </w:r>
          </w:p>
        </w:tc>
      </w:tr>
      <w:tr>
        <w:tc>
          <w:tcPr>
            <w:tcW w:type="dxa" w:w="432"/>
          </w:tcPr>
          <w:p>
            <w:pPr>
              <w:spacing w:after="20"/>
            </w:pPr>
            <w:r>
              <w:rPr>
                <w:color w:val="1C3A36"/>
                <w:sz w:val="14"/>
              </w:rPr>
              <w:t>123</w:t>
            </w:r>
          </w:p>
        </w:tc>
        <w:tc>
          <w:tcPr>
            <w:tcW w:type="dxa" w:w="2448"/>
          </w:tcPr>
          <w:p>
            <w:pPr>
              <w:spacing w:after="20"/>
            </w:pPr>
            <w:r>
              <w:rPr>
                <w:color w:val="1C3A36"/>
                <w:sz w:val="14"/>
              </w:rPr>
              <w:t>rev_exp_fy24</w:t>
            </w:r>
          </w:p>
        </w:tc>
        <w:tc>
          <w:tcPr>
            <w:tcW w:type="dxa" w:w="1325"/>
          </w:tcPr>
          <w:p>
            <w:pPr>
              <w:spacing w:after="20"/>
            </w:pPr>
            <w:r>
              <w:rPr>
                <w:color w:val="1C3A36"/>
                <w:sz w:val="14"/>
              </w:rPr>
              <w:t>3,846.4783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124</w:t>
            </w:r>
          </w:p>
        </w:tc>
        <w:tc>
          <w:tcPr>
            <w:tcW w:type="dxa" w:w="2448"/>
          </w:tcPr>
          <w:p>
            <w:pPr>
              <w:spacing w:after="20"/>
            </w:pPr>
            <w:r>
              <w:rPr>
                <w:color w:val="1C3A36"/>
                <w:sz w:val="14"/>
              </w:rPr>
              <w:t>rev_exp_fy25</w:t>
            </w:r>
          </w:p>
        </w:tc>
        <w:tc>
          <w:tcPr>
            <w:tcW w:type="dxa" w:w="1325"/>
          </w:tcPr>
          <w:p>
            <w:pPr>
              <w:spacing w:after="20"/>
            </w:pPr>
            <w:r>
              <w:rPr>
                <w:color w:val="1C3A36"/>
                <w:sz w:val="14"/>
              </w:rPr>
              <w:t>3,815.0019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including transportation services</w:t>
            </w:r>
          </w:p>
        </w:tc>
        <w:tc>
          <w:tcPr>
            <w:tcW w:type="dxa" w:w="1210"/>
          </w:tcPr>
          <w:p>
            <w:pPr>
              <w:spacing w:after="20"/>
            </w:pPr>
            <w:r>
              <w:rPr>
                <w:color w:val="1C3A36"/>
                <w:sz w:val="14"/>
              </w:rPr>
              <w:t>2025-12-31</w:t>
            </w:r>
          </w:p>
        </w:tc>
      </w:tr>
      <w:tr>
        <w:tc>
          <w:tcPr>
            <w:tcW w:type="dxa" w:w="432"/>
          </w:tcPr>
          <w:p>
            <w:pPr>
              <w:spacing w:after="20"/>
            </w:pPr>
            <w:r>
              <w:rPr>
                <w:color w:val="1C3A36"/>
                <w:sz w:val="14"/>
              </w:rPr>
              <w:t>125</w:t>
            </w:r>
          </w:p>
        </w:tc>
        <w:tc>
          <w:tcPr>
            <w:tcW w:type="dxa" w:w="2448"/>
          </w:tcPr>
          <w:p>
            <w:pPr>
              <w:spacing w:after="20"/>
            </w:pPr>
            <w:r>
              <w:rPr>
                <w:color w:val="1C3A36"/>
                <w:sz w:val="14"/>
              </w:rPr>
              <w:t>rev_exp_goods_fy25</w:t>
            </w:r>
          </w:p>
        </w:tc>
        <w:tc>
          <w:tcPr>
            <w:tcW w:type="dxa" w:w="1325"/>
          </w:tcPr>
          <w:p>
            <w:pPr>
              <w:spacing w:after="20"/>
            </w:pPr>
            <w:r>
              <w:rPr>
                <w:color w:val="1C3A36"/>
                <w:sz w:val="14"/>
              </w:rPr>
              <w:t>3,356.4224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126</w:t>
            </w:r>
          </w:p>
        </w:tc>
        <w:tc>
          <w:tcPr>
            <w:tcW w:type="dxa" w:w="2448"/>
          </w:tcPr>
          <w:p>
            <w:pPr>
              <w:spacing w:after="20"/>
            </w:pPr>
            <w:r>
              <w:rPr>
                <w:color w:val="1C3A36"/>
                <w:sz w:val="14"/>
              </w:rPr>
              <w:t>rev_exp_svc_fy25</w:t>
            </w:r>
          </w:p>
        </w:tc>
        <w:tc>
          <w:tcPr>
            <w:tcW w:type="dxa" w:w="1325"/>
          </w:tcPr>
          <w:p>
            <w:pPr>
              <w:spacing w:after="20"/>
            </w:pPr>
            <w:r>
              <w:rPr>
                <w:color w:val="1C3A36"/>
                <w:sz w:val="14"/>
              </w:rPr>
              <w:t>458.5795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services</w:t>
            </w:r>
          </w:p>
        </w:tc>
        <w:tc>
          <w:tcPr>
            <w:tcW w:type="dxa" w:w="1210"/>
          </w:tcPr>
          <w:p>
            <w:pPr>
              <w:spacing w:after="20"/>
            </w:pPr>
            <w:r>
              <w:rPr>
                <w:color w:val="1C3A36"/>
                <w:sz w:val="14"/>
              </w:rPr>
              <w:t>2025-12-31</w:t>
            </w:r>
          </w:p>
        </w:tc>
      </w:tr>
      <w:tr>
        <w:tc>
          <w:tcPr>
            <w:tcW w:type="dxa" w:w="432"/>
          </w:tcPr>
          <w:p>
            <w:pPr>
              <w:spacing w:after="20"/>
            </w:pPr>
            <w:r>
              <w:rPr>
                <w:color w:val="1C3A36"/>
                <w:sz w:val="14"/>
              </w:rPr>
              <w:t>127</w:t>
            </w:r>
          </w:p>
        </w:tc>
        <w:tc>
          <w:tcPr>
            <w:tcW w:type="dxa" w:w="2448"/>
          </w:tcPr>
          <w:p>
            <w:pPr>
              <w:spacing w:after="20"/>
            </w:pPr>
            <w:r>
              <w:rPr>
                <w:color w:val="1C3A36"/>
                <w:sz w:val="14"/>
              </w:rPr>
              <w:t>rev_fy22</w:t>
            </w:r>
          </w:p>
        </w:tc>
        <w:tc>
          <w:tcPr>
            <w:tcW w:type="dxa" w:w="1325"/>
          </w:tcPr>
          <w:p>
            <w:pPr>
              <w:spacing w:after="20"/>
            </w:pPr>
            <w:r>
              <w:rPr>
                <w:color w:val="1C3A36"/>
                <w:sz w:val="14"/>
              </w:rPr>
              <w:t>4,675.0028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2022 — sales (net). Carried only to measure how much of a year ARCC's first half is</w:t>
            </w:r>
          </w:p>
        </w:tc>
        <w:tc>
          <w:tcPr>
            <w:tcW w:type="dxa" w:w="1210"/>
          </w:tcPr>
          <w:p>
            <w:pPr>
              <w:spacing w:after="20"/>
            </w:pPr>
            <w:r>
              <w:rPr>
                <w:color w:val="1C3A36"/>
                <w:sz w:val="14"/>
              </w:rPr>
              <w:t>2022-12-31</w:t>
            </w:r>
          </w:p>
        </w:tc>
      </w:tr>
      <w:tr>
        <w:tc>
          <w:tcPr>
            <w:tcW w:type="dxa" w:w="432"/>
          </w:tcPr>
          <w:p>
            <w:pPr>
              <w:spacing w:after="20"/>
            </w:pPr>
            <w:r>
              <w:rPr>
                <w:color w:val="1C3A36"/>
                <w:sz w:val="14"/>
              </w:rPr>
              <w:t>128</w:t>
            </w:r>
          </w:p>
        </w:tc>
        <w:tc>
          <w:tcPr>
            <w:tcW w:type="dxa" w:w="2448"/>
          </w:tcPr>
          <w:p>
            <w:pPr>
              <w:spacing w:after="20"/>
            </w:pPr>
            <w:r>
              <w:rPr>
                <w:color w:val="1C3A36"/>
                <w:sz w:val="14"/>
              </w:rPr>
              <w:t>rev_fy23</w:t>
            </w:r>
          </w:p>
        </w:tc>
        <w:tc>
          <w:tcPr>
            <w:tcW w:type="dxa" w:w="1325"/>
          </w:tcPr>
          <w:p>
            <w:pPr>
              <w:spacing w:after="20"/>
            </w:pPr>
            <w:r>
              <w:rPr>
                <w:color w:val="1C3A36"/>
                <w:sz w:val="14"/>
              </w:rPr>
              <w:t>6,042.8313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sales (net), comparative column</w:t>
            </w:r>
          </w:p>
        </w:tc>
        <w:tc>
          <w:tcPr>
            <w:tcW w:type="dxa" w:w="1210"/>
          </w:tcPr>
          <w:p>
            <w:pPr>
              <w:spacing w:after="20"/>
            </w:pPr>
            <w:r>
              <w:rPr>
                <w:color w:val="1C3A36"/>
                <w:sz w:val="14"/>
              </w:rPr>
              <w:t>2023-12-31</w:t>
            </w:r>
          </w:p>
        </w:tc>
      </w:tr>
      <w:tr>
        <w:tc>
          <w:tcPr>
            <w:tcW w:type="dxa" w:w="432"/>
          </w:tcPr>
          <w:p>
            <w:pPr>
              <w:spacing w:after="20"/>
            </w:pPr>
            <w:r>
              <w:rPr>
                <w:color w:val="1C3A36"/>
                <w:sz w:val="14"/>
              </w:rPr>
              <w:t>129</w:t>
            </w:r>
          </w:p>
        </w:tc>
        <w:tc>
          <w:tcPr>
            <w:tcW w:type="dxa" w:w="2448"/>
          </w:tcPr>
          <w:p>
            <w:pPr>
              <w:spacing w:after="20"/>
            </w:pPr>
            <w:r>
              <w:rPr>
                <w:color w:val="1C3A36"/>
                <w:sz w:val="14"/>
              </w:rPr>
              <w:t>rev_fy24</w:t>
            </w:r>
          </w:p>
        </w:tc>
        <w:tc>
          <w:tcPr>
            <w:tcW w:type="dxa" w:w="1325"/>
          </w:tcPr>
          <w:p>
            <w:pPr>
              <w:spacing w:after="20"/>
            </w:pPr>
            <w:r>
              <w:rPr>
                <w:color w:val="1C3A36"/>
                <w:sz w:val="14"/>
              </w:rPr>
              <w:t>8,729.7828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 comparative column</w:t>
            </w:r>
          </w:p>
        </w:tc>
        <w:tc>
          <w:tcPr>
            <w:tcW w:type="dxa" w:w="1210"/>
          </w:tcPr>
          <w:p>
            <w:pPr>
              <w:spacing w:after="20"/>
            </w:pPr>
            <w:r>
              <w:rPr>
                <w:color w:val="1C3A36"/>
                <w:sz w:val="14"/>
              </w:rPr>
              <w:t>2024-12-31</w:t>
            </w:r>
          </w:p>
        </w:tc>
      </w:tr>
      <w:tr>
        <w:tc>
          <w:tcPr>
            <w:tcW w:type="dxa" w:w="432"/>
          </w:tcPr>
          <w:p>
            <w:pPr>
              <w:spacing w:after="20"/>
            </w:pPr>
            <w:r>
              <w:rPr>
                <w:color w:val="1C3A36"/>
                <w:sz w:val="14"/>
              </w:rPr>
              <w:t>130</w:t>
            </w:r>
          </w:p>
        </w:tc>
        <w:tc>
          <w:tcPr>
            <w:tcW w:type="dxa" w:w="2448"/>
          </w:tcPr>
          <w:p>
            <w:pPr>
              <w:spacing w:after="20"/>
            </w:pPr>
            <w:r>
              <w:rPr>
                <w:color w:val="1C3A36"/>
                <w:sz w:val="14"/>
              </w:rPr>
              <w:t>rev_fy25</w:t>
            </w:r>
          </w:p>
        </w:tc>
        <w:tc>
          <w:tcPr>
            <w:tcW w:type="dxa" w:w="1325"/>
          </w:tcPr>
          <w:p>
            <w:pPr>
              <w:spacing w:after="20"/>
            </w:pPr>
            <w:r>
              <w:rPr>
                <w:color w:val="1C3A36"/>
                <w:sz w:val="14"/>
              </w:rPr>
              <w:t>12,447.3201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w:t>
            </w:r>
          </w:p>
        </w:tc>
        <w:tc>
          <w:tcPr>
            <w:tcW w:type="dxa" w:w="1210"/>
          </w:tcPr>
          <w:p>
            <w:pPr>
              <w:spacing w:after="20"/>
            </w:pPr>
            <w:r>
              <w:rPr>
                <w:color w:val="1C3A36"/>
                <w:sz w:val="14"/>
              </w:rPr>
              <w:t>2025-12-31</w:t>
            </w:r>
          </w:p>
        </w:tc>
      </w:tr>
      <w:tr>
        <w:tc>
          <w:tcPr>
            <w:tcW w:type="dxa" w:w="432"/>
          </w:tcPr>
          <w:p>
            <w:pPr>
              <w:spacing w:after="20"/>
            </w:pPr>
            <w:r>
              <w:rPr>
                <w:color w:val="1C3A36"/>
                <w:sz w:val="14"/>
              </w:rPr>
              <w:t>131</w:t>
            </w:r>
          </w:p>
        </w:tc>
        <w:tc>
          <w:tcPr>
            <w:tcW w:type="dxa" w:w="2448"/>
          </w:tcPr>
          <w:p>
            <w:pPr>
              <w:spacing w:after="20"/>
            </w:pPr>
            <w:r>
              <w:rPr>
                <w:color w:val="1C3A36"/>
                <w:sz w:val="14"/>
              </w:rPr>
              <w:t>rev_h1_22</w:t>
            </w:r>
          </w:p>
        </w:tc>
        <w:tc>
          <w:tcPr>
            <w:tcW w:type="dxa" w:w="1325"/>
          </w:tcPr>
          <w:p>
            <w:pPr>
              <w:spacing w:after="20"/>
            </w:pPr>
            <w:r>
              <w:rPr>
                <w:color w:val="1C3A36"/>
                <w:sz w:val="14"/>
              </w:rPr>
              <w:t>2,129.459</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2022, comparative column of the H1-2023 filing — sales (net). Foots: less cost of sales 1,704.834656 gives the printed gross profit of 424.624297</w:t>
            </w:r>
          </w:p>
        </w:tc>
        <w:tc>
          <w:tcPr>
            <w:tcW w:type="dxa" w:w="1210"/>
          </w:tcPr>
          <w:p>
            <w:pPr>
              <w:spacing w:after="20"/>
            </w:pPr>
            <w:r>
              <w:rPr>
                <w:color w:val="1C3A36"/>
                <w:sz w:val="14"/>
              </w:rPr>
              <w:t>2022-06-30</w:t>
            </w:r>
          </w:p>
        </w:tc>
      </w:tr>
      <w:tr>
        <w:tc>
          <w:tcPr>
            <w:tcW w:type="dxa" w:w="432"/>
          </w:tcPr>
          <w:p>
            <w:pPr>
              <w:spacing w:after="20"/>
            </w:pPr>
            <w:r>
              <w:rPr>
                <w:color w:val="1C3A36"/>
                <w:sz w:val="14"/>
              </w:rPr>
              <w:t>132</w:t>
            </w:r>
          </w:p>
        </w:tc>
        <w:tc>
          <w:tcPr>
            <w:tcW w:type="dxa" w:w="2448"/>
          </w:tcPr>
          <w:p>
            <w:pPr>
              <w:spacing w:after="20"/>
            </w:pPr>
            <w:r>
              <w:rPr>
                <w:color w:val="1C3A36"/>
                <w:sz w:val="14"/>
              </w:rPr>
              <w:t>rev_h1_23</w:t>
            </w:r>
          </w:p>
        </w:tc>
        <w:tc>
          <w:tcPr>
            <w:tcW w:type="dxa" w:w="1325"/>
          </w:tcPr>
          <w:p>
            <w:pPr>
              <w:spacing w:after="20"/>
            </w:pPr>
            <w:r>
              <w:rPr>
                <w:color w:val="1C3A36"/>
                <w:sz w:val="14"/>
              </w:rPr>
              <w:t>3,184.0346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2023 — sales (net). Foots: less cost of sales 2,536.411167 gives the printed gross profit of 647.623420</w:t>
            </w:r>
          </w:p>
        </w:tc>
        <w:tc>
          <w:tcPr>
            <w:tcW w:type="dxa" w:w="1210"/>
          </w:tcPr>
          <w:p>
            <w:pPr>
              <w:spacing w:after="20"/>
            </w:pPr>
            <w:r>
              <w:rPr>
                <w:color w:val="1C3A36"/>
                <w:sz w:val="14"/>
              </w:rPr>
              <w:t>2023-06-30</w:t>
            </w:r>
          </w:p>
        </w:tc>
      </w:tr>
      <w:tr>
        <w:tc>
          <w:tcPr>
            <w:tcW w:type="dxa" w:w="432"/>
          </w:tcPr>
          <w:p>
            <w:pPr>
              <w:spacing w:after="20"/>
            </w:pPr>
            <w:r>
              <w:rPr>
                <w:color w:val="1C3A36"/>
                <w:sz w:val="14"/>
              </w:rPr>
              <w:t>133</w:t>
            </w:r>
          </w:p>
        </w:tc>
        <w:tc>
          <w:tcPr>
            <w:tcW w:type="dxa" w:w="2448"/>
          </w:tcPr>
          <w:p>
            <w:pPr>
              <w:spacing w:after="20"/>
            </w:pPr>
            <w:r>
              <w:rPr>
                <w:color w:val="1C3A36"/>
                <w:sz w:val="14"/>
              </w:rPr>
              <w:t>rev_h1_25</w:t>
            </w:r>
          </w:p>
        </w:tc>
        <w:tc>
          <w:tcPr>
            <w:tcW w:type="dxa" w:w="1325"/>
          </w:tcPr>
          <w:p>
            <w:pPr>
              <w:spacing w:after="20"/>
            </w:pPr>
            <w:r>
              <w:rPr>
                <w:color w:val="1C3A36"/>
                <w:sz w:val="14"/>
              </w:rPr>
              <w:t>5,499.9116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sales (net), comparative six months</w:t>
            </w:r>
          </w:p>
        </w:tc>
        <w:tc>
          <w:tcPr>
            <w:tcW w:type="dxa" w:w="1210"/>
          </w:tcPr>
          <w:p>
            <w:pPr>
              <w:spacing w:after="20"/>
            </w:pPr>
            <w:r>
              <w:rPr>
                <w:color w:val="1C3A36"/>
                <w:sz w:val="14"/>
              </w:rPr>
              <w:t>2025-06-30</w:t>
            </w:r>
          </w:p>
        </w:tc>
      </w:tr>
      <w:tr>
        <w:tc>
          <w:tcPr>
            <w:tcW w:type="dxa" w:w="432"/>
          </w:tcPr>
          <w:p>
            <w:pPr>
              <w:spacing w:after="20"/>
            </w:pPr>
            <w:r>
              <w:rPr>
                <w:color w:val="1C3A36"/>
                <w:sz w:val="14"/>
              </w:rPr>
              <w:t>134</w:t>
            </w:r>
          </w:p>
        </w:tc>
        <w:tc>
          <w:tcPr>
            <w:tcW w:type="dxa" w:w="2448"/>
          </w:tcPr>
          <w:p>
            <w:pPr>
              <w:spacing w:after="20"/>
            </w:pPr>
            <w:r>
              <w:rPr>
                <w:color w:val="1C3A36"/>
                <w:sz w:val="14"/>
              </w:rPr>
              <w:t>rev_h1_25_exp_goods</w:t>
            </w:r>
          </w:p>
        </w:tc>
        <w:tc>
          <w:tcPr>
            <w:tcW w:type="dxa" w:w="1325"/>
          </w:tcPr>
          <w:p>
            <w:pPr>
              <w:spacing w:after="20"/>
            </w:pPr>
            <w:r>
              <w:rPr>
                <w:color w:val="1C3A36"/>
                <w:sz w:val="14"/>
              </w:rPr>
              <w:t>1,315.3498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 comparative</w:t>
            </w:r>
          </w:p>
        </w:tc>
        <w:tc>
          <w:tcPr>
            <w:tcW w:type="dxa" w:w="1210"/>
          </w:tcPr>
          <w:p>
            <w:pPr>
              <w:spacing w:after="20"/>
            </w:pPr>
            <w:r>
              <w:rPr>
                <w:color w:val="1C3A36"/>
                <w:sz w:val="14"/>
              </w:rPr>
              <w:t>2025-06-30</w:t>
            </w:r>
          </w:p>
        </w:tc>
      </w:tr>
      <w:tr>
        <w:tc>
          <w:tcPr>
            <w:tcW w:type="dxa" w:w="432"/>
          </w:tcPr>
          <w:p>
            <w:pPr>
              <w:spacing w:after="20"/>
            </w:pPr>
            <w:r>
              <w:rPr>
                <w:color w:val="1C3A36"/>
                <w:sz w:val="14"/>
              </w:rPr>
              <w:t>135</w:t>
            </w:r>
          </w:p>
        </w:tc>
        <w:tc>
          <w:tcPr>
            <w:tcW w:type="dxa" w:w="2448"/>
          </w:tcPr>
          <w:p>
            <w:pPr>
              <w:spacing w:after="20"/>
            </w:pPr>
            <w:r>
              <w:rPr>
                <w:color w:val="1C3A36"/>
                <w:sz w:val="14"/>
              </w:rPr>
              <w:t>rev_h1_25_loc_goods</w:t>
            </w:r>
          </w:p>
        </w:tc>
        <w:tc>
          <w:tcPr>
            <w:tcW w:type="dxa" w:w="1325"/>
          </w:tcPr>
          <w:p>
            <w:pPr>
              <w:spacing w:after="20"/>
            </w:pPr>
            <w:r>
              <w:rPr>
                <w:color w:val="1C3A36"/>
                <w:sz w:val="14"/>
              </w:rPr>
              <w:t>3,828.6172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 comparative</w:t>
            </w:r>
          </w:p>
        </w:tc>
        <w:tc>
          <w:tcPr>
            <w:tcW w:type="dxa" w:w="1210"/>
          </w:tcPr>
          <w:p>
            <w:pPr>
              <w:spacing w:after="20"/>
            </w:pPr>
            <w:r>
              <w:rPr>
                <w:color w:val="1C3A36"/>
                <w:sz w:val="14"/>
              </w:rPr>
              <w:t>2025-06-30</w:t>
            </w:r>
          </w:p>
        </w:tc>
      </w:tr>
      <w:tr>
        <w:tc>
          <w:tcPr>
            <w:tcW w:type="dxa" w:w="432"/>
          </w:tcPr>
          <w:p>
            <w:pPr>
              <w:spacing w:after="20"/>
            </w:pPr>
            <w:r>
              <w:rPr>
                <w:color w:val="1C3A36"/>
                <w:sz w:val="14"/>
              </w:rPr>
              <w:t>136</w:t>
            </w:r>
          </w:p>
        </w:tc>
        <w:tc>
          <w:tcPr>
            <w:tcW w:type="dxa" w:w="2448"/>
          </w:tcPr>
          <w:p>
            <w:pPr>
              <w:spacing w:after="20"/>
            </w:pPr>
            <w:r>
              <w:rPr>
                <w:color w:val="1C3A36"/>
                <w:sz w:val="14"/>
              </w:rPr>
              <w:t>rev_h1_25_svc</w:t>
            </w:r>
          </w:p>
        </w:tc>
        <w:tc>
          <w:tcPr>
            <w:tcW w:type="dxa" w:w="1325"/>
          </w:tcPr>
          <w:p>
            <w:pPr>
              <w:spacing w:after="20"/>
            </w:pPr>
            <w:r>
              <w:rPr>
                <w:color w:val="1C3A36"/>
                <w:sz w:val="14"/>
              </w:rPr>
              <w:t>355.9446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transportation services, comparative: local 127.753131 plus export 228.191479</w:t>
            </w:r>
          </w:p>
        </w:tc>
        <w:tc>
          <w:tcPr>
            <w:tcW w:type="dxa" w:w="1210"/>
          </w:tcPr>
          <w:p>
            <w:pPr>
              <w:spacing w:after="20"/>
            </w:pPr>
            <w:r>
              <w:rPr>
                <w:color w:val="1C3A36"/>
                <w:sz w:val="14"/>
              </w:rPr>
              <w:t>2025-06-30</w:t>
            </w:r>
          </w:p>
        </w:tc>
      </w:tr>
      <w:tr>
        <w:tc>
          <w:tcPr>
            <w:tcW w:type="dxa" w:w="432"/>
          </w:tcPr>
          <w:p>
            <w:pPr>
              <w:spacing w:after="20"/>
            </w:pPr>
            <w:r>
              <w:rPr>
                <w:color w:val="1C3A36"/>
                <w:sz w:val="14"/>
              </w:rPr>
              <w:t>137</w:t>
            </w:r>
          </w:p>
        </w:tc>
        <w:tc>
          <w:tcPr>
            <w:tcW w:type="dxa" w:w="2448"/>
          </w:tcPr>
          <w:p>
            <w:pPr>
              <w:spacing w:after="20"/>
            </w:pPr>
            <w:r>
              <w:rPr>
                <w:color w:val="1C3A36"/>
                <w:sz w:val="14"/>
              </w:rPr>
              <w:t>rev_h1_26</w:t>
            </w:r>
          </w:p>
        </w:tc>
        <w:tc>
          <w:tcPr>
            <w:tcW w:type="dxa" w:w="1325"/>
          </w:tcPr>
          <w:p>
            <w:pPr>
              <w:spacing w:after="20"/>
            </w:pPr>
            <w:r>
              <w:rPr>
                <w:color w:val="1C3A36"/>
                <w:sz w:val="14"/>
              </w:rPr>
              <w:t>6,080.5777</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sales (net), six months</w:t>
            </w:r>
          </w:p>
        </w:tc>
        <w:tc>
          <w:tcPr>
            <w:tcW w:type="dxa" w:w="1210"/>
          </w:tcPr>
          <w:p>
            <w:pPr>
              <w:spacing w:after="20"/>
            </w:pPr>
            <w:r>
              <w:rPr>
                <w:color w:val="1C3A36"/>
                <w:sz w:val="14"/>
              </w:rPr>
              <w:t>2026-06-30</w:t>
            </w:r>
          </w:p>
        </w:tc>
      </w:tr>
      <w:tr>
        <w:tc>
          <w:tcPr>
            <w:tcW w:type="dxa" w:w="432"/>
          </w:tcPr>
          <w:p>
            <w:pPr>
              <w:spacing w:after="20"/>
            </w:pPr>
            <w:r>
              <w:rPr>
                <w:color w:val="1C3A36"/>
                <w:sz w:val="14"/>
              </w:rPr>
              <w:t>138</w:t>
            </w:r>
          </w:p>
        </w:tc>
        <w:tc>
          <w:tcPr>
            <w:tcW w:type="dxa" w:w="2448"/>
          </w:tcPr>
          <w:p>
            <w:pPr>
              <w:spacing w:after="20"/>
            </w:pPr>
            <w:r>
              <w:rPr>
                <w:color w:val="1C3A36"/>
                <w:sz w:val="14"/>
              </w:rPr>
              <w:t>rev_h1_26_exp_goods</w:t>
            </w:r>
          </w:p>
        </w:tc>
        <w:tc>
          <w:tcPr>
            <w:tcW w:type="dxa" w:w="1325"/>
          </w:tcPr>
          <w:p>
            <w:pPr>
              <w:spacing w:after="20"/>
            </w:pPr>
            <w:r>
              <w:rPr>
                <w:color w:val="1C3A36"/>
                <w:sz w:val="14"/>
              </w:rPr>
              <w:t>1,264.8561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w:t>
            </w:r>
          </w:p>
        </w:tc>
        <w:tc>
          <w:tcPr>
            <w:tcW w:type="dxa" w:w="1210"/>
          </w:tcPr>
          <w:p>
            <w:pPr>
              <w:spacing w:after="20"/>
            </w:pPr>
            <w:r>
              <w:rPr>
                <w:color w:val="1C3A36"/>
                <w:sz w:val="14"/>
              </w:rPr>
              <w:t>2026-06-30</w:t>
            </w:r>
          </w:p>
        </w:tc>
      </w:tr>
      <w:tr>
        <w:tc>
          <w:tcPr>
            <w:tcW w:type="dxa" w:w="432"/>
          </w:tcPr>
          <w:p>
            <w:pPr>
              <w:spacing w:after="20"/>
            </w:pPr>
            <w:r>
              <w:rPr>
                <w:color w:val="1C3A36"/>
                <w:sz w:val="14"/>
              </w:rPr>
              <w:t>139</w:t>
            </w:r>
          </w:p>
        </w:tc>
        <w:tc>
          <w:tcPr>
            <w:tcW w:type="dxa" w:w="2448"/>
          </w:tcPr>
          <w:p>
            <w:pPr>
              <w:spacing w:after="20"/>
            </w:pPr>
            <w:r>
              <w:rPr>
                <w:color w:val="1C3A36"/>
                <w:sz w:val="14"/>
              </w:rPr>
              <w:t>rev_h1_26_loc_goods</w:t>
            </w:r>
          </w:p>
        </w:tc>
        <w:tc>
          <w:tcPr>
            <w:tcW w:type="dxa" w:w="1325"/>
          </w:tcPr>
          <w:p>
            <w:pPr>
              <w:spacing w:after="20"/>
            </w:pPr>
            <w:r>
              <w:rPr>
                <w:color w:val="1C3A36"/>
                <w:sz w:val="14"/>
              </w:rPr>
              <w:t>4,536.7838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w:t>
            </w:r>
          </w:p>
        </w:tc>
        <w:tc>
          <w:tcPr>
            <w:tcW w:type="dxa" w:w="1210"/>
          </w:tcPr>
          <w:p>
            <w:pPr>
              <w:spacing w:after="20"/>
            </w:pPr>
            <w:r>
              <w:rPr>
                <w:color w:val="1C3A36"/>
                <w:sz w:val="14"/>
              </w:rPr>
              <w:t>2026-06-30</w:t>
            </w:r>
          </w:p>
        </w:tc>
      </w:tr>
      <w:tr>
        <w:tc>
          <w:tcPr>
            <w:tcW w:type="dxa" w:w="432"/>
          </w:tcPr>
          <w:p>
            <w:pPr>
              <w:spacing w:after="20"/>
            </w:pPr>
            <w:r>
              <w:rPr>
                <w:color w:val="1C3A36"/>
                <w:sz w:val="14"/>
              </w:rPr>
              <w:t>140</w:t>
            </w:r>
          </w:p>
        </w:tc>
        <w:tc>
          <w:tcPr>
            <w:tcW w:type="dxa" w:w="2448"/>
          </w:tcPr>
          <w:p>
            <w:pPr>
              <w:spacing w:after="20"/>
            </w:pPr>
            <w:r>
              <w:rPr>
                <w:color w:val="1C3A36"/>
                <w:sz w:val="14"/>
              </w:rPr>
              <w:t>rev_h1_26_svc</w:t>
            </w:r>
          </w:p>
        </w:tc>
        <w:tc>
          <w:tcPr>
            <w:tcW w:type="dxa" w:w="1325"/>
          </w:tcPr>
          <w:p>
            <w:pPr>
              <w:spacing w:after="20"/>
            </w:pPr>
            <w:r>
              <w:rPr>
                <w:color w:val="1C3A36"/>
                <w:sz w:val="14"/>
              </w:rPr>
              <w:t>278.9379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transportation services 202.748365 plus export transportation services 76.189520</w:t>
            </w:r>
          </w:p>
        </w:tc>
        <w:tc>
          <w:tcPr>
            <w:tcW w:type="dxa" w:w="1210"/>
          </w:tcPr>
          <w:p>
            <w:pPr>
              <w:spacing w:after="20"/>
            </w:pPr>
            <w:r>
              <w:rPr>
                <w:color w:val="1C3A36"/>
                <w:sz w:val="14"/>
              </w:rPr>
              <w:t>2026-06-30</w:t>
            </w:r>
          </w:p>
        </w:tc>
      </w:tr>
      <w:tr>
        <w:tc>
          <w:tcPr>
            <w:tcW w:type="dxa" w:w="432"/>
          </w:tcPr>
          <w:p>
            <w:pPr>
              <w:spacing w:after="20"/>
            </w:pPr>
            <w:r>
              <w:rPr>
                <w:color w:val="1C3A36"/>
                <w:sz w:val="14"/>
              </w:rPr>
              <w:t>141</w:t>
            </w:r>
          </w:p>
        </w:tc>
        <w:tc>
          <w:tcPr>
            <w:tcW w:type="dxa" w:w="2448"/>
          </w:tcPr>
          <w:p>
            <w:pPr>
              <w:spacing w:after="20"/>
            </w:pPr>
            <w:r>
              <w:rPr>
                <w:color w:val="1C3A36"/>
                <w:sz w:val="14"/>
              </w:rPr>
              <w:t>rev_local_fy24</w:t>
            </w:r>
          </w:p>
        </w:tc>
        <w:tc>
          <w:tcPr>
            <w:tcW w:type="dxa" w:w="1325"/>
          </w:tcPr>
          <w:p>
            <w:pPr>
              <w:spacing w:after="20"/>
            </w:pPr>
            <w:r>
              <w:rPr>
                <w:color w:val="1C3A36"/>
                <w:sz w:val="14"/>
              </w:rPr>
              <w:t>4,883.3045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local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142</w:t>
            </w:r>
          </w:p>
        </w:tc>
        <w:tc>
          <w:tcPr>
            <w:tcW w:type="dxa" w:w="2448"/>
          </w:tcPr>
          <w:p>
            <w:pPr>
              <w:spacing w:after="20"/>
            </w:pPr>
            <w:r>
              <w:rPr>
                <w:color w:val="1C3A36"/>
                <w:sz w:val="14"/>
              </w:rPr>
              <w:t>rev_local_goods_fy25</w:t>
            </w:r>
          </w:p>
        </w:tc>
        <w:tc>
          <w:tcPr>
            <w:tcW w:type="dxa" w:w="1325"/>
          </w:tcPr>
          <w:p>
            <w:pPr>
              <w:spacing w:after="20"/>
            </w:pPr>
            <w:r>
              <w:rPr>
                <w:color w:val="1C3A36"/>
                <w:sz w:val="14"/>
              </w:rPr>
              <w:t>8,350.4546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143</w:t>
            </w:r>
          </w:p>
        </w:tc>
        <w:tc>
          <w:tcPr>
            <w:tcW w:type="dxa" w:w="2448"/>
          </w:tcPr>
          <w:p>
            <w:pPr>
              <w:spacing w:after="20"/>
            </w:pPr>
            <w:r>
              <w:rPr>
                <w:color w:val="1C3A36"/>
                <w:sz w:val="14"/>
              </w:rPr>
              <w:t>rev_local_svc_fy25</w:t>
            </w:r>
          </w:p>
        </w:tc>
        <w:tc>
          <w:tcPr>
            <w:tcW w:type="dxa" w:w="1325"/>
          </w:tcPr>
          <w:p>
            <w:pPr>
              <w:spacing w:after="20"/>
            </w:pPr>
            <w:r>
              <w:rPr>
                <w:color w:val="1C3A36"/>
                <w:sz w:val="14"/>
              </w:rPr>
              <w:t>281.8635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services</w:t>
            </w:r>
          </w:p>
        </w:tc>
        <w:tc>
          <w:tcPr>
            <w:tcW w:type="dxa" w:w="1210"/>
          </w:tcPr>
          <w:p>
            <w:pPr>
              <w:spacing w:after="20"/>
            </w:pPr>
            <w:r>
              <w:rPr>
                <w:color w:val="1C3A36"/>
                <w:sz w:val="14"/>
              </w:rPr>
              <w:t>2025-12-31</w:t>
            </w:r>
          </w:p>
        </w:tc>
      </w:tr>
      <w:tr>
        <w:tc>
          <w:tcPr>
            <w:tcW w:type="dxa" w:w="432"/>
          </w:tcPr>
          <w:p>
            <w:pPr>
              <w:spacing w:after="20"/>
            </w:pPr>
            <w:r>
              <w:rPr>
                <w:color w:val="1C3A36"/>
                <w:sz w:val="14"/>
              </w:rPr>
              <w:t>144</w:t>
            </w:r>
          </w:p>
        </w:tc>
        <w:tc>
          <w:tcPr>
            <w:tcW w:type="dxa" w:w="2448"/>
          </w:tcPr>
          <w:p>
            <w:pPr>
              <w:spacing w:after="20"/>
            </w:pPr>
            <w:r>
              <w:rPr>
                <w:color w:val="1C3A36"/>
                <w:sz w:val="14"/>
              </w:rPr>
              <w:t>rev_q1_25</w:t>
            </w:r>
          </w:p>
        </w:tc>
        <w:tc>
          <w:tcPr>
            <w:tcW w:type="dxa" w:w="1325"/>
          </w:tcPr>
          <w:p>
            <w:pPr>
              <w:spacing w:after="20"/>
            </w:pPr>
            <w:r>
              <w:rPr>
                <w:color w:val="1C3A36"/>
                <w:sz w:val="14"/>
              </w:rPr>
              <w:t>2,554.4481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 comparative</w:t>
            </w:r>
          </w:p>
        </w:tc>
        <w:tc>
          <w:tcPr>
            <w:tcW w:type="dxa" w:w="1210"/>
          </w:tcPr>
          <w:p>
            <w:pPr>
              <w:spacing w:after="20"/>
            </w:pPr>
            <w:r>
              <w:rPr>
                <w:color w:val="1C3A36"/>
                <w:sz w:val="14"/>
              </w:rPr>
              <w:t>2025-03-31</w:t>
            </w:r>
          </w:p>
        </w:tc>
      </w:tr>
      <w:tr>
        <w:tc>
          <w:tcPr>
            <w:tcW w:type="dxa" w:w="432"/>
          </w:tcPr>
          <w:p>
            <w:pPr>
              <w:spacing w:after="20"/>
            </w:pPr>
            <w:r>
              <w:rPr>
                <w:color w:val="1C3A36"/>
                <w:sz w:val="14"/>
              </w:rPr>
              <w:t>145</w:t>
            </w:r>
          </w:p>
        </w:tc>
        <w:tc>
          <w:tcPr>
            <w:tcW w:type="dxa" w:w="2448"/>
          </w:tcPr>
          <w:p>
            <w:pPr>
              <w:spacing w:after="20"/>
            </w:pPr>
            <w:r>
              <w:rPr>
                <w:color w:val="1C3A36"/>
                <w:sz w:val="14"/>
              </w:rPr>
              <w:t>rev_q1_26</w:t>
            </w:r>
          </w:p>
        </w:tc>
        <w:tc>
          <w:tcPr>
            <w:tcW w:type="dxa" w:w="1325"/>
          </w:tcPr>
          <w:p>
            <w:pPr>
              <w:spacing w:after="20"/>
            </w:pPr>
            <w:r>
              <w:rPr>
                <w:color w:val="1C3A36"/>
                <w:sz w:val="14"/>
              </w:rPr>
              <w:t>2,995.9594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w:t>
            </w:r>
          </w:p>
        </w:tc>
        <w:tc>
          <w:tcPr>
            <w:tcW w:type="dxa" w:w="1210"/>
          </w:tcPr>
          <w:p>
            <w:pPr>
              <w:spacing w:after="20"/>
            </w:pPr>
            <w:r>
              <w:rPr>
                <w:color w:val="1C3A36"/>
                <w:sz w:val="14"/>
              </w:rPr>
              <w:t>2026-03-31</w:t>
            </w:r>
          </w:p>
        </w:tc>
      </w:tr>
      <w:tr>
        <w:tc>
          <w:tcPr>
            <w:tcW w:type="dxa" w:w="432"/>
          </w:tcPr>
          <w:p>
            <w:pPr>
              <w:spacing w:after="20"/>
            </w:pPr>
            <w:r>
              <w:rPr>
                <w:color w:val="1C3A36"/>
                <w:sz w:val="14"/>
              </w:rPr>
              <w:t>146</w:t>
            </w:r>
          </w:p>
        </w:tc>
        <w:tc>
          <w:tcPr>
            <w:tcW w:type="dxa" w:w="2448"/>
          </w:tcPr>
          <w:p>
            <w:pPr>
              <w:spacing w:after="20"/>
            </w:pPr>
            <w:r>
              <w:rPr>
                <w:color w:val="1C3A36"/>
                <w:sz w:val="14"/>
              </w:rPr>
              <w:t>shares_issued</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20: 378,739,700 ordinary shares authorised, issued and fully paid at EGP 2 par, issued capital EGP 757,479,400</w:t>
            </w:r>
          </w:p>
        </w:tc>
        <w:tc>
          <w:tcPr>
            <w:tcW w:type="dxa" w:w="1210"/>
          </w:tcPr>
          <w:p>
            <w:pPr>
              <w:spacing w:after="20"/>
            </w:pPr>
            <w:r>
              <w:rPr>
                <w:color w:val="1C3A36"/>
                <w:sz w:val="14"/>
              </w:rPr>
              <w:t>2025-12-31</w:t>
            </w:r>
          </w:p>
        </w:tc>
      </w:tr>
      <w:tr>
        <w:tc>
          <w:tcPr>
            <w:tcW w:type="dxa" w:w="432"/>
          </w:tcPr>
          <w:p>
            <w:pPr>
              <w:spacing w:after="20"/>
            </w:pPr>
            <w:r>
              <w:rPr>
                <w:color w:val="1C3A36"/>
                <w:sz w:val="14"/>
              </w:rPr>
              <w:t>147</w:t>
            </w:r>
          </w:p>
        </w:tc>
        <w:tc>
          <w:tcPr>
            <w:tcW w:type="dxa" w:w="2448"/>
          </w:tcPr>
          <w:p>
            <w:pPr>
              <w:spacing w:after="20"/>
            </w:pPr>
            <w:r>
              <w:rPr>
                <w:color w:val="1C3A36"/>
                <w:sz w:val="14"/>
              </w:rPr>
              <w:t>shares_treasury</w:t>
            </w:r>
          </w:p>
        </w:tc>
        <w:tc>
          <w:tcPr>
            <w:tcW w:type="dxa" w:w="1325"/>
          </w:tcPr>
          <w:p>
            <w:pPr>
              <w:spacing w:after="20"/>
            </w:pPr>
            <w:r>
              <w:rPr>
                <w:color w:val="1C3A36"/>
                <w:sz w:val="14"/>
              </w:rPr>
              <w:t>3.8723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21: 3,872,255 treasury shares acquired during 2025 for EGP 143,327,985, being 1% of capital, under a board approval of 21 July 2025</w:t>
            </w:r>
          </w:p>
        </w:tc>
        <w:tc>
          <w:tcPr>
            <w:tcW w:type="dxa" w:w="1210"/>
          </w:tcPr>
          <w:p>
            <w:pPr>
              <w:spacing w:after="20"/>
            </w:pPr>
            <w:r>
              <w:rPr>
                <w:color w:val="1C3A36"/>
                <w:sz w:val="14"/>
              </w:rPr>
              <w:t>2025-12-31</w:t>
            </w:r>
          </w:p>
        </w:tc>
      </w:tr>
      <w:tr>
        <w:tc>
          <w:tcPr>
            <w:tcW w:type="dxa" w:w="432"/>
          </w:tcPr>
          <w:p>
            <w:pPr>
              <w:spacing w:after="20"/>
            </w:pPr>
            <w:r>
              <w:rPr>
                <w:color w:val="1C3A36"/>
                <w:sz w:val="14"/>
              </w:rPr>
              <w:t>148</w:t>
            </w:r>
          </w:p>
        </w:tc>
        <w:tc>
          <w:tcPr>
            <w:tcW w:type="dxa" w:w="2448"/>
          </w:tcPr>
          <w:p>
            <w:pPr>
              <w:spacing w:after="20"/>
            </w:pPr>
            <w:r>
              <w:rPr>
                <w:color w:val="1C3A36"/>
                <w:sz w:val="14"/>
              </w:rPr>
              <w:t>shares_wavg_fy24</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comparative</w:t>
            </w:r>
          </w:p>
        </w:tc>
        <w:tc>
          <w:tcPr>
            <w:tcW w:type="dxa" w:w="1210"/>
          </w:tcPr>
          <w:p>
            <w:pPr>
              <w:spacing w:after="20"/>
            </w:pPr>
            <w:r>
              <w:rPr>
                <w:color w:val="1C3A36"/>
                <w:sz w:val="14"/>
              </w:rPr>
              <w:t>2024-12-31</w:t>
            </w:r>
          </w:p>
        </w:tc>
      </w:tr>
      <w:tr>
        <w:tc>
          <w:tcPr>
            <w:tcW w:type="dxa" w:w="432"/>
          </w:tcPr>
          <w:p>
            <w:pPr>
              <w:spacing w:after="20"/>
            </w:pPr>
            <w:r>
              <w:rPr>
                <w:color w:val="1C3A36"/>
                <w:sz w:val="14"/>
              </w:rPr>
              <w:t>149</w:t>
            </w:r>
          </w:p>
        </w:tc>
        <w:tc>
          <w:tcPr>
            <w:tcW w:type="dxa" w:w="2448"/>
          </w:tcPr>
          <w:p>
            <w:pPr>
              <w:spacing w:after="20"/>
            </w:pPr>
            <w:r>
              <w:rPr>
                <w:color w:val="1C3A36"/>
                <w:sz w:val="14"/>
              </w:rPr>
              <w:t>shares_wavg_fy25</w:t>
            </w:r>
          </w:p>
        </w:tc>
        <w:tc>
          <w:tcPr>
            <w:tcW w:type="dxa" w:w="1325"/>
          </w:tcPr>
          <w:p>
            <w:pPr>
              <w:spacing w:after="20"/>
            </w:pPr>
            <w:r>
              <w:rPr>
                <w:color w:val="1C3A36"/>
                <w:sz w:val="14"/>
              </w:rPr>
              <w:t>377.1556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weighted average ordinary shares for earnings per share, after excluding treasury shares</w:t>
            </w:r>
          </w:p>
        </w:tc>
        <w:tc>
          <w:tcPr>
            <w:tcW w:type="dxa" w:w="1210"/>
          </w:tcPr>
          <w:p>
            <w:pPr>
              <w:spacing w:after="20"/>
            </w:pPr>
            <w:r>
              <w:rPr>
                <w:color w:val="1C3A36"/>
                <w:sz w:val="14"/>
              </w:rPr>
              <w:t>2025-12-31</w:t>
            </w:r>
          </w:p>
        </w:tc>
      </w:tr>
      <w:tr>
        <w:tc>
          <w:tcPr>
            <w:tcW w:type="dxa" w:w="432"/>
          </w:tcPr>
          <w:p>
            <w:pPr>
              <w:spacing w:after="20"/>
            </w:pPr>
            <w:r>
              <w:rPr>
                <w:color w:val="1C3A36"/>
                <w:sz w:val="14"/>
              </w:rPr>
              <w:t>150</w:t>
            </w:r>
          </w:p>
        </w:tc>
        <w:tc>
          <w:tcPr>
            <w:tcW w:type="dxa" w:w="2448"/>
          </w:tcPr>
          <w:p>
            <w:pPr>
              <w:spacing w:after="20"/>
            </w:pPr>
            <w:r>
              <w:rPr>
                <w:color w:val="1C3A36"/>
                <w:sz w:val="14"/>
              </w:rPr>
              <w:t>svc_share</w:t>
            </w:r>
          </w:p>
        </w:tc>
        <w:tc>
          <w:tcPr>
            <w:tcW w:type="dxa" w:w="1325"/>
          </w:tcPr>
          <w:p>
            <w:pPr>
              <w:spacing w:after="20"/>
            </w:pPr>
            <w:r>
              <w:rPr>
                <w:color w:val="1C3A36"/>
                <w:sz w:val="14"/>
              </w:rPr>
              <w:t>0.0633</w:t>
            </w:r>
          </w:p>
        </w:tc>
        <w:tc>
          <w:tcPr>
            <w:tcW w:type="dxa" w:w="1066"/>
          </w:tcPr>
          <w:p>
            <w:pPr>
              <w:spacing w:after="20"/>
            </w:pPr>
            <w:r>
              <w:rPr>
                <w:color w:val="1C3A36"/>
                <w:sz w:val="14"/>
              </w:rPr>
              <w:t>Company</w:t>
            </w:r>
          </w:p>
        </w:tc>
        <w:tc>
          <w:tcPr>
            <w:tcW w:type="dxa" w:w="7171"/>
          </w:tcPr>
          <w:p>
            <w:pPr>
              <w:spacing w:after="20"/>
            </w:pPr>
            <w:r>
              <w:rPr>
                <w:color w:val="1C3A36"/>
                <w:sz w:val="14"/>
              </w:rPr>
              <w:t>Services revenue (transportation) as a share of goods revenue, derived from the disclosed FY2025 split</w:t>
            </w:r>
          </w:p>
        </w:tc>
        <w:tc>
          <w:tcPr>
            <w:tcW w:type="dxa" w:w="1210"/>
          </w:tcPr>
          <w:p>
            <w:pPr>
              <w:spacing w:after="20"/>
            </w:pPr>
            <w:r>
              <w:rPr>
                <w:color w:val="1C3A36"/>
                <w:sz w:val="14"/>
              </w:rPr>
              <w:t>2025-12-31</w:t>
            </w:r>
          </w:p>
        </w:tc>
      </w:tr>
      <w:tr>
        <w:tc>
          <w:tcPr>
            <w:tcW w:type="dxa" w:w="432"/>
          </w:tcPr>
          <w:p>
            <w:pPr>
              <w:spacing w:after="20"/>
            </w:pPr>
            <w:r>
              <w:rPr>
                <w:color w:val="1C3A36"/>
                <w:sz w:val="14"/>
              </w:rPr>
              <w:t>151</w:t>
            </w:r>
          </w:p>
        </w:tc>
        <w:tc>
          <w:tcPr>
            <w:tcW w:type="dxa" w:w="2448"/>
          </w:tcPr>
          <w:p>
            <w:pPr>
              <w:spacing w:after="20"/>
            </w:pPr>
            <w:r>
              <w:rPr>
                <w:color w:val="1C3A36"/>
                <w:sz w:val="14"/>
              </w:rPr>
              <w:t>ta_fy23</w:t>
            </w:r>
          </w:p>
        </w:tc>
        <w:tc>
          <w:tcPr>
            <w:tcW w:type="dxa" w:w="1325"/>
          </w:tcPr>
          <w:p>
            <w:pPr>
              <w:spacing w:after="20"/>
            </w:pPr>
            <w:r>
              <w:rPr>
                <w:color w:val="1C3A36"/>
                <w:sz w:val="14"/>
              </w:rPr>
              <w:t>3,887.5274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total assets, comparative</w:t>
            </w:r>
          </w:p>
        </w:tc>
        <w:tc>
          <w:tcPr>
            <w:tcW w:type="dxa" w:w="1210"/>
          </w:tcPr>
          <w:p>
            <w:pPr>
              <w:spacing w:after="20"/>
            </w:pPr>
            <w:r>
              <w:rPr>
                <w:color w:val="1C3A36"/>
                <w:sz w:val="14"/>
              </w:rPr>
              <w:t>2023-12-31</w:t>
            </w:r>
          </w:p>
        </w:tc>
      </w:tr>
      <w:tr>
        <w:tc>
          <w:tcPr>
            <w:tcW w:type="dxa" w:w="432"/>
          </w:tcPr>
          <w:p>
            <w:pPr>
              <w:spacing w:after="20"/>
            </w:pPr>
            <w:r>
              <w:rPr>
                <w:color w:val="1C3A36"/>
                <w:sz w:val="14"/>
              </w:rPr>
              <w:t>152</w:t>
            </w:r>
          </w:p>
        </w:tc>
        <w:tc>
          <w:tcPr>
            <w:tcW w:type="dxa" w:w="2448"/>
          </w:tcPr>
          <w:p>
            <w:pPr>
              <w:spacing w:after="20"/>
            </w:pPr>
            <w:r>
              <w:rPr>
                <w:color w:val="1C3A36"/>
                <w:sz w:val="14"/>
              </w:rPr>
              <w:t>ta_fy24</w:t>
            </w:r>
          </w:p>
        </w:tc>
        <w:tc>
          <w:tcPr>
            <w:tcW w:type="dxa" w:w="1325"/>
          </w:tcPr>
          <w:p>
            <w:pPr>
              <w:spacing w:after="20"/>
            </w:pPr>
            <w:r>
              <w:rPr>
                <w:color w:val="1C3A36"/>
                <w:sz w:val="14"/>
              </w:rPr>
              <w:t>5,848.6161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 comparative</w:t>
            </w:r>
          </w:p>
        </w:tc>
        <w:tc>
          <w:tcPr>
            <w:tcW w:type="dxa" w:w="1210"/>
          </w:tcPr>
          <w:p>
            <w:pPr>
              <w:spacing w:after="20"/>
            </w:pPr>
            <w:r>
              <w:rPr>
                <w:color w:val="1C3A36"/>
                <w:sz w:val="14"/>
              </w:rPr>
              <w:t>2024-12-31</w:t>
            </w:r>
          </w:p>
        </w:tc>
      </w:tr>
      <w:tr>
        <w:tc>
          <w:tcPr>
            <w:tcW w:type="dxa" w:w="432"/>
          </w:tcPr>
          <w:p>
            <w:pPr>
              <w:spacing w:after="20"/>
            </w:pPr>
            <w:r>
              <w:rPr>
                <w:color w:val="1C3A36"/>
                <w:sz w:val="14"/>
              </w:rPr>
              <w:t>153</w:t>
            </w:r>
          </w:p>
        </w:tc>
        <w:tc>
          <w:tcPr>
            <w:tcW w:type="dxa" w:w="2448"/>
          </w:tcPr>
          <w:p>
            <w:pPr>
              <w:spacing w:after="20"/>
            </w:pPr>
            <w:r>
              <w:rPr>
                <w:color w:val="1C3A36"/>
                <w:sz w:val="14"/>
              </w:rPr>
              <w:t>ta_fy25</w:t>
            </w:r>
          </w:p>
        </w:tc>
        <w:tc>
          <w:tcPr>
            <w:tcW w:type="dxa" w:w="1325"/>
          </w:tcPr>
          <w:p>
            <w:pPr>
              <w:spacing w:after="20"/>
            </w:pPr>
            <w:r>
              <w:rPr>
                <w:color w:val="1C3A36"/>
                <w:sz w:val="14"/>
              </w:rPr>
              <w:t>8,783.7218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w:t>
            </w:r>
          </w:p>
        </w:tc>
        <w:tc>
          <w:tcPr>
            <w:tcW w:type="dxa" w:w="1210"/>
          </w:tcPr>
          <w:p>
            <w:pPr>
              <w:spacing w:after="20"/>
            </w:pPr>
            <w:r>
              <w:rPr>
                <w:color w:val="1C3A36"/>
                <w:sz w:val="14"/>
              </w:rPr>
              <w:t>2025-12-31</w:t>
            </w:r>
          </w:p>
        </w:tc>
      </w:tr>
      <w:tr>
        <w:tc>
          <w:tcPr>
            <w:tcW w:type="dxa" w:w="432"/>
          </w:tcPr>
          <w:p>
            <w:pPr>
              <w:spacing w:after="20"/>
            </w:pPr>
            <w:r>
              <w:rPr>
                <w:color w:val="1C3A36"/>
                <w:sz w:val="14"/>
              </w:rPr>
              <w:t>154</w:t>
            </w:r>
          </w:p>
        </w:tc>
        <w:tc>
          <w:tcPr>
            <w:tcW w:type="dxa" w:w="2448"/>
          </w:tcPr>
          <w:p>
            <w:pPr>
              <w:spacing w:after="20"/>
            </w:pPr>
            <w:r>
              <w:rPr>
                <w:color w:val="1C3A36"/>
                <w:sz w:val="14"/>
              </w:rPr>
              <w:t>tax_eff</w:t>
            </w:r>
          </w:p>
        </w:tc>
        <w:tc>
          <w:tcPr>
            <w:tcW w:type="dxa" w:w="1325"/>
          </w:tcPr>
          <w:p>
            <w:pPr>
              <w:spacing w:after="20"/>
            </w:pPr>
            <w:r>
              <w:rPr>
                <w:color w:val="1C3A36"/>
                <w:sz w:val="14"/>
              </w:rPr>
              <w:t>0.2382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of EGP 1,125.468mn over pre-tax profit of EGP 4,725.158mn. Note 10.2 separately discloses an average effective rate of 23.33% (2024: 22.96%); Q1-2026 ran at 25.92%. Revision 1 inferred 29.43% by closing a MODELLED net finance income against disclosed profit, and over-taxed every forecast year by 5.6 points</w:t>
            </w:r>
          </w:p>
        </w:tc>
        <w:tc>
          <w:tcPr>
            <w:tcW w:type="dxa" w:w="1210"/>
          </w:tcPr>
          <w:p>
            <w:pPr>
              <w:spacing w:after="20"/>
            </w:pPr>
            <w:r>
              <w:rPr>
                <w:color w:val="1C3A36"/>
                <w:sz w:val="14"/>
              </w:rPr>
              <w:t>2025-12-31</w:t>
            </w:r>
          </w:p>
        </w:tc>
      </w:tr>
      <w:tr>
        <w:tc>
          <w:tcPr>
            <w:tcW w:type="dxa" w:w="432"/>
          </w:tcPr>
          <w:p>
            <w:pPr>
              <w:spacing w:after="20"/>
            </w:pPr>
            <w:r>
              <w:rPr>
                <w:color w:val="1C3A36"/>
                <w:sz w:val="14"/>
              </w:rPr>
              <w:t>155</w:t>
            </w:r>
          </w:p>
        </w:tc>
        <w:tc>
          <w:tcPr>
            <w:tcW w:type="dxa" w:w="2448"/>
          </w:tcPr>
          <w:p>
            <w:pPr>
              <w:spacing w:after="20"/>
            </w:pPr>
            <w:r>
              <w:rPr>
                <w:color w:val="1C3A36"/>
                <w:sz w:val="14"/>
              </w:rPr>
              <w:t>tax_fy23</w:t>
            </w:r>
          </w:p>
        </w:tc>
        <w:tc>
          <w:tcPr>
            <w:tcW w:type="dxa" w:w="1325"/>
          </w:tcPr>
          <w:p>
            <w:pPr>
              <w:spacing w:after="20"/>
            </w:pPr>
            <w:r>
              <w:rPr>
                <w:color w:val="1C3A36"/>
                <w:sz w:val="14"/>
              </w:rPr>
              <w:t>232.7328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income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156</w:t>
            </w:r>
          </w:p>
        </w:tc>
        <w:tc>
          <w:tcPr>
            <w:tcW w:type="dxa" w:w="2448"/>
          </w:tcPr>
          <w:p>
            <w:pPr>
              <w:spacing w:after="20"/>
            </w:pPr>
            <w:r>
              <w:rPr>
                <w:color w:val="1C3A36"/>
                <w:sz w:val="14"/>
              </w:rPr>
              <w:t>tax_fy24</w:t>
            </w:r>
          </w:p>
        </w:tc>
        <w:tc>
          <w:tcPr>
            <w:tcW w:type="dxa" w:w="1325"/>
          </w:tcPr>
          <w:p>
            <w:pPr>
              <w:spacing w:after="20"/>
            </w:pPr>
            <w:r>
              <w:rPr>
                <w:color w:val="1C3A36"/>
                <w:sz w:val="14"/>
              </w:rPr>
              <w:t>345.731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157</w:t>
            </w:r>
          </w:p>
        </w:tc>
        <w:tc>
          <w:tcPr>
            <w:tcW w:type="dxa" w:w="2448"/>
          </w:tcPr>
          <w:p>
            <w:pPr>
              <w:spacing w:after="20"/>
            </w:pPr>
            <w:r>
              <w:rPr>
                <w:color w:val="1C3A36"/>
                <w:sz w:val="14"/>
              </w:rPr>
              <w:t>tax_fy25</w:t>
            </w:r>
          </w:p>
        </w:tc>
        <w:tc>
          <w:tcPr>
            <w:tcW w:type="dxa" w:w="1325"/>
          </w:tcPr>
          <w:p>
            <w:pPr>
              <w:spacing w:after="20"/>
            </w:pPr>
            <w:r>
              <w:rPr>
                <w:color w:val="1C3A36"/>
                <w:sz w:val="14"/>
              </w:rPr>
              <w:t>1,125.4677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note 10.1: current 1,111.30 plus deferred 14.17</w:t>
            </w:r>
          </w:p>
        </w:tc>
        <w:tc>
          <w:tcPr>
            <w:tcW w:type="dxa" w:w="1210"/>
          </w:tcPr>
          <w:p>
            <w:pPr>
              <w:spacing w:after="20"/>
            </w:pPr>
            <w:r>
              <w:rPr>
                <w:color w:val="1C3A36"/>
                <w:sz w:val="14"/>
              </w:rPr>
              <w:t>2025-12-31</w:t>
            </w:r>
          </w:p>
        </w:tc>
      </w:tr>
      <w:tr>
        <w:tc>
          <w:tcPr>
            <w:tcW w:type="dxa" w:w="432"/>
          </w:tcPr>
          <w:p>
            <w:pPr>
              <w:spacing w:after="20"/>
            </w:pPr>
            <w:r>
              <w:rPr>
                <w:color w:val="1C3A36"/>
                <w:sz w:val="14"/>
              </w:rPr>
              <w:t>158</w:t>
            </w:r>
          </w:p>
        </w:tc>
        <w:tc>
          <w:tcPr>
            <w:tcW w:type="dxa" w:w="2448"/>
          </w:tcPr>
          <w:p>
            <w:pPr>
              <w:spacing w:after="20"/>
            </w:pPr>
            <w:r>
              <w:rPr>
                <w:color w:val="1C3A36"/>
                <w:sz w:val="14"/>
              </w:rPr>
              <w:t>tax_h1_26</w:t>
            </w:r>
          </w:p>
        </w:tc>
        <w:tc>
          <w:tcPr>
            <w:tcW w:type="dxa" w:w="1325"/>
          </w:tcPr>
          <w:p>
            <w:pPr>
              <w:spacing w:after="20"/>
            </w:pPr>
            <w:r>
              <w:rPr>
                <w:color w:val="1C3A36"/>
                <w:sz w:val="14"/>
              </w:rPr>
              <w:t>690.2295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income tax</w:t>
            </w:r>
          </w:p>
        </w:tc>
        <w:tc>
          <w:tcPr>
            <w:tcW w:type="dxa" w:w="1210"/>
          </w:tcPr>
          <w:p>
            <w:pPr>
              <w:spacing w:after="20"/>
            </w:pPr>
            <w:r>
              <w:rPr>
                <w:color w:val="1C3A36"/>
                <w:sz w:val="14"/>
              </w:rPr>
              <w:t>2026-06-30</w:t>
            </w:r>
          </w:p>
        </w:tc>
      </w:tr>
      <w:tr>
        <w:tc>
          <w:tcPr>
            <w:tcW w:type="dxa" w:w="432"/>
          </w:tcPr>
          <w:p>
            <w:pPr>
              <w:spacing w:after="20"/>
            </w:pPr>
            <w:r>
              <w:rPr>
                <w:color w:val="1C3A36"/>
                <w:sz w:val="14"/>
              </w:rPr>
              <w:t>159</w:t>
            </w:r>
          </w:p>
        </w:tc>
        <w:tc>
          <w:tcPr>
            <w:tcW w:type="dxa" w:w="2448"/>
          </w:tcPr>
          <w:p>
            <w:pPr>
              <w:spacing w:after="20"/>
            </w:pPr>
            <w:r>
              <w:rPr>
                <w:color w:val="1C3A36"/>
                <w:sz w:val="14"/>
              </w:rPr>
              <w:t>tax_q1_26</w:t>
            </w:r>
          </w:p>
        </w:tc>
        <w:tc>
          <w:tcPr>
            <w:tcW w:type="dxa" w:w="1325"/>
          </w:tcPr>
          <w:p>
            <w:pPr>
              <w:spacing w:after="20"/>
            </w:pPr>
            <w:r>
              <w:rPr>
                <w:color w:val="1C3A36"/>
                <w:sz w:val="14"/>
              </w:rPr>
              <w:t>329.9435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income tax</w:t>
            </w:r>
          </w:p>
        </w:tc>
        <w:tc>
          <w:tcPr>
            <w:tcW w:type="dxa" w:w="1210"/>
          </w:tcPr>
          <w:p>
            <w:pPr>
              <w:spacing w:after="20"/>
            </w:pPr>
            <w:r>
              <w:rPr>
                <w:color w:val="1C3A36"/>
                <w:sz w:val="14"/>
              </w:rPr>
              <w:t>2026-03-31</w:t>
            </w:r>
          </w:p>
        </w:tc>
      </w:tr>
      <w:tr>
        <w:tc>
          <w:tcPr>
            <w:tcW w:type="dxa" w:w="432"/>
          </w:tcPr>
          <w:p>
            <w:pPr>
              <w:spacing w:after="20"/>
            </w:pPr>
            <w:r>
              <w:rPr>
                <w:color w:val="1C3A36"/>
                <w:sz w:val="14"/>
              </w:rPr>
              <w:t>160</w:t>
            </w:r>
          </w:p>
        </w:tc>
        <w:tc>
          <w:tcPr>
            <w:tcW w:type="dxa" w:w="2448"/>
          </w:tcPr>
          <w:p>
            <w:pPr>
              <w:spacing w:after="20"/>
            </w:pPr>
            <w:r>
              <w:rPr>
                <w:color w:val="1C3A36"/>
                <w:sz w:val="14"/>
              </w:rPr>
              <w:t>tl_fy25</w:t>
            </w:r>
          </w:p>
        </w:tc>
        <w:tc>
          <w:tcPr>
            <w:tcW w:type="dxa" w:w="1325"/>
          </w:tcPr>
          <w:p>
            <w:pPr>
              <w:spacing w:after="20"/>
            </w:pPr>
            <w:r>
              <w:rPr>
                <w:color w:val="1C3A36"/>
                <w:sz w:val="14"/>
              </w:rPr>
              <w:t>4,140.9896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liabilities (non-current 1,246.860 plus current 2,894.130). Revision 1 was offered EGP 2,894.13mn as 'total liabilities' by an aggregator and rejected it because it would not close against assets and equity; the statements show that figure is total CURRENT liabilities, so both the rejection and the derived 4,140.99 were right</w:t>
            </w:r>
          </w:p>
        </w:tc>
        <w:tc>
          <w:tcPr>
            <w:tcW w:type="dxa" w:w="1210"/>
          </w:tcPr>
          <w:p>
            <w:pPr>
              <w:spacing w:after="20"/>
            </w:pPr>
            <w:r>
              <w:rPr>
                <w:color w:val="1C3A36"/>
                <w:sz w:val="14"/>
              </w:rPr>
              <w:t>2025-12-31</w:t>
            </w:r>
          </w:p>
        </w:tc>
      </w:tr>
      <w:tr>
        <w:tc>
          <w:tcPr>
            <w:tcW w:type="dxa" w:w="432"/>
          </w:tcPr>
          <w:p>
            <w:pPr>
              <w:spacing w:after="20"/>
            </w:pPr>
            <w:r>
              <w:rPr>
                <w:color w:val="1C3A36"/>
                <w:sz w:val="14"/>
              </w:rPr>
              <w:t>161</w:t>
            </w:r>
          </w:p>
        </w:tc>
        <w:tc>
          <w:tcPr>
            <w:tcW w:type="dxa" w:w="2448"/>
          </w:tcPr>
          <w:p>
            <w:pPr>
              <w:spacing w:after="20"/>
            </w:pPr>
            <w:r>
              <w:rPr>
                <w:color w:val="1C3A36"/>
                <w:sz w:val="14"/>
              </w:rPr>
              <w:t>clk_price_ratio</w:t>
            </w:r>
          </w:p>
        </w:tc>
        <w:tc>
          <w:tcPr>
            <w:tcW w:type="dxa" w:w="1325"/>
          </w:tcPr>
          <w:p>
            <w:pPr>
              <w:spacing w:after="20"/>
            </w:pPr>
            <w:r>
              <w:rPr>
                <w:color w:val="1C3A36"/>
                <w:sz w:val="14"/>
              </w:rPr>
              <w:t>0.65</w:t>
            </w:r>
          </w:p>
        </w:tc>
        <w:tc>
          <w:tcPr>
            <w:tcW w:type="dxa" w:w="1066"/>
          </w:tcPr>
          <w:p>
            <w:pPr>
              <w:spacing w:after="20"/>
            </w:pPr>
            <w:r>
              <w:rPr>
                <w:color w:val="1C3A36"/>
                <w:sz w:val="14"/>
              </w:rPr>
              <w:t>Industry</w:t>
            </w:r>
          </w:p>
        </w:tc>
        <w:tc>
          <w:tcPr>
            <w:tcW w:type="dxa" w:w="7171"/>
          </w:tcPr>
          <w:p>
            <w:pPr>
              <w:spacing w:after="20"/>
            </w:pPr>
            <w:r>
              <w:rPr>
                <w:color w:val="1C3A36"/>
                <w:sz w:val="14"/>
              </w:rPr>
              <w:t>Export clinker price as a fraction of the export cement price. Clinker is the unground intermediate and trades at a discount; 0.65 sits in the middle of the range the trade press reports. This is the one splitting assumption the export leg needs, and the two export prices are DERIVED from it and the audited export revenue, not asserted</w:t>
            </w:r>
          </w:p>
        </w:tc>
        <w:tc>
          <w:tcPr>
            <w:tcW w:type="dxa" w:w="1210"/>
          </w:tcPr>
          <w:p>
            <w:pPr>
              <w:spacing w:after="20"/>
            </w:pPr>
            <w:r>
              <w:rPr>
                <w:color w:val="1C3A36"/>
                <w:sz w:val="14"/>
              </w:rPr>
              <w:t>2026-01-15</w:t>
            </w:r>
          </w:p>
        </w:tc>
      </w:tr>
      <w:tr>
        <w:tc>
          <w:tcPr>
            <w:tcW w:type="dxa" w:w="432"/>
          </w:tcPr>
          <w:p>
            <w:pPr>
              <w:spacing w:after="20"/>
            </w:pPr>
            <w:r>
              <w:rPr>
                <w:color w:val="1C3A36"/>
                <w:sz w:val="14"/>
              </w:rPr>
              <w:t>162</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171"/>
          </w:tcPr>
          <w:p>
            <w:pPr>
              <w:spacing w:after="20"/>
            </w:pPr>
            <w:r>
              <w:rPr>
                <w:color w:val="1C3A36"/>
                <w:sz w:val="14"/>
              </w:rPr>
              <w:t>Egyptian nameplate cement capacity</w:t>
            </w:r>
          </w:p>
        </w:tc>
        <w:tc>
          <w:tcPr>
            <w:tcW w:type="dxa" w:w="1210"/>
          </w:tcPr>
          <w:p>
            <w:pPr>
              <w:spacing w:after="20"/>
            </w:pPr>
            <w:r>
              <w:rPr>
                <w:color w:val="1C3A36"/>
                <w:sz w:val="14"/>
              </w:rPr>
              <w:t>2025-10-01</w:t>
            </w:r>
          </w:p>
        </w:tc>
      </w:tr>
      <w:tr>
        <w:tc>
          <w:tcPr>
            <w:tcW w:type="dxa" w:w="432"/>
          </w:tcPr>
          <w:p>
            <w:pPr>
              <w:spacing w:after="20"/>
            </w:pPr>
            <w:r>
              <w:rPr>
                <w:color w:val="1C3A36"/>
                <w:sz w:val="14"/>
              </w:rPr>
              <w:t>163</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171"/>
          </w:tcPr>
          <w:p>
            <w:pPr>
              <w:spacing w:after="20"/>
            </w:pPr>
            <w:r>
              <w:rPr>
                <w:color w:val="1C3A36"/>
                <w:sz w:val="14"/>
              </w:rPr>
              <w:t>Dormant Egyptian capacity under revival from the second half of 2026</w:t>
            </w:r>
          </w:p>
        </w:tc>
        <w:tc>
          <w:tcPr>
            <w:tcW w:type="dxa" w:w="1210"/>
          </w:tcPr>
          <w:p>
            <w:pPr>
              <w:spacing w:after="20"/>
            </w:pPr>
            <w:r>
              <w:rPr>
                <w:color w:val="1C3A36"/>
                <w:sz w:val="14"/>
              </w:rPr>
              <w:t>2025-10-01</w:t>
            </w:r>
          </w:p>
        </w:tc>
      </w:tr>
      <w:tr>
        <w:tc>
          <w:tcPr>
            <w:tcW w:type="dxa" w:w="432"/>
          </w:tcPr>
          <w:p>
            <w:pPr>
              <w:spacing w:after="20"/>
            </w:pPr>
            <w:r>
              <w:rPr>
                <w:color w:val="1C3A36"/>
                <w:sz w:val="14"/>
              </w:rPr>
              <w:t>164</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market capitalisation</w:t>
            </w:r>
          </w:p>
        </w:tc>
        <w:tc>
          <w:tcPr>
            <w:tcW w:type="dxa" w:w="1210"/>
          </w:tcPr>
          <w:p>
            <w:pPr>
              <w:spacing w:after="20"/>
            </w:pPr>
            <w:r>
              <w:rPr>
                <w:color w:val="1C3A36"/>
                <w:sz w:val="14"/>
              </w:rPr>
              <w:t>2026-08-06</w:t>
            </w:r>
          </w:p>
        </w:tc>
      </w:tr>
      <w:tr>
        <w:tc>
          <w:tcPr>
            <w:tcW w:type="dxa" w:w="432"/>
          </w:tcPr>
          <w:p>
            <w:pPr>
              <w:spacing w:after="20"/>
            </w:pPr>
            <w:r>
              <w:rPr>
                <w:color w:val="1C3A36"/>
                <w:sz w:val="14"/>
              </w:rPr>
              <w:t>165</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attributable profit</w:t>
            </w:r>
          </w:p>
        </w:tc>
        <w:tc>
          <w:tcPr>
            <w:tcW w:type="dxa" w:w="1210"/>
          </w:tcPr>
          <w:p>
            <w:pPr>
              <w:spacing w:after="20"/>
            </w:pPr>
            <w:r>
              <w:rPr>
                <w:color w:val="1C3A36"/>
                <w:sz w:val="14"/>
              </w:rPr>
              <w:t>2026-03-01</w:t>
            </w:r>
          </w:p>
        </w:tc>
      </w:tr>
      <w:tr>
        <w:tc>
          <w:tcPr>
            <w:tcW w:type="dxa" w:w="432"/>
          </w:tcPr>
          <w:p>
            <w:pPr>
              <w:spacing w:after="20"/>
            </w:pPr>
            <w:r>
              <w:rPr>
                <w:color w:val="1C3A36"/>
                <w:sz w:val="14"/>
              </w:rPr>
              <w:t>166</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net sales</w:t>
            </w:r>
          </w:p>
        </w:tc>
        <w:tc>
          <w:tcPr>
            <w:tcW w:type="dxa" w:w="1210"/>
          </w:tcPr>
          <w:p>
            <w:pPr>
              <w:spacing w:after="20"/>
            </w:pPr>
            <w:r>
              <w:rPr>
                <w:color w:val="1C3A36"/>
                <w:sz w:val="14"/>
              </w:rPr>
              <w:t>2026-03-01</w:t>
            </w:r>
          </w:p>
        </w:tc>
      </w:tr>
      <w:tr>
        <w:tc>
          <w:tcPr>
            <w:tcW w:type="dxa" w:w="432"/>
          </w:tcPr>
          <w:p>
            <w:pPr>
              <w:spacing w:after="20"/>
            </w:pPr>
            <w:r>
              <w:rPr>
                <w:color w:val="1C3A36"/>
                <w:sz w:val="14"/>
              </w:rPr>
              <w:t>167</w:t>
            </w:r>
          </w:p>
        </w:tc>
        <w:tc>
          <w:tcPr>
            <w:tcW w:type="dxa" w:w="2448"/>
          </w:tcPr>
          <w:p>
            <w:pPr>
              <w:spacing w:after="20"/>
            </w:pPr>
            <w:r>
              <w:rPr>
                <w:color w:val="1C3A36"/>
                <w:sz w:val="14"/>
              </w:rPr>
              <w:t>peer_scem_mcap</w:t>
            </w:r>
          </w:p>
        </w:tc>
        <w:tc>
          <w:tcPr>
            <w:tcW w:type="dxa" w:w="1325"/>
          </w:tcPr>
          <w:p>
            <w:pPr>
              <w:spacing w:after="20"/>
            </w:pPr>
            <w:r>
              <w:rPr>
                <w:color w:val="1C3A36"/>
                <w:sz w:val="14"/>
              </w:rPr>
              <w:t>20,604.19</w:t>
            </w:r>
          </w:p>
        </w:tc>
        <w:tc>
          <w:tcPr>
            <w:tcW w:type="dxa" w:w="1066"/>
          </w:tcPr>
          <w:p>
            <w:pPr>
              <w:spacing w:after="20"/>
            </w:pPr>
            <w:r>
              <w:rPr>
                <w:color w:val="1C3A36"/>
                <w:sz w:val="14"/>
              </w:rPr>
              <w:t>Industry</w:t>
            </w:r>
          </w:p>
        </w:tc>
        <w:tc>
          <w:tcPr>
            <w:tcW w:type="dxa" w:w="7171"/>
          </w:tcPr>
          <w:p>
            <w:pPr>
              <w:spacing w:after="20"/>
            </w:pPr>
            <w:r>
              <w:rPr>
                <w:color w:val="1C3A36"/>
                <w:sz w:val="14"/>
              </w:rPr>
              <w:t>Sinai Cement market capitalisation at 06-Aug-2026</w:t>
            </w:r>
          </w:p>
        </w:tc>
        <w:tc>
          <w:tcPr>
            <w:tcW w:type="dxa" w:w="1210"/>
          </w:tcPr>
          <w:p>
            <w:pPr>
              <w:spacing w:after="20"/>
            </w:pPr>
            <w:r>
              <w:rPr>
                <w:color w:val="1C3A36"/>
                <w:sz w:val="14"/>
              </w:rPr>
              <w:t>2026-08-06</w:t>
            </w:r>
          </w:p>
        </w:tc>
      </w:tr>
      <w:tr>
        <w:tc>
          <w:tcPr>
            <w:tcW w:type="dxa" w:w="432"/>
          </w:tcPr>
          <w:p>
            <w:pPr>
              <w:spacing w:after="20"/>
            </w:pPr>
            <w:r>
              <w:rPr>
                <w:color w:val="1C3A36"/>
                <w:sz w:val="14"/>
              </w:rPr>
              <w:t>168</w:t>
            </w:r>
          </w:p>
        </w:tc>
        <w:tc>
          <w:tcPr>
            <w:tcW w:type="dxa" w:w="2448"/>
          </w:tcPr>
          <w:p>
            <w:pPr>
              <w:spacing w:after="20"/>
            </w:pPr>
            <w:r>
              <w:rPr>
                <w:color w:val="1C3A36"/>
                <w:sz w:val="14"/>
              </w:rPr>
              <w:t>peer_scem_pat</w:t>
            </w:r>
          </w:p>
        </w:tc>
        <w:tc>
          <w:tcPr>
            <w:tcW w:type="dxa" w:w="1325"/>
          </w:tcPr>
          <w:p>
            <w:pPr>
              <w:spacing w:after="20"/>
            </w:pPr>
            <w:r>
              <w:rPr>
                <w:color w:val="1C3A36"/>
                <w:sz w:val="14"/>
              </w:rPr>
              <w:t>2,290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profit after tax</w:t>
            </w:r>
          </w:p>
        </w:tc>
        <w:tc>
          <w:tcPr>
            <w:tcW w:type="dxa" w:w="1210"/>
          </w:tcPr>
          <w:p>
            <w:pPr>
              <w:spacing w:after="20"/>
            </w:pPr>
            <w:r>
              <w:rPr>
                <w:color w:val="1C3A36"/>
                <w:sz w:val="14"/>
              </w:rPr>
              <w:t>2026-03-10</w:t>
            </w:r>
          </w:p>
        </w:tc>
      </w:tr>
      <w:tr>
        <w:tc>
          <w:tcPr>
            <w:tcW w:type="dxa" w:w="432"/>
          </w:tcPr>
          <w:p>
            <w:pPr>
              <w:spacing w:after="20"/>
            </w:pPr>
            <w:r>
              <w:rPr>
                <w:color w:val="1C3A36"/>
                <w:sz w:val="14"/>
              </w:rPr>
              <w:t>169</w:t>
            </w:r>
          </w:p>
        </w:tc>
        <w:tc>
          <w:tcPr>
            <w:tcW w:type="dxa" w:w="2448"/>
          </w:tcPr>
          <w:p>
            <w:pPr>
              <w:spacing w:after="20"/>
            </w:pPr>
            <w:r>
              <w:rPr>
                <w:color w:val="1C3A36"/>
                <w:sz w:val="14"/>
              </w:rPr>
              <w:t>peer_scem_rev</w:t>
            </w:r>
          </w:p>
        </w:tc>
        <w:tc>
          <w:tcPr>
            <w:tcW w:type="dxa" w:w="1325"/>
          </w:tcPr>
          <w:p>
            <w:pPr>
              <w:spacing w:after="20"/>
            </w:pPr>
            <w:r>
              <w:rPr>
                <w:color w:val="1C3A36"/>
                <w:sz w:val="14"/>
              </w:rPr>
              <w:t>9,090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revenue</w:t>
            </w:r>
          </w:p>
        </w:tc>
        <w:tc>
          <w:tcPr>
            <w:tcW w:type="dxa" w:w="1210"/>
          </w:tcPr>
          <w:p>
            <w:pPr>
              <w:spacing w:after="20"/>
            </w:pPr>
            <w:r>
              <w:rPr>
                <w:color w:val="1C3A36"/>
                <w:sz w:val="14"/>
              </w:rPr>
              <w:t>2026-03-10</w:t>
            </w:r>
          </w:p>
        </w:tc>
      </w:tr>
      <w:tr>
        <w:tc>
          <w:tcPr>
            <w:tcW w:type="dxa" w:w="432"/>
          </w:tcPr>
          <w:p>
            <w:pPr>
              <w:spacing w:after="20"/>
            </w:pPr>
            <w:r>
              <w:rPr>
                <w:color w:val="1C3A36"/>
                <w:sz w:val="14"/>
              </w:rPr>
              <w:t>170</w:t>
            </w:r>
          </w:p>
        </w:tc>
        <w:tc>
          <w:tcPr>
            <w:tcW w:type="dxa" w:w="2448"/>
          </w:tcPr>
          <w:p>
            <w:pPr>
              <w:spacing w:after="20"/>
            </w:pPr>
            <w:r>
              <w:rPr>
                <w:color w:val="1C3A36"/>
                <w:sz w:val="14"/>
              </w:rPr>
              <w:t>price_exp_path</w:t>
            </w:r>
          </w:p>
        </w:tc>
        <w:tc>
          <w:tcPr>
            <w:tcW w:type="dxa" w:w="1325"/>
          </w:tcPr>
          <w:p>
            <w:pPr>
              <w:spacing w:after="20"/>
            </w:pPr>
            <w:r>
              <w:rPr>
                <w:color w:val="1C3A36"/>
                <w:sz w:val="14"/>
              </w:rPr>
              <w:t>1, 0.968, 0.944, 0.927, 0.911, 0.895</w:t>
            </w:r>
          </w:p>
        </w:tc>
        <w:tc>
          <w:tcPr>
            <w:tcW w:type="dxa" w:w="1066"/>
          </w:tcPr>
          <w:p>
            <w:pPr>
              <w:spacing w:after="20"/>
            </w:pPr>
            <w:r>
              <w:rPr>
                <w:color w:val="1C3A36"/>
                <w:sz w:val="14"/>
              </w:rPr>
              <w:t>Industry</w:t>
            </w:r>
          </w:p>
        </w:tc>
        <w:tc>
          <w:tcPr>
            <w:tcW w:type="dxa" w:w="7171"/>
          </w:tcPr>
          <w:p>
            <w:pPr>
              <w:spacing w:after="20"/>
            </w:pPr>
            <w:r>
              <w:rPr>
                <w:color w:val="1C3A36"/>
                <w:sz w:val="14"/>
              </w:rPr>
              <w:t>Export price index in US dollars on the FY2025 base, declining because the EU carbon border mechanism raises the landed cost of Egyptian cement in Europe; set shallower than a high-clinker peer would face because this producer's alternative-fuel and hydrogen programmes are funded and under construction</w:t>
            </w:r>
          </w:p>
        </w:tc>
        <w:tc>
          <w:tcPr>
            <w:tcW w:type="dxa" w:w="1210"/>
          </w:tcPr>
          <w:p>
            <w:pPr>
              <w:spacing w:after="20"/>
            </w:pPr>
            <w:r>
              <w:rPr>
                <w:color w:val="1C3A36"/>
                <w:sz w:val="14"/>
              </w:rPr>
              <w:t>2026-01-01</w:t>
            </w:r>
          </w:p>
        </w:tc>
      </w:tr>
      <w:tr>
        <w:tc>
          <w:tcPr>
            <w:tcW w:type="dxa" w:w="432"/>
          </w:tcPr>
          <w:p>
            <w:pPr>
              <w:spacing w:after="20"/>
            </w:pPr>
            <w:r>
              <w:rPr>
                <w:color w:val="1C3A36"/>
                <w:sz w:val="14"/>
              </w:rPr>
              <w:t>171</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171"/>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432"/>
          </w:tcPr>
          <w:p>
            <w:pPr>
              <w:spacing w:after="20"/>
            </w:pPr>
            <w:r>
              <w:rPr>
                <w:color w:val="1C3A36"/>
                <w:sz w:val="14"/>
              </w:rPr>
              <w:t>172</w:t>
            </w:r>
          </w:p>
        </w:tc>
        <w:tc>
          <w:tcPr>
            <w:tcW w:type="dxa" w:w="2448"/>
          </w:tcPr>
          <w:p>
            <w:pPr>
              <w:spacing w:after="20"/>
            </w:pPr>
            <w:r>
              <w:rPr>
                <w:color w:val="1C3A36"/>
                <w:sz w:val="14"/>
              </w:rPr>
              <w:t>cost_infl</w:t>
            </w:r>
          </w:p>
        </w:tc>
        <w:tc>
          <w:tcPr>
            <w:tcW w:type="dxa" w:w="1325"/>
          </w:tcPr>
          <w:p>
            <w:pPr>
              <w:spacing w:after="20"/>
            </w:pPr>
            <w:r>
              <w:rPr>
                <w:color w:val="1C3A36"/>
                <w:sz w:val="14"/>
              </w:rPr>
              <w:t>1, 1.115, 1.249, 1.361, 1.463, 1.566</w:t>
            </w:r>
          </w:p>
        </w:tc>
        <w:tc>
          <w:tcPr>
            <w:tcW w:type="dxa" w:w="1066"/>
          </w:tcPr>
          <w:p>
            <w:pPr>
              <w:spacing w:after="20"/>
            </w:pPr>
            <w:r>
              <w:rPr>
                <w:color w:val="1C3A36"/>
                <w:sz w:val="14"/>
              </w:rPr>
              <w:t>Country</w:t>
            </w:r>
          </w:p>
        </w:tc>
        <w:tc>
          <w:tcPr>
            <w:tcW w:type="dxa" w:w="7171"/>
          </w:tcPr>
          <w:p>
            <w:pPr>
              <w:spacing w:after="20"/>
            </w:pPr>
            <w:r>
              <w:rPr>
                <w:color w:val="1C3A36"/>
                <w:sz w:val="14"/>
              </w:rPr>
              <w:t>Cumulative local cost-inflation index from the FY2025 base. The FY2026 step of 11.5% is unchanged; FY2027 onward escalate on the house inflation path, the SAME path the local price index carries, so the operating margin is an output of the two rather than the residual of two separately chosen ladders. This is an INPUT-PRICE path and is deliberately left at headline inflation even though the company's own audited cash cost grew only 12.5% in FY2025 on volume that rose — i.e. its realised unit cost inflation ran below the national rate. Crediting that outperformance here would double-count it, because the company-specific efficiency is carried separately and explicitly in af_saving, which is anchored to a funded, under-construction asset rather than to a trend</w:t>
            </w:r>
          </w:p>
        </w:tc>
        <w:tc>
          <w:tcPr>
            <w:tcW w:type="dxa" w:w="1210"/>
          </w:tcPr>
          <w:p>
            <w:pPr>
              <w:spacing w:after="20"/>
            </w:pPr>
            <w:r>
              <w:rPr>
                <w:color w:val="1C3A36"/>
                <w:sz w:val="14"/>
              </w:rPr>
              <w:t>2026-07-10</w:t>
            </w:r>
          </w:p>
        </w:tc>
      </w:tr>
      <w:tr>
        <w:tc>
          <w:tcPr>
            <w:tcW w:type="dxa" w:w="432"/>
          </w:tcPr>
          <w:p>
            <w:pPr>
              <w:spacing w:after="20"/>
            </w:pPr>
            <w:r>
              <w:rPr>
                <w:color w:val="1C3A36"/>
                <w:sz w:val="14"/>
              </w:rPr>
              <w:t>173</w:t>
            </w:r>
          </w:p>
        </w:tc>
        <w:tc>
          <w:tcPr>
            <w:tcW w:type="dxa" w:w="2448"/>
          </w:tcPr>
          <w:p>
            <w:pPr>
              <w:spacing w:after="20"/>
            </w:pPr>
            <w:r>
              <w:rPr>
                <w:color w:val="1C3A36"/>
                <w:sz w:val="14"/>
              </w:rPr>
              <w:t>egy_gdp_egp_bn</w:t>
            </w:r>
          </w:p>
        </w:tc>
        <w:tc>
          <w:tcPr>
            <w:tcW w:type="dxa" w:w="1325"/>
          </w:tcPr>
          <w:p>
            <w:pPr>
              <w:spacing w:after="20"/>
            </w:pPr>
            <w:r>
              <w:rPr>
                <w:color w:val="1C3A36"/>
                <w:sz w:val="14"/>
              </w:rPr>
              <w:t>18,000</w:t>
            </w:r>
          </w:p>
        </w:tc>
        <w:tc>
          <w:tcPr>
            <w:tcW w:type="dxa" w:w="1066"/>
          </w:tcPr>
          <w:p>
            <w:pPr>
              <w:spacing w:after="20"/>
            </w:pPr>
            <w:r>
              <w:rPr>
                <w:color w:val="1C3A36"/>
                <w:sz w:val="14"/>
              </w:rPr>
              <w:t>Country</w:t>
            </w:r>
          </w:p>
        </w:tc>
        <w:tc>
          <w:tcPr>
            <w:tcW w:type="dxa" w:w="7171"/>
          </w:tcPr>
          <w:p>
            <w:pPr>
              <w:spacing w:after="20"/>
            </w:pPr>
            <w:r>
              <w:rPr>
                <w:color w:val="1C3A36"/>
                <w:sz w:val="14"/>
              </w:rPr>
              <w:t>Egyptian nominal gross domestic product, order of magnitude, used only for the terminal-growth crossover arithmetic</w:t>
            </w:r>
          </w:p>
        </w:tc>
        <w:tc>
          <w:tcPr>
            <w:tcW w:type="dxa" w:w="1210"/>
          </w:tcPr>
          <w:p>
            <w:pPr>
              <w:spacing w:after="20"/>
            </w:pPr>
            <w:r>
              <w:rPr>
                <w:color w:val="1C3A36"/>
                <w:sz w:val="14"/>
              </w:rPr>
              <w:t>2026-01-01</w:t>
            </w:r>
          </w:p>
        </w:tc>
      </w:tr>
      <w:tr>
        <w:tc>
          <w:tcPr>
            <w:tcW w:type="dxa" w:w="432"/>
          </w:tcPr>
          <w:p>
            <w:pPr>
              <w:spacing w:after="20"/>
            </w:pPr>
            <w:r>
              <w:rPr>
                <w:color w:val="1C3A36"/>
                <w:sz w:val="14"/>
              </w:rPr>
              <w:t>174</w:t>
            </w:r>
          </w:p>
        </w:tc>
        <w:tc>
          <w:tcPr>
            <w:tcW w:type="dxa" w:w="2448"/>
          </w:tcPr>
          <w:p>
            <w:pPr>
              <w:spacing w:after="20"/>
            </w:pPr>
            <w:r>
              <w:rPr>
                <w:color w:val="1C3A36"/>
                <w:sz w:val="14"/>
              </w:rPr>
              <w:t>egy_gdp_growth</w:t>
            </w:r>
          </w:p>
        </w:tc>
        <w:tc>
          <w:tcPr>
            <w:tcW w:type="dxa" w:w="1325"/>
          </w:tcPr>
          <w:p>
            <w:pPr>
              <w:spacing w:after="20"/>
            </w:pPr>
            <w:r>
              <w:rPr>
                <w:color w:val="1C3A36"/>
                <w:sz w:val="14"/>
              </w:rPr>
              <w:t>0.18</w:t>
            </w:r>
          </w:p>
        </w:tc>
        <w:tc>
          <w:tcPr>
            <w:tcW w:type="dxa" w:w="1066"/>
          </w:tcPr>
          <w:p>
            <w:pPr>
              <w:spacing w:after="20"/>
            </w:pPr>
            <w:r>
              <w:rPr>
                <w:color w:val="1C3A36"/>
                <w:sz w:val="14"/>
              </w:rPr>
              <w:t>Country</w:t>
            </w:r>
          </w:p>
        </w:tc>
        <w:tc>
          <w:tcPr>
            <w:tcW w:type="dxa" w:w="7171"/>
          </w:tcPr>
          <w:p>
            <w:pPr>
              <w:spacing w:after="20"/>
            </w:pPr>
            <w:r>
              <w:rPr>
                <w:color w:val="1C3A36"/>
                <w:sz w:val="14"/>
              </w:rPr>
              <w:t>Egyptian nominal GDP growth, same arithmetic</w:t>
            </w:r>
          </w:p>
        </w:tc>
        <w:tc>
          <w:tcPr>
            <w:tcW w:type="dxa" w:w="1210"/>
          </w:tcPr>
          <w:p>
            <w:pPr>
              <w:spacing w:after="20"/>
            </w:pPr>
            <w:r>
              <w:rPr>
                <w:color w:val="1C3A36"/>
                <w:sz w:val="14"/>
              </w:rPr>
              <w:t>2026-01-01</w:t>
            </w:r>
          </w:p>
        </w:tc>
      </w:tr>
      <w:tr>
        <w:tc>
          <w:tcPr>
            <w:tcW w:type="dxa" w:w="432"/>
          </w:tcPr>
          <w:p>
            <w:pPr>
              <w:spacing w:after="20"/>
            </w:pPr>
            <w:r>
              <w:rPr>
                <w:color w:val="1C3A36"/>
                <w:sz w:val="14"/>
              </w:rPr>
              <w:t>175</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171"/>
          </w:tcPr>
          <w:p>
            <w:pPr>
              <w:spacing w:after="20"/>
            </w:pPr>
            <w:r>
              <w:rPr>
                <w:color w:val="1C3A36"/>
                <w:sz w:val="14"/>
              </w:rPr>
              <w:t>Egypt equity risk premium, CDS-based, Damodaran January-2026</w:t>
            </w:r>
          </w:p>
        </w:tc>
        <w:tc>
          <w:tcPr>
            <w:tcW w:type="dxa" w:w="1210"/>
          </w:tcPr>
          <w:p>
            <w:pPr>
              <w:spacing w:after="20"/>
            </w:pPr>
            <w:r>
              <w:rPr>
                <w:color w:val="1C3A36"/>
                <w:sz w:val="14"/>
              </w:rPr>
              <w:t>2026-01-05</w:t>
            </w:r>
          </w:p>
        </w:tc>
      </w:tr>
      <w:tr>
        <w:tc>
          <w:tcPr>
            <w:tcW w:type="dxa" w:w="432"/>
          </w:tcPr>
          <w:p>
            <w:pPr>
              <w:spacing w:after="20"/>
            </w:pPr>
            <w:r>
              <w:rPr>
                <w:color w:val="1C3A36"/>
                <w:sz w:val="14"/>
              </w:rPr>
              <w:t>176</w:t>
            </w:r>
          </w:p>
        </w:tc>
        <w:tc>
          <w:tcPr>
            <w:tcW w:type="dxa" w:w="2448"/>
          </w:tcPr>
          <w:p>
            <w:pPr>
              <w:spacing w:after="20"/>
            </w:pPr>
            <w:r>
              <w:rPr>
                <w:color w:val="1C3A36"/>
                <w:sz w:val="14"/>
              </w:rPr>
              <w:t>erp_rating</w:t>
            </w:r>
          </w:p>
        </w:tc>
        <w:tc>
          <w:tcPr>
            <w:tcW w:type="dxa" w:w="1325"/>
          </w:tcPr>
          <w:p>
            <w:pPr>
              <w:spacing w:after="20"/>
            </w:pPr>
            <w:r>
              <w:rPr>
                <w:color w:val="1C3A36"/>
                <w:sz w:val="14"/>
              </w:rPr>
              <w:t>0.1394</w:t>
            </w:r>
          </w:p>
        </w:tc>
        <w:tc>
          <w:tcPr>
            <w:tcW w:type="dxa" w:w="1066"/>
          </w:tcPr>
          <w:p>
            <w:pPr>
              <w:spacing w:after="20"/>
            </w:pPr>
            <w:r>
              <w:rPr>
                <w:color w:val="1C3A36"/>
                <w:sz w:val="14"/>
              </w:rPr>
              <w:t>Country</w:t>
            </w:r>
          </w:p>
        </w:tc>
        <w:tc>
          <w:tcPr>
            <w:tcW w:type="dxa" w:w="7171"/>
          </w:tcPr>
          <w:p>
            <w:pPr>
              <w:spacing w:after="20"/>
            </w:pPr>
            <w:r>
              <w:rPr>
                <w:color w:val="1C3A36"/>
                <w:sz w:val="14"/>
              </w:rPr>
              <w:t>Egypt total equity risk premium on the RATING basis, same file, same row, column 'Total Equity Risk Premium'. The CDS basis adopted here gives 9.41%; this is the published alternative and it is 4.53 points higher, so adopting it would RAISE the discount rate and LOWER the value. Priced in section 1.4 rather than left unstated</w:t>
            </w:r>
          </w:p>
        </w:tc>
        <w:tc>
          <w:tcPr>
            <w:tcW w:type="dxa" w:w="1210"/>
          </w:tcPr>
          <w:p>
            <w:pPr>
              <w:spacing w:after="20"/>
            </w:pPr>
            <w:r>
              <w:rPr>
                <w:color w:val="1C3A36"/>
                <w:sz w:val="14"/>
              </w:rPr>
              <w:t>2026-01-05</w:t>
            </w:r>
          </w:p>
        </w:tc>
      </w:tr>
      <w:tr>
        <w:tc>
          <w:tcPr>
            <w:tcW w:type="dxa" w:w="432"/>
          </w:tcPr>
          <w:p>
            <w:pPr>
              <w:spacing w:after="20"/>
            </w:pPr>
            <w:r>
              <w:rPr>
                <w:color w:val="1C3A36"/>
                <w:sz w:val="14"/>
              </w:rPr>
              <w:t>177</w:t>
            </w:r>
          </w:p>
        </w:tc>
        <w:tc>
          <w:tcPr>
            <w:tcW w:type="dxa" w:w="2448"/>
          </w:tcPr>
          <w:p>
            <w:pPr>
              <w:spacing w:after="20"/>
            </w:pPr>
            <w:r>
              <w:rPr>
                <w:color w:val="1C3A36"/>
                <w:sz w:val="14"/>
              </w:rPr>
              <w:t>euribor</w:t>
            </w:r>
          </w:p>
        </w:tc>
        <w:tc>
          <w:tcPr>
            <w:tcW w:type="dxa" w:w="1325"/>
          </w:tcPr>
          <w:p>
            <w:pPr>
              <w:spacing w:after="20"/>
            </w:pPr>
            <w:r>
              <w:rPr>
                <w:color w:val="1C3A36"/>
                <w:sz w:val="14"/>
              </w:rPr>
              <w:t>0.0249</w:t>
            </w:r>
          </w:p>
        </w:tc>
        <w:tc>
          <w:tcPr>
            <w:tcW w:type="dxa" w:w="1066"/>
          </w:tcPr>
          <w:p>
            <w:pPr>
              <w:spacing w:after="20"/>
            </w:pPr>
            <w:r>
              <w:rPr>
                <w:color w:val="1C3A36"/>
                <w:sz w:val="14"/>
              </w:rPr>
              <w:t>Country</w:t>
            </w:r>
          </w:p>
        </w:tc>
        <w:tc>
          <w:tcPr>
            <w:tcW w:type="dxa" w:w="7171"/>
          </w:tcPr>
          <w:p>
            <w:pPr>
              <w:spacing w:after="20"/>
            </w:pPr>
            <w:r>
              <w:rPr>
                <w:color w:val="1C3A36"/>
                <w:sz w:val="14"/>
              </w:rPr>
              <w:t>Three-month Euribor, the reference rate on the EBRD facility. Revision 3 carried 2.10%, which sits BELOW the ECB deposit facility rate of 2.25% and is therefore impossible as a term rate. It also applied one reference to both a 3-month and a 6-month facility; 6-month Euribor is nearer 2.72%, and the difference is carried as a known simplification</w:t>
            </w:r>
          </w:p>
        </w:tc>
        <w:tc>
          <w:tcPr>
            <w:tcW w:type="dxa" w:w="1210"/>
          </w:tcPr>
          <w:p>
            <w:pPr>
              <w:spacing w:after="20"/>
            </w:pPr>
            <w:r>
              <w:rPr>
                <w:color w:val="1C3A36"/>
                <w:sz w:val="14"/>
              </w:rPr>
              <w:t>2026-08-06</w:t>
            </w:r>
          </w:p>
        </w:tc>
      </w:tr>
      <w:tr>
        <w:tc>
          <w:tcPr>
            <w:tcW w:type="dxa" w:w="432"/>
          </w:tcPr>
          <w:p>
            <w:pPr>
              <w:spacing w:after="20"/>
            </w:pPr>
            <w:r>
              <w:rPr>
                <w:color w:val="1C3A36"/>
                <w:sz w:val="14"/>
              </w:rPr>
              <w:t>178</w:t>
            </w:r>
          </w:p>
        </w:tc>
        <w:tc>
          <w:tcPr>
            <w:tcW w:type="dxa" w:w="2448"/>
          </w:tcPr>
          <w:p>
            <w:pPr>
              <w:spacing w:after="20"/>
            </w:pPr>
            <w:r>
              <w:rPr>
                <w:color w:val="1C3A36"/>
                <w:sz w:val="14"/>
              </w:rPr>
              <w:t>fx</w:t>
            </w:r>
          </w:p>
        </w:tc>
        <w:tc>
          <w:tcPr>
            <w:tcW w:type="dxa" w:w="1325"/>
          </w:tcPr>
          <w:p>
            <w:pPr>
              <w:spacing w:after="20"/>
            </w:pPr>
            <w:r>
              <w:rPr>
                <w:color w:val="1C3A36"/>
                <w:sz w:val="14"/>
              </w:rPr>
              <w:t>50.3</w:t>
            </w:r>
          </w:p>
        </w:tc>
        <w:tc>
          <w:tcPr>
            <w:tcW w:type="dxa" w:w="1066"/>
          </w:tcPr>
          <w:p>
            <w:pPr>
              <w:spacing w:after="20"/>
            </w:pPr>
            <w:r>
              <w:rPr>
                <w:color w:val="1C3A36"/>
                <w:sz w:val="14"/>
              </w:rPr>
              <w:t>Country</w:t>
            </w:r>
          </w:p>
        </w:tc>
        <w:tc>
          <w:tcPr>
            <w:tcW w:type="dxa" w:w="7171"/>
          </w:tcPr>
          <w:p>
            <w:pPr>
              <w:spacing w:after="20"/>
            </w:pPr>
            <w:r>
              <w:rPr>
                <w:color w:val="1C3A36"/>
                <w:sz w:val="14"/>
              </w:rPr>
              <w:t>USD/EGP at the valuation date</w:t>
            </w:r>
          </w:p>
        </w:tc>
        <w:tc>
          <w:tcPr>
            <w:tcW w:type="dxa" w:w="1210"/>
          </w:tcPr>
          <w:p>
            <w:pPr>
              <w:spacing w:after="20"/>
            </w:pPr>
            <w:r>
              <w:rPr>
                <w:color w:val="1C3A36"/>
                <w:sz w:val="14"/>
              </w:rPr>
              <w:t>2026-08-06</w:t>
            </w:r>
          </w:p>
        </w:tc>
      </w:tr>
      <w:tr>
        <w:tc>
          <w:tcPr>
            <w:tcW w:type="dxa" w:w="432"/>
          </w:tcPr>
          <w:p>
            <w:pPr>
              <w:spacing w:after="20"/>
            </w:pPr>
            <w:r>
              <w:rPr>
                <w:color w:val="1C3A36"/>
                <w:sz w:val="14"/>
              </w:rPr>
              <w:t>179</w:t>
            </w:r>
          </w:p>
        </w:tc>
        <w:tc>
          <w:tcPr>
            <w:tcW w:type="dxa" w:w="2448"/>
          </w:tcPr>
          <w:p>
            <w:pPr>
              <w:spacing w:after="20"/>
            </w:pPr>
            <w:r>
              <w:rPr>
                <w:color w:val="1C3A36"/>
                <w:sz w:val="14"/>
              </w:rPr>
              <w:t>fx_path</w:t>
            </w:r>
          </w:p>
        </w:tc>
        <w:tc>
          <w:tcPr>
            <w:tcW w:type="dxa" w:w="1325"/>
          </w:tcPr>
          <w:p>
            <w:pPr>
              <w:spacing w:after="20"/>
            </w:pPr>
            <w:r>
              <w:rPr>
                <w:color w:val="1C3A36"/>
                <w:sz w:val="14"/>
              </w:rPr>
              <w:t>49.26, 55.11, 60.22, 64.04, 67.17, 70.11</w:t>
            </w:r>
          </w:p>
        </w:tc>
        <w:tc>
          <w:tcPr>
            <w:tcW w:type="dxa" w:w="1066"/>
          </w:tcPr>
          <w:p>
            <w:pPr>
              <w:spacing w:after="20"/>
            </w:pPr>
            <w:r>
              <w:rPr>
                <w:color w:val="1C3A36"/>
                <w:sz w:val="14"/>
              </w:rPr>
              <w:t>Country</w:t>
            </w:r>
          </w:p>
        </w:tc>
        <w:tc>
          <w:tcPr>
            <w:tcW w:type="dxa" w:w="7171"/>
          </w:tcPr>
          <w:p>
            <w:pPr>
              <w:spacing w:after="20"/>
            </w:pPr>
            <w:r>
              <w:rPr>
                <w:color w:val="1C3A36"/>
                <w:sz w:val="14"/>
              </w:rPr>
              <w:t>USD/EGP path: FY2025 actual average, then the house currency path — relative purchasing-power parity on the house inflation path against long-run foreign inflation, DERIVED and never hand-set. The retired path was typed (50.60 to 61.50 by FY2030) and depreciated the pound at roughly two-thirds of the inflation differential the same model applied to costs, which is one event counted once and ignored once</w:t>
            </w:r>
          </w:p>
        </w:tc>
        <w:tc>
          <w:tcPr>
            <w:tcW w:type="dxa" w:w="1210"/>
          </w:tcPr>
          <w:p>
            <w:pPr>
              <w:spacing w:after="20"/>
            </w:pPr>
            <w:r>
              <w:rPr>
                <w:color w:val="1C3A36"/>
                <w:sz w:val="14"/>
              </w:rPr>
              <w:t>2026-09-02</w:t>
            </w:r>
          </w:p>
        </w:tc>
      </w:tr>
      <w:tr>
        <w:tc>
          <w:tcPr>
            <w:tcW w:type="dxa" w:w="432"/>
          </w:tcPr>
          <w:p>
            <w:pPr>
              <w:spacing w:after="20"/>
            </w:pPr>
            <w:r>
              <w:rPr>
                <w:color w:val="1C3A36"/>
                <w:sz w:val="14"/>
              </w:rPr>
              <w:t>180</w:t>
            </w:r>
          </w:p>
        </w:tc>
        <w:tc>
          <w:tcPr>
            <w:tcW w:type="dxa" w:w="2448"/>
          </w:tcPr>
          <w:p>
            <w:pPr>
              <w:spacing w:after="20"/>
            </w:pPr>
            <w:r>
              <w:rPr>
                <w:color w:val="1C3A36"/>
                <w:sz w:val="14"/>
              </w:rPr>
              <w:t>rf</w:t>
            </w:r>
          </w:p>
        </w:tc>
        <w:tc>
          <w:tcPr>
            <w:tcW w:type="dxa" w:w="1325"/>
          </w:tcPr>
          <w:p>
            <w:pPr>
              <w:spacing w:after="20"/>
            </w:pPr>
            <w:r>
              <w:rPr>
                <w:color w:val="1C3A36"/>
                <w:sz w:val="14"/>
              </w:rPr>
              <w:t>0.2295</w:t>
            </w:r>
          </w:p>
        </w:tc>
        <w:tc>
          <w:tcPr>
            <w:tcW w:type="dxa" w:w="1066"/>
          </w:tcPr>
          <w:p>
            <w:pPr>
              <w:spacing w:after="20"/>
            </w:pPr>
            <w:r>
              <w:rPr>
                <w:color w:val="1C3A36"/>
                <w:sz w:val="14"/>
              </w:rPr>
              <w:t>Country</w:t>
            </w:r>
          </w:p>
        </w:tc>
        <w:tc>
          <w:tcPr>
            <w:tcW w:type="dxa" w:w="7171"/>
          </w:tcPr>
          <w:p>
            <w:pPr>
              <w:spacing w:after="20"/>
            </w:pPr>
            <w:r>
              <w:rPr>
                <w:color w:val="1C3A36"/>
                <w:sz w:val="14"/>
              </w:rPr>
              <w:t>Egypt 10-year local-currency government bond yield. Revision 3 carried 22.31% dated 21 July; three independent reviewers put the 10-year at 22.88-22.98% on 3-5 August, and the curve is inverted above it (1-year near 25.6%). 22.95% is the midpoint of the three, at the valuation date rather than sixteen days before it</w:t>
            </w:r>
          </w:p>
        </w:tc>
        <w:tc>
          <w:tcPr>
            <w:tcW w:type="dxa" w:w="1210"/>
          </w:tcPr>
          <w:p>
            <w:pPr>
              <w:spacing w:after="20"/>
            </w:pPr>
            <w:r>
              <w:rPr>
                <w:color w:val="1C3A36"/>
                <w:sz w:val="14"/>
              </w:rPr>
              <w:t>2026-08-05</w:t>
            </w:r>
          </w:p>
        </w:tc>
      </w:tr>
      <w:tr>
        <w:tc>
          <w:tcPr>
            <w:tcW w:type="dxa" w:w="432"/>
          </w:tcPr>
          <w:p>
            <w:pPr>
              <w:spacing w:after="20"/>
            </w:pPr>
            <w:r>
              <w:rPr>
                <w:color w:val="1C3A36"/>
                <w:sz w:val="14"/>
              </w:rPr>
              <w:t>181</w:t>
            </w:r>
          </w:p>
        </w:tc>
        <w:tc>
          <w:tcPr>
            <w:tcW w:type="dxa" w:w="2448"/>
          </w:tcPr>
          <w:p>
            <w:pPr>
              <w:spacing w:after="20"/>
            </w:pPr>
            <w:r>
              <w:rPr>
                <w:color w:val="1C3A36"/>
                <w:sz w:val="14"/>
              </w:rPr>
              <w:t>rf_reviewer_high</w:t>
            </w:r>
          </w:p>
        </w:tc>
        <w:tc>
          <w:tcPr>
            <w:tcW w:type="dxa" w:w="1325"/>
          </w:tcPr>
          <w:p>
            <w:pPr>
              <w:spacing w:after="20"/>
            </w:pPr>
            <w:r>
              <w:rPr>
                <w:color w:val="1C3A36"/>
                <w:sz w:val="14"/>
              </w:rPr>
              <w:t>0.2298</w:t>
            </w:r>
          </w:p>
        </w:tc>
        <w:tc>
          <w:tcPr>
            <w:tcW w:type="dxa" w:w="1066"/>
          </w:tcPr>
          <w:p>
            <w:pPr>
              <w:spacing w:after="20"/>
            </w:pPr>
            <w:r>
              <w:rPr>
                <w:color w:val="1C3A36"/>
                <w:sz w:val="14"/>
              </w:rPr>
              <w:t>Country</w:t>
            </w:r>
          </w:p>
        </w:tc>
        <w:tc>
          <w:tcPr>
            <w:tcW w:type="dxa" w:w="7171"/>
          </w:tcPr>
          <w:p>
            <w:pPr>
              <w:spacing w:after="20"/>
            </w:pPr>
            <w:r>
              <w:rPr>
                <w:color w:val="1C3A36"/>
                <w:sz w:val="14"/>
              </w:rPr>
              <w:t>Highest of the same three readings. The adopted figure is their midpoint, struck at the valuation date.</w:t>
            </w:r>
          </w:p>
        </w:tc>
        <w:tc>
          <w:tcPr>
            <w:tcW w:type="dxa" w:w="1210"/>
          </w:tcPr>
          <w:p>
            <w:pPr>
              <w:spacing w:after="20"/>
            </w:pPr>
            <w:r>
              <w:rPr>
                <w:color w:val="1C3A36"/>
                <w:sz w:val="14"/>
              </w:rPr>
              <w:t>2026-08-05</w:t>
            </w:r>
          </w:p>
        </w:tc>
      </w:tr>
      <w:tr>
        <w:tc>
          <w:tcPr>
            <w:tcW w:type="dxa" w:w="432"/>
          </w:tcPr>
          <w:p>
            <w:pPr>
              <w:spacing w:after="20"/>
            </w:pPr>
            <w:r>
              <w:rPr>
                <w:color w:val="1C3A36"/>
                <w:sz w:val="14"/>
              </w:rPr>
              <w:t>182</w:t>
            </w:r>
          </w:p>
        </w:tc>
        <w:tc>
          <w:tcPr>
            <w:tcW w:type="dxa" w:w="2448"/>
          </w:tcPr>
          <w:p>
            <w:pPr>
              <w:spacing w:after="20"/>
            </w:pPr>
            <w:r>
              <w:rPr>
                <w:color w:val="1C3A36"/>
                <w:sz w:val="14"/>
              </w:rPr>
              <w:t>rf_reviewer_low</w:t>
            </w:r>
          </w:p>
        </w:tc>
        <w:tc>
          <w:tcPr>
            <w:tcW w:type="dxa" w:w="1325"/>
          </w:tcPr>
          <w:p>
            <w:pPr>
              <w:spacing w:after="20"/>
            </w:pPr>
            <w:r>
              <w:rPr>
                <w:color w:val="1C3A36"/>
                <w:sz w:val="14"/>
              </w:rPr>
              <w:t>0.2288</w:t>
            </w:r>
          </w:p>
        </w:tc>
        <w:tc>
          <w:tcPr>
            <w:tcW w:type="dxa" w:w="1066"/>
          </w:tcPr>
          <w:p>
            <w:pPr>
              <w:spacing w:after="20"/>
            </w:pPr>
            <w:r>
              <w:rPr>
                <w:color w:val="1C3A36"/>
                <w:sz w:val="14"/>
              </w:rPr>
              <w:t>Country</w:t>
            </w:r>
          </w:p>
        </w:tc>
        <w:tc>
          <w:tcPr>
            <w:tcW w:type="dxa" w:w="7171"/>
          </w:tcPr>
          <w:p>
            <w:pPr>
              <w:spacing w:after="20"/>
            </w:pPr>
            <w:r>
              <w:rPr>
                <w:color w:val="1C3A36"/>
                <w:sz w:val="14"/>
              </w:rPr>
              <w:t>Lowest of three independent reviewers' readings of the Egyptian 10-year on 3-5 August 2026.</w:t>
            </w:r>
          </w:p>
        </w:tc>
        <w:tc>
          <w:tcPr>
            <w:tcW w:type="dxa" w:w="1210"/>
          </w:tcPr>
          <w:p>
            <w:pPr>
              <w:spacing w:after="20"/>
            </w:pPr>
            <w:r>
              <w:rPr>
                <w:color w:val="1C3A36"/>
                <w:sz w:val="14"/>
              </w:rPr>
              <w:t>2026-08-05</w:t>
            </w:r>
          </w:p>
        </w:tc>
      </w:tr>
      <w:tr>
        <w:tc>
          <w:tcPr>
            <w:tcW w:type="dxa" w:w="432"/>
          </w:tcPr>
          <w:p>
            <w:pPr>
              <w:spacing w:after="20"/>
            </w:pPr>
            <w:r>
              <w:rPr>
                <w:color w:val="1C3A36"/>
                <w:sz w:val="14"/>
              </w:rPr>
              <w:t>183</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171"/>
          </w:tcPr>
          <w:p>
            <w:pPr>
              <w:spacing w:after="20"/>
            </w:pPr>
            <w:r>
              <w:rPr>
                <w:color w:val="1C3A36"/>
                <w:sz w:val="14"/>
              </w:rPr>
              <w:t>Egypt CDS-implied sovereign default spread, Damodaran January-2026 country risk file, CDS column. NETTED OUT of the local risk-free rate so sovereign default risk is charged once, not twice</w:t>
            </w:r>
          </w:p>
        </w:tc>
        <w:tc>
          <w:tcPr>
            <w:tcW w:type="dxa" w:w="1210"/>
          </w:tcPr>
          <w:p>
            <w:pPr>
              <w:spacing w:after="20"/>
            </w:pPr>
            <w:r>
              <w:rPr>
                <w:color w:val="1C3A36"/>
                <w:sz w:val="14"/>
              </w:rPr>
              <w:t>2026-01-05</w:t>
            </w:r>
          </w:p>
        </w:tc>
      </w:tr>
      <w:tr>
        <w:tc>
          <w:tcPr>
            <w:tcW w:type="dxa" w:w="432"/>
          </w:tcPr>
          <w:p>
            <w:pPr>
              <w:spacing w:after="20"/>
            </w:pPr>
            <w:r>
              <w:rPr>
                <w:color w:val="1C3A36"/>
                <w:sz w:val="14"/>
              </w:rPr>
              <w:t>184</w:t>
            </w:r>
          </w:p>
        </w:tc>
        <w:tc>
          <w:tcPr>
            <w:tcW w:type="dxa" w:w="2448"/>
          </w:tcPr>
          <w:p>
            <w:pPr>
              <w:spacing w:after="20"/>
            </w:pPr>
            <w:r>
              <w:rPr>
                <w:color w:val="1C3A36"/>
                <w:sz w:val="14"/>
              </w:rPr>
              <w:t>sov_spread_rating</w:t>
            </w:r>
          </w:p>
        </w:tc>
        <w:tc>
          <w:tcPr>
            <w:tcW w:type="dxa" w:w="1325"/>
          </w:tcPr>
          <w:p>
            <w:pPr>
              <w:spacing w:after="20"/>
            </w:pPr>
            <w:r>
              <w:rPr>
                <w:color w:val="1C3A36"/>
                <w:sz w:val="14"/>
              </w:rPr>
              <w:t>0.0637</w:t>
            </w:r>
          </w:p>
        </w:tc>
        <w:tc>
          <w:tcPr>
            <w:tcW w:type="dxa" w:w="1066"/>
          </w:tcPr>
          <w:p>
            <w:pPr>
              <w:spacing w:after="20"/>
            </w:pPr>
            <w:r>
              <w:rPr>
                <w:color w:val="1C3A36"/>
                <w:sz w:val="14"/>
              </w:rPr>
              <w:t>Country</w:t>
            </w:r>
          </w:p>
        </w:tc>
        <w:tc>
          <w:tcPr>
            <w:tcW w:type="dxa" w:w="7171"/>
          </w:tcPr>
          <w:p>
            <w:pPr>
              <w:spacing w:after="20"/>
            </w:pPr>
            <w:r>
              <w:rPr>
                <w:color w:val="1C3A36"/>
                <w:sz w:val="14"/>
              </w:rPr>
              <w:t>Egypt rating-based sovereign default spread (Moody's Caa1), Damodaran January-2026 country risk file, sheet 'ERPs by country', Egypt row, column 'Rating-based Default Spread'. The ALTERNATIVE to the CDS spread this study adopts, published in the same row of the same file</w:t>
            </w:r>
          </w:p>
        </w:tc>
        <w:tc>
          <w:tcPr>
            <w:tcW w:type="dxa" w:w="1210"/>
          </w:tcPr>
          <w:p>
            <w:pPr>
              <w:spacing w:after="20"/>
            </w:pPr>
            <w:r>
              <w:rPr>
                <w:color w:val="1C3A36"/>
                <w:sz w:val="14"/>
              </w:rPr>
              <w:t>2026-01-05</w:t>
            </w:r>
          </w:p>
        </w:tc>
      </w:tr>
      <w:tr>
        <w:tc>
          <w:tcPr>
            <w:tcW w:type="dxa" w:w="432"/>
          </w:tcPr>
          <w:p>
            <w:pPr>
              <w:spacing w:after="20"/>
            </w:pPr>
            <w:r>
              <w:rPr>
                <w:color w:val="1C3A36"/>
                <w:sz w:val="14"/>
              </w:rPr>
              <w:t>185</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171"/>
          </w:tcPr>
          <w:p>
            <w:pPr>
              <w:spacing w:after="20"/>
            </w:pPr>
            <w:r>
              <w:rPr>
                <w:color w:val="1C3A36"/>
                <w:sz w:val="14"/>
              </w:rPr>
              <w:t>Egypt statutory corporate income tax rate</w:t>
            </w:r>
          </w:p>
        </w:tc>
        <w:tc>
          <w:tcPr>
            <w:tcW w:type="dxa" w:w="1210"/>
          </w:tcPr>
          <w:p>
            <w:pPr>
              <w:spacing w:after="20"/>
            </w:pPr>
            <w:r>
              <w:rPr>
                <w:color w:val="1C3A36"/>
                <w:sz w:val="14"/>
              </w:rPr>
              <w:t>2026-01-01</w:t>
            </w:r>
          </w:p>
        </w:tc>
      </w:tr>
      <w:tr>
        <w:tc>
          <w:tcPr>
            <w:tcW w:type="dxa" w:w="432"/>
          </w:tcPr>
          <w:p>
            <w:pPr>
              <w:spacing w:after="20"/>
            </w:pPr>
            <w:r>
              <w:rPr>
                <w:color w:val="1C3A36"/>
                <w:sz w:val="14"/>
              </w:rPr>
              <w:t>186</w:t>
            </w:r>
          </w:p>
        </w:tc>
        <w:tc>
          <w:tcPr>
            <w:tcW w:type="dxa" w:w="2448"/>
          </w:tcPr>
          <w:p>
            <w:pPr>
              <w:spacing w:after="20"/>
            </w:pPr>
            <w:r>
              <w:rPr>
                <w:color w:val="1C3A36"/>
                <w:sz w:val="14"/>
              </w:rPr>
              <w:t>af_saving</w:t>
            </w:r>
          </w:p>
        </w:tc>
        <w:tc>
          <w:tcPr>
            <w:tcW w:type="dxa" w:w="1325"/>
          </w:tcPr>
          <w:p>
            <w:pPr>
              <w:spacing w:after="20"/>
            </w:pPr>
            <w:r>
              <w:rPr>
                <w:color w:val="1C3A36"/>
                <w:sz w:val="14"/>
              </w:rPr>
              <w:t>0, 0.015, 0.03, 0.04, 0.048, 0.055</w:t>
            </w:r>
          </w:p>
        </w:tc>
        <w:tc>
          <w:tcPr>
            <w:tcW w:type="dxa" w:w="1066"/>
          </w:tcPr>
          <w:p>
            <w:pPr>
              <w:spacing w:after="20"/>
            </w:pPr>
            <w:r>
              <w:rPr>
                <w:color w:val="1C3A36"/>
                <w:sz w:val="14"/>
              </w:rPr>
              <w:t>House</w:t>
            </w:r>
          </w:p>
        </w:tc>
        <w:tc>
          <w:tcPr>
            <w:tcW w:type="dxa" w:w="7171"/>
          </w:tcPr>
          <w:p>
            <w:pPr>
              <w:spacing w:after="20"/>
            </w:pPr>
            <w:r>
              <w:rPr>
                <w:color w:val="1C3A36"/>
                <w:sz w:val="14"/>
              </w:rPr>
              <w:t>Cumulative saving on the materials-and-fuel line from the alternative-fuel and hydrogen programmes, relative to the FY2025 cost base. Not an assumption about intent: EGP 240.235mn of alternative-fuel capacity for kiln 2 sits in assets under construction at the year end and a EUR 25mn EBRD facility is drawn against it</w:t>
            </w:r>
          </w:p>
        </w:tc>
        <w:tc>
          <w:tcPr>
            <w:tcW w:type="dxa" w:w="1210"/>
          </w:tcPr>
          <w:p>
            <w:pPr>
              <w:spacing w:after="20"/>
            </w:pPr>
            <w:r>
              <w:rPr>
                <w:color w:val="1C3A36"/>
                <w:sz w:val="14"/>
              </w:rPr>
              <w:t>2025-12-31</w:t>
            </w:r>
          </w:p>
        </w:tc>
      </w:tr>
      <w:tr>
        <w:tc>
          <w:tcPr>
            <w:tcW w:type="dxa" w:w="432"/>
          </w:tcPr>
          <w:p>
            <w:pPr>
              <w:spacing w:after="20"/>
            </w:pPr>
            <w:r>
              <w:rPr>
                <w:color w:val="1C3A36"/>
                <w:sz w:val="14"/>
              </w:rPr>
              <w:t>187</w:t>
            </w:r>
          </w:p>
        </w:tc>
        <w:tc>
          <w:tcPr>
            <w:tcW w:type="dxa" w:w="2448"/>
          </w:tcPr>
          <w:p>
            <w:pPr>
              <w:spacing w:after="20"/>
            </w:pPr>
            <w:r>
              <w:rPr>
                <w:color w:val="1C3A36"/>
                <w:sz w:val="14"/>
              </w:rPr>
              <w:t>cash_yield</w:t>
            </w:r>
          </w:p>
        </w:tc>
        <w:tc>
          <w:tcPr>
            <w:tcW w:type="dxa" w:w="1325"/>
          </w:tcPr>
          <w:p>
            <w:pPr>
              <w:spacing w:after="20"/>
            </w:pPr>
            <w:r>
              <w:rPr>
                <w:color w:val="1C3A36"/>
                <w:sz w:val="14"/>
              </w:rPr>
              <w:t>0.15, 0.13, 0.12, 0.112, 0.108</w:t>
            </w:r>
          </w:p>
        </w:tc>
        <w:tc>
          <w:tcPr>
            <w:tcW w:type="dxa" w:w="1066"/>
          </w:tcPr>
          <w:p>
            <w:pPr>
              <w:spacing w:after="20"/>
            </w:pPr>
            <w:r>
              <w:rPr>
                <w:color w:val="1C3A36"/>
                <w:sz w:val="14"/>
              </w:rPr>
              <w:t>House</w:t>
            </w:r>
          </w:p>
        </w:tc>
        <w:tc>
          <w:tcPr>
            <w:tcW w:type="dxa" w:w="7171"/>
          </w:tcPr>
          <w:p>
            <w:pPr>
              <w:spacing w:after="20"/>
            </w:pPr>
            <w:r>
              <w:rPr>
                <w:color w:val="1C3A36"/>
                <w:sz w:val="14"/>
              </w:rPr>
              <w:t>Yield earned on the cash balance across the forecast. The FY2025 outturn was 8.8% on the average balance — much of the cash sits in foreign-currency current accounts rather than pound deposits — and the path is set above it as the balance is redeployed, then easing</w:t>
            </w:r>
          </w:p>
        </w:tc>
        <w:tc>
          <w:tcPr>
            <w:tcW w:type="dxa" w:w="1210"/>
          </w:tcPr>
          <w:p>
            <w:pPr>
              <w:spacing w:after="20"/>
            </w:pPr>
            <w:r>
              <w:rPr>
                <w:color w:val="1C3A36"/>
                <w:sz w:val="14"/>
              </w:rPr>
              <w:t>2026-08-06</w:t>
            </w:r>
          </w:p>
        </w:tc>
      </w:tr>
      <w:tr>
        <w:tc>
          <w:tcPr>
            <w:tcW w:type="dxa" w:w="432"/>
          </w:tcPr>
          <w:p>
            <w:pPr>
              <w:spacing w:after="20"/>
            </w:pPr>
            <w:r>
              <w:rPr>
                <w:color w:val="1C3A36"/>
                <w:sz w:val="14"/>
              </w:rPr>
              <w:t>188</w:t>
            </w:r>
          </w:p>
        </w:tc>
        <w:tc>
          <w:tcPr>
            <w:tcW w:type="dxa" w:w="2448"/>
          </w:tcPr>
          <w:p>
            <w:pPr>
              <w:spacing w:after="20"/>
            </w:pPr>
            <w:r>
              <w:rPr>
                <w:color w:val="1C3A36"/>
                <w:sz w:val="14"/>
              </w:rPr>
              <w:t>central_pre_rebuild</w:t>
            </w:r>
          </w:p>
        </w:tc>
        <w:tc>
          <w:tcPr>
            <w:tcW w:type="dxa" w:w="1325"/>
          </w:tcPr>
          <w:p>
            <w:pPr>
              <w:spacing w:after="20"/>
            </w:pPr>
            <w:r>
              <w:rPr>
                <w:color w:val="1C3A36"/>
                <w:sz w:val="14"/>
              </w:rPr>
              <w:t>61.3</w:t>
            </w:r>
          </w:p>
        </w:tc>
        <w:tc>
          <w:tcPr>
            <w:tcW w:type="dxa" w:w="1066"/>
          </w:tcPr>
          <w:p>
            <w:pPr>
              <w:spacing w:after="20"/>
            </w:pPr>
            <w:r>
              <w:rPr>
                <w:color w:val="1C3A36"/>
                <w:sz w:val="14"/>
              </w:rPr>
              <w:t>House</w:t>
            </w:r>
          </w:p>
        </w:tc>
        <w:tc>
          <w:tcPr>
            <w:tcW w:type="dxa" w:w="7171"/>
          </w:tcPr>
          <w:p>
            <w:pPr>
              <w:spacing w:after="20"/>
            </w:pPr>
            <w:r>
              <w:rPr>
                <w:color w:val="1C3A36"/>
                <w:sz w:val="14"/>
              </w:rPr>
              <w:t>The central published by the edition of this study that PRECEDED the 06-08-2026 bottom-up rebuild, as recorded in that edition's own caveats section and carried unchanged in every edition since. THIS MODEL CANNOT COMPUTE IT — a different model produced it, and the file itself is not retained in the repository — so it is registered as the historical fact it is rather than typed into a builder, which is the same disposition any superseded figure quoted to show what changed must take.</w:t>
            </w:r>
          </w:p>
        </w:tc>
        <w:tc>
          <w:tcPr>
            <w:tcW w:type="dxa" w:w="1210"/>
          </w:tcPr>
          <w:p>
            <w:pPr>
              <w:spacing w:after="20"/>
            </w:pPr>
            <w:r>
              <w:rPr>
                <w:color w:val="1C3A36"/>
                <w:sz w:val="14"/>
              </w:rPr>
              <w:t>2026-08-06</w:t>
            </w:r>
          </w:p>
        </w:tc>
      </w:tr>
      <w:tr>
        <w:tc>
          <w:tcPr>
            <w:tcW w:type="dxa" w:w="432"/>
          </w:tcPr>
          <w:p>
            <w:pPr>
              <w:spacing w:after="20"/>
            </w:pPr>
            <w:r>
              <w:rPr>
                <w:color w:val="1C3A36"/>
                <w:sz w:val="14"/>
              </w:rPr>
              <w:t>189</w:t>
            </w:r>
          </w:p>
        </w:tc>
        <w:tc>
          <w:tcPr>
            <w:tcW w:type="dxa" w:w="2448"/>
          </w:tcPr>
          <w:p>
            <w:pPr>
              <w:spacing w:after="20"/>
            </w:pPr>
            <w:r>
              <w:rPr>
                <w:color w:val="1C3A36"/>
                <w:sz w:val="14"/>
              </w:rPr>
              <w:t>dna_pct</w:t>
            </w:r>
          </w:p>
        </w:tc>
        <w:tc>
          <w:tcPr>
            <w:tcW w:type="dxa" w:w="1325"/>
          </w:tcPr>
          <w:p>
            <w:pPr>
              <w:spacing w:after="20"/>
            </w:pPr>
            <w:r>
              <w:rPr>
                <w:color w:val="1C3A36"/>
                <w:sz w:val="14"/>
              </w:rPr>
              <w:t>0.025, 0.027, 0.029, 0.031, 0.033</w:t>
            </w:r>
          </w:p>
        </w:tc>
        <w:tc>
          <w:tcPr>
            <w:tcW w:type="dxa" w:w="1066"/>
          </w:tcPr>
          <w:p>
            <w:pPr>
              <w:spacing w:after="20"/>
            </w:pPr>
            <w:r>
              <w:rPr>
                <w:color w:val="1C3A36"/>
                <w:sz w:val="14"/>
              </w:rPr>
              <w:t>House</w:t>
            </w:r>
          </w:p>
        </w:tc>
        <w:tc>
          <w:tcPr>
            <w:tcW w:type="dxa" w:w="7171"/>
          </w:tcPr>
          <w:p>
            <w:pPr>
              <w:spacing w:after="20"/>
            </w:pPr>
            <w:r>
              <w:rPr>
                <w:color w:val="1C3A36"/>
                <w:sz w:val="14"/>
              </w:rPr>
              <w:t>Depreciation as a share of revenue across the forecast, rising because capital spent from here is incurred at today's replacement cost and adds a larger depreciable base per tonne than the legacy book carries. FY2025 actual is 2.33%</w:t>
            </w:r>
          </w:p>
        </w:tc>
        <w:tc>
          <w:tcPr>
            <w:tcW w:type="dxa" w:w="1210"/>
          </w:tcPr>
          <w:p>
            <w:pPr>
              <w:spacing w:after="20"/>
            </w:pPr>
            <w:r>
              <w:rPr>
                <w:color w:val="1C3A36"/>
                <w:sz w:val="14"/>
              </w:rPr>
              <w:t>2026-08-06</w:t>
            </w:r>
          </w:p>
        </w:tc>
      </w:tr>
      <w:tr>
        <w:tc>
          <w:tcPr>
            <w:tcW w:type="dxa" w:w="432"/>
          </w:tcPr>
          <w:p>
            <w:pPr>
              <w:spacing w:after="20"/>
            </w:pPr>
            <w:r>
              <w:rPr>
                <w:color w:val="1C3A36"/>
                <w:sz w:val="14"/>
              </w:rPr>
              <w:t>190</w:t>
            </w:r>
          </w:p>
        </w:tc>
        <w:tc>
          <w:tcPr>
            <w:tcW w:type="dxa" w:w="2448"/>
          </w:tcPr>
          <w:p>
            <w:pPr>
              <w:spacing w:after="20"/>
            </w:pPr>
            <w:r>
              <w:rPr>
                <w:color w:val="1C3A36"/>
                <w:sz w:val="14"/>
              </w:rPr>
              <w:t>efg_margin_exit</w:t>
            </w:r>
          </w:p>
        </w:tc>
        <w:tc>
          <w:tcPr>
            <w:tcW w:type="dxa" w:w="1325"/>
          </w:tcPr>
          <w:p>
            <w:pPr>
              <w:spacing w:after="20"/>
            </w:pPr>
            <w:r>
              <w:rPr>
                <w:color w:val="1C3A36"/>
                <w:sz w:val="14"/>
              </w:rPr>
              <w:t>0.343</w:t>
            </w:r>
          </w:p>
        </w:tc>
        <w:tc>
          <w:tcPr>
            <w:tcW w:type="dxa" w:w="1066"/>
          </w:tcPr>
          <w:p>
            <w:pPr>
              <w:spacing w:after="20"/>
            </w:pPr>
            <w:r>
              <w:rPr>
                <w:color w:val="1C3A36"/>
                <w:sz w:val="14"/>
              </w:rPr>
              <w:t>House</w:t>
            </w:r>
          </w:p>
        </w:tc>
        <w:tc>
          <w:tcPr>
            <w:tcW w:type="dxa" w:w="7171"/>
          </w:tcPr>
          <w:p>
            <w:pPr>
              <w:spacing w:after="20"/>
            </w:pPr>
            <w:r>
              <w:rPr>
                <w:color w:val="1C3A36"/>
                <w:sz w:val="14"/>
              </w:rPr>
              <w:t>Terminal EBITDA margin in the published EFG Hermes model, the far end of its 39.3% to 34.3% glide. Another party's figure, quoted; not an input to anything.</w:t>
            </w:r>
          </w:p>
        </w:tc>
        <w:tc>
          <w:tcPr>
            <w:tcW w:type="dxa" w:w="1210"/>
          </w:tcPr>
          <w:p>
            <w:pPr>
              <w:spacing w:after="20"/>
            </w:pPr>
            <w:r>
              <w:rPr>
                <w:color w:val="1C3A36"/>
                <w:sz w:val="14"/>
              </w:rPr>
              <w:t>2026-08-06</w:t>
            </w:r>
          </w:p>
        </w:tc>
      </w:tr>
      <w:tr>
        <w:tc>
          <w:tcPr>
            <w:tcW w:type="dxa" w:w="432"/>
          </w:tcPr>
          <w:p>
            <w:pPr>
              <w:spacing w:after="20"/>
            </w:pPr>
            <w:r>
              <w:rPr>
                <w:color w:val="1C3A36"/>
                <w:sz w:val="14"/>
              </w:rPr>
              <w:t>191</w:t>
            </w:r>
          </w:p>
        </w:tc>
        <w:tc>
          <w:tcPr>
            <w:tcW w:type="dxa" w:w="2448"/>
          </w:tcPr>
          <w:p>
            <w:pPr>
              <w:spacing w:after="20"/>
            </w:pPr>
            <w:r>
              <w:rPr>
                <w:color w:val="1C3A36"/>
                <w:sz w:val="14"/>
              </w:rPr>
              <w:t>efg_terminal_roic</w:t>
            </w:r>
          </w:p>
        </w:tc>
        <w:tc>
          <w:tcPr>
            <w:tcW w:type="dxa" w:w="1325"/>
          </w:tcPr>
          <w:p>
            <w:pPr>
              <w:spacing w:after="20"/>
            </w:pPr>
            <w:r>
              <w:rPr>
                <w:color w:val="1C3A36"/>
                <w:sz w:val="14"/>
              </w:rPr>
              <w:t>0.0881</w:t>
            </w:r>
          </w:p>
        </w:tc>
        <w:tc>
          <w:tcPr>
            <w:tcW w:type="dxa" w:w="1066"/>
          </w:tcPr>
          <w:p>
            <w:pPr>
              <w:spacing w:after="20"/>
            </w:pPr>
            <w:r>
              <w:rPr>
                <w:color w:val="1C3A36"/>
                <w:sz w:val="14"/>
              </w:rPr>
              <w:t>House</w:t>
            </w:r>
          </w:p>
        </w:tc>
        <w:tc>
          <w:tcPr>
            <w:tcW w:type="dxa" w:w="7171"/>
          </w:tcPr>
          <w:p>
            <w:pPr>
              <w:spacing w:after="20"/>
            </w:pPr>
            <w:r>
              <w:rPr>
                <w:color w:val="1C3A36"/>
                <w:sz w:val="14"/>
              </w:rPr>
              <w:t>Terminal return on invested capital in the published EFG Hermes model, as reconstructed in the reconciliation of section 1.10. A figure from another party's model, quoted; not an input to anything.</w:t>
            </w:r>
          </w:p>
        </w:tc>
        <w:tc>
          <w:tcPr>
            <w:tcW w:type="dxa" w:w="1210"/>
          </w:tcPr>
          <w:p>
            <w:pPr>
              <w:spacing w:after="20"/>
            </w:pPr>
            <w:r>
              <w:rPr>
                <w:color w:val="1C3A36"/>
                <w:sz w:val="14"/>
              </w:rPr>
              <w:t>2026-08-06</w:t>
            </w:r>
          </w:p>
        </w:tc>
      </w:tr>
      <w:tr>
        <w:tc>
          <w:tcPr>
            <w:tcW w:type="dxa" w:w="432"/>
          </w:tcPr>
          <w:p>
            <w:pPr>
              <w:spacing w:after="20"/>
            </w:pPr>
            <w:r>
              <w:rPr>
                <w:color w:val="1C3A36"/>
                <w:sz w:val="14"/>
              </w:rPr>
              <w:t>192</w:t>
            </w:r>
          </w:p>
        </w:tc>
        <w:tc>
          <w:tcPr>
            <w:tcW w:type="dxa" w:w="2448"/>
          </w:tcPr>
          <w:p>
            <w:pPr>
              <w:spacing w:after="20"/>
            </w:pPr>
            <w:r>
              <w:rPr>
                <w:color w:val="1C3A36"/>
                <w:sz w:val="14"/>
              </w:rPr>
              <w:t>efg_unit_cost_growth</w:t>
            </w:r>
          </w:p>
        </w:tc>
        <w:tc>
          <w:tcPr>
            <w:tcW w:type="dxa" w:w="1325"/>
          </w:tcPr>
          <w:p>
            <w:pPr>
              <w:spacing w:after="20"/>
            </w:pPr>
            <w:r>
              <w:rPr>
                <w:color w:val="1C3A36"/>
                <w:sz w:val="14"/>
              </w:rPr>
              <w:t>0.469</w:t>
            </w:r>
          </w:p>
        </w:tc>
        <w:tc>
          <w:tcPr>
            <w:tcW w:type="dxa" w:w="1066"/>
          </w:tcPr>
          <w:p>
            <w:pPr>
              <w:spacing w:after="20"/>
            </w:pPr>
            <w:r>
              <w:rPr>
                <w:color w:val="1C3A36"/>
                <w:sz w:val="14"/>
              </w:rPr>
              <w:t>House</w:t>
            </w:r>
          </w:p>
        </w:tc>
        <w:tc>
          <w:tcPr>
            <w:tcW w:type="dxa" w:w="7171"/>
          </w:tcPr>
          <w:p>
            <w:pPr>
              <w:spacing w:after="20"/>
            </w:pPr>
            <w:r>
              <w:rPr>
                <w:color w:val="1C3A36"/>
                <w:sz w:val="14"/>
              </w:rPr>
              <w:t>Growth in the cash cost per tonne the EFG Hermes model charges across its forecast window, as reconstructed in section 1.10. Another party's figure, quoted.</w:t>
            </w:r>
          </w:p>
        </w:tc>
        <w:tc>
          <w:tcPr>
            <w:tcW w:type="dxa" w:w="1210"/>
          </w:tcPr>
          <w:p>
            <w:pPr>
              <w:spacing w:after="20"/>
            </w:pPr>
            <w:r>
              <w:rPr>
                <w:color w:val="1C3A36"/>
                <w:sz w:val="14"/>
              </w:rPr>
              <w:t>2026-08-06</w:t>
            </w:r>
          </w:p>
        </w:tc>
      </w:tr>
      <w:tr>
        <w:tc>
          <w:tcPr>
            <w:tcW w:type="dxa" w:w="432"/>
          </w:tcPr>
          <w:p>
            <w:pPr>
              <w:spacing w:after="20"/>
            </w:pPr>
            <w:r>
              <w:rPr>
                <w:color w:val="1C3A36"/>
                <w:sz w:val="14"/>
              </w:rPr>
              <w:t>193</w:t>
            </w:r>
          </w:p>
        </w:tc>
        <w:tc>
          <w:tcPr>
            <w:tcW w:type="dxa" w:w="2448"/>
          </w:tcPr>
          <w:p>
            <w:pPr>
              <w:spacing w:after="20"/>
            </w:pPr>
            <w:r>
              <w:rPr>
                <w:color w:val="1C3A36"/>
                <w:sz w:val="14"/>
              </w:rPr>
              <w:t>egp_dep_vs_eur</w:t>
            </w:r>
          </w:p>
        </w:tc>
        <w:tc>
          <w:tcPr>
            <w:tcW w:type="dxa" w:w="1325"/>
          </w:tcPr>
          <w:p>
            <w:pPr>
              <w:spacing w:after="20"/>
            </w:pPr>
            <w:r>
              <w:rPr>
                <w:color w:val="1C3A36"/>
                <w:sz w:val="14"/>
              </w:rPr>
              <w:t>0.06</w:t>
            </w:r>
          </w:p>
        </w:tc>
        <w:tc>
          <w:tcPr>
            <w:tcW w:type="dxa" w:w="1066"/>
          </w:tcPr>
          <w:p>
            <w:pPr>
              <w:spacing w:after="20"/>
            </w:pPr>
            <w:r>
              <w:rPr>
                <w:color w:val="1C3A36"/>
                <w:sz w:val="14"/>
              </w:rPr>
              <w:t>House</w:t>
            </w:r>
          </w:p>
        </w:tc>
        <w:tc>
          <w:tcPr>
            <w:tcW w:type="dxa" w:w="7171"/>
          </w:tcPr>
          <w:p>
            <w:pPr>
              <w:spacing w:after="20"/>
            </w:pPr>
            <w:r>
              <w:rPr>
                <w:color w:val="1C3A36"/>
                <w:sz w:val="14"/>
              </w:rPr>
              <w:t>Expected annual depreciation of the pound against the euro, used ONLY to compute the local-currency-equivalent cost of debt alternative under uncovered interest parity</w:t>
            </w:r>
          </w:p>
        </w:tc>
        <w:tc>
          <w:tcPr>
            <w:tcW w:type="dxa" w:w="1210"/>
          </w:tcPr>
          <w:p>
            <w:pPr>
              <w:spacing w:after="20"/>
            </w:pPr>
            <w:r>
              <w:rPr>
                <w:color w:val="1C3A36"/>
                <w:sz w:val="14"/>
              </w:rPr>
              <w:t>2026-08-06</w:t>
            </w:r>
          </w:p>
        </w:tc>
      </w:tr>
      <w:tr>
        <w:tc>
          <w:tcPr>
            <w:tcW w:type="dxa" w:w="432"/>
          </w:tcPr>
          <w:p>
            <w:pPr>
              <w:spacing w:after="20"/>
            </w:pPr>
            <w:r>
              <w:rPr>
                <w:color w:val="1C3A36"/>
                <w:sz w:val="14"/>
              </w:rPr>
              <w:t>194</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equity risk premium, normalised below the currently elevated level</w:t>
            </w:r>
          </w:p>
        </w:tc>
        <w:tc>
          <w:tcPr>
            <w:tcW w:type="dxa" w:w="1210"/>
          </w:tcPr>
          <w:p>
            <w:pPr>
              <w:spacing w:after="20"/>
            </w:pPr>
            <w:r>
              <w:rPr>
                <w:color w:val="1C3A36"/>
                <w:sz w:val="14"/>
              </w:rPr>
              <w:t>2026-08-06</w:t>
            </w:r>
          </w:p>
        </w:tc>
      </w:tr>
      <w:tr>
        <w:tc>
          <w:tcPr>
            <w:tcW w:type="dxa" w:w="432"/>
          </w:tcPr>
          <w:p>
            <w:pPr>
              <w:spacing w:after="20"/>
            </w:pPr>
            <w:r>
              <w:rPr>
                <w:color w:val="1C3A36"/>
                <w:sz w:val="14"/>
              </w:rPr>
              <w:t>195</w:t>
            </w:r>
          </w:p>
        </w:tc>
        <w:tc>
          <w:tcPr>
            <w:tcW w:type="dxa" w:w="2448"/>
          </w:tcPr>
          <w:p>
            <w:pPr>
              <w:spacing w:after="20"/>
            </w:pPr>
            <w:r>
              <w:rPr>
                <w:color w:val="1C3A36"/>
                <w:sz w:val="14"/>
              </w:rPr>
              <w:t>ev_ebitda_just</w:t>
            </w:r>
          </w:p>
        </w:tc>
        <w:tc>
          <w:tcPr>
            <w:tcW w:type="dxa" w:w="1325"/>
          </w:tcPr>
          <w:p>
            <w:pPr>
              <w:spacing w:after="20"/>
            </w:pPr>
            <w:r>
              <w:rPr>
                <w:color w:val="1C3A36"/>
                <w:sz w:val="14"/>
              </w:rPr>
              <w:t>4.5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to EBITDA on normalised earnings, disclosed as weakly anchored against a thin Egyptian peer set</w:t>
            </w:r>
          </w:p>
        </w:tc>
        <w:tc>
          <w:tcPr>
            <w:tcW w:type="dxa" w:w="1210"/>
          </w:tcPr>
          <w:p>
            <w:pPr>
              <w:spacing w:after="20"/>
            </w:pPr>
            <w:r>
              <w:rPr>
                <w:color w:val="1C3A36"/>
                <w:sz w:val="14"/>
              </w:rPr>
              <w:t>2026-08-06</w:t>
            </w:r>
          </w:p>
        </w:tc>
      </w:tr>
      <w:tr>
        <w:tc>
          <w:tcPr>
            <w:tcW w:type="dxa" w:w="432"/>
          </w:tcPr>
          <w:p>
            <w:pPr>
              <w:spacing w:after="20"/>
            </w:pPr>
            <w:r>
              <w:rPr>
                <w:color w:val="1C3A36"/>
                <w:sz w:val="14"/>
              </w:rPr>
              <w:t>196</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per annual tonne of capacity, set well below replacement cost because a market carrying 76Mt against 54Mt of consumption does not pay replacement cost</w:t>
            </w:r>
          </w:p>
        </w:tc>
        <w:tc>
          <w:tcPr>
            <w:tcW w:type="dxa" w:w="1210"/>
          </w:tcPr>
          <w:p>
            <w:pPr>
              <w:spacing w:after="20"/>
            </w:pPr>
            <w:r>
              <w:rPr>
                <w:color w:val="1C3A36"/>
                <w:sz w:val="14"/>
              </w:rPr>
              <w:t>2026-08-06</w:t>
            </w:r>
          </w:p>
        </w:tc>
      </w:tr>
      <w:tr>
        <w:tc>
          <w:tcPr>
            <w:tcW w:type="dxa" w:w="432"/>
          </w:tcPr>
          <w:p>
            <w:pPr>
              <w:spacing w:after="20"/>
            </w:pPr>
            <w:r>
              <w:rPr>
                <w:color w:val="1C3A36"/>
                <w:sz w:val="14"/>
              </w:rPr>
              <w:t>197</w:t>
            </w:r>
          </w:p>
        </w:tc>
        <w:tc>
          <w:tcPr>
            <w:tcW w:type="dxa" w:w="2448"/>
          </w:tcPr>
          <w:p>
            <w:pPr>
              <w:spacing w:after="20"/>
            </w:pPr>
            <w:r>
              <w:rPr>
                <w:color w:val="1C3A36"/>
                <w:sz w:val="14"/>
              </w:rPr>
              <w:t>g_term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growth from the house macro path: terminal inflation plus a STATED real growth of zero, so the real assumption is written down rather than left to be inferred from the gap to the discount rate. The retired 5% was set against a terminal risk-free of 10.50% and called approximately zero in real terms; on the house path it would have been -1.9% real. industrial against a terminal risk-free rate that already embeds disinflation — approximately zero in real terms</w:t>
            </w:r>
          </w:p>
        </w:tc>
        <w:tc>
          <w:tcPr>
            <w:tcW w:type="dxa" w:w="1210"/>
          </w:tcPr>
          <w:p>
            <w:pPr>
              <w:spacing w:after="20"/>
            </w:pPr>
            <w:r>
              <w:rPr>
                <w:color w:val="1C3A36"/>
                <w:sz w:val="14"/>
              </w:rPr>
              <w:t>2026-08-06</w:t>
            </w:r>
          </w:p>
        </w:tc>
      </w:tr>
      <w:tr>
        <w:tc>
          <w:tcPr>
            <w:tcW w:type="dxa" w:w="432"/>
          </w:tcPr>
          <w:p>
            <w:pPr>
              <w:spacing w:after="20"/>
            </w:pPr>
            <w:r>
              <w:rPr>
                <w:color w:val="1C3A36"/>
                <w:sz w:val="14"/>
              </w:rPr>
              <w:t>198</w:t>
            </w:r>
          </w:p>
        </w:tc>
        <w:tc>
          <w:tcPr>
            <w:tcW w:type="dxa" w:w="2448"/>
          </w:tcPr>
          <w:p>
            <w:pPr>
              <w:spacing w:after="20"/>
            </w:pPr>
            <w:r>
              <w:rPr>
                <w:color w:val="1C3A36"/>
                <w:sz w:val="14"/>
              </w:rPr>
              <w:t>kd_path</w:t>
            </w:r>
          </w:p>
        </w:tc>
        <w:tc>
          <w:tcPr>
            <w:tcW w:type="dxa" w:w="1325"/>
          </w:tcPr>
          <w:p>
            <w:pPr>
              <w:spacing w:after="20"/>
            </w:pPr>
            <w:r>
              <w:rPr>
                <w:color w:val="1C3A36"/>
                <w:sz w:val="14"/>
              </w:rPr>
              <w:t>0.206, 0.181, 0.161, 0.149, 0.14</w:t>
            </w:r>
          </w:p>
        </w:tc>
        <w:tc>
          <w:tcPr>
            <w:tcW w:type="dxa" w:w="1066"/>
          </w:tcPr>
          <w:p>
            <w:pPr>
              <w:spacing w:after="20"/>
            </w:pPr>
            <w:r>
              <w:rPr>
                <w:color w:val="1C3A36"/>
                <w:sz w:val="14"/>
              </w:rPr>
              <w:t>House</w:t>
            </w:r>
          </w:p>
        </w:tc>
        <w:tc>
          <w:tcPr>
            <w:tcW w:type="dxa" w:w="7171"/>
          </w:tcPr>
          <w:p>
            <w:pPr>
              <w:spacing w:after="20"/>
            </w:pPr>
            <w:r>
              <w:rPr>
                <w:color w:val="1C3A36"/>
                <w:sz w:val="14"/>
              </w:rPr>
              <w:t>EGP marginal borrowing-rate path. The discount-rate glide inherits its SHAPE from this rather than from a second judgement. The company's own book is now 91% euro-denominated and will not glide with the Egyptian easing calendar, but the discount rate is a POUND rate applied to pound cash flows, so the pound path is the right shape anchor and the euro book sets the LEVEL of the cost of debt, not its slope</w:t>
            </w:r>
          </w:p>
        </w:tc>
        <w:tc>
          <w:tcPr>
            <w:tcW w:type="dxa" w:w="1210"/>
          </w:tcPr>
          <w:p>
            <w:pPr>
              <w:spacing w:after="20"/>
            </w:pPr>
            <w:r>
              <w:rPr>
                <w:color w:val="1C3A36"/>
                <w:sz w:val="14"/>
              </w:rPr>
              <w:t>2026-08-06</w:t>
            </w:r>
          </w:p>
        </w:tc>
      </w:tr>
      <w:tr>
        <w:tc>
          <w:tcPr>
            <w:tcW w:type="dxa" w:w="432"/>
          </w:tcPr>
          <w:p>
            <w:pPr>
              <w:spacing w:after="20"/>
            </w:pPr>
            <w:r>
              <w:rPr>
                <w:color w:val="1C3A36"/>
                <w:sz w:val="14"/>
              </w:rPr>
              <w:t>199</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171"/>
          </w:tcPr>
          <w:p>
            <w:pPr>
              <w:spacing w:after="20"/>
            </w:pPr>
            <w:r>
              <w:rPr>
                <w:color w:val="1C3A36"/>
                <w:sz w:val="14"/>
              </w:rPr>
              <w:t>Terminal cost of debt: the long-run Egyptian corporate-borrowing norm carried by the house macro path, replacing a terminal risk-free plus 300bp corporate credit spread. Revision 3 carried 10.00% against a terminal risk-free rate of 12.50% — a corporate borrower funding 250bp BELOW its own sovereign in the same currency, printed one row above it in the same table. It is now built from the risk-free rate rather than asserted beside it, so the impossibility cannot recur</w:t>
            </w:r>
          </w:p>
        </w:tc>
        <w:tc>
          <w:tcPr>
            <w:tcW w:type="dxa" w:w="1210"/>
          </w:tcPr>
          <w:p>
            <w:pPr>
              <w:spacing w:after="20"/>
            </w:pPr>
            <w:r>
              <w:rPr>
                <w:color w:val="1C3A36"/>
                <w:sz w:val="14"/>
              </w:rPr>
              <w:t>2026-08-06</w:t>
            </w:r>
          </w:p>
        </w:tc>
      </w:tr>
      <w:tr>
        <w:tc>
          <w:tcPr>
            <w:tcW w:type="dxa" w:w="432"/>
          </w:tcPr>
          <w:p>
            <w:pPr>
              <w:spacing w:after="20"/>
            </w:pPr>
            <w:r>
              <w:rPr>
                <w:color w:val="1C3A36"/>
                <w:sz w:val="14"/>
              </w:rPr>
              <w:t>200</w:t>
            </w:r>
          </w:p>
        </w:tc>
        <w:tc>
          <w:tcPr>
            <w:tcW w:type="dxa" w:w="2448"/>
          </w:tcPr>
          <w:p>
            <w:pPr>
              <w:spacing w:after="20"/>
            </w:pPr>
            <w:r>
              <w:rPr>
                <w:color w:val="1C3A36"/>
                <w:sz w:val="14"/>
              </w:rPr>
              <w:t>nci_v1</w:t>
            </w:r>
          </w:p>
        </w:tc>
        <w:tc>
          <w:tcPr>
            <w:tcW w:type="dxa" w:w="1325"/>
          </w:tcPr>
          <w:p>
            <w:pPr>
              <w:spacing w:after="20"/>
            </w:pPr>
            <w:r>
              <w:rPr>
                <w:color w:val="1C3A36"/>
                <w:sz w:val="14"/>
              </w:rPr>
              <w:t>150</w:t>
            </w:r>
          </w:p>
        </w:tc>
        <w:tc>
          <w:tcPr>
            <w:tcW w:type="dxa" w:w="1066"/>
          </w:tcPr>
          <w:p>
            <w:pPr>
              <w:spacing w:after="20"/>
            </w:pPr>
            <w:r>
              <w:rPr>
                <w:color w:val="1C3A36"/>
                <w:sz w:val="14"/>
              </w:rPr>
              <w:t>House</w:t>
            </w:r>
          </w:p>
        </w:tc>
        <w:tc>
          <w:tcPr>
            <w:tcW w:type="dxa" w:w="7171"/>
          </w:tcPr>
          <w:p>
            <w:pPr>
              <w:spacing w:after="20"/>
            </w:pPr>
            <w:r>
              <w:rPr>
                <w:color w:val="1C3A36"/>
                <w:sz w:val="14"/>
              </w:rPr>
              <w:t>The non-controlling interest revision 1 of this study deducted, inferred from the profit statements when no source document could be opened. THIS MODEL CANNOT COMPUTE IT — a different model produced it — so it is registered as the historical fact it is rather than typed into a builder, the same disposition central_pre_rebuild takes. Note 24 of the audited accounts puts the real figure at EGP 158,005.</w:t>
            </w:r>
          </w:p>
        </w:tc>
        <w:tc>
          <w:tcPr>
            <w:tcW w:type="dxa" w:w="1210"/>
          </w:tcPr>
          <w:p>
            <w:pPr>
              <w:spacing w:after="20"/>
            </w:pPr>
            <w:r>
              <w:rPr>
                <w:color w:val="1C3A36"/>
                <w:sz w:val="14"/>
              </w:rPr>
              <w:t>2026-08-06</w:t>
            </w:r>
          </w:p>
        </w:tc>
      </w:tr>
      <w:tr>
        <w:tc>
          <w:tcPr>
            <w:tcW w:type="dxa" w:w="432"/>
          </w:tcPr>
          <w:p>
            <w:pPr>
              <w:spacing w:after="20"/>
            </w:pPr>
            <w:r>
              <w:rPr>
                <w:color w:val="1C3A36"/>
                <w:sz w:val="14"/>
              </w:rPr>
              <w:t>201</w:t>
            </w:r>
          </w:p>
        </w:tc>
        <w:tc>
          <w:tcPr>
            <w:tcW w:type="dxa" w:w="2448"/>
          </w:tcPr>
          <w:p>
            <w:pPr>
              <w:spacing w:after="20"/>
            </w:pPr>
            <w:r>
              <w:rPr>
                <w:color w:val="1C3A36"/>
                <w:sz w:val="14"/>
              </w:rPr>
              <w:t>norm_mgn</w:t>
            </w:r>
          </w:p>
        </w:tc>
        <w:tc>
          <w:tcPr>
            <w:tcW w:type="dxa" w:w="1325"/>
          </w:tcPr>
          <w:p>
            <w:pPr>
              <w:spacing w:after="20"/>
            </w:pPr>
            <w:r>
              <w:rPr>
                <w:color w:val="1C3A36"/>
                <w:sz w:val="14"/>
              </w:rPr>
              <w:t>0.312</w:t>
            </w:r>
          </w:p>
        </w:tc>
        <w:tc>
          <w:tcPr>
            <w:tcW w:type="dxa" w:w="1066"/>
          </w:tcPr>
          <w:p>
            <w:pPr>
              <w:spacing w:after="20"/>
            </w:pPr>
            <w:r>
              <w:rPr>
                <w:color w:val="1C3A36"/>
                <w:sz w:val="14"/>
              </w:rPr>
              <w:t>House</w:t>
            </w:r>
          </w:p>
        </w:tc>
        <w:tc>
          <w:tcPr>
            <w:tcW w:type="dxa" w:w="7171"/>
          </w:tcPr>
          <w:p>
            <w:pPr>
              <w:spacing w:after="20"/>
            </w:pPr>
            <w:r>
              <w:rPr>
                <w:color w:val="1C3A36"/>
                <w:sz w:val="14"/>
              </w:rPr>
              <w:t>Mid-cycle EBITDA margin: the midpoint of the AUDITED FY2024 outturn of 23.15% and the AUDITED FY2025 peak of 39.25%</w:t>
            </w:r>
          </w:p>
        </w:tc>
        <w:tc>
          <w:tcPr>
            <w:tcW w:type="dxa" w:w="1210"/>
          </w:tcPr>
          <w:p>
            <w:pPr>
              <w:spacing w:after="20"/>
            </w:pPr>
            <w:r>
              <w:rPr>
                <w:color w:val="1C3A36"/>
                <w:sz w:val="14"/>
              </w:rPr>
              <w:t>2026-08-06</w:t>
            </w:r>
          </w:p>
        </w:tc>
      </w:tr>
      <w:tr>
        <w:tc>
          <w:tcPr>
            <w:tcW w:type="dxa" w:w="432"/>
          </w:tcPr>
          <w:p>
            <w:pPr>
              <w:spacing w:after="20"/>
            </w:pPr>
            <w:r>
              <w:rPr>
                <w:color w:val="1C3A36"/>
                <w:sz w:val="14"/>
              </w:rPr>
              <w:t>202</w:t>
            </w:r>
          </w:p>
        </w:tc>
        <w:tc>
          <w:tcPr>
            <w:tcW w:type="dxa" w:w="2448"/>
          </w:tcPr>
          <w:p>
            <w:pPr>
              <w:spacing w:after="20"/>
            </w:pPr>
            <w:r>
              <w:rPr>
                <w:color w:val="1C3A36"/>
                <w:sz w:val="14"/>
              </w:rPr>
              <w:t>norm_rev_haircut</w:t>
            </w:r>
          </w:p>
        </w:tc>
        <w:tc>
          <w:tcPr>
            <w:tcW w:type="dxa" w:w="1325"/>
          </w:tcPr>
          <w:p>
            <w:pPr>
              <w:spacing w:after="20"/>
            </w:pPr>
            <w:r>
              <w:rPr>
                <w:color w:val="1C3A36"/>
                <w:sz w:val="14"/>
              </w:rPr>
              <w:t>0.94</w:t>
            </w:r>
          </w:p>
        </w:tc>
        <w:tc>
          <w:tcPr>
            <w:tcW w:type="dxa" w:w="1066"/>
          </w:tcPr>
          <w:p>
            <w:pPr>
              <w:spacing w:after="20"/>
            </w:pPr>
            <w:r>
              <w:rPr>
                <w:color w:val="1C3A36"/>
                <w:sz w:val="14"/>
              </w:rPr>
              <w:t>House</w:t>
            </w:r>
          </w:p>
        </w:tc>
        <w:tc>
          <w:tcPr>
            <w:tcW w:type="dxa" w:w="7171"/>
          </w:tcPr>
          <w:p>
            <w:pPr>
              <w:spacing w:after="20"/>
            </w:pPr>
            <w:r>
              <w:rPr>
                <w:color w:val="1C3A36"/>
                <w:sz w:val="14"/>
              </w:rPr>
              <w:t>Haircut to the FY2025 revenue base for the normalised lens</w:t>
            </w:r>
          </w:p>
        </w:tc>
        <w:tc>
          <w:tcPr>
            <w:tcW w:type="dxa" w:w="1210"/>
          </w:tcPr>
          <w:p>
            <w:pPr>
              <w:spacing w:after="20"/>
            </w:pPr>
            <w:r>
              <w:rPr>
                <w:color w:val="1C3A36"/>
                <w:sz w:val="14"/>
              </w:rPr>
              <w:t>2026-08-06</w:t>
            </w:r>
          </w:p>
        </w:tc>
      </w:tr>
      <w:tr>
        <w:tc>
          <w:tcPr>
            <w:tcW w:type="dxa" w:w="432"/>
          </w:tcPr>
          <w:p>
            <w:pPr>
              <w:spacing w:after="20"/>
            </w:pPr>
            <w:r>
              <w:rPr>
                <w:color w:val="1C3A36"/>
                <w:sz w:val="14"/>
              </w:rPr>
              <w:t>203</w:t>
            </w:r>
          </w:p>
        </w:tc>
        <w:tc>
          <w:tcPr>
            <w:tcW w:type="dxa" w:w="2448"/>
          </w:tcPr>
          <w:p>
            <w:pPr>
              <w:spacing w:after="20"/>
            </w:pPr>
            <w:r>
              <w:rPr>
                <w:color w:val="1C3A36"/>
                <w:sz w:val="14"/>
              </w:rPr>
              <w:t>payout</w:t>
            </w:r>
          </w:p>
        </w:tc>
        <w:tc>
          <w:tcPr>
            <w:tcW w:type="dxa" w:w="1325"/>
          </w:tcPr>
          <w:p>
            <w:pPr>
              <w:spacing w:after="20"/>
            </w:pPr>
            <w:r>
              <w:rPr>
                <w:color w:val="1C3A36"/>
                <w:sz w:val="14"/>
              </w:rPr>
              <w:t>0.556</w:t>
            </w:r>
          </w:p>
        </w:tc>
        <w:tc>
          <w:tcPr>
            <w:tcW w:type="dxa" w:w="1066"/>
          </w:tcPr>
          <w:p>
            <w:pPr>
              <w:spacing w:after="20"/>
            </w:pPr>
            <w:r>
              <w:rPr>
                <w:color w:val="1C3A36"/>
                <w:sz w:val="14"/>
              </w:rPr>
              <w:t>House</w:t>
            </w:r>
          </w:p>
        </w:tc>
        <w:tc>
          <w:tcPr>
            <w:tcW w:type="dxa" w:w="7171"/>
          </w:tcPr>
          <w:p>
            <w:pPr>
              <w:spacing w:after="20"/>
            </w:pPr>
            <w:r>
              <w:rPr>
                <w:color w:val="1C3A36"/>
                <w:sz w:val="14"/>
              </w:rPr>
              <w:t>Dividend payout ratio from FY2026E, held at the FY2025 outturn: EGP 2,001.792mn declared on EGP 3,599.586mn of attributable profit</w:t>
            </w:r>
          </w:p>
        </w:tc>
        <w:tc>
          <w:tcPr>
            <w:tcW w:type="dxa" w:w="1210"/>
          </w:tcPr>
          <w:p>
            <w:pPr>
              <w:spacing w:after="20"/>
            </w:pPr>
            <w:r>
              <w:rPr>
                <w:color w:val="1C3A36"/>
                <w:sz w:val="14"/>
              </w:rPr>
              <w:t>2026-08-06</w:t>
            </w:r>
          </w:p>
        </w:tc>
      </w:tr>
      <w:tr>
        <w:tc>
          <w:tcPr>
            <w:tcW w:type="dxa" w:w="432"/>
          </w:tcPr>
          <w:p>
            <w:pPr>
              <w:spacing w:after="20"/>
            </w:pPr>
            <w:r>
              <w:rPr>
                <w:color w:val="1C3A36"/>
                <w:sz w:val="14"/>
              </w:rPr>
              <w:t>204</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171"/>
          </w:tcPr>
          <w:p>
            <w:pPr>
              <w:spacing w:after="20"/>
            </w:pPr>
            <w:r>
              <w:rPr>
                <w:color w:val="1C3A36"/>
                <w:sz w:val="14"/>
              </w:rPr>
              <w:t>Justified price to earnings on normalised operating earnings, cash excluded and added back at face</w:t>
            </w:r>
          </w:p>
        </w:tc>
        <w:tc>
          <w:tcPr>
            <w:tcW w:type="dxa" w:w="1210"/>
          </w:tcPr>
          <w:p>
            <w:pPr>
              <w:spacing w:after="20"/>
            </w:pPr>
            <w:r>
              <w:rPr>
                <w:color w:val="1C3A36"/>
                <w:sz w:val="14"/>
              </w:rPr>
              <w:t>2026-08-06</w:t>
            </w:r>
          </w:p>
        </w:tc>
      </w:tr>
      <w:tr>
        <w:tc>
          <w:tcPr>
            <w:tcW w:type="dxa" w:w="432"/>
          </w:tcPr>
          <w:p>
            <w:pPr>
              <w:spacing w:after="20"/>
            </w:pPr>
            <w:r>
              <w:rPr>
                <w:color w:val="1C3A36"/>
                <w:sz w:val="14"/>
              </w:rPr>
              <w:t>205</w:t>
            </w:r>
          </w:p>
        </w:tc>
        <w:tc>
          <w:tcPr>
            <w:tcW w:type="dxa" w:w="2448"/>
          </w:tcPr>
          <w:p>
            <w:pPr>
              <w:spacing w:after="20"/>
            </w:pPr>
            <w:r>
              <w:rPr>
                <w:color w:val="1C3A36"/>
                <w:sz w:val="14"/>
              </w:rPr>
              <w:t>rf_superseded</w:t>
            </w:r>
          </w:p>
        </w:tc>
        <w:tc>
          <w:tcPr>
            <w:tcW w:type="dxa" w:w="1325"/>
          </w:tcPr>
          <w:p>
            <w:pPr>
              <w:spacing w:after="20"/>
            </w:pPr>
            <w:r>
              <w:rPr>
                <w:color w:val="1C3A36"/>
                <w:sz w:val="14"/>
              </w:rPr>
              <w:t>0.2231</w:t>
            </w:r>
          </w:p>
        </w:tc>
        <w:tc>
          <w:tcPr>
            <w:tcW w:type="dxa" w:w="1066"/>
          </w:tcPr>
          <w:p>
            <w:pPr>
              <w:spacing w:after="20"/>
            </w:pPr>
            <w:r>
              <w:rPr>
                <w:color w:val="1C3A36"/>
                <w:sz w:val="14"/>
              </w:rPr>
              <w:t>House</w:t>
            </w:r>
          </w:p>
        </w:tc>
        <w:tc>
          <w:tcPr>
            <w:tcW w:type="dxa" w:w="7171"/>
          </w:tcPr>
          <w:p>
            <w:pPr>
              <w:spacing w:after="20"/>
            </w:pPr>
            <w:r>
              <w:rPr>
                <w:color w:val="1C3A36"/>
                <w:sz w:val="14"/>
              </w:rPr>
              <w:t>Egypt 10-year local-currency government bond yield as carried by revision 3 of this study, dated 21 July 2026 and therefore sixteen days before the valuation date. Quoted to show what changed; not an input to anything.</w:t>
            </w:r>
          </w:p>
        </w:tc>
        <w:tc>
          <w:tcPr>
            <w:tcW w:type="dxa" w:w="1210"/>
          </w:tcPr>
          <w:p>
            <w:pPr>
              <w:spacing w:after="20"/>
            </w:pPr>
            <w:r>
              <w:rPr>
                <w:color w:val="1C3A36"/>
                <w:sz w:val="14"/>
              </w:rPr>
              <w:t>2026-07-21</w:t>
            </w:r>
          </w:p>
        </w:tc>
      </w:tr>
      <w:tr>
        <w:tc>
          <w:tcPr>
            <w:tcW w:type="dxa" w:w="432"/>
          </w:tcPr>
          <w:p>
            <w:pPr>
              <w:spacing w:after="20"/>
            </w:pPr>
            <w:r>
              <w:rPr>
                <w:color w:val="1C3A36"/>
                <w:sz w:val="14"/>
              </w:rPr>
              <w:t>206</w:t>
            </w:r>
          </w:p>
        </w:tc>
        <w:tc>
          <w:tcPr>
            <w:tcW w:type="dxa" w:w="2448"/>
          </w:tcPr>
          <w:p>
            <w:pPr>
              <w:spacing w:after="20"/>
            </w:pPr>
            <w:r>
              <w:rPr>
                <w:color w:val="1C3A36"/>
                <w:sz w:val="14"/>
              </w:rPr>
              <w:t>rf_term</w:t>
            </w:r>
          </w:p>
        </w:tc>
        <w:tc>
          <w:tcPr>
            <w:tcW w:type="dxa" w:w="1325"/>
          </w:tcPr>
          <w:p>
            <w:pPr>
              <w:spacing w:after="20"/>
            </w:pPr>
            <w:r>
              <w:rPr>
                <w:color w:val="1C3A36"/>
                <w:sz w:val="14"/>
              </w:rPr>
              <w:t>0.125</w:t>
            </w:r>
          </w:p>
        </w:tc>
        <w:tc>
          <w:tcPr>
            <w:tcW w:type="dxa" w:w="1066"/>
          </w:tcPr>
          <w:p>
            <w:pPr>
              <w:spacing w:after="20"/>
            </w:pPr>
            <w:r>
              <w:rPr>
                <w:color w:val="1C3A36"/>
                <w:sz w:val="14"/>
              </w:rPr>
              <w:t>House</w:t>
            </w:r>
          </w:p>
        </w:tc>
        <w:tc>
          <w:tcPr>
            <w:tcW w:type="dxa" w:w="7171"/>
          </w:tcPr>
          <w:p>
            <w:pPr>
              <w:spacing w:after="20"/>
            </w:pPr>
            <w:r>
              <w:rPr>
                <w:color w:val="1C3A36"/>
                <w:sz w:val="14"/>
              </w:rPr>
              <w:t>Terminal risk-free rate, DERIVED from the house macro path as terminal inflation plus the real-rate convention, and so no longer this study's own reading of which published target to use. THE CONFLICT THIS SETTLES: this study argued for the central bank's longest-dated published inflation target of 5% (Q4-2028) plus a standard emerging-market real-rate convention of about 5.5 percentage points. Revision 3 used the 7% target, which is the NEAR-dated one (Q4-2026) and not the medium-term target at all. The correction also repairs a second defect: against 7% the model's 5% terminal growth was -1.9% real while the text called it 'approximately zero'. Against the 5% target it genuinely is zero</w:t>
            </w:r>
          </w:p>
        </w:tc>
        <w:tc>
          <w:tcPr>
            <w:tcW w:type="dxa" w:w="1210"/>
          </w:tcPr>
          <w:p>
            <w:pPr>
              <w:spacing w:after="20"/>
            </w:pPr>
            <w:r>
              <w:rPr>
                <w:color w:val="1C3A36"/>
                <w:sz w:val="14"/>
              </w:rPr>
              <w:t>2026-08-06</w:t>
            </w:r>
          </w:p>
        </w:tc>
      </w:tr>
      <w:tr>
        <w:tc>
          <w:tcPr>
            <w:tcW w:type="dxa" w:w="432"/>
          </w:tcPr>
          <w:p>
            <w:pPr>
              <w:spacing w:after="20"/>
            </w:pPr>
            <w:r>
              <w:rPr>
                <w:color w:val="1C3A36"/>
                <w:sz w:val="14"/>
              </w:rPr>
              <w:t>207</w:t>
            </w:r>
          </w:p>
        </w:tc>
        <w:tc>
          <w:tcPr>
            <w:tcW w:type="dxa" w:w="2448"/>
          </w:tcPr>
          <w:p>
            <w:pPr>
              <w:spacing w:after="20"/>
            </w:pPr>
            <w:r>
              <w:rPr>
                <w:color w:val="1C3A36"/>
                <w:sz w:val="14"/>
              </w:rPr>
              <w:t>stub_years</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Elapsed fraction of FY2026 at the valuation date. THE VALUATION DATE IS 30 JUNE 2026, the date of the latest disclosed balance sheet, not the date of the latest traded price. Revision 3 valued at 6 August and rolled the balance sheet forward to meet it; the interim accounts now make that unnecessary, and a bridge standing on a disclosed balance sheet is worth more than two months of freshness in the discounting. The price the range is compared against is still the latest known close, and the 37-day gap between the two is disclosed rather than closed</w:t>
            </w:r>
          </w:p>
        </w:tc>
        <w:tc>
          <w:tcPr>
            <w:tcW w:type="dxa" w:w="1210"/>
          </w:tcPr>
          <w:p>
            <w:pPr>
              <w:spacing w:after="20"/>
            </w:pPr>
            <w:r>
              <w:rPr>
                <w:color w:val="1C3A36"/>
                <w:sz w:val="14"/>
              </w:rPr>
              <w:t>2026-06-30</w:t>
            </w:r>
          </w:p>
        </w:tc>
      </w:tr>
      <w:tr>
        <w:tc>
          <w:tcPr>
            <w:tcW w:type="dxa" w:w="432"/>
          </w:tcPr>
          <w:p>
            <w:pPr>
              <w:spacing w:after="20"/>
            </w:pPr>
            <w:r>
              <w:rPr>
                <w:color w:val="1C3A36"/>
                <w:sz w:val="14"/>
              </w:rPr>
              <w:t>208</w:t>
            </w:r>
          </w:p>
        </w:tc>
        <w:tc>
          <w:tcPr>
            <w:tcW w:type="dxa" w:w="2448"/>
          </w:tcPr>
          <w:p>
            <w:pPr>
              <w:spacing w:after="20"/>
            </w:pPr>
            <w:r>
              <w:rPr>
                <w:color w:val="1C3A36"/>
                <w:sz w:val="14"/>
              </w:rPr>
              <w:t>tax_eff_superseded</w:t>
            </w:r>
          </w:p>
        </w:tc>
        <w:tc>
          <w:tcPr>
            <w:tcW w:type="dxa" w:w="1325"/>
          </w:tcPr>
          <w:p>
            <w:pPr>
              <w:spacing w:after="20"/>
            </w:pPr>
            <w:r>
              <w:rPr>
                <w:color w:val="1C3A36"/>
                <w:sz w:val="14"/>
              </w:rPr>
              <w:t>0.2943</w:t>
            </w:r>
          </w:p>
        </w:tc>
        <w:tc>
          <w:tcPr>
            <w:tcW w:type="dxa" w:w="1066"/>
          </w:tcPr>
          <w:p>
            <w:pPr>
              <w:spacing w:after="20"/>
            </w:pPr>
            <w:r>
              <w:rPr>
                <w:color w:val="1C3A36"/>
                <w:sz w:val="14"/>
              </w:rPr>
              <w:t>House</w:t>
            </w:r>
          </w:p>
        </w:tc>
        <w:tc>
          <w:tcPr>
            <w:tcW w:type="dxa" w:w="7171"/>
          </w:tcPr>
          <w:p>
            <w:pPr>
              <w:spacing w:after="20"/>
            </w:pPr>
            <w:r>
              <w:rPr>
                <w:color w:val="1C3A36"/>
                <w:sz w:val="14"/>
              </w:rPr>
              <w:t>Effective tax rate INFERRED by revision 1 of this study by closing a modelled net finance income, against the 23.82% the filing discloses. Quoted in the source register to show what changed; not an input to anything.</w:t>
            </w:r>
          </w:p>
        </w:tc>
        <w:tc>
          <w:tcPr>
            <w:tcW w:type="dxa" w:w="1210"/>
          </w:tcPr>
          <w:p>
            <w:pPr>
              <w:spacing w:after="20"/>
            </w:pPr>
            <w:r>
              <w:rPr>
                <w:color w:val="1C3A36"/>
                <w:sz w:val="14"/>
              </w:rPr>
              <w:t>2026-08-06</w:t>
            </w:r>
          </w:p>
        </w:tc>
      </w:tr>
      <w:tr>
        <w:tc>
          <w:tcPr>
            <w:tcW w:type="dxa" w:w="432"/>
          </w:tcPr>
          <w:p>
            <w:pPr>
              <w:spacing w:after="20"/>
            </w:pPr>
            <w:r>
              <w:rPr>
                <w:color w:val="1C3A36"/>
                <w:sz w:val="14"/>
              </w:rPr>
              <w:t>209</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71"/>
          </w:tcPr>
          <w:p>
            <w:pPr>
              <w:spacing w:after="20"/>
            </w:pPr>
            <w:r>
              <w:rPr>
                <w:color w:val="1C3A36"/>
                <w:sz w:val="14"/>
              </w:rPr>
              <w:t>Weight, asset lens, deliberately small: restarting a mothballed line costs a fraction of building one</w:t>
            </w:r>
          </w:p>
        </w:tc>
        <w:tc>
          <w:tcPr>
            <w:tcW w:type="dxa" w:w="1210"/>
          </w:tcPr>
          <w:p>
            <w:pPr>
              <w:spacing w:after="20"/>
            </w:pPr>
            <w:r>
              <w:rPr>
                <w:color w:val="1C3A36"/>
                <w:sz w:val="14"/>
              </w:rPr>
              <w:t>2026-08-06</w:t>
            </w:r>
          </w:p>
        </w:tc>
      </w:tr>
      <w:tr>
        <w:tc>
          <w:tcPr>
            <w:tcW w:type="dxa" w:w="432"/>
          </w:tcPr>
          <w:p>
            <w:pPr>
              <w:spacing w:after="20"/>
            </w:pPr>
            <w:r>
              <w:rPr>
                <w:color w:val="1C3A36"/>
                <w:sz w:val="14"/>
              </w:rPr>
              <w:t>210</w:t>
            </w:r>
          </w:p>
        </w:tc>
        <w:tc>
          <w:tcPr>
            <w:tcW w:type="dxa" w:w="2448"/>
          </w:tcPr>
          <w:p>
            <w:pPr>
              <w:spacing w:after="20"/>
            </w:pPr>
            <w:r>
              <w:rPr>
                <w:color w:val="1C3A36"/>
                <w:sz w:val="14"/>
              </w:rPr>
              <w:t>w_dcf</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432"/>
          </w:tcPr>
          <w:p>
            <w:pPr>
              <w:spacing w:after="20"/>
            </w:pPr>
            <w:r>
              <w:rPr>
                <w:color w:val="1C3A36"/>
                <w:sz w:val="14"/>
              </w:rPr>
              <w:t>211</w:t>
            </w:r>
          </w:p>
        </w:tc>
        <w:tc>
          <w:tcPr>
            <w:tcW w:type="dxa" w:w="2448"/>
          </w:tcPr>
          <w:p>
            <w:pPr>
              <w:spacing w:after="20"/>
            </w:pPr>
            <w:r>
              <w:rPr>
                <w:color w:val="1C3A36"/>
                <w:sz w:val="14"/>
              </w:rPr>
              <w:t>w_norm</w:t>
            </w:r>
          </w:p>
        </w:tc>
        <w:tc>
          <w:tcPr>
            <w:tcW w:type="dxa" w:w="1325"/>
          </w:tcPr>
          <w:p>
            <w:pPr>
              <w:spacing w:after="20"/>
            </w:pPr>
            <w:r>
              <w:rPr>
                <w:color w:val="1C3A36"/>
                <w:sz w:val="14"/>
              </w:rPr>
              <w:t>0.22</w:t>
            </w:r>
          </w:p>
        </w:tc>
        <w:tc>
          <w:tcPr>
            <w:tcW w:type="dxa" w:w="1066"/>
          </w:tcPr>
          <w:p>
            <w:pPr>
              <w:spacing w:after="20"/>
            </w:pPr>
            <w:r>
              <w:rPr>
                <w:color w:val="1C3A36"/>
                <w:sz w:val="14"/>
              </w:rPr>
              <w:t>House</w:t>
            </w:r>
          </w:p>
        </w:tc>
        <w:tc>
          <w:tcPr>
            <w:tcW w:type="dxa" w:w="7171"/>
          </w:tcPr>
          <w:p>
            <w:pPr>
              <w:spacing w:after="20"/>
            </w:pPr>
            <w:r>
              <w:rPr>
                <w:color w:val="1C3A36"/>
                <w:sz w:val="14"/>
              </w:rPr>
              <w:t>Weight, normalised-earnings lens</w:t>
            </w:r>
          </w:p>
        </w:tc>
        <w:tc>
          <w:tcPr>
            <w:tcW w:type="dxa" w:w="1210"/>
          </w:tcPr>
          <w:p>
            <w:pPr>
              <w:spacing w:after="20"/>
            </w:pPr>
            <w:r>
              <w:rPr>
                <w:color w:val="1C3A36"/>
                <w:sz w:val="14"/>
              </w:rPr>
              <w:t>2026-08-06</w:t>
            </w:r>
          </w:p>
        </w:tc>
      </w:tr>
      <w:tr>
        <w:tc>
          <w:tcPr>
            <w:tcW w:type="dxa" w:w="432"/>
          </w:tcPr>
          <w:p>
            <w:pPr>
              <w:spacing w:after="20"/>
            </w:pPr>
            <w:r>
              <w:rPr>
                <w:color w:val="1C3A36"/>
                <w:sz w:val="14"/>
              </w:rPr>
              <w:t>212</w:t>
            </w:r>
          </w:p>
        </w:tc>
        <w:tc>
          <w:tcPr>
            <w:tcW w:type="dxa" w:w="2448"/>
          </w:tcPr>
          <w:p>
            <w:pPr>
              <w:spacing w:after="20"/>
            </w:pPr>
            <w:r>
              <w:rPr>
                <w:color w:val="1C3A36"/>
                <w:sz w:val="14"/>
              </w:rPr>
              <w:t>w_rel</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Weight, relative lens, held down because the peer set is thin</w:t>
            </w:r>
          </w:p>
        </w:tc>
        <w:tc>
          <w:tcPr>
            <w:tcW w:type="dxa" w:w="1210"/>
          </w:tcPr>
          <w:p>
            <w:pPr>
              <w:spacing w:after="20"/>
            </w:pPr>
            <w:r>
              <w:rPr>
                <w:color w:val="1C3A36"/>
                <w:sz w:val="14"/>
              </w:rPr>
              <w:t>2026-08-06</w:t>
            </w:r>
          </w:p>
        </w:tc>
      </w:tr>
      <w:tr>
        <w:tc>
          <w:tcPr>
            <w:tcW w:type="dxa" w:w="432"/>
          </w:tcPr>
          <w:p>
            <w:pPr>
              <w:spacing w:after="20"/>
            </w:pPr>
            <w:r>
              <w:rPr>
                <w:color w:val="1C3A36"/>
                <w:sz w:val="14"/>
              </w:rPr>
              <w:t>213</w:t>
            </w:r>
          </w:p>
        </w:tc>
        <w:tc>
          <w:tcPr>
            <w:tcW w:type="dxa" w:w="2448"/>
          </w:tcPr>
          <w:p>
            <w:pPr>
              <w:spacing w:after="20"/>
            </w:pPr>
            <w:r>
              <w:rPr>
                <w:color w:val="1C3A36"/>
                <w:sz w:val="14"/>
              </w:rPr>
              <w:t>wc_pct_drev</w:t>
            </w:r>
          </w:p>
        </w:tc>
        <w:tc>
          <w:tcPr>
            <w:tcW w:type="dxa" w:w="1325"/>
          </w:tcPr>
          <w:p>
            <w:pPr>
              <w:spacing w:after="20"/>
            </w:pPr>
            <w:r>
              <w:rPr>
                <w:color w:val="1C3A36"/>
                <w:sz w:val="14"/>
              </w:rPr>
              <w:t>0.12</w:t>
            </w:r>
          </w:p>
        </w:tc>
        <w:tc>
          <w:tcPr>
            <w:tcW w:type="dxa" w:w="1066"/>
          </w:tcPr>
          <w:p>
            <w:pPr>
              <w:spacing w:after="20"/>
            </w:pPr>
            <w:r>
              <w:rPr>
                <w:color w:val="1C3A36"/>
                <w:sz w:val="14"/>
              </w:rPr>
              <w:t>House</w:t>
            </w:r>
          </w:p>
        </w:tc>
        <w:tc>
          <w:tcPr>
            <w:tcW w:type="dxa" w:w="7171"/>
          </w:tcPr>
          <w:p>
            <w:pPr>
              <w:spacing w:after="20"/>
            </w:pPr>
            <w:r>
              <w:rPr>
                <w:color w:val="1C3A36"/>
                <w:sz w:val="14"/>
              </w:rPr>
              <w:t>Change in working capital over change in revenue. The FY2025 outturn on the disclosed movements is close to this</w:t>
            </w:r>
          </w:p>
        </w:tc>
        <w:tc>
          <w:tcPr>
            <w:tcW w:type="dxa" w:w="1210"/>
          </w:tcPr>
          <w:p>
            <w:pPr>
              <w:spacing w:after="20"/>
            </w:pPr>
            <w:r>
              <w:rPr>
                <w:color w:val="1C3A36"/>
                <w:sz w:val="14"/>
              </w:rPr>
              <w:t>2026-08-06</w:t>
            </w:r>
          </w:p>
        </w:tc>
      </w:tr>
      <w:tr>
        <w:tc>
          <w:tcPr>
            <w:tcW w:type="dxa" w:w="432"/>
          </w:tcPr>
          <w:p>
            <w:pPr>
              <w:spacing w:after="20"/>
            </w:pPr>
            <w:r>
              <w:rPr>
                <w:color w:val="1C3A36"/>
                <w:sz w:val="14"/>
              </w:rPr>
              <w:t>214</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Terminal debt weight</w:t>
            </w:r>
          </w:p>
        </w:tc>
        <w:tc>
          <w:tcPr>
            <w:tcW w:type="dxa" w:w="1210"/>
          </w:tcPr>
          <w:p>
            <w:pPr>
              <w:spacing w:after="20"/>
            </w:pPr>
            <w:r>
              <w:rPr>
                <w:color w:val="1C3A36"/>
                <w:sz w:val="14"/>
              </w:rPr>
              <w:t>2026-08-06</w:t>
            </w:r>
          </w:p>
        </w:tc>
      </w:tr>
      <w:tr>
        <w:tc>
          <w:tcPr>
            <w:tcW w:type="dxa" w:w="432"/>
          </w:tcPr>
          <w:p>
            <w:pPr>
              <w:spacing w:after="20"/>
            </w:pPr>
            <w:r>
              <w:rPr>
                <w:color w:val="1C3A36"/>
                <w:sz w:val="14"/>
              </w:rPr>
              <w:t>215</w:t>
            </w:r>
          </w:p>
        </w:tc>
        <w:tc>
          <w:tcPr>
            <w:tcW w:type="dxa" w:w="2448"/>
          </w:tcPr>
          <w:p>
            <w:pPr>
              <w:spacing w:after="20"/>
            </w:pPr>
            <w:r>
              <w:rPr>
                <w:color w:val="1C3A36"/>
                <w:sz w:val="14"/>
              </w:rPr>
              <w:t>wf_dep_correction</w:t>
            </w:r>
          </w:p>
        </w:tc>
        <w:tc>
          <w:tcPr>
            <w:tcW w:type="dxa" w:w="1325"/>
          </w:tcPr>
          <w:p>
            <w:pPr>
              <w:spacing w:after="20"/>
            </w:pPr>
            <w:r>
              <w:rPr>
                <w:color w:val="1C3A36"/>
                <w:sz w:val="14"/>
              </w:rPr>
              <w:t>1.0298</w:t>
            </w:r>
          </w:p>
        </w:tc>
        <w:tc>
          <w:tcPr>
            <w:tcW w:type="dxa" w:w="1066"/>
          </w:tcPr>
          <w:p>
            <w:pPr>
              <w:spacing w:after="20"/>
            </w:pPr>
            <w:r>
              <w:rPr>
                <w:color w:val="1C3A36"/>
                <w:sz w:val="14"/>
              </w:rPr>
              <w:t>House</w:t>
            </w:r>
          </w:p>
        </w:tc>
        <w:tc>
          <w:tcPr>
            <w:tcW w:type="dxa" w:w="7171"/>
          </w:tcPr>
          <w:p>
            <w:pPr>
              <w:spacing w:after="20"/>
            </w:pPr>
            <w:r>
              <w:rPr>
                <w:color w:val="1C3A36"/>
                <w:sz w:val="14"/>
              </w:rPr>
              <w:t>Manufacturing depreciation correction from this name's own fundamental walk-forward on this company's own history: held flat, depreciation under-forecasts by 5.9 log points across twenty-five cells; the sign holds in both eras, the bias is robust at all three bootstrap block lengths, the expanding-window test improves out-of-sample MAE from 0.090 to 0.081, and the adjustment matches how every other study in the book builds the line. Applied at HALF STRENGTH: exp(0.5 x 0.058715) = 1.0298. It is the ONLY one of twelve candidates that survived both clauses</w:t>
            </w:r>
          </w:p>
        </w:tc>
        <w:tc>
          <w:tcPr>
            <w:tcW w:type="dxa" w:w="1210"/>
          </w:tcPr>
          <w:p>
            <w:pPr>
              <w:spacing w:after="20"/>
            </w:pPr>
            <w:r>
              <w:rPr>
                <w:color w:val="1C3A36"/>
                <w:sz w:val="14"/>
              </w:rPr>
              <w:t>2026-09-01</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Arabian Cement Company S.A.E. — consolidated financial statements, FY2025</w:t>
            </w:r>
          </w:p>
        </w:tc>
        <w:tc>
          <w:tcPr>
            <w:tcW w:type="dxa" w:w="2333"/>
          </w:tcPr>
          <w:p>
            <w:pPr>
              <w:spacing w:after="20"/>
            </w:pPr>
            <w:r>
              <w:rPr>
                <w:color w:val="1C3A36"/>
                <w:sz w:val="16"/>
              </w:rPr>
              <w:t>AUDITED FINANCIAL STATEMENTS</w:t>
            </w:r>
          </w:p>
        </w:tc>
        <w:tc>
          <w:tcPr>
            <w:tcW w:type="dxa" w:w="5803"/>
          </w:tcPr>
          <w:p>
            <w:pPr>
              <w:spacing w:after="20"/>
            </w:pPr>
            <w:r>
              <w:rPr>
                <w:color w:val="1C3A36"/>
                <w:sz w:val="16"/>
              </w:rPr>
              <w:t>The statement of financial position, statement of profit or loss, statement of comprehensive income, statement of changes in equity and statement of cash flows, with the FY2024 comparatives. Notes relied on: 1 (capacity and group structure), 2.5 (currency table), 4 (revenue split), 5 (cost of sales), 6 (administrative expenses), 8 (finance costs), 10 (income taxes), 11 (earnings per share and weighted share count), 12 (property and depreciation), 13 (assets under construction), 16 (inventories), 17 (receivables), 19 (cash), 20 (issued capital), 21 (treasury shares), 24 (non-controlling interests), 25 (borrowings), 28 (dividends), 30 (financial instruments and currency exposure).</w:t>
            </w:r>
          </w:p>
        </w:tc>
        <w:tc>
          <w:tcPr>
            <w:tcW w:type="dxa" w:w="2880"/>
          </w:tcPr>
          <w:p>
            <w:pPr>
              <w:spacing w:after="20"/>
            </w:pPr>
            <w:r>
              <w:rPr>
                <w:color w:val="1C3A36"/>
                <w:sz w:val="16"/>
              </w:rPr>
              <w:t>Deloitte — Wafik, Ramy &amp; Partners; unqualified opinion, Cairo, 25 February 2026</w:t>
            </w:r>
          </w:p>
        </w:tc>
      </w:tr>
      <w:tr>
        <w:tc>
          <w:tcPr>
            <w:tcW w:type="dxa" w:w="2664"/>
          </w:tcPr>
          <w:p>
            <w:pPr>
              <w:spacing w:after="20"/>
            </w:pPr>
            <w:r>
              <w:rPr>
                <w:color w:val="1C3A36"/>
                <w:sz w:val="16"/>
              </w:rPr>
              <w:t>Arabian Cement Company S.A.E. — consolidated financial statements, FY2024</w:t>
            </w:r>
          </w:p>
        </w:tc>
        <w:tc>
          <w:tcPr>
            <w:tcW w:type="dxa" w:w="2333"/>
          </w:tcPr>
          <w:p>
            <w:pPr>
              <w:spacing w:after="20"/>
            </w:pPr>
            <w:r>
              <w:rPr>
                <w:color w:val="1C3A36"/>
                <w:sz w:val="16"/>
              </w:rPr>
              <w:t>AUDITED FINANCIAL STATEMENTS</w:t>
            </w:r>
          </w:p>
        </w:tc>
        <w:tc>
          <w:tcPr>
            <w:tcW w:type="dxa" w:w="5803"/>
          </w:tcPr>
          <w:p>
            <w:pPr>
              <w:spacing w:after="20"/>
            </w:pPr>
            <w:r>
              <w:rPr>
                <w:color w:val="1C3A36"/>
                <w:sz w:val="16"/>
              </w:rPr>
              <w:t>FY2023 comparatives for the income statement, balance sheet and cash flow statement, including FY2023 depreciation and capital expenditure.</w:t>
            </w:r>
          </w:p>
        </w:tc>
        <w:tc>
          <w:tcPr>
            <w:tcW w:type="dxa" w:w="2880"/>
          </w:tcPr>
          <w:p>
            <w:pPr>
              <w:spacing w:after="20"/>
            </w:pPr>
            <w:r>
              <w:rPr>
                <w:color w:val="1C3A36"/>
                <w:sz w:val="16"/>
              </w:rPr>
              <w:t>Deloitte — Wafik, Ramy &amp; Partners; unqualified opinion, Cairo, 23 March 2025</w:t>
            </w:r>
          </w:p>
        </w:tc>
      </w:tr>
      <w:tr>
        <w:tc>
          <w:tcPr>
            <w:tcW w:type="dxa" w:w="2664"/>
          </w:tcPr>
          <w:p>
            <w:pPr>
              <w:spacing w:after="20"/>
            </w:pPr>
            <w:r>
              <w:rPr>
                <w:color w:val="1C3A36"/>
                <w:sz w:val="16"/>
              </w:rPr>
              <w:t>Arabian Cement Company S.A.E. — consolidated financial statements, FY2023</w:t>
            </w:r>
          </w:p>
        </w:tc>
        <w:tc>
          <w:tcPr>
            <w:tcW w:type="dxa" w:w="2333"/>
          </w:tcPr>
          <w:p>
            <w:pPr>
              <w:spacing w:after="20"/>
            </w:pPr>
            <w:r>
              <w:rPr>
                <w:color w:val="1C3A36"/>
                <w:sz w:val="16"/>
              </w:rPr>
              <w:t>AUDITED FINANCIAL STATEMENTS</w:t>
            </w:r>
          </w:p>
        </w:tc>
        <w:tc>
          <w:tcPr>
            <w:tcW w:type="dxa" w:w="5803"/>
          </w:tcPr>
          <w:p>
            <w:pPr>
              <w:spacing w:after="20"/>
            </w:pPr>
            <w:r>
              <w:rPr>
                <w:color w:val="1C3A36"/>
                <w:sz w:val="16"/>
              </w:rPr>
              <w:t>Cross-check on the FY2023 position.</w:t>
            </w:r>
          </w:p>
        </w:tc>
        <w:tc>
          <w:tcPr>
            <w:tcW w:type="dxa" w:w="2880"/>
          </w:tcPr>
          <w:p>
            <w:pPr>
              <w:spacing w:after="20"/>
            </w:pPr>
            <w:r>
              <w:rPr>
                <w:color w:val="1C3A36"/>
                <w:sz w:val="16"/>
              </w:rPr>
              <w:t>Deloitte — Wafik, Ramy &amp; Partners</w:t>
            </w:r>
          </w:p>
        </w:tc>
      </w:tr>
      <w:tr>
        <w:tc>
          <w:tcPr>
            <w:tcW w:type="dxa" w:w="2664"/>
          </w:tcPr>
          <w:p>
            <w:pPr>
              <w:spacing w:after="20"/>
            </w:pPr>
            <w:r>
              <w:rPr>
                <w:color w:val="1C3A36"/>
                <w:sz w:val="16"/>
              </w:rPr>
              <w:t>Arabian Cement Company S.A.E. — interim financial statements, Q1-2026</w:t>
            </w:r>
          </w:p>
        </w:tc>
        <w:tc>
          <w:tcPr>
            <w:tcW w:type="dxa" w:w="2333"/>
          </w:tcPr>
          <w:p>
            <w:pPr>
              <w:spacing w:after="20"/>
            </w:pPr>
            <w:r>
              <w:rPr>
                <w:color w:val="1C3A36"/>
                <w:sz w:val="16"/>
              </w:rPr>
              <w:t>REVIEWED INTERIM STATEMENTS</w:t>
            </w:r>
          </w:p>
        </w:tc>
        <w:tc>
          <w:tcPr>
            <w:tcW w:type="dxa" w:w="5803"/>
          </w:tcPr>
          <w:p>
            <w:pPr>
              <w:spacing w:after="20"/>
            </w:pPr>
            <w:r>
              <w:rPr>
                <w:color w:val="1C3A36"/>
                <w:sz w:val="16"/>
              </w:rPr>
              <w:t>First-quarter revenue, gross profit, profit and the 31 March 2026 balance sheet, including the dividends payable that the valuation deducts from cash.</w:t>
            </w:r>
          </w:p>
        </w:tc>
        <w:tc>
          <w:tcPr>
            <w:tcW w:type="dxa" w:w="2880"/>
          </w:tcPr>
          <w:p>
            <w:pPr>
              <w:spacing w:after="20"/>
            </w:pPr>
            <w:r>
              <w:rPr>
                <w:color w:val="1C3A36"/>
                <w:sz w:val="16"/>
              </w:rPr>
              <w:t>Deloitte — Wafik, Ramy &amp; Partners; limited review concluded 25 May 2026</w:t>
            </w:r>
          </w:p>
        </w:tc>
      </w:tr>
      <w:tr>
        <w:tc>
          <w:tcPr>
            <w:tcW w:type="dxa" w:w="2664"/>
          </w:tcPr>
          <w:p>
            <w:pPr>
              <w:spacing w:after="20"/>
            </w:pPr>
            <w:r>
              <w:rPr>
                <w:color w:val="1C3A36"/>
                <w:sz w:val="16"/>
              </w:rPr>
              <w:t>Arabian Cement Company S.A.E. — FY2025 Investor Presentation</w:t>
            </w:r>
          </w:p>
        </w:tc>
        <w:tc>
          <w:tcPr>
            <w:tcW w:type="dxa" w:w="2333"/>
          </w:tcPr>
          <w:p>
            <w:pPr>
              <w:spacing w:after="20"/>
            </w:pPr>
            <w:r>
              <w:rPr>
                <w:color w:val="1C3A36"/>
                <w:sz w:val="16"/>
              </w:rPr>
              <w:t>COMPANY DISCLOSURE — PHYSICAL</w:t>
            </w:r>
          </w:p>
        </w:tc>
        <w:tc>
          <w:tcPr>
            <w:tcW w:type="dxa" w:w="5803"/>
          </w:tcPr>
          <w:p>
            <w:pPr>
              <w:spacing w:after="20"/>
            </w:pPr>
            <w:r>
              <w:rPr>
                <w:color w:val="1C3A36"/>
                <w:sz w:val="16"/>
              </w:rPr>
              <w:t>The tonnes. Sales volumes by product and market (local cement 2,923.6kt, cement exports 629.5kt, clinker exports 1,300.5kt, total 4,853.6kt), production indicators (clinker 3,851.6kt at 92% kiln utilisation, cement 3,480.6kt), the FY2024 comparatives that give the realised local price series, the fourth-quarter split that gives the exit rate, and the Egyptian market balance of 53.9Mt local plus 18.6Mt export. The audited statements carry no volume table, so every physical figure in three earlier editions of this study was reconstructed from an assumed price; all of them are now read from here. Its FINANCIAL tables are on a narrower basis than the audited consolidated accounts (revenue 12,320 against 12,447; total assets 8,640 against 8,784), so no financial figure is taken from it.</w:t>
            </w:r>
          </w:p>
        </w:tc>
        <w:tc>
          <w:tcPr>
            <w:tcW w:type="dxa" w:w="2880"/>
          </w:tcPr>
          <w:p>
            <w:pPr>
              <w:spacing w:after="20"/>
            </w:pPr>
            <w:r>
              <w:rPr>
                <w:color w:val="1C3A36"/>
                <w:sz w:val="16"/>
              </w:rPr>
              <w:t>Investor relations library, arabiancementcompany.com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at the April and May 2026 meetings; the Q1-2026 Monetary Policy Report; the LONGEST-DATED published inflation target of 5% for Q4-2028, used to build the terminal risk-free rate — earlier editions used the 7% Q4-2026 target and mis-described it as the medium-term one; headline urban inflation.</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the credit-default-swap basis,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Egyptian Tax Authority</w:t>
            </w:r>
          </w:p>
        </w:tc>
        <w:tc>
          <w:tcPr>
            <w:tcW w:type="dxa" w:w="2333"/>
          </w:tcPr>
          <w:p>
            <w:pPr>
              <w:spacing w:after="20"/>
            </w:pPr>
            <w:r>
              <w:rPr>
                <w:color w:val="1C3A36"/>
                <w:sz w:val="16"/>
              </w:rPr>
              <w:t>Tax reference</w:t>
            </w:r>
          </w:p>
        </w:tc>
        <w:tc>
          <w:tcPr>
            <w:tcW w:type="dxa" w:w="5803"/>
          </w:tcPr>
          <w:p>
            <w:pPr>
              <w:spacing w:after="20"/>
            </w:pPr>
            <w:r>
              <w:rPr>
                <w:color w:val="1C3A36"/>
                <w:sz w:val="16"/>
              </w:rPr>
              <w:t>Statutory corporate income tax rate of 22.5%. The rate actually used is the effective rate disclosed in the audited accounts.</w:t>
            </w:r>
          </w:p>
        </w:tc>
        <w:tc>
          <w:tcPr>
            <w:tcW w:type="dxa" w:w="2880"/>
          </w:tcPr>
          <w:p>
            <w:pPr>
              <w:spacing w:after="20"/>
            </w:pPr>
            <w:r>
              <w:rPr>
                <w:color w:val="1C3A36"/>
                <w:sz w:val="16"/>
              </w:rPr>
              <w:t>Statutory rate</w:t>
            </w:r>
          </w:p>
        </w:tc>
      </w:tr>
      <w:tr>
        <w:tc>
          <w:tcPr>
            <w:tcW w:type="dxa" w:w="2664"/>
          </w:tcPr>
          <w:p>
            <w:pPr>
              <w:spacing w:after="20"/>
            </w:pPr>
            <w:r>
              <w:rPr>
                <w:color w:val="1C3A36"/>
                <w:sz w:val="16"/>
              </w:rPr>
              <w:t>Enterprise, Global Cement and International Cement Review</w:t>
            </w:r>
          </w:p>
        </w:tc>
        <w:tc>
          <w:tcPr>
            <w:tcW w:type="dxa" w:w="2333"/>
          </w:tcPr>
          <w:p>
            <w:pPr>
              <w:spacing w:after="20"/>
            </w:pPr>
            <w:r>
              <w:rPr>
                <w:color w:val="1C3A36"/>
                <w:sz w:val="16"/>
              </w:rPr>
              <w:t>Trade and financial press</w:t>
            </w:r>
          </w:p>
        </w:tc>
        <w:tc>
          <w:tcPr>
            <w:tcW w:type="dxa" w:w="5803"/>
          </w:tcPr>
          <w:p>
            <w:pPr>
              <w:spacing w:after="20"/>
            </w:pPr>
            <w:r>
              <w:rPr>
                <w:color w:val="1C3A36"/>
                <w:sz w:val="16"/>
              </w:rPr>
              <w:t>Egyptian sector context only: nameplate capacity of about 76Mt, production of about 65Mt, domestic consumption of about 54Mt, exports of about 18.5Mt, the abolition of the production quota in May 2025 with exports capped at 30% of output, and the 12.6Mt of dormant capacity under revival from the second half of 2026. No company figure is taken from these sources in this edition.</w:t>
            </w:r>
          </w:p>
        </w:tc>
        <w:tc>
          <w:tcPr>
            <w:tcW w:type="dxa" w:w="2880"/>
          </w:tcPr>
          <w:p>
            <w:pPr>
              <w:spacing w:after="20"/>
            </w:pPr>
            <w:r>
              <w:rPr>
                <w:color w:val="1C3A36"/>
                <w:sz w:val="16"/>
              </w:rPr>
              <w:t>enterpriseam.com, globalcement.com, cemnet.com</w:t>
            </w:r>
          </w:p>
        </w:tc>
      </w:tr>
      <w:tr>
        <w:tc>
          <w:tcPr>
            <w:tcW w:type="dxa" w:w="2664"/>
          </w:tcPr>
          <w:p>
            <w:pPr>
              <w:spacing w:after="20"/>
            </w:pPr>
            <w:r>
              <w:rPr>
                <w:color w:val="1C3A36"/>
                <w:sz w:val="16"/>
              </w:rPr>
              <w:t>Egyptian cement market pricing commentary</w:t>
            </w:r>
          </w:p>
        </w:tc>
        <w:tc>
          <w:tcPr>
            <w:tcW w:type="dxa" w:w="2333"/>
          </w:tcPr>
          <w:p>
            <w:pPr>
              <w:spacing w:after="20"/>
            </w:pPr>
            <w:r>
              <w:rPr>
                <w:color w:val="1C3A36"/>
                <w:sz w:val="16"/>
              </w:rPr>
              <w:t>Trade press</w:t>
            </w:r>
          </w:p>
        </w:tc>
        <w:tc>
          <w:tcPr>
            <w:tcW w:type="dxa" w:w="5803"/>
          </w:tcPr>
          <w:p>
            <w:pPr>
              <w:spacing w:after="20"/>
            </w:pPr>
            <w:r>
              <w:rPr>
                <w:color w:val="1C3A36"/>
                <w:sz w:val="16"/>
              </w:rPr>
              <w:t>The local realised price of about EGP 3,500 a tonne and the export price of about USD 62 a tonne. These are the only two operating inputs in the FY2025 build that are not audited, and volume is derived from them.</w:t>
            </w:r>
          </w:p>
        </w:tc>
        <w:tc>
          <w:tcPr>
            <w:tcW w:type="dxa" w:w="2880"/>
          </w:tcPr>
          <w:p>
            <w:pPr>
              <w:spacing w:after="20"/>
            </w:pPr>
            <w:r>
              <w:rPr>
                <w:color w:val="1C3A36"/>
                <w:sz w:val="16"/>
              </w:rPr>
              <w:t>Industry commentary, 2026</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2,957 daily open, high, low, close and volume records from 18 May 2014 — the listing date — to 6 August 2026. The basis of the price chart, the volatility estimate, the beta regression and the price map.</w:t>
            </w:r>
          </w:p>
        </w:tc>
        <w:tc>
          <w:tcPr>
            <w:tcW w:type="dxa" w:w="2880"/>
          </w:tcPr>
          <w:p>
            <w:pPr>
              <w:spacing w:after="20"/>
            </w:pPr>
            <w:r>
              <w:rPr>
                <w:color w:val="1C3A36"/>
                <w:sz w:val="16"/>
              </w:rPr>
              <w:t>Supplied as a file</w:t>
            </w:r>
          </w:p>
        </w:tc>
      </w:tr>
      <w:tr>
        <w:tc>
          <w:tcPr>
            <w:tcW w:type="dxa" w:w="2664"/>
          </w:tcPr>
          <w:p>
            <w:pPr>
              <w:spacing w:after="20"/>
            </w:pPr>
            <w:r>
              <w:rPr>
                <w:color w:val="1C3A36"/>
                <w:sz w:val="16"/>
              </w:rPr>
              <w:t>Standard cement engineering benchmarks</w:t>
            </w:r>
          </w:p>
        </w:tc>
        <w:tc>
          <w:tcPr>
            <w:tcW w:type="dxa" w:w="2333"/>
          </w:tcPr>
          <w:p>
            <w:pPr>
              <w:spacing w:after="20"/>
            </w:pPr>
            <w:r>
              <w:rPr>
                <w:color w:val="1C3A36"/>
                <w:sz w:val="16"/>
              </w:rPr>
              <w:t>Industry reference</w:t>
            </w:r>
          </w:p>
        </w:tc>
        <w:tc>
          <w:tcPr>
            <w:tcW w:type="dxa" w:w="5803"/>
          </w:tcPr>
          <w:p>
            <w:pPr>
              <w:spacing w:after="20"/>
            </w:pPr>
            <w:r>
              <w:rPr>
                <w:color w:val="1C3A36"/>
                <w:sz w:val="16"/>
              </w:rPr>
              <w:t>Replacement cost of USD 120-150 per annual tonne, used in the asset lens and as the terminal invested-capital base.</w:t>
            </w:r>
          </w:p>
        </w:tc>
        <w:tc>
          <w:tcPr>
            <w:tcW w:type="dxa" w:w="2880"/>
          </w:tcPr>
          <w:p>
            <w:pPr>
              <w:spacing w:after="20"/>
            </w:pPr>
            <w:r>
              <w:rPr>
                <w:color w:val="1C3A36"/>
                <w:sz w:val="16"/>
              </w:rPr>
              <w:t>Used for the asset lens</w:t>
            </w:r>
          </w:p>
        </w:tc>
      </w:tr>
      <w:tr>
        <w:tc>
          <w:tcPr>
            <w:tcW w:type="dxa" w:w="2664"/>
          </w:tcPr>
          <w:p>
            <w:pPr>
              <w:spacing w:after="20"/>
            </w:pPr>
            <w:r>
              <w:rPr>
                <w:color w:val="1C3A36"/>
                <w:sz w:val="16"/>
              </w:rPr>
              <w:t>Peer market data</w:t>
            </w:r>
          </w:p>
        </w:tc>
        <w:tc>
          <w:tcPr>
            <w:tcW w:type="dxa" w:w="2333"/>
          </w:tcPr>
          <w:p>
            <w:pPr>
              <w:spacing w:after="20"/>
            </w:pPr>
            <w:r>
              <w:rPr>
                <w:color w:val="1C3A36"/>
                <w:sz w:val="16"/>
              </w:rPr>
              <w:t>Data aggregator</w:t>
            </w:r>
          </w:p>
        </w:tc>
        <w:tc>
          <w:tcPr>
            <w:tcW w:type="dxa" w:w="5803"/>
          </w:tcPr>
          <w:p>
            <w:pPr>
              <w:spacing w:after="20"/>
            </w:pPr>
            <w:r>
              <w:rPr>
                <w:color w:val="1C3A36"/>
                <w:sz w:val="16"/>
              </w:rPr>
              <w:t>Sinai Cement and Misr Beni Suef Cement revenue, profit and market capitalisation. Every multiple in the study is RECOMPUTED from these three rather than quoted.</w:t>
            </w:r>
          </w:p>
        </w:tc>
        <w:tc>
          <w:tcPr>
            <w:tcW w:type="dxa" w:w="2880"/>
          </w:tcPr>
          <w:p>
            <w:pPr>
              <w:spacing w:after="20"/>
            </w:pPr>
            <w:r>
              <w:rPr>
                <w:color w:val="1C3A36"/>
                <w:sz w:val="16"/>
              </w:rPr>
              <w:t>Peer disclosures as reported</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Sales volume and realised price — the only material estimate in the operating build</w:t>
            </w:r>
          </w:p>
        </w:tc>
        <w:tc>
          <w:tcPr>
            <w:tcW w:type="dxa" w:w="10224"/>
          </w:tcPr>
          <w:p>
            <w:pPr>
              <w:spacing w:after="20"/>
            </w:pPr>
            <w:r>
              <w:rPr>
                <w:color w:val="1C3A36"/>
                <w:sz w:val="16"/>
              </w:rPr>
              <w:t>No volume is disclosed. Volume is DERIVED from the audited revenue note: export sales of goods of EGP 3,356.42mn divided by an assumed USD 62 a tonne at the audited average exchange rate of 49.26 gives 1.930Mt, and local sales of goods of EGP 8,350.45mn divided by an assumed EGP 3,500 a tonne gives 2.923Mt. Total 4.854Mt, which is 69.6% of the audited 5.0Mt nameplate. The check is that this utilisation is an OUTPUT and could have disagreed with the sector; national production is 85.5% of national capacity. The two prices are the estimate; everything else in this derivation is audited.</w:t>
            </w:r>
          </w:p>
        </w:tc>
      </w:tr>
      <w:tr>
        <w:tc>
          <w:tcPr>
            <w:tcW w:type="dxa" w:w="3456"/>
          </w:tcPr>
          <w:p>
            <w:pPr>
              <w:spacing w:after="20"/>
            </w:pPr>
            <w:r>
              <w:rPr>
                <w:color w:val="1C3A36"/>
                <w:sz w:val="16"/>
              </w:rPr>
              <w:t>The cost stack per tonne</w:t>
            </w:r>
          </w:p>
        </w:tc>
        <w:tc>
          <w:tcPr>
            <w:tcW w:type="dxa" w:w="10224"/>
          </w:tcPr>
          <w:p>
            <w:pPr>
              <w:spacing w:after="20"/>
            </w:pPr>
            <w:r>
              <w:rPr>
                <w:color w:val="1C3A36"/>
                <w:sz w:val="16"/>
              </w:rPr>
              <w:t>From the audited cost-of-sales note and administrative-expenses note, divided by the derived volume: materials and fuel EGP 1,480 a tonne, transportation EGP 157, overheads and cash administration EGP 210, total EGP 1,542. Nothing here is an invented physical build; the five-line fuel/power/raw-material/packaging/distribution stack of the first edition is retired.</w:t>
            </w:r>
          </w:p>
        </w:tc>
      </w:tr>
      <w:tr>
        <w:tc>
          <w:tcPr>
            <w:tcW w:type="dxa" w:w="3456"/>
          </w:tcPr>
          <w:p>
            <w:pPr>
              <w:spacing w:after="20"/>
            </w:pPr>
            <w:r>
              <w:rPr>
                <w:color w:val="1C3A36"/>
                <w:sz w:val="16"/>
              </w:rPr>
              <w:t>EBITDA</w:t>
            </w:r>
          </w:p>
        </w:tc>
        <w:tc>
          <w:tcPr>
            <w:tcW w:type="dxa" w:w="10224"/>
          </w:tcPr>
          <w:p>
            <w:pPr>
              <w:spacing w:after="20"/>
            </w:pPr>
            <w:r>
              <w:rPr>
                <w:color w:val="1C3A36"/>
                <w:sz w:val="16"/>
              </w:rPr>
              <w:t>Operating profit — gross profit less administrative expenses, provisions and expected credit losses, all audited — plus the depreciation and amortisation reported in the audited cash flow statement. FY2023 EGP 1,329.53mn, FY2024 EGP 2,020.87mn, FY2025 EGP 4,885.59mn.</w:t>
            </w:r>
          </w:p>
        </w:tc>
      </w:tr>
      <w:tr>
        <w:tc>
          <w:tcPr>
            <w:tcW w:type="dxa" w:w="3456"/>
          </w:tcPr>
          <w:p>
            <w:pPr>
              <w:spacing w:after="20"/>
            </w:pPr>
            <w:r>
              <w:rPr>
                <w:color w:val="1C3A36"/>
                <w:sz w:val="16"/>
              </w:rPr>
              <w:t>The blended cost of debt — 13.36%</w:t>
            </w:r>
          </w:p>
        </w:tc>
        <w:tc>
          <w:tcPr>
            <w:tcW w:type="dxa" w:w="10224"/>
          </w:tcPr>
          <w:p>
            <w:pPr>
              <w:spacing w:after="20"/>
            </w:pPr>
            <w:r>
              <w:rPr>
                <w:color w:val="1C3A36"/>
                <w:sz w:val="16"/>
              </w:rPr>
              <w:t>Built facility by facility from the audited borrowings note: the CIB pound facility at the corridor rate plus 0.6% (20.60%), the NBE/KfW euro facility at Euribor plus 3% (5.49%) and the EBRD euro facility at Euribor plus 4.35% (6.84%), weighted by their audited balances. 91.1% of the book is euro-denominated. Cross-checked against interest expense over average debt: 20.85% in FY2024, 5.03% in FY2025 and 3.73% annualising Q1-2026. The contractual rate exceeds all three and the reason is stated in the study rather than smoothed. The pound-equivalent alternative under interest parity is 13.36% and its effect on the valuation is published.</w:t>
            </w:r>
          </w:p>
        </w:tc>
      </w:tr>
      <w:tr>
        <w:tc>
          <w:tcPr>
            <w:tcW w:type="dxa" w:w="3456"/>
          </w:tcPr>
          <w:p>
            <w:pPr>
              <w:spacing w:after="20"/>
            </w:pPr>
            <w:r>
              <w:rPr>
                <w:color w:val="1C3A36"/>
                <w:sz w:val="16"/>
              </w:rPr>
              <w:t>Terminal return on invested capital — 10.52%</w:t>
            </w:r>
          </w:p>
        </w:tc>
        <w:tc>
          <w:tcPr>
            <w:tcW w:type="dxa" w:w="10224"/>
          </w:tcPr>
          <w:p>
            <w:pPr>
              <w:spacing w:after="20"/>
            </w:pPr>
            <w:r>
              <w:rPr>
                <w:color w:val="1C3A36"/>
                <w:sz w:val="16"/>
              </w:rPr>
              <w:t>The last forecast year's operating profit after tax against terminal invested capital, BOTH MEASURED AT THE SAME DATE. Earlier editions of this entry headed it 11.3%, which grows the profit by a year of terminal growth and leaves the capital base ungrown; that mismatch flatters the return by 74 basis points and the figure is withdrawn. It survives in the workbook, labelled as the retired construction. Struck on REPLACEMENT cost — 5.0Mt at USD 130 per annual tonne — rather than on the audited book, on which the FY2025 return is 60.6%. The book carries a 2010-vintage plant at historical cost through several devaluations: audited net property and construction of EGP 2,913.87mn is about USD 12 per annual tonne, against a replacement cost of USD 130 — roughly a tenth. A return computed on that base measures the devaluation rather than the economics of adding a tonne. The choice makes terminal growth value-destroying and is the single most consequential judgement in the model.</w:t>
            </w:r>
          </w:p>
        </w:tc>
      </w:tr>
      <w:tr>
        <w:tc>
          <w:tcPr>
            <w:tcW w:type="dxa" w:w="3456"/>
          </w:tcPr>
          <w:p>
            <w:pPr>
              <w:spacing w:after="20"/>
            </w:pPr>
            <w:r>
              <w:rPr>
                <w:color w:val="1C3A36"/>
                <w:sz w:val="16"/>
              </w:rPr>
              <w:t>Beta — 0.928 adopted, from comparable companies rather than from this share</w:t>
            </w:r>
          </w:p>
        </w:tc>
        <w:tc>
          <w:tcPr>
            <w:tcW w:type="dxa" w:w="10224"/>
          </w:tcPr>
          <w:p>
            <w:pPr>
              <w:spacing w:after="20"/>
            </w:pPr>
            <w:r>
              <w:rPr>
                <w:color w:val="1C3A36"/>
                <w:sz w:val="16"/>
              </w:rPr>
              <w:t>Measured against the EGX30 — the only index against which an Egyptian Exchange listing can properly be measured — Arabian Cement's own weekly returns over 4.89 years give a beta of 0.698 on 253 observations with an R-squared of 0.047 and a standard error of 0.228. The index explains under a twentieth of the share's movement, which is below the level at which a regression is usable, so it is NOT adopted and its diagnostics are printed instead. Earlier editions reported 0.6281 measured against a basket built from the other Egyptian companies this house follows; a basket of covered names explains a covered name better because it partly consists of companies like it, so the better statistic was an artefact and the figure is withdrawn. Adopted instead: the median beta of the Egyptian building-materials and construction peers that do clear the threshold — 0.815, 0.919, 0.936, 1.030 — giving 0.928. Sinai Cement is the closest business match and is deliberately NOT used: its own regression is weaker still. WHAT COULD NOT BE DONE: the peers' own borrowings are not stripped out and Arabian Cement's added back, because their balance sheets are not sourced here. Arabian Cement holds net cash and its peers carry debt, so completing that step could only lower the beta and raise the value; the figure adopted is the cautious end and the whole peer spread is published as a sensitivity.</w:t>
            </w:r>
          </w:p>
        </w:tc>
      </w:tr>
      <w:tr>
        <w:tc>
          <w:tcPr>
            <w:tcW w:type="dxa" w:w="3456"/>
          </w:tcPr>
          <w:p>
            <w:pPr>
              <w:spacing w:after="20"/>
            </w:pPr>
            <w:r>
              <w:rPr>
                <w:color w:val="1C3A36"/>
                <w:sz w:val="16"/>
              </w:rPr>
              <w:t>Capital expenditure in the forecast</w:t>
            </w:r>
          </w:p>
        </w:tc>
        <w:tc>
          <w:tcPr>
            <w:tcW w:type="dxa" w:w="10224"/>
          </w:tcPr>
          <w:p>
            <w:pPr>
              <w:spacing w:after="20"/>
            </w:pPr>
            <w:r>
              <w:rPr>
                <w:color w:val="1C3A36"/>
                <w:sz w:val="16"/>
              </w:rPr>
              <w:t>Set at the economic maintenance level of USD 4.00 per tonne of installed capacity rather than at book depreciation, because a historic-cost base understates what it costs to keep a plant running. Bracketed by the audited outturns: FY2024 EGP 912.02mn and FY2025 EGP 796.47mn, both of which also carried growth projects.</w:t>
            </w:r>
          </w:p>
        </w:tc>
      </w:tr>
      <w:tr>
        <w:tc>
          <w:tcPr>
            <w:tcW w:type="dxa" w:w="3456"/>
          </w:tcPr>
          <w:p>
            <w:pPr>
              <w:spacing w:after="20"/>
            </w:pPr>
            <w:r>
              <w:rPr>
                <w:color w:val="1C3A36"/>
                <w:sz w:val="16"/>
              </w:rPr>
              <w:t>Net cash at the valuation date</w:t>
            </w:r>
          </w:p>
        </w:tc>
        <w:tc>
          <w:tcPr>
            <w:tcW w:type="dxa" w:w="10224"/>
          </w:tcPr>
          <w:p>
            <w:pPr>
              <w:spacing w:after="20"/>
            </w:pPr>
            <w:r>
              <w:rPr>
                <w:color w:val="1C3A36"/>
                <w:sz w:val="16"/>
              </w:rPr>
              <w:t>The DISCLOSED 30 June 2026 balance sheet: cash of EGP 1,970.50mn less interest-bearing debt of EGP 1,283.29mn, giving net cash of EGP 687.21mn. The previous edition had no balance sheet for its valuation date and had to roll one forward, which came out EGP 1,239mn too generous because it could not see six months of stock-building, receivables and capital spending. Superseded rather than adjusted: rolled forward on the elapsed part of FY2026 and LESS the EGP 2,001.79mn FY2025 dividend shown as payable in the March 2026 accounts. Cross-checked against the reviewed 31 March 2026 position.</w:t>
            </w:r>
          </w:p>
        </w:tc>
      </w:tr>
      <w:tr>
        <w:tc>
          <w:tcPr>
            <w:tcW w:type="dxa" w:w="3456"/>
          </w:tcPr>
          <w:p>
            <w:pPr>
              <w:spacing w:after="20"/>
            </w:pPr>
            <w:r>
              <w:rPr>
                <w:color w:val="1C3A36"/>
                <w:sz w:val="16"/>
              </w:rPr>
              <w:t>The forecast paths</w:t>
            </w:r>
          </w:p>
        </w:tc>
        <w:tc>
          <w:tcPr>
            <w:tcW w:type="dxa" w:w="10224"/>
          </w:tcPr>
          <w:p>
            <w:pPr>
              <w:spacing w:after="20"/>
            </w:pPr>
            <w:r>
              <w:rPr>
                <w:color w:val="1C3A36"/>
                <w:sz w:val="16"/>
              </w:rPr>
              <w:t>Utilisation, the price indices, the currency path, cost inflation, the alternative-fuel saving, depreciation as a share of revenue, the cash yield and the payout are house forecasts. Each is stated as an input in the register above with its reasoning, and each is perturbed in the driver test on the delivered model.</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26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and FX regime</w:t>
            </w:r>
          </w:p>
        </w:tc>
        <w:tc>
          <w:tcPr>
            <w:tcW w:type="dxa" w:w="5846"/>
          </w:tcPr>
          <w:p>
            <w:pPr>
              <w:spacing w:after="20"/>
            </w:pPr>
            <w:r>
              <w:rPr>
                <w:color w:val="1C3A36"/>
                <w:sz w:val="14"/>
              </w:rPr>
              <w:t>The global easing cycle is under way, which is the backdrop against which Egypt normalises a 19.50% policy rate rather than the cause of it</w:t>
            </w:r>
          </w:p>
        </w:tc>
        <w:tc>
          <w:tcPr>
            <w:tcW w:type="dxa" w:w="3053"/>
          </w:tcPr>
          <w:p>
            <w:pPr>
              <w:spacing w:after="20"/>
            </w:pPr>
            <w:r>
              <w:rPr>
                <w:color w:val="1C3A36"/>
                <w:sz w:val="14"/>
              </w:rPr>
              <w:t>US Federal Reserve policy history as carried in the house rate schedule</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w:t>
            </w:r>
          </w:p>
        </w:tc>
        <w:tc>
          <w:tcPr>
            <w:tcW w:type="dxa" w:w="5846"/>
          </w:tcPr>
          <w:p>
            <w:pPr>
              <w:spacing w:after="20"/>
            </w:pPr>
            <w:r>
              <w:rPr>
                <w:color w:val="1C3A36"/>
                <w:sz w:val="14"/>
              </w:rPr>
              <w:t>Cement is an energy-conversion business: solid fuel and electricity dominate cash cost, so the fuel bill is the single most important cost driver in the build</w:t>
            </w:r>
          </w:p>
        </w:tc>
        <w:tc>
          <w:tcPr>
            <w:tcW w:type="dxa" w:w="3053"/>
          </w:tcPr>
          <w:p>
            <w:pPr>
              <w:spacing w:after="20"/>
            </w:pPr>
            <w:r>
              <w:rPr>
                <w:color w:val="1C3A36"/>
                <w:sz w:val="14"/>
              </w:rPr>
              <w:t>Global Cement / International Cement Review industry coverage</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carbon and trade policy</w:t>
            </w:r>
          </w:p>
        </w:tc>
        <w:tc>
          <w:tcPr>
            <w:tcW w:type="dxa" w:w="5846"/>
          </w:tcPr>
          <w:p>
            <w:pPr>
              <w:spacing w:after="20"/>
            </w:pPr>
            <w:r>
              <w:rPr>
                <w:color w:val="1C3A36"/>
                <w:sz w:val="14"/>
              </w:rPr>
              <w:t>The EU Carbon Border Adjustment Mechanism raises the landed cost of Egyptian cement in Europe; a low-carbon producer earns a relative premium estimated at about EUR 5.4 per tonne on European sales</w:t>
            </w:r>
          </w:p>
        </w:tc>
        <w:tc>
          <w:tcPr>
            <w:tcW w:type="dxa" w:w="3053"/>
          </w:tcPr>
          <w:p>
            <w:pPr>
              <w:spacing w:after="20"/>
            </w:pPr>
            <w:r>
              <w:rPr>
                <w:color w:val="1C3A36"/>
                <w:sz w:val="14"/>
              </w:rPr>
              <w:t>Industry coverage of Egyptian producers' CBAM positioning</w:t>
            </w:r>
          </w:p>
        </w:tc>
        <w:tc>
          <w:tcPr>
            <w:tcW w:type="dxa" w:w="1267"/>
          </w:tcPr>
          <w:p>
            <w:pPr>
              <w:spacing w:after="20"/>
            </w:pPr>
            <w:r>
              <w:rPr>
                <w:color w:val="1C3A36"/>
                <w:sz w:val="14"/>
              </w:rPr>
              <w:t>2026-01-01</w:t>
            </w:r>
          </w:p>
        </w:tc>
      </w:tr>
      <w:tr>
        <w:tc>
          <w:tcPr>
            <w:tcW w:type="dxa" w:w="1094"/>
          </w:tcPr>
          <w:p>
            <w:pPr>
              <w:spacing w:after="20"/>
            </w:pPr>
            <w:r>
              <w:rPr>
                <w:color w:val="1C3A36"/>
                <w:sz w:val="14"/>
              </w:rPr>
              <w:t>Global</w:t>
            </w:r>
          </w:p>
        </w:tc>
        <w:tc>
          <w:tcPr>
            <w:tcW w:type="dxa" w:w="2275"/>
          </w:tcPr>
          <w:p>
            <w:pPr>
              <w:spacing w:after="20"/>
            </w:pPr>
            <w:r>
              <w:rPr>
                <w:color w:val="1C3A36"/>
                <w:sz w:val="14"/>
              </w:rPr>
              <w:t>traded-goods structure</w:t>
            </w:r>
          </w:p>
        </w:tc>
        <w:tc>
          <w:tcPr>
            <w:tcW w:type="dxa" w:w="5846"/>
          </w:tcPr>
          <w:p>
            <w:pPr>
              <w:spacing w:after="20"/>
            </w:pPr>
            <w:r>
              <w:rPr>
                <w:color w:val="1C3A36"/>
                <w:sz w:val="14"/>
              </w:rPr>
              <w:t>Cement is not traded at distance — bulk freight caps the economic export radius, so global demand reaches an Egyptian producer only through the Mediterranean and East African basin and never through a world price</w:t>
            </w:r>
          </w:p>
        </w:tc>
        <w:tc>
          <w:tcPr>
            <w:tcW w:type="dxa" w:w="3053"/>
          </w:tcPr>
          <w:p>
            <w:pPr>
              <w:spacing w:after="20"/>
            </w:pPr>
            <w:r>
              <w:rPr>
                <w:color w:val="1C3A36"/>
                <w:sz w:val="14"/>
              </w:rPr>
              <w:t>Global Cement, Egypt country coverage</w:t>
            </w:r>
          </w:p>
        </w:tc>
        <w:tc>
          <w:tcPr>
            <w:tcW w:type="dxa" w:w="1267"/>
          </w:tcPr>
          <w:p>
            <w:pPr>
              <w:spacing w:after="20"/>
            </w:pPr>
            <w:r>
              <w:rPr>
                <w:color w:val="1C3A36"/>
                <w:sz w:val="14"/>
              </w:rPr>
              <w:t>2025-10-01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w:t>
            </w:r>
          </w:p>
        </w:tc>
        <w:tc>
          <w:tcPr>
            <w:tcW w:type="dxa" w:w="5846"/>
          </w:tcPr>
          <w:p>
            <w:pPr>
              <w:spacing w:after="20"/>
            </w:pPr>
            <w:r>
              <w:rPr>
                <w:color w:val="1C3A36"/>
                <w:sz w:val="14"/>
              </w:rPr>
              <w:t>The Central Bank of Egypt held the main operation rate at 19.50% (overnight deposit 19.00%, lending 20.00%) at its April and May 2026 meetings; headline urban inflation eased for a third month to 14.3% in June 2026, and the CBE expects it to accelerate through Q3-2026 on base effects before declining toward target</w:t>
            </w:r>
          </w:p>
        </w:tc>
        <w:tc>
          <w:tcPr>
            <w:tcW w:type="dxa" w:w="3053"/>
          </w:tcPr>
          <w:p>
            <w:pPr>
              <w:spacing w:after="20"/>
            </w:pPr>
            <w:r>
              <w:rPr>
                <w:color w:val="1C3A36"/>
                <w:sz w:val="14"/>
              </w:rPr>
              <w:t>Central Bank of Egypt policy decisions and Monetary Policy Report Q1-2026; CAPMAS CPI release</w:t>
            </w:r>
          </w:p>
        </w:tc>
        <w:tc>
          <w:tcPr>
            <w:tcW w:type="dxa" w:w="1267"/>
          </w:tcPr>
          <w:p>
            <w:pPr>
              <w:spacing w:after="20"/>
            </w:pPr>
            <w:r>
              <w:rPr>
                <w:color w:val="1C3A36"/>
                <w:sz w:val="14"/>
              </w:rPr>
              <w:t>2026-07-10</w:t>
            </w:r>
          </w:p>
        </w:tc>
      </w:tr>
      <w:tr>
        <w:tc>
          <w:tcPr>
            <w:tcW w:type="dxa" w:w="1094"/>
          </w:tcPr>
          <w:p>
            <w:pPr>
              <w:spacing w:after="20"/>
            </w:pPr>
            <w:r>
              <w:rPr>
                <w:color w:val="1C3A36"/>
                <w:sz w:val="14"/>
              </w:rPr>
              <w:t>Country</w:t>
            </w:r>
          </w:p>
        </w:tc>
        <w:tc>
          <w:tcPr>
            <w:tcW w:type="dxa" w:w="2275"/>
          </w:tcPr>
          <w:p>
            <w:pPr>
              <w:spacing w:after="20"/>
            </w:pPr>
            <w:r>
              <w:rPr>
                <w:color w:val="1C3A36"/>
                <w:sz w:val="14"/>
              </w:rPr>
              <w:t>sovereign credit</w:t>
            </w:r>
          </w:p>
        </w:tc>
        <w:tc>
          <w:tcPr>
            <w:tcW w:type="dxa" w:w="5846"/>
          </w:tcPr>
          <w:p>
            <w:pPr>
              <w:spacing w:after="20"/>
            </w:pPr>
            <w:r>
              <w:rPr>
                <w:color w:val="1C3A36"/>
                <w:sz w:val="14"/>
              </w:rPr>
              <w:t>Egypt's five-year credit default swap traded around 335 basis points in mid-2026, far tighter than the 2024 crisis peak</w:t>
            </w:r>
          </w:p>
        </w:tc>
        <w:tc>
          <w:tcPr>
            <w:tcW w:type="dxa" w:w="3053"/>
          </w:tcPr>
          <w:p>
            <w:pPr>
              <w:spacing w:after="20"/>
            </w:pPr>
            <w:r>
              <w:rPr>
                <w:color w:val="1C3A36"/>
                <w:sz w:val="14"/>
              </w:rPr>
              <w:t>Sovereign CDS quotations as carried by market data services; Damodaran country risk file, January 2026 edition, CDS column</w:t>
            </w:r>
          </w:p>
        </w:tc>
        <w:tc>
          <w:tcPr>
            <w:tcW w:type="dxa" w:w="1267"/>
          </w:tcPr>
          <w:p>
            <w:pPr>
              <w:spacing w:after="20"/>
            </w:pPr>
            <w:r>
              <w:rPr>
                <w:color w:val="1C3A36"/>
                <w:sz w:val="14"/>
              </w:rPr>
              <w:t>2026-05-15</w:t>
            </w:r>
          </w:p>
        </w:tc>
      </w:tr>
      <w:tr>
        <w:tc>
          <w:tcPr>
            <w:tcW w:type="dxa" w:w="1094"/>
          </w:tcPr>
          <w:p>
            <w:pPr>
              <w:spacing w:after="20"/>
            </w:pPr>
            <w:r>
              <w:rPr>
                <w:color w:val="1C3A36"/>
                <w:sz w:val="14"/>
              </w:rPr>
              <w:t>Country</w:t>
            </w:r>
          </w:p>
        </w:tc>
        <w:tc>
          <w:tcPr>
            <w:tcW w:type="dxa" w:w="2275"/>
          </w:tcPr>
          <w:p>
            <w:pPr>
              <w:spacing w:after="20"/>
            </w:pPr>
            <w:r>
              <w:rPr>
                <w:color w:val="1C3A36"/>
                <w:sz w:val="14"/>
              </w:rPr>
              <w:t>currency</w:t>
            </w:r>
          </w:p>
        </w:tc>
        <w:tc>
          <w:tcPr>
            <w:tcW w:type="dxa" w:w="5846"/>
          </w:tcPr>
          <w:p>
            <w:pPr>
              <w:spacing w:after="20"/>
            </w:pPr>
            <w:r>
              <w:rPr>
                <w:color w:val="1C3A36"/>
                <w:sz w:val="14"/>
              </w:rPr>
              <w:t>The pound has been broadly stable around EGP 50.3-51.0 per US dollar through July and early August 2026</w:t>
            </w:r>
          </w:p>
        </w:tc>
        <w:tc>
          <w:tcPr>
            <w:tcW w:type="dxa" w:w="3053"/>
          </w:tcPr>
          <w:p>
            <w:pPr>
              <w:spacing w:after="20"/>
            </w:pPr>
            <w:r>
              <w:rPr>
                <w:color w:val="1C3A36"/>
                <w:sz w:val="14"/>
              </w:rPr>
              <w:t>Egyptian bank exchange-rate surveys reported by Amwal Al Ghad and Arab Finance</w:t>
            </w:r>
          </w:p>
        </w:tc>
        <w:tc>
          <w:tcPr>
            <w:tcW w:type="dxa" w:w="1267"/>
          </w:tcPr>
          <w:p>
            <w:pPr>
              <w:spacing w:after="20"/>
            </w:pPr>
            <w:r>
              <w:rPr>
                <w:color w:val="1C3A36"/>
                <w:sz w:val="14"/>
              </w:rPr>
              <w:t>2026-08-04</w:t>
            </w:r>
          </w:p>
        </w:tc>
      </w:tr>
      <w:tr>
        <w:tc>
          <w:tcPr>
            <w:tcW w:type="dxa" w:w="1094"/>
          </w:tcPr>
          <w:p>
            <w:pPr>
              <w:spacing w:after="20"/>
            </w:pPr>
            <w:r>
              <w:rPr>
                <w:color w:val="1C3A36"/>
                <w:sz w:val="14"/>
              </w:rPr>
              <w:t>Country</w:t>
            </w:r>
          </w:p>
        </w:tc>
        <w:tc>
          <w:tcPr>
            <w:tcW w:type="dxa" w:w="2275"/>
          </w:tcPr>
          <w:p>
            <w:pPr>
              <w:spacing w:after="20"/>
            </w:pPr>
            <w:r>
              <w:rPr>
                <w:color w:val="1C3A36"/>
                <w:sz w:val="14"/>
              </w:rPr>
              <w:t>fiscal policy</w:t>
            </w:r>
          </w:p>
        </w:tc>
        <w:tc>
          <w:tcPr>
            <w:tcW w:type="dxa" w:w="5846"/>
          </w:tcPr>
          <w:p>
            <w:pPr>
              <w:spacing w:after="20"/>
            </w:pPr>
            <w:r>
              <w:rPr>
                <w:color w:val="1C3A36"/>
                <w:sz w:val="14"/>
              </w:rPr>
              <w:t>Phased energy-subsidy reform continues to raise the domestic industrial energy bill independently of the global fuel price</w:t>
            </w:r>
          </w:p>
        </w:tc>
        <w:tc>
          <w:tcPr>
            <w:tcW w:type="dxa" w:w="3053"/>
          </w:tcPr>
          <w:p>
            <w:pPr>
              <w:spacing w:after="20"/>
            </w:pPr>
            <w:r>
              <w:rPr>
                <w:color w:val="1C3A36"/>
                <w:sz w:val="14"/>
              </w:rPr>
              <w:t>Egyptian cement industry market coverage on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Country</w:t>
            </w:r>
          </w:p>
        </w:tc>
        <w:tc>
          <w:tcPr>
            <w:tcW w:type="dxa" w:w="2275"/>
          </w:tcPr>
          <w:p>
            <w:pPr>
              <w:spacing w:after="20"/>
            </w:pPr>
            <w:r>
              <w:rPr>
                <w:color w:val="1C3A36"/>
                <w:sz w:val="14"/>
              </w:rPr>
              <w:t>taxation</w:t>
            </w:r>
          </w:p>
        </w:tc>
        <w:tc>
          <w:tcPr>
            <w:tcW w:type="dxa" w:w="5846"/>
          </w:tcPr>
          <w:p>
            <w:pPr>
              <w:spacing w:after="20"/>
            </w:pPr>
            <w:r>
              <w:rPr>
                <w:color w:val="1C3A36"/>
                <w:sz w:val="14"/>
              </w:rPr>
              <w:t>Egypt's statutory corporate income tax rate is 22.5%</w:t>
            </w:r>
          </w:p>
        </w:tc>
        <w:tc>
          <w:tcPr>
            <w:tcW w:type="dxa" w:w="3053"/>
          </w:tcPr>
          <w:p>
            <w:pPr>
              <w:spacing w:after="20"/>
            </w:pPr>
            <w:r>
              <w:rPr>
                <w:color w:val="1C3A36"/>
                <w:sz w:val="14"/>
              </w:rPr>
              <w:t>Egyptian Tax Authority statutory rate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sector structure</w:t>
            </w:r>
          </w:p>
        </w:tc>
        <w:tc>
          <w:tcPr>
            <w:tcW w:type="dxa" w:w="5846"/>
          </w:tcPr>
          <w:p>
            <w:pPr>
              <w:spacing w:after="20"/>
            </w:pPr>
            <w:r>
              <w:rPr>
                <w:color w:val="1C3A36"/>
                <w:sz w:val="14"/>
              </w:rPr>
              <w:t>Egypt abolished the cement production-quota system in May 2025 and capped exports at 30% of a producer's output; prices stabilised near USD 81 per tonne after the change</w:t>
            </w:r>
          </w:p>
        </w:tc>
        <w:tc>
          <w:tcPr>
            <w:tcW w:type="dxa" w:w="3053"/>
          </w:tcPr>
          <w:p>
            <w:pPr>
              <w:spacing w:after="20"/>
            </w:pPr>
            <w:r>
              <w:rPr>
                <w:color w:val="1C3A36"/>
                <w:sz w:val="14"/>
              </w:rPr>
              <w:t>Egyptian Competition Authority and Industrial Development Authority decisions as reported by Enterprise and Global Cement</w:t>
            </w:r>
          </w:p>
        </w:tc>
        <w:tc>
          <w:tcPr>
            <w:tcW w:type="dxa" w:w="1267"/>
          </w:tcPr>
          <w:p>
            <w:pPr>
              <w:spacing w:after="20"/>
            </w:pPr>
            <w:r>
              <w:rPr>
                <w:color w:val="1C3A36"/>
                <w:sz w:val="14"/>
              </w:rPr>
              <w:t>2025-05-01</w:t>
            </w:r>
          </w:p>
        </w:tc>
      </w:tr>
      <w:tr>
        <w:tc>
          <w:tcPr>
            <w:tcW w:type="dxa" w:w="1094"/>
          </w:tcPr>
          <w:p>
            <w:pPr>
              <w:spacing w:after="20"/>
            </w:pPr>
            <w:r>
              <w:rPr>
                <w:color w:val="1C3A36"/>
                <w:sz w:val="14"/>
              </w:rPr>
              <w:t>Industry</w:t>
            </w:r>
          </w:p>
        </w:tc>
        <w:tc>
          <w:tcPr>
            <w:tcW w:type="dxa" w:w="2275"/>
          </w:tcPr>
          <w:p>
            <w:pPr>
              <w:spacing w:after="20"/>
            </w:pPr>
            <w:r>
              <w:rPr>
                <w:color w:val="1C3A36"/>
                <w:sz w:val="14"/>
              </w:rPr>
              <w:t>supply pipeline</w:t>
            </w:r>
          </w:p>
        </w:tc>
        <w:tc>
          <w:tcPr>
            <w:tcW w:type="dxa" w:w="5846"/>
          </w:tcPr>
          <w:p>
            <w:pPr>
              <w:spacing w:after="20"/>
            </w:pPr>
            <w:r>
              <w:rPr>
                <w:color w:val="1C3A36"/>
                <w:sz w:val="14"/>
              </w:rPr>
              <w:t>With quotas gone, producers are studying the revival of seven to nine dormant production lines, potentially adding 12.6 million tonnes from the second half of 2026 — about 23% of domestic consumption</w:t>
            </w:r>
          </w:p>
        </w:tc>
        <w:tc>
          <w:tcPr>
            <w:tcW w:type="dxa" w:w="3053"/>
          </w:tcPr>
          <w:p>
            <w:pPr>
              <w:spacing w:after="20"/>
            </w:pPr>
            <w:r>
              <w:rPr>
                <w:color w:val="1C3A36"/>
                <w:sz w:val="14"/>
              </w:rPr>
              <w:t>Global Cement, Egypt update; Enterprise industry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and price</w:t>
            </w:r>
          </w:p>
        </w:tc>
        <w:tc>
          <w:tcPr>
            <w:tcW w:type="dxa" w:w="5846"/>
          </w:tcPr>
          <w:p>
            <w:pPr>
              <w:spacing w:after="20"/>
            </w:pPr>
            <w:r>
              <w:rPr>
                <w:color w:val="1C3A36"/>
                <w:sz w:val="14"/>
              </w:rPr>
              <w:t>Domestic consumption grew 13-14% to roughly 54 million tonnes in 2025 and cement sales rose 10.4% to 44.7Mt in FY2024/25; Portland prices ran 80-85% above the 2024 average during 2025 and are expected to settle near EGP 3,600 per tonne in 2026, with demand growth forecasts for 2026 spanning 1% to 8%</w:t>
            </w:r>
          </w:p>
        </w:tc>
        <w:tc>
          <w:tcPr>
            <w:tcW w:type="dxa" w:w="3053"/>
          </w:tcPr>
          <w:p>
            <w:pPr>
              <w:spacing w:after="20"/>
            </w:pPr>
            <w:r>
              <w:rPr>
                <w:color w:val="1C3A36"/>
                <w:sz w:val="14"/>
              </w:rPr>
              <w:t>Enterprise industry review of Egyptian cement 2025; Arab Finance building-materials indicators</w:t>
            </w:r>
          </w:p>
        </w:tc>
        <w:tc>
          <w:tcPr>
            <w:tcW w:type="dxa" w:w="1267"/>
          </w:tcPr>
          <w:p>
            <w:pPr>
              <w:spacing w:after="20"/>
            </w:pPr>
            <w:r>
              <w:rPr>
                <w:color w:val="1C3A36"/>
                <w:sz w:val="14"/>
              </w:rPr>
              <w:t>2026-01-15</w:t>
            </w:r>
          </w:p>
        </w:tc>
      </w:tr>
      <w:tr>
        <w:tc>
          <w:tcPr>
            <w:tcW w:type="dxa" w:w="1094"/>
          </w:tcPr>
          <w:p>
            <w:pPr>
              <w:spacing w:after="20"/>
            </w:pPr>
            <w:r>
              <w:rPr>
                <w:color w:val="1C3A36"/>
                <w:sz w:val="14"/>
              </w:rPr>
              <w:t>Industry</w:t>
            </w:r>
          </w:p>
        </w:tc>
        <w:tc>
          <w:tcPr>
            <w:tcW w:type="dxa" w:w="2275"/>
          </w:tcPr>
          <w:p>
            <w:pPr>
              <w:spacing w:after="20"/>
            </w:pPr>
            <w:r>
              <w:rPr>
                <w:color w:val="1C3A36"/>
                <w:sz w:val="14"/>
              </w:rPr>
              <w:t>capacity and utilisation</w:t>
            </w:r>
          </w:p>
        </w:tc>
        <w:tc>
          <w:tcPr>
            <w:tcW w:type="dxa" w:w="5846"/>
          </w:tcPr>
          <w:p>
            <w:pPr>
              <w:spacing w:after="20"/>
            </w:pPr>
            <w:r>
              <w:rPr>
                <w:color w:val="1C3A36"/>
                <w:sz w:val="14"/>
              </w:rPr>
              <w:t>Egyptian nameplate capacity is about 76 million tonnes against roughly 54 million tonnes of domestic consumption and about 65 million tonnes of production</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exports</w:t>
            </w:r>
          </w:p>
        </w:tc>
        <w:tc>
          <w:tcPr>
            <w:tcW w:type="dxa" w:w="5846"/>
          </w:tcPr>
          <w:p>
            <w:pPr>
              <w:spacing w:after="20"/>
            </w:pPr>
            <w:r>
              <w:rPr>
                <w:color w:val="1C3A36"/>
                <w:sz w:val="14"/>
              </w:rPr>
              <w:t>Egyptian cement and clinker exports were about 18.5 million tonnes in 2025, with finished-cement exports up sharply and clinker exports down</w:t>
            </w:r>
          </w:p>
        </w:tc>
        <w:tc>
          <w:tcPr>
            <w:tcW w:type="dxa" w:w="3053"/>
          </w:tcPr>
          <w:p>
            <w:pPr>
              <w:spacing w:after="20"/>
            </w:pPr>
            <w:r>
              <w:rPr>
                <w:color w:val="1C3A36"/>
                <w:sz w:val="14"/>
              </w:rPr>
              <w:t>Global Cement export coverage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cost benchmarks</w:t>
            </w:r>
          </w:p>
        </w:tc>
        <w:tc>
          <w:tcPr>
            <w:tcW w:type="dxa" w:w="5846"/>
          </w:tcPr>
          <w:p>
            <w:pPr>
              <w:spacing w:after="20"/>
            </w:pPr>
            <w:r>
              <w:rPr>
                <w:color w:val="1C3A36"/>
                <w:sz w:val="14"/>
              </w:rPr>
              <w:t>Dry preheater/precalciner kilns run at 3.2-3.6 GJ per tonne of clinker and 90-110 kWh per tonne of cement; replacement cost for grey-cement capacity sits in the USD 120-150 per annual tonne band and fixed cash cost in the USD 10-20 band</w:t>
            </w:r>
          </w:p>
        </w:tc>
        <w:tc>
          <w:tcPr>
            <w:tcW w:type="dxa" w:w="3053"/>
          </w:tcPr>
          <w:p>
            <w:pPr>
              <w:spacing w:after="20"/>
            </w:pPr>
            <w:r>
              <w:rPr>
                <w:color w:val="1C3A36"/>
                <w:sz w:val="14"/>
              </w:rPr>
              <w:t>Standard cement engineering and industry cost benchmarks</w:t>
            </w:r>
          </w:p>
        </w:tc>
        <w:tc>
          <w:tcPr>
            <w:tcW w:type="dxa" w:w="1267"/>
          </w:tcPr>
          <w:p>
            <w:pPr>
              <w:spacing w:after="20"/>
            </w:pPr>
            <w:r>
              <w:rPr>
                <w:color w:val="1C3A36"/>
                <w:sz w:val="14"/>
              </w:rPr>
              <w:t>2026-08-06</w:t>
            </w:r>
          </w:p>
        </w:tc>
      </w:tr>
      <w:tr>
        <w:tc>
          <w:tcPr>
            <w:tcW w:type="dxa" w:w="1094"/>
          </w:tcPr>
          <w:p>
            <w:pPr>
              <w:spacing w:after="20"/>
            </w:pPr>
            <w:r>
              <w:rPr>
                <w:color w:val="1C3A36"/>
                <w:sz w:val="14"/>
              </w:rPr>
              <w:t>Industry</w:t>
            </w:r>
          </w:p>
        </w:tc>
        <w:tc>
          <w:tcPr>
            <w:tcW w:type="dxa" w:w="2275"/>
          </w:tcPr>
          <w:p>
            <w:pPr>
              <w:spacing w:after="20"/>
            </w:pPr>
            <w:r>
              <w:rPr>
                <w:color w:val="1C3A36"/>
                <w:sz w:val="14"/>
              </w:rPr>
              <w:t>peer set</w:t>
            </w:r>
          </w:p>
        </w:tc>
        <w:tc>
          <w:tcPr>
            <w:tcW w:type="dxa" w:w="5846"/>
          </w:tcPr>
          <w:p>
            <w:pPr>
              <w:spacing w:after="20"/>
            </w:pPr>
            <w:r>
              <w:rPr>
                <w:color w:val="1C3A36"/>
                <w:sz w:val="14"/>
              </w:rPr>
              <w:t>The listed Egyptian cement comparator set is thin and its published multiples are internally inconsistent: for one peer a quoted price/earnings ratio cannot be reconciled with the market capitalisation printed beside it</w:t>
            </w:r>
          </w:p>
        </w:tc>
        <w:tc>
          <w:tcPr>
            <w:tcW w:type="dxa" w:w="3053"/>
          </w:tcPr>
          <w:p>
            <w:pPr>
              <w:spacing w:after="20"/>
            </w:pPr>
            <w:r>
              <w:rPr>
                <w:color w:val="1C3A36"/>
                <w:sz w:val="14"/>
              </w:rPr>
              <w:t>Aggregated peer data cross-checked against reported profit and market capitalisation</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asset base</w:t>
            </w:r>
          </w:p>
        </w:tc>
        <w:tc>
          <w:tcPr>
            <w:tcW w:type="dxa" w:w="5846"/>
          </w:tcPr>
          <w:p>
            <w:pPr>
              <w:spacing w:after="20"/>
            </w:pPr>
            <w:r>
              <w:rPr>
                <w:color w:val="1C3A36"/>
                <w:sz w:val="14"/>
              </w:rPr>
              <w:t>A cement producer with a clinker capacity of 4.2 million tonnes a year that can produce 5 million tonnes a year of cement, on two lines in Suez governorate</w:t>
            </w:r>
          </w:p>
        </w:tc>
        <w:tc>
          <w:tcPr>
            <w:tcW w:type="dxa" w:w="3053"/>
          </w:tcPr>
          <w:p>
            <w:pPr>
              <w:spacing w:after="20"/>
            </w:pPr>
            <w:r>
              <w:rPr>
                <w:color w:val="1C3A36"/>
                <w:sz w:val="14"/>
              </w:rPr>
              <w:t>Audited FY2025 statements note 1</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Net sales EGP 4.67bn (2022), 6.04bn (2023), 8.729bn (2024) and 12.447bn (2025, +42.6%); attributable profit EGP 358.98mn, 697.49mn, 1.160bn and 3.599bn; earnings per share EGP 3.02 (2024) and 9.49 (2025)</w:t>
            </w:r>
          </w:p>
        </w:tc>
        <w:tc>
          <w:tcPr>
            <w:tcW w:type="dxa" w:w="3053"/>
          </w:tcPr>
          <w:p>
            <w:pPr>
              <w:spacing w:after="20"/>
            </w:pPr>
            <w:r>
              <w:rPr>
                <w:color w:val="1C3A36"/>
                <w:sz w:val="14"/>
              </w:rPr>
              <w:t>Audited consolidated financial statements FY2023-FY2025, Deloitte (Wafik, Ramy &amp; Partners), signed 25 February 2026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Full-year 2025 operating income of EGP 4,595.82mn and a fourth-quarter EBITDA of EGP 1,393.01mn on fourth-quarter sales of EGP 3,645.60mn; trailing gross margin 40.77%</w:t>
            </w:r>
          </w:p>
        </w:tc>
        <w:tc>
          <w:tcPr>
            <w:tcW w:type="dxa" w:w="3053"/>
          </w:tcPr>
          <w:p>
            <w:pPr>
              <w:spacing w:after="20"/>
            </w:pPr>
            <w:r>
              <w:rPr>
                <w:color w:val="1C3A36"/>
                <w:sz w:val="14"/>
              </w:rPr>
              <w:t>Audited consolidated financial statements FY2025 — statement of profit or loss, and notes 5 and 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balance sheet</w:t>
            </w:r>
          </w:p>
        </w:tc>
        <w:tc>
          <w:tcPr>
            <w:tcW w:type="dxa" w:w="5846"/>
          </w:tcPr>
          <w:p>
            <w:pPr>
              <w:spacing w:after="20"/>
            </w:pPr>
            <w:r>
              <w:rPr>
                <w:color w:val="1C3A36"/>
                <w:sz w:val="14"/>
              </w:rPr>
              <w:t>Total assets about EGP 8,783.72mn, total equity about EGP 4,642.73mn, total debt about EGP 1,035.19mn and cash about EGP 3,459.39mn on the latest reported balance sheet — a NET CASH position of roughly EGP 2.42bn</w:t>
            </w:r>
          </w:p>
        </w:tc>
        <w:tc>
          <w:tcPr>
            <w:tcW w:type="dxa" w:w="3053"/>
          </w:tcPr>
          <w:p>
            <w:pPr>
              <w:spacing w:after="20"/>
            </w:pPr>
            <w:r>
              <w:rPr>
                <w:color w:val="1C3A36"/>
                <w:sz w:val="14"/>
              </w:rPr>
              <w:t>Audited consolidated statement of financial position at 31 December 2025 and notes 19, 20, 21, 24 and 25</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recent trading</w:t>
            </w:r>
          </w:p>
        </w:tc>
        <w:tc>
          <w:tcPr>
            <w:tcW w:type="dxa" w:w="5846"/>
          </w:tcPr>
          <w:p>
            <w:pPr>
              <w:spacing w:after="20"/>
            </w:pPr>
            <w:r>
              <w:rPr>
                <w:color w:val="1C3A36"/>
                <w:sz w:val="14"/>
              </w:rPr>
              <w:t>First-quarter 2026 net sales EGP 2.995bn (from 2.554bn) and attributable profit EGP 943.068mn (from 590.347mn), +59.7% year on year, earnings per share EGP 2.50</w:t>
            </w:r>
          </w:p>
        </w:tc>
        <w:tc>
          <w:tcPr>
            <w:tcW w:type="dxa" w:w="3053"/>
          </w:tcPr>
          <w:p>
            <w:pPr>
              <w:spacing w:after="20"/>
            </w:pPr>
            <w:r>
              <w:rPr>
                <w:color w:val="1C3A36"/>
                <w:sz w:val="14"/>
              </w:rPr>
              <w:t>Reviewed condensed consolidated interim financial statements, three months to 31 March 2026, Deloitte, 25 May 2026</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distributions</w:t>
            </w:r>
          </w:p>
        </w:tc>
        <w:tc>
          <w:tcPr>
            <w:tcW w:type="dxa" w:w="5846"/>
          </w:tcPr>
          <w:p>
            <w:pPr>
              <w:spacing w:after="20"/>
            </w:pPr>
            <w:r>
              <w:rPr>
                <w:color w:val="1C3A36"/>
                <w:sz w:val="14"/>
              </w:rPr>
              <w:t>Cash dividends of EGP 1.10bn for 2024 (EGP 2.94 per share) and EGP 2.0bn for 2025 (EGP 5.34 per share), a payout of about 56% of attributable profit</w:t>
            </w:r>
          </w:p>
        </w:tc>
        <w:tc>
          <w:tcPr>
            <w:tcW w:type="dxa" w:w="3053"/>
          </w:tcPr>
          <w:p>
            <w:pPr>
              <w:spacing w:after="20"/>
            </w:pPr>
            <w:r>
              <w:rPr>
                <w:color w:val="1C3A36"/>
                <w:sz w:val="14"/>
              </w:rPr>
              <w:t>Audited FY2025 statements note 28 (general assembly resolution of 2 December 2025) and the Q1-2026 dividends-payable balance</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ownership</w:t>
            </w:r>
          </w:p>
        </w:tc>
        <w:tc>
          <w:tcPr>
            <w:tcW w:type="dxa" w:w="5846"/>
          </w:tcPr>
          <w:p>
            <w:pPr>
              <w:spacing w:after="20"/>
            </w:pPr>
            <w:r>
              <w:rPr>
                <w:color w:val="1C3A36"/>
                <w:sz w:val="14"/>
              </w:rPr>
              <w:t>Aridos Jativa, a Spanish company, owns 60% of the capital. The group also consolidates Andalus Concrete (99.99%), ACC Management and Trading (99%), Evolve for Investment and Project Management — the alternative-fuel arm — and Egypt Green for environmental services, both 99.99%. The company holds 1% of its own capital in treasury, acquired during 2025 under a board approval of 21 July 2025</w:t>
            </w:r>
          </w:p>
        </w:tc>
        <w:tc>
          <w:tcPr>
            <w:tcW w:type="dxa" w:w="3053"/>
          </w:tcPr>
          <w:p>
            <w:pPr>
              <w:spacing w:after="20"/>
            </w:pPr>
            <w:r>
              <w:rPr>
                <w:color w:val="1C3A36"/>
                <w:sz w:val="14"/>
              </w:rPr>
              <w:t>Audited FY2025 statements notes 1, 21 and 24</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decarbonisation and cost position</w:t>
            </w:r>
          </w:p>
        </w:tc>
        <w:tc>
          <w:tcPr>
            <w:tcW w:type="dxa" w:w="5846"/>
          </w:tcPr>
          <w:p>
            <w:pPr>
              <w:spacing w:after="20"/>
            </w:pPr>
            <w:r>
              <w:rPr>
                <w:color w:val="1C3A36"/>
                <w:sz w:val="14"/>
              </w:rPr>
              <w:t>The company is Egypt's alternative-fuel leader — refuse-derived fuel and biomass substitution, a 7.2 MWh solar station commissioned in 2019, baghouse filters and hydrogen injection in 2024, targeting a 120,000-tonne annual emissions reduction — and is advancing supplementary cementitious materials, calcined-clay clinker and a CEM III product with 50% slag</w:t>
            </w:r>
          </w:p>
        </w:tc>
        <w:tc>
          <w:tcPr>
            <w:tcW w:type="dxa" w:w="3053"/>
          </w:tcPr>
          <w:p>
            <w:pPr>
              <w:spacing w:after="20"/>
            </w:pPr>
            <w:r>
              <w:rPr>
                <w:color w:val="1C3A36"/>
                <w:sz w:val="14"/>
              </w:rPr>
              <w:t>Company sustainability disclosure and industry coverage</w:t>
            </w:r>
          </w:p>
        </w:tc>
        <w:tc>
          <w:tcPr>
            <w:tcW w:type="dxa" w:w="1267"/>
          </w:tcPr>
          <w:p>
            <w:pPr>
              <w:spacing w:after="20"/>
            </w:pPr>
            <w:r>
              <w:rPr>
                <w:color w:val="1C3A36"/>
                <w:sz w:val="14"/>
              </w:rPr>
              <w:t>2026-01-01</w:t>
            </w:r>
          </w:p>
        </w:tc>
      </w:tr>
      <w:tr>
        <w:tc>
          <w:tcPr>
            <w:tcW w:type="dxa" w:w="1094"/>
          </w:tcPr>
          <w:p>
            <w:pPr>
              <w:spacing w:after="20"/>
            </w:pPr>
            <w:r>
              <w:rPr>
                <w:color w:val="1C3A36"/>
                <w:sz w:val="14"/>
              </w:rPr>
              <w:t>Company</w:t>
            </w:r>
          </w:p>
        </w:tc>
        <w:tc>
          <w:tcPr>
            <w:tcW w:type="dxa" w:w="2275"/>
          </w:tcPr>
          <w:p>
            <w:pPr>
              <w:spacing w:after="20"/>
            </w:pPr>
            <w:r>
              <w:rPr>
                <w:color w:val="1C3A36"/>
                <w:sz w:val="14"/>
              </w:rPr>
              <w:t>market data</w:t>
            </w:r>
          </w:p>
        </w:tc>
        <w:tc>
          <w:tcPr>
            <w:tcW w:type="dxa" w:w="5846"/>
          </w:tcPr>
          <w:p>
            <w:pPr>
              <w:spacing w:after="20"/>
            </w:pPr>
            <w:r>
              <w:rPr>
                <w:color w:val="1C3A36"/>
                <w:sz w:val="14"/>
              </w:rPr>
              <w:t>Closing price EGP 59.00 on 6 August 2026 (open 58.40, high 59.90, low 58.25) on 374.87mn shares — a market capitalisation of about EGP 22.1bn</w:t>
            </w:r>
          </w:p>
        </w:tc>
        <w:tc>
          <w:tcPr>
            <w:tcW w:type="dxa" w:w="3053"/>
          </w:tcPr>
          <w:p>
            <w:pPr>
              <w:spacing w:after="20"/>
            </w:pPr>
            <w:r>
              <w:rPr>
                <w:color w:val="1C3A36"/>
                <w:sz w:val="14"/>
              </w:rPr>
              <w:t>The supplied EGX daily series; share count corroborated by both dividend distributions</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price behaviour</w:t>
            </w:r>
          </w:p>
        </w:tc>
        <w:tc>
          <w:tcPr>
            <w:tcW w:type="dxa" w:w="5846"/>
          </w:tcPr>
          <w:p>
            <w:pPr>
              <w:spacing w:after="20"/>
            </w:pPr>
            <w:r>
              <w:rPr>
                <w:color w:val="1C3A36"/>
                <w:sz w:val="14"/>
              </w:rPr>
              <w:t>The supplied series runs 2,957 sessions from 18 May 2014 to 6 August 2026 with no placeholder rows, no unadjusted corporate action and a largest single-session move of 18.2% against the exchange's 20% daily limit; the share closes unchanged on 12.2% of sessions against an Egyptian library median of 9.0%</w:t>
            </w:r>
          </w:p>
        </w:tc>
        <w:tc>
          <w:tcPr>
            <w:tcW w:type="dxa" w:w="3053"/>
          </w:tcPr>
          <w:p>
            <w:pPr>
              <w:spacing w:after="20"/>
            </w:pPr>
            <w:r>
              <w:rPr>
                <w:color w:val="1C3A36"/>
                <w:sz w:val="14"/>
              </w:rPr>
              <w:t>House data-quality screen over the supplied series</w:t>
            </w:r>
          </w:p>
        </w:tc>
        <w:tc>
          <w:tcPr>
            <w:tcW w:type="dxa" w:w="1267"/>
          </w:tcPr>
          <w:p>
            <w:pPr>
              <w:spacing w:after="20"/>
            </w:pPr>
            <w:r>
              <w:rPr>
                <w:color w:val="1C3A36"/>
                <w:sz w:val="14"/>
              </w:rPr>
              <w:t>2026-08-06</w:t>
            </w:r>
          </w:p>
        </w:tc>
      </w:tr>
    </w:tbl>
    <w:p>
      <w:pPr>
        <w:spacing w:after="40"/>
      </w:pPr>
    </w:p>
    <w:p>
      <w:pPr>
        <w:spacing w:after="120" w:before="240"/>
      </w:pPr>
      <w:r>
        <w:rPr>
          <w:b/>
          <w:i w:val="0"/>
          <w:color w:val="1C3A36"/>
          <w:sz w:val="30"/>
        </w:rPr>
        <w:t>5  How each forecast driver was set</w:t>
      </w:r>
    </w:p>
    <w:p>
      <w:pPr>
        <w:spacing w:after="100" w:before="0"/>
      </w:pPr>
      <w:r>
        <w:rPr>
          <w:b w:val="0"/>
          <w:i w:val="0"/>
          <w:color w:val="1C3A36"/>
          <w:sz w:val="19"/>
        </w:rPr>
        <w:t>Every driver states whether it was built from the ground up or set from the top down, and names the findings above that it rests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8280"/>
        <w:gridCol w:w="1584"/>
      </w:tblGrid>
      <w:tr>
        <w:tc>
          <w:tcPr>
            <w:tcW w:type="dxa" w:w="2448"/>
            <w:shd w:val="clear" w:color="auto" w:fill="EAF0EE"/>
          </w:tcPr>
          <w:p>
            <w:pPr>
              <w:spacing w:after="20"/>
            </w:pPr>
            <w:r>
              <w:rPr>
                <w:b/>
                <w:color w:val="1C3A36"/>
                <w:sz w:val="15"/>
              </w:rPr>
              <w:t>Driver</w:t>
            </w:r>
          </w:p>
        </w:tc>
        <w:tc>
          <w:tcPr>
            <w:tcW w:type="dxa" w:w="1224"/>
            <w:shd w:val="clear" w:color="auto" w:fill="EAF0EE"/>
          </w:tcPr>
          <w:p>
            <w:pPr>
              <w:spacing w:after="20"/>
            </w:pPr>
            <w:r>
              <w:rPr>
                <w:b/>
                <w:color w:val="1C3A36"/>
                <w:sz w:val="15"/>
              </w:rPr>
              <w:t>Basis</w:t>
            </w:r>
          </w:p>
        </w:tc>
        <w:tc>
          <w:tcPr>
            <w:tcW w:type="dxa" w:w="8280"/>
            <w:shd w:val="clear" w:color="auto" w:fill="EAF0EE"/>
          </w:tcPr>
          <w:p>
            <w:pPr>
              <w:spacing w:after="20"/>
            </w:pPr>
            <w:r>
              <w:rPr>
                <w:b/>
                <w:color w:val="1C3A36"/>
                <w:sz w:val="15"/>
              </w:rPr>
              <w:t>How it was set</w:t>
            </w:r>
          </w:p>
        </w:tc>
        <w:tc>
          <w:tcPr>
            <w:tcW w:type="dxa" w:w="1584"/>
            <w:shd w:val="clear" w:color="auto" w:fill="EAF0EE"/>
          </w:tcPr>
          <w:p>
            <w:pPr>
              <w:spacing w:after="20"/>
            </w:pPr>
            <w:r>
              <w:rPr>
                <w:b/>
                <w:color w:val="1C3A36"/>
                <w:sz w:val="15"/>
              </w:rPr>
              <w:t>Findings</w:t>
            </w:r>
          </w:p>
        </w:tc>
      </w:tr>
      <w:tr>
        <w:tc>
          <w:tcPr>
            <w:tcW w:type="dxa" w:w="2448"/>
          </w:tcPr>
          <w:p>
            <w:pPr>
              <w:spacing w:after="20"/>
            </w:pPr>
            <w:r>
              <w:rPr>
                <w:color w:val="1C3A36"/>
                <w:sz w:val="15"/>
              </w:rPr>
              <w:t>Sales volume (Mt)</w:t>
            </w:r>
          </w:p>
        </w:tc>
        <w:tc>
          <w:tcPr>
            <w:tcW w:type="dxa" w:w="1224"/>
          </w:tcPr>
          <w:p>
            <w:pPr>
              <w:spacing w:after="20"/>
            </w:pPr>
            <w:r>
              <w:rPr>
                <w:color w:val="1C3A36"/>
                <w:sz w:val="15"/>
              </w:rPr>
              <w:t>Bottom Up</w:t>
            </w:r>
          </w:p>
        </w:tc>
        <w:tc>
          <w:tcPr>
            <w:tcW w:type="dxa" w:w="8280"/>
          </w:tcPr>
          <w:p>
            <w:pPr>
              <w:spacing w:after="20"/>
            </w:pPr>
            <w:r>
              <w:rPr>
                <w:color w:val="1C3A36"/>
                <w:sz w:val="15"/>
              </w:rPr>
              <w:t>Built from nameplate cement capacity of about 5.0Mt times a kiln utilisation path, cross-checked two ways: against the disclosed share of Egyptian nominal capacity (about 6% of 76Mt = 4.6Mt) and against sector utilisation of roughly 70%. Quota abolition is the unlock that lets utilisation rise.</w:t>
            </w:r>
          </w:p>
        </w:tc>
        <w:tc>
          <w:tcPr>
            <w:tcW w:type="dxa" w:w="1584"/>
          </w:tcPr>
          <w:p>
            <w:pPr>
              <w:spacing w:after="20"/>
            </w:pPr>
            <w:r>
              <w:rPr>
                <w:color w:val="1C3A36"/>
                <w:sz w:val="15"/>
              </w:rPr>
              <w:t>F17, F10, F13, F11</w:t>
            </w:r>
          </w:p>
        </w:tc>
      </w:tr>
      <w:tr>
        <w:tc>
          <w:tcPr>
            <w:tcW w:type="dxa" w:w="2448"/>
          </w:tcPr>
          <w:p>
            <w:pPr>
              <w:spacing w:after="20"/>
            </w:pPr>
            <w:r>
              <w:rPr>
                <w:color w:val="1C3A36"/>
                <w:sz w:val="15"/>
              </w:rPr>
              <w:t>Realised price (EGP/t)</w:t>
            </w:r>
          </w:p>
        </w:tc>
        <w:tc>
          <w:tcPr>
            <w:tcW w:type="dxa" w:w="1224"/>
          </w:tcPr>
          <w:p>
            <w:pPr>
              <w:spacing w:after="20"/>
            </w:pPr>
            <w:r>
              <w:rPr>
                <w:color w:val="1C3A36"/>
                <w:sz w:val="15"/>
              </w:rPr>
              <w:t>Bottom Up</w:t>
            </w:r>
          </w:p>
        </w:tc>
        <w:tc>
          <w:tcPr>
            <w:tcW w:type="dxa" w:w="8280"/>
          </w:tcPr>
          <w:p>
            <w:pPr>
              <w:spacing w:after="20"/>
            </w:pPr>
            <w:r>
              <w:rPr>
                <w:color w:val="1C3A36"/>
                <w:sz w:val="15"/>
              </w:rPr>
              <w:t>Domestic and export prices are carried separately. The FY2025 domestic price is the level the DISCLOSED revenue implies given the volume build and the export split, so the build ties back to the printed top line rather than asserting a price.</w:t>
            </w:r>
          </w:p>
        </w:tc>
        <w:tc>
          <w:tcPr>
            <w:tcW w:type="dxa" w:w="1584"/>
          </w:tcPr>
          <w:p>
            <w:pPr>
              <w:spacing w:after="20"/>
            </w:pPr>
            <w:r>
              <w:rPr>
                <w:color w:val="1C3A36"/>
                <w:sz w:val="15"/>
              </w:rPr>
              <w:t>F12, F14, F18, F04</w:t>
            </w:r>
          </w:p>
        </w:tc>
      </w:tr>
      <w:tr>
        <w:tc>
          <w:tcPr>
            <w:tcW w:type="dxa" w:w="2448"/>
          </w:tcPr>
          <w:p>
            <w:pPr>
              <w:spacing w:after="20"/>
            </w:pPr>
            <w:r>
              <w:rPr>
                <w:color w:val="1C3A36"/>
                <w:sz w:val="15"/>
              </w:rPr>
              <w:t>Fuel cost and alternative-fuel substitution</w:t>
            </w:r>
          </w:p>
        </w:tc>
        <w:tc>
          <w:tcPr>
            <w:tcW w:type="dxa" w:w="1224"/>
          </w:tcPr>
          <w:p>
            <w:pPr>
              <w:spacing w:after="20"/>
            </w:pPr>
            <w:r>
              <w:rPr>
                <w:color w:val="1C3A36"/>
                <w:sz w:val="15"/>
              </w:rPr>
              <w:t>Bottom Up</w:t>
            </w:r>
          </w:p>
        </w:tc>
        <w:tc>
          <w:tcPr>
            <w:tcW w:type="dxa" w:w="8280"/>
          </w:tcPr>
          <w:p>
            <w:pPr>
              <w:spacing w:after="20"/>
            </w:pPr>
            <w:r>
              <w:rPr>
                <w:color w:val="1C3A36"/>
                <w:sz w:val="15"/>
              </w:rPr>
              <w:t>Thermal energy per tonne of clinker times a blended fuel price, where the blend is the company's own alternative-fuel substitution rate applied between a fossil and a refuse-derived fuel price. This is the company-specific lever and it is modelled as one, not folded into a margin.</w:t>
            </w:r>
          </w:p>
        </w:tc>
        <w:tc>
          <w:tcPr>
            <w:tcW w:type="dxa" w:w="1584"/>
          </w:tcPr>
          <w:p>
            <w:pPr>
              <w:spacing w:after="20"/>
            </w:pPr>
            <w:r>
              <w:rPr>
                <w:color w:val="1C3A36"/>
                <w:sz w:val="15"/>
              </w:rPr>
              <w:t>F24, F02, F15, F07</w:t>
            </w:r>
          </w:p>
        </w:tc>
      </w:tr>
      <w:tr>
        <w:tc>
          <w:tcPr>
            <w:tcW w:type="dxa" w:w="2448"/>
          </w:tcPr>
          <w:p>
            <w:pPr>
              <w:spacing w:after="20"/>
            </w:pPr>
            <w:r>
              <w:rPr>
                <w:color w:val="1C3A36"/>
                <w:sz w:val="15"/>
              </w:rPr>
              <w:t>EBITDA margin</w:t>
            </w:r>
          </w:p>
        </w:tc>
        <w:tc>
          <w:tcPr>
            <w:tcW w:type="dxa" w:w="1224"/>
          </w:tcPr>
          <w:p>
            <w:pPr>
              <w:spacing w:after="20"/>
            </w:pPr>
            <w:r>
              <w:rPr>
                <w:color w:val="1C3A36"/>
                <w:sz w:val="15"/>
              </w:rPr>
              <w:t>Bottom Up</w:t>
            </w:r>
          </w:p>
        </w:tc>
        <w:tc>
          <w:tcPr>
            <w:tcW w:type="dxa" w:w="8280"/>
          </w:tcPr>
          <w:p>
            <w:pPr>
              <w:spacing w:after="20"/>
            </w:pPr>
            <w:r>
              <w:rPr>
                <w:color w:val="1C3A36"/>
                <w:sz w:val="15"/>
              </w:rPr>
              <w:t>An OUTPUT of the physical cost stack, not an input. It glides down from the FY2025 peak on two named, dated mechanisms — 12.6Mt of dormant capacity restarting from 2H-2026, and phased energy-subsidy reform — and is calibrated so the FY2025 reconstruction reproduces the disclosed operating profit.</w:t>
            </w:r>
          </w:p>
        </w:tc>
        <w:tc>
          <w:tcPr>
            <w:tcW w:type="dxa" w:w="1584"/>
          </w:tcPr>
          <w:p>
            <w:pPr>
              <w:spacing w:after="20"/>
            </w:pPr>
            <w:r>
              <w:rPr>
                <w:color w:val="1C3A36"/>
                <w:sz w:val="15"/>
              </w:rPr>
              <w:t>F11, F08, F19, F15</w:t>
            </w:r>
          </w:p>
        </w:tc>
      </w:tr>
      <w:tr>
        <w:tc>
          <w:tcPr>
            <w:tcW w:type="dxa" w:w="2448"/>
          </w:tcPr>
          <w:p>
            <w:pPr>
              <w:spacing w:after="20"/>
            </w:pPr>
            <w:r>
              <w:rPr>
                <w:color w:val="1C3A36"/>
                <w:sz w:val="15"/>
              </w:rPr>
              <w:t>Depreciation and amortisation</w:t>
            </w:r>
          </w:p>
        </w:tc>
        <w:tc>
          <w:tcPr>
            <w:tcW w:type="dxa" w:w="1224"/>
          </w:tcPr>
          <w:p>
            <w:pPr>
              <w:spacing w:after="20"/>
            </w:pPr>
            <w:r>
              <w:rPr>
                <w:color w:val="1C3A36"/>
                <w:sz w:val="15"/>
              </w:rPr>
              <w:t>Top Down</w:t>
            </w:r>
          </w:p>
        </w:tc>
        <w:tc>
          <w:tcPr>
            <w:tcW w:type="dxa" w:w="8280"/>
          </w:tcPr>
          <w:p>
            <w:pPr>
              <w:spacing w:after="20"/>
            </w:pPr>
            <w:r>
              <w:rPr>
                <w:color w:val="1C3A36"/>
                <w:sz w:val="15"/>
              </w:rPr>
              <w:t>No depreciation line is separately disclosed in any retrievable source. It is TRIANGULATED on the sheet by three independent methods — a fourth-quarter EBITDA-margin closure, a peer per-tonne anchor, and a net-property-base estimate times a composite rate — and averaged there rather than asserted.</w:t>
            </w:r>
          </w:p>
        </w:tc>
        <w:tc>
          <w:tcPr>
            <w:tcW w:type="dxa" w:w="1584"/>
          </w:tcPr>
          <w:p>
            <w:pPr>
              <w:spacing w:after="20"/>
            </w:pPr>
            <w:r>
              <w:rPr>
                <w:color w:val="1C3A36"/>
                <w:sz w:val="15"/>
              </w:rPr>
              <w:t>F19, F20</w:t>
            </w:r>
          </w:p>
        </w:tc>
      </w:tr>
      <w:tr>
        <w:tc>
          <w:tcPr>
            <w:tcW w:type="dxa" w:w="2448"/>
          </w:tcPr>
          <w:p>
            <w:pPr>
              <w:spacing w:after="20"/>
            </w:pPr>
            <w:r>
              <w:rPr>
                <w:color w:val="1C3A36"/>
                <w:sz w:val="15"/>
              </w:rPr>
              <w:t>Capital expenditure</w:t>
            </w:r>
          </w:p>
        </w:tc>
        <w:tc>
          <w:tcPr>
            <w:tcW w:type="dxa" w:w="1224"/>
          </w:tcPr>
          <w:p>
            <w:pPr>
              <w:spacing w:after="20"/>
            </w:pPr>
            <w:r>
              <w:rPr>
                <w:color w:val="1C3A36"/>
                <w:sz w:val="15"/>
              </w:rPr>
              <w:t>Top Down</w:t>
            </w:r>
          </w:p>
        </w:tc>
        <w:tc>
          <w:tcPr>
            <w:tcW w:type="dxa" w:w="8280"/>
          </w:tcPr>
          <w:p>
            <w:pPr>
              <w:spacing w:after="20"/>
            </w:pPr>
            <w:r>
              <w:rPr>
                <w:color w:val="1C3A36"/>
                <w:sz w:val="15"/>
              </w:rPr>
              <w:t>No capital-expenditure guidance is obtainable. Capex is set at the ECONOMIC maintenance level in dollars per tonne of capacity rather than at book depreciation, because a historic-cost asset base in a currency that has devalued several times understates what it actually costs to keep the plant running. This is deliberately conservative and is stated as such.</w:t>
            </w:r>
          </w:p>
        </w:tc>
        <w:tc>
          <w:tcPr>
            <w:tcW w:type="dxa" w:w="1584"/>
          </w:tcPr>
          <w:p>
            <w:pPr>
              <w:spacing w:after="20"/>
            </w:pPr>
            <w:r>
              <w:rPr>
                <w:color w:val="1C3A36"/>
                <w:sz w:val="15"/>
              </w:rPr>
              <w:t>F15, F17, F07</w:t>
            </w:r>
          </w:p>
        </w:tc>
      </w:tr>
      <w:tr>
        <w:tc>
          <w:tcPr>
            <w:tcW w:type="dxa" w:w="2448"/>
          </w:tcPr>
          <w:p>
            <w:pPr>
              <w:spacing w:after="20"/>
            </w:pPr>
            <w:r>
              <w:rPr>
                <w:color w:val="1C3A36"/>
                <w:sz w:val="15"/>
              </w:rPr>
              <w:t>Cost of debt and the discount-rate glide</w:t>
            </w:r>
          </w:p>
        </w:tc>
        <w:tc>
          <w:tcPr>
            <w:tcW w:type="dxa" w:w="1224"/>
          </w:tcPr>
          <w:p>
            <w:pPr>
              <w:spacing w:after="20"/>
            </w:pPr>
            <w:r>
              <w:rPr>
                <w:color w:val="1C3A36"/>
                <w:sz w:val="15"/>
              </w:rPr>
              <w:t>Bottom Up</w:t>
            </w:r>
          </w:p>
        </w:tc>
        <w:tc>
          <w:tcPr>
            <w:tcW w:type="dxa" w:w="8280"/>
          </w:tcPr>
          <w:p>
            <w:pPr>
              <w:spacing w:after="20"/>
            </w:pPr>
            <w:r>
              <w:rPr>
                <w:color w:val="1C3A36"/>
                <w:sz w:val="15"/>
              </w:rPr>
              <w:t>The company is NET CASH, so the cost of debt carries almost no weight in the blended rate; the glide SHAPE is inherited from the cost-of-debt path implied by the central bank's own easing calendar rather than invented separately.</w:t>
            </w:r>
          </w:p>
        </w:tc>
        <w:tc>
          <w:tcPr>
            <w:tcW w:type="dxa" w:w="1584"/>
          </w:tcPr>
          <w:p>
            <w:pPr>
              <w:spacing w:after="20"/>
            </w:pPr>
            <w:r>
              <w:rPr>
                <w:color w:val="1C3A36"/>
                <w:sz w:val="15"/>
              </w:rPr>
              <w:t>F05, F20</w:t>
            </w:r>
          </w:p>
        </w:tc>
      </w:tr>
      <w:tr>
        <w:tc>
          <w:tcPr>
            <w:tcW w:type="dxa" w:w="2448"/>
          </w:tcPr>
          <w:p>
            <w:pPr>
              <w:spacing w:after="20"/>
            </w:pPr>
            <w:r>
              <w:rPr>
                <w:color w:val="1C3A36"/>
                <w:sz w:val="15"/>
              </w:rPr>
              <w:t>Terminal risk-free rate</w:t>
            </w:r>
          </w:p>
        </w:tc>
        <w:tc>
          <w:tcPr>
            <w:tcW w:type="dxa" w:w="1224"/>
          </w:tcPr>
          <w:p>
            <w:pPr>
              <w:spacing w:after="20"/>
            </w:pPr>
            <w:r>
              <w:rPr>
                <w:color w:val="1C3A36"/>
                <w:sz w:val="15"/>
              </w:rPr>
              <w:t>Bottom Up</w:t>
            </w:r>
          </w:p>
        </w:tc>
        <w:tc>
          <w:tcPr>
            <w:tcW w:type="dxa" w:w="8280"/>
          </w:tcPr>
          <w:p>
            <w:pPr>
              <w:spacing w:after="20"/>
            </w:pPr>
            <w:r>
              <w:rPr>
                <w:color w:val="1C3A36"/>
                <w:sz w:val="15"/>
              </w:rPr>
              <w:t>Norm-built from the central bank's own published medium-term inflation target plus a standard emerging-market real-rate convention. Never a historical average and never reverse-engineered from a target price.</w:t>
            </w:r>
          </w:p>
        </w:tc>
        <w:tc>
          <w:tcPr>
            <w:tcW w:type="dxa" w:w="1584"/>
          </w:tcPr>
          <w:p>
            <w:pPr>
              <w:spacing w:after="20"/>
            </w:pPr>
            <w:r>
              <w:rPr>
                <w:color w:val="1C3A36"/>
                <w:sz w:val="15"/>
              </w:rPr>
              <w:t>F05</w:t>
            </w:r>
          </w:p>
        </w:tc>
      </w:tr>
      <w:tr>
        <w:tc>
          <w:tcPr>
            <w:tcW w:type="dxa" w:w="2448"/>
          </w:tcPr>
          <w:p>
            <w:pPr>
              <w:spacing w:after="20"/>
            </w:pPr>
            <w:r>
              <w:rPr>
                <w:color w:val="1C3A36"/>
                <w:sz w:val="15"/>
              </w:rPr>
              <w:t>Treasury income</w:t>
            </w:r>
          </w:p>
        </w:tc>
        <w:tc>
          <w:tcPr>
            <w:tcW w:type="dxa" w:w="1224"/>
          </w:tcPr>
          <w:p>
            <w:pPr>
              <w:spacing w:after="20"/>
            </w:pPr>
            <w:r>
              <w:rPr>
                <w:color w:val="1C3A36"/>
                <w:sz w:val="15"/>
              </w:rPr>
              <w:t>Top Down</w:t>
            </w:r>
          </w:p>
        </w:tc>
        <w:tc>
          <w:tcPr>
            <w:tcW w:type="dxa" w:w="8280"/>
          </w:tcPr>
          <w:p>
            <w:pPr>
              <w:spacing w:after="20"/>
            </w:pPr>
            <w:r>
              <w:rPr>
                <w:color w:val="1C3A36"/>
                <w:sz w:val="15"/>
              </w:rPr>
              <w:t>Modelled as a yield on the modelled cash balance. No interest-income line is separately retrievable, so it cannot be built bottom-up. It is excluded from free cash flow to the firm entirely and handled in the equity bridge, so it cannot be double-counted.</w:t>
            </w:r>
          </w:p>
        </w:tc>
        <w:tc>
          <w:tcPr>
            <w:tcW w:type="dxa" w:w="1584"/>
          </w:tcPr>
          <w:p>
            <w:pPr>
              <w:spacing w:after="20"/>
            </w:pPr>
            <w:r>
              <w:rPr>
                <w:color w:val="1C3A36"/>
                <w:sz w:val="15"/>
              </w:rPr>
              <w:t>F20, F05</w:t>
            </w:r>
          </w:p>
        </w:tc>
      </w:tr>
      <w:tr>
        <w:tc>
          <w:tcPr>
            <w:tcW w:type="dxa" w:w="2448"/>
          </w:tcPr>
          <w:p>
            <w:pPr>
              <w:spacing w:after="20"/>
            </w:pPr>
            <w:r>
              <w:rPr>
                <w:color w:val="1C3A36"/>
                <w:sz w:val="15"/>
              </w:rPr>
              <w:t>Terminal growth</w:t>
            </w:r>
          </w:p>
        </w:tc>
        <w:tc>
          <w:tcPr>
            <w:tcW w:type="dxa" w:w="1224"/>
          </w:tcPr>
          <w:p>
            <w:pPr>
              <w:spacing w:after="20"/>
            </w:pPr>
            <w:r>
              <w:rPr>
                <w:color w:val="1C3A36"/>
                <w:sz w:val="15"/>
              </w:rPr>
              <w:t>Bottom Up</w:t>
            </w:r>
          </w:p>
        </w:tc>
        <w:tc>
          <w:tcPr>
            <w:tcW w:type="dxa" w:w="8280"/>
          </w:tcPr>
          <w:p>
            <w:pPr>
              <w:spacing w:after="20"/>
            </w:pPr>
            <w:r>
              <w:rPr>
                <w:color w:val="1C3A36"/>
                <w:sz w:val="15"/>
              </w:rPr>
              <w:t>Held at the 5% house default for an established emerging-market industrial once currency turbulence has passed, sensitised 3-7%, and reconciled against the return on capital that would have to fund it.</w:t>
            </w:r>
          </w:p>
        </w:tc>
        <w:tc>
          <w:tcPr>
            <w:tcW w:type="dxa" w:w="1584"/>
          </w:tcPr>
          <w:p>
            <w:pPr>
              <w:spacing w:after="20"/>
            </w:pPr>
            <w:r>
              <w:rPr>
                <w:color w:val="1C3A36"/>
                <w:sz w:val="15"/>
              </w:rPr>
              <w:t>F05, F15</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