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4.92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27.60%-&gt;18.34%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0.4353, so ours discounts the far end harder. The two work against each other and what is LEFT is this bar, -6.19 a share, which is the number to argue with rather than either convention.</w:t>
      </w:r>
    </w:p>
    <w:p>
      <w:pPr>
        <w:spacing w:after="120" w:before="0"/>
      </w:pPr>
      <w:r>
        <w:rPr>
          <w:b w:val="0"/>
          <w:i w:val="0"/>
          <w:color w:val="1C3A36"/>
          <w:sz w:val="19"/>
        </w:rPr>
        <w:t>Valuation date 1 Jan -&gt; 30 Jun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