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 — the rate reading is that date and is NOT the valuation anchor</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engine/raw_ohlc/EG/SWDY.csv — the repository price library, the same series every other name in this book is struck on</w:t>
            </w:r>
          </w:p>
        </w:tc>
        <w:tc>
          <w:tcPr>
            <w:tcW w:type="dxa" w:w="1368"/>
          </w:tcPr>
          <w:p>
            <w:pPr>
              <w:spacing w:after="20"/>
            </w:pPr>
            <w:r>
              <w:rPr>
                <w:color w:val="1C3A36"/>
                <w:sz w:val="16"/>
              </w:rPr>
              <w:t>read to 2026-09-03, the valuation date</w:t>
            </w:r>
          </w:p>
        </w:tc>
        <w:tc>
          <w:tcPr>
            <w:tcW w:type="dxa" w:w="4680"/>
          </w:tcPr>
          <w:p>
            <w:pPr>
              <w:spacing w:after="20"/>
            </w:pPr>
            <w:r>
              <w:rPr>
                <w:color w:val="1C3A36"/>
                <w:sz w:val="16"/>
              </w:rPr>
              <w:t>The anchor price, the volatility estimate, the moving-average structure, the beta regression and the price distributions. A study-local copy of this series was read in earlier editions and is withdrawn: it ended 5 August 2026 at 105.20 against a library close of 130.00 on the valuation date</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Datagrid's Southland AI data centre via Transpower New Zealand, commissioning late 2027.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the current level is held flat — copper is the largest single input into the Cables segment and a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2026-09-03;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IN THE FILINGS. The company reports only segment revenue (Note 5-3) and segment profit (Note 16) — no volumes, prices or backlog. Its own quarterly earnings releases DO carry cable tonnage and an engineering backlog, and those are read; they are the issuer's own publications but they are not audited</w:t>
            </w:r>
          </w:p>
        </w:tc>
        <w:tc>
          <w:tcPr>
            <w:tcW w:type="dxa" w:w="4464"/>
          </w:tcPr>
          <w:p>
            <w:pPr>
              <w:spacing w:after="20"/>
            </w:pPr>
            <w:r>
              <w:rPr>
                <w:color w:val="1C3A36"/>
                <w:sz w:val="15"/>
              </w:rPr>
              <w:t>Cables is built on the disclosed tonnage series times a copper and currency pass-through measured out of the segment's own audited revenue per tonne — a unit model, on an unaudited issuer disclosure, labelled as such. Constructions and Electrical products taper on their own recent revenue CAGR, because the releases disclose no burn profile for the backlog and the segment aggregates products that no filing splits</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2026-09-03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