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Four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6M Jun-2026</w:t>
            </w:r>
          </w:p>
        </w:tc>
        <w:tc>
          <w:tcPr>
            <w:tcW w:type="dxa" w:w="2520"/>
            <w:shd w:val="clear" w:color="auto" w:fill="F6F1E6"/>
          </w:tcPr>
          <w:p>
            <w:pPr>
              <w:spacing w:after="20"/>
              <w:jc w:val="right"/>
            </w:pPr>
            <w:r>
              <w:rPr>
                <w:b/>
                <w:color w:val="1C3A36"/>
                <w:sz w:val="17"/>
              </w:rPr>
              <w:t>81.8%</w:t>
            </w:r>
          </w:p>
        </w:tc>
        <w:tc>
          <w:tcPr>
            <w:tcW w:type="dxa" w:w="2016"/>
            <w:shd w:val="clear" w:color="auto" w:fill="F6F1E6"/>
          </w:tcPr>
          <w:p>
            <w:pPr>
              <w:spacing w:after="20"/>
              <w:jc w:val="right"/>
            </w:pPr>
            <w:r>
              <w:rPr>
                <w:b/>
                <w:color w:val="1C3A36"/>
                <w:sz w:val="17"/>
              </w:rPr>
              <w:t>2.8%</w:t>
            </w:r>
          </w:p>
        </w:tc>
        <w:tc>
          <w:tcPr>
            <w:tcW w:type="dxa" w:w="2664"/>
            <w:shd w:val="clear" w:color="auto" w:fill="F6F1E6"/>
          </w:tcPr>
          <w:p>
            <w:pPr>
              <w:spacing w:after="20"/>
              <w:jc w:val="right"/>
            </w:pPr>
            <w:r>
              <w:rPr>
                <w:b/>
                <w:color w:val="1C3A36"/>
                <w:sz w:val="17"/>
              </w:rPr>
              <w:t>2.25%</w:t>
            </w:r>
          </w:p>
        </w:tc>
      </w:tr>
      <w:tr>
        <w:tc>
          <w:tcPr>
            <w:tcW w:type="dxa" w:w="2736"/>
          </w:tcPr>
          <w:p>
            <w:pPr>
              <w:spacing w:after="20"/>
            </w:pPr>
            <w:r>
              <w:rPr>
                <w:color w:val="1C3A36"/>
                <w:sz w:val="17"/>
              </w:rPr>
              <w:t>Four-period average</w:t>
            </w:r>
          </w:p>
        </w:tc>
        <w:tc>
          <w:tcPr>
            <w:tcW w:type="dxa" w:w="2520"/>
          </w:tcPr>
          <w:p>
            <w:pPr>
              <w:spacing w:after="20"/>
              <w:jc w:val="right"/>
            </w:pPr>
            <w:r>
              <w:rPr>
                <w:color w:val="1C3A36"/>
                <w:sz w:val="17"/>
              </w:rPr>
            </w:r>
          </w:p>
        </w:tc>
        <w:tc>
          <w:tcPr>
            <w:tcW w:type="dxa" w:w="2016"/>
          </w:tcPr>
          <w:p>
            <w:pPr>
              <w:spacing w:after="20"/>
              <w:jc w:val="right"/>
            </w:pPr>
            <w:r>
              <w:rPr>
                <w:color w:val="1C3A36"/>
                <w:sz w:val="17"/>
              </w:rPr>
              <w:t>0.7%</w:t>
            </w:r>
          </w:p>
        </w:tc>
        <w:tc>
          <w:tcPr>
            <w:tcW w:type="dxa" w:w="2664"/>
          </w:tcPr>
          <w:p>
            <w:pPr>
              <w:spacing w:after="20"/>
              <w:jc w:val="right"/>
            </w:pPr>
            <w:r>
              <w:rPr>
                <w:color w:val="1C3A36"/>
                <w:sz w:val="17"/>
              </w:rPr>
              <w:t>0.88%</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four-period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27.4%</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