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(188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an_gran_nitrogen_pct</w:t>
            </w:r>
          </w:p>
        </w:tc>
        <w:tc>
          <w:tcPr>
            <w:tcW w:type="dxa" w:w="1944"/>
          </w:tcPr>
          <w:p>
            <w:pPr>
              <w:spacing w:after="20"/>
              <w:jc w:val="left"/>
            </w:pPr>
            <w:r>
              <w:rPr>
                <w:color w:val="1C3A36"/>
                <w:sz w:val="14"/>
              </w:rPr>
              <w:t>0.335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 where the product is named by its grade (granulated ammonium nitrate at 33.5% nitrogen)</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2026-09-03</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taken from the house macro path and NOT typed here — the SAME figure terminal growth is set at, so the two cannot drift apart. (This sentence previously described the value as 5%, the central bank's Q4-2028 target, while the path supplies 7%: a 7% value carrying a 5% justification, which is exactly the kind of unfalsifiable typed rate this series does not permit. The value has always come from the path; only the sentence was wrong.)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0.14, 0.105, 0.0825, 0.0725, 0.07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from the single Egyptian inflation path this series uses for every Egyptian company it values (as of 2026-09-02), mapped onto this company's 30 June fiscal year end: each fiscal year takes half of each of the two calendar years it spans, and beyond the path's last published year its long-run rate. That path is 2026 16.0% / 2027 12.0% / 2028 9.0% / 2029 7.5% / 2030 7.0%. No number here is chosen for this study: a company cannot be valued in an economy the study beside it does not recognise, so no valuation in this series sets an inflation rate of its own. Until 3 September 2026 this array read 10.0 / 7.0 / 6.0 / 5.0 / 5.0 and ended at 5% while the same study already took 7% as the long-run rate.</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RETIRED — this series no longer averages its methods — and consumed by nothing. It is kept in the register so a reader of the 01-09-2026 edition can see what changed, and it is recorded here as retired rather than deleted because a number that was published once should stay traceable. THE CENTRAL IS THE CLASS PRIMARY -- the cash-flow lens, which on this company is two-sided -- and every other lens is a cross-check published beside it, never weighted into it. What follows is the description of the retired construction, kept verbatim: Weights of the four lenses in the weighted central the 01-09-2026 edition published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3.95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