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r>
        <w:rPr>
          <w:b/>
          <w:bCs/>
          <w:color w:val="1C3A36"/>
          <w:sz w:val="40"/>
          <w:szCs w:val="40"/>
        </w:rPr>
        <w:t xml:space="preserve">Independent Valuation Study — Educational Analysis</w:t>
      </w:r>
    </w:p>
    <w:p>
      <w:pPr>
        <w:spacing w:after="60"/>
      </w:pPr>
      <w:r>
        <w:rPr>
          <w:b/>
          <w:bCs/>
          <w:color w:val="1C3A36"/>
          <w:sz w:val="32"/>
          <w:szCs w:val="32"/>
        </w:rPr>
        <w:t xml:space="preserve">Agthia Group PJSC  (ADX: AGTHIA)</w:t>
      </w:r>
    </w:p>
    <w:p>
      <w:pPr>
        <w:spacing w:after="160"/>
      </w:pPr>
      <w:r>
        <w:rPr>
          <w:i/>
          <w:iCs/>
          <w:color w:val="6E7B77"/>
          <w:sz w:val="22"/>
          <w:szCs w:val="22"/>
        </w:rPr>
        <w:t xml:space="preserve">Fundamental analysis · Technical analysis · Monte Carlo simulation — one integrated read</w:t>
      </w:r>
    </w:p>
    <w:p>
      <w:pPr>
        <w:spacing w:after="160"/>
      </w:pPr>
      <w:r>
        <w:rPr>
          <w:b/>
          <w:bCs/>
          <w:sz w:val="20"/>
          <w:szCs w:val="20"/>
        </w:rPr>
        <w:t xml:space="preserve">Anchor: </w:t>
      </w:r>
      <w:r>
        <w:rPr>
          <w:sz w:val="20"/>
          <w:szCs w:val="20"/>
        </w:rPr>
        <w:t xml:space="preserve">AED 3.51 (6 Jul 2026 close) · 831.16mn shares · mkt cap ~AED 2.92bn · the ADQ-majority UAE food &amp; beverage platform — Al Ain water, Grand Mills flour and Agrivita feed, Abu Auf / BMB / Al Foah snacking, Nabil and Atyab protein · prices and probabilities computed 6 Jul 2026 from the attached daily history · primary lens: consolidated DCF with a segment sum-of-the-parts cross-check · the Snacking margin reset (green coffee + the Egyptian pound) and the KSA protein ramp are the swing factors. </w:t>
      </w:r>
      <w:r>
        <w:rPr>
          <w:b/>
          <w:bCs/>
          <w:sz w:val="20"/>
          <w:szCs w:val="20"/>
        </w:rPr>
        <w:t xml:space="preserve">Note: the Monte Carlo lens failed its Step 0 calibration test on this name and is presented as INDICATIVE ONLY; the backtest lives on the public calibration ledger.</w:t>
      </w:r>
    </w:p>
    <w:tbl>
      <w:tblPr>
        <w:tblW w:type="dxa" w:w="9360"/>
        <w:tblBorders>
          <w:top w:val="single" w:color="C0A45F" w:sz="4"/>
          <w:left w:val="single" w:color="C0A45F" w:sz="12"/>
          <w:bottom w:val="single" w:color="C0A45F" w:sz="4"/>
          <w:right w:val="single" w:color="C0A45F" w:sz="4"/>
          <w:insideH w:val="single" w:color="auto" w:sz="4"/>
          <w:insideV w:val="single" w:color="auto" w:sz="4"/>
        </w:tblBorders>
      </w:tblPr>
      <w:tblGrid>
        <w:gridCol w:w="9360"/>
      </w:tblGrid>
      <w:tr>
        <w:tc>
          <w:tcPr>
            <w:tcW w:type="dxa" w:w="9360"/>
            <w:shd w:fill="FFFFFF" w:val="clear"/>
            <w:tcMar>
              <w:top w:type="dxa" w:w="60"/>
              <w:left w:type="dxa" w:w="110"/>
              <w:bottom w:type="dxa" w:w="60"/>
              <w:right w:type="dxa" w:w="110"/>
            </w:tcMar>
            <w:vAlign w:val="center"/>
          </w:tcPr>
          <w:p>
            <w:pPr>
              <w:jc w:val="left"/>
            </w:pPr>
            <w:r>
              <w:rPr>
                <w:b/>
                <w:bCs/>
                <w:sz w:val="18"/>
                <w:szCs w:val="18"/>
              </w:rPr>
              <w:t xml:space="preserve">READ FIRST — what this document is, and is not.</w:t>
            </w:r>
            <w:r>
              <w:rPr>
                <w:sz w:val="18"/>
                <w:szCs w:val="18"/>
              </w:rPr>
              <w:t xml:space="preserve">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UAE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(ADX preliminary FY2025 results, 5 March 2026; Q1 2026 release, 12 May 2026); forward-looking inputs — the segment forecasts, the multiples, the DCF, the sleeve costs of equity and the Monte-Carlo factor probabilities — are the preparer’s judgments and are flagged throughout. </w:t>
            </w:r>
            <w:r>
              <w:rPr>
                <w:b/>
                <w:bCs/>
                <w:sz w:val="18"/>
                <w:szCs w:val="18"/>
              </w:rPr>
              <w:t xml:space="preserve">A calibration note:</w:t>
            </w:r>
            <w:r>
              <w:rPr>
                <w:sz w:val="18"/>
                <w:szCs w:val="18"/>
              </w:rPr>
              <w:t xml:space="preserve"> every Testahil study runs a Step 0 backtest before publishing a probabilistic forecast; on AGTHIA the Monte Carlo lens does NOT beat the naïve random-walk benchmark (CRPS skill ≤ 0), so §3 carries an INDICATIVE ONLY · FAILED CALIBRATION TEST flag; the full backtest is published on the Testahil calibration ledger (testahil.com/ledger), not reprinted here. The fundamental work in §1 is unaffected. Consult a licensed financial advisor before any investment decision.</w:t>
            </w:r>
          </w:p>
        </w:tc>
      </w:tr>
    </w:tbl>
    <w:p>
      <w:pPr>
        <w:spacing w:after="60"/>
      </w:pPr>
    </w:p>
    <w:p>
      <w:pPr>
        <w:pStyle w:val="Heading1"/>
      </w:pPr>
      <w:r>
        <w:rPr>
          <w:sz w:val="20"/>
          <w:szCs w:val="20"/>
        </w:rPr>
        <w:t xml:space="preserve">Headline</w:t>
      </w:r>
    </w:p>
    <w:p>
      <w:pPr/>
      <w:r>
        <w:rPr>
          <w:b/>
          <w:bCs/>
          <w:sz w:val="20"/>
          <w:szCs w:val="20"/>
        </w:rPr>
        <w:t xml:space="preserve">The model’s read: meaningfully undervalued on a reset year the market is treating as structural.</w:t>
      </w:r>
      <w:r>
        <w:rPr>
          <w:sz w:val="20"/>
          <w:szCs w:val="20"/>
        </w:rPr>
        <w:t xml:space="preserve"> At AED 3.51 the shares sit about 25% below our weighted central estimate of AED 4.37. Reported FY2025 optics are dreadful — EPS of 0.103, a 34× trailing P/E, EBITDA down 32% — but AED 143mn of the damage is provisions (an Al Foah commercial counterparty, legacy receivables, a JV exit) that management has ring-fenced and taken to court, not lost operating power: underlying EBITDA held at AED 606.8mn (a 12.5% margin) and the first quarter of 2026 has already turned, with revenue +3.3%, EBITDA +4.1% and net profit +12.5% — printed through the March 2026 regional escalation. The four lenses agree in direction and disagree only on magnitude: the DCF anchors at 4.60, the segment SOTP reads 4.24, a conservative relative-multiple read marks the floor at 3.83, and normalized earnings power lands at 4.51. A 6.3% dividend yield — 22.102 fils, stepped up 10% at the half — pays the reader to wait. The whole answer turns on two operating questions: whether Snacking’s margin rebuilds from a written-down 2025 (green coffee and the Egyptian pound are the levers) and whether the KSA protein facility ramps to absorb its fixed-cost base. Technically the tape is soft — below all four moving averages with a negative MACD — and the three-month Monte Carlo centres on spot with a p5–p95 of 2.85–4.31; but that probabilistic lens failed its own calibration test on this name and is shown as indicative only.</w:t>
      </w:r>
    </w:p>
    <w:p>
      <w:pPr>
        <w:pStyle w:val="Heading1"/>
      </w:pPr>
      <w:r>
        <w:rPr>
          <w:sz w:val="20"/>
          <w:szCs w:val="20"/>
        </w:rPr>
        <w:t xml:space="preserve">Valuation summary — every read at a glance</w:t>
      </w:r>
    </w:p>
    <w:p>
      <w:pPr/>
      <w:r>
        <w:rPr>
          <w:sz w:val="20"/>
          <w:szCs w:val="20"/>
        </w:rPr>
        <w:t xml:space="preserve">One table for the four reads that follow — what the business is worth (fundamental), what the tape is doing (technical), where price could travel over three months (Monte Carlo — indicative only on this name), and how three independent expert methods land. Every row is developed in the sections and appendices below.</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360"/>
        <w:gridCol w:w="3100"/>
        <w:gridCol w:w="2200"/>
        <w:gridCol w:w="1700"/>
      </w:tblGrid>
      <w:tr>
        <w:tc>
          <w:tcPr>
            <w:tcW w:type="dxa" w:w="2360"/>
            <w:shd w:fill="1C3A36" w:val="clear"/>
            <w:tcMar>
              <w:top w:type="dxa" w:w="60"/>
              <w:left w:type="dxa" w:w="110"/>
              <w:bottom w:type="dxa" w:w="60"/>
              <w:right w:type="dxa" w:w="110"/>
            </w:tcMar>
            <w:vAlign w:val="center"/>
          </w:tcPr>
          <w:p>
            <w:pPr>
              <w:jc w:val="left"/>
            </w:pPr>
            <w:r>
              <w:rPr>
                <w:b/>
                <w:bCs/>
                <w:color w:val="FFFFFF"/>
                <w:sz w:val="18"/>
                <w:szCs w:val="18"/>
              </w:rPr>
              <w:t xml:space="preserve">Lens / read</w:t>
            </w:r>
          </w:p>
        </w:tc>
        <w:tc>
          <w:tcPr>
            <w:tcW w:type="dxa" w:w="3100"/>
            <w:shd w:fill="1C3A36" w:val="clear"/>
            <w:tcMar>
              <w:top w:type="dxa" w:w="60"/>
              <w:left w:type="dxa" w:w="110"/>
              <w:bottom w:type="dxa" w:w="60"/>
              <w:right w:type="dxa" w:w="110"/>
            </w:tcMar>
            <w:vAlign w:val="center"/>
          </w:tcPr>
          <w:p>
            <w:pPr>
              <w:jc w:val="center"/>
            </w:pPr>
            <w:r>
              <w:rPr>
                <w:b/>
                <w:bCs/>
                <w:color w:val="FFFFFF"/>
                <w:sz w:val="18"/>
                <w:szCs w:val="18"/>
              </w:rPr>
              <w:t xml:space="preserve">What it measures</w:t>
            </w:r>
          </w:p>
        </w:tc>
        <w:tc>
          <w:tcPr>
            <w:tcW w:type="dxa" w:w="2200"/>
            <w:shd w:fill="1C3A36" w:val="clear"/>
            <w:tcMar>
              <w:top w:type="dxa" w:w="60"/>
              <w:left w:type="dxa" w:w="110"/>
              <w:bottom w:type="dxa" w:w="60"/>
              <w:right w:type="dxa" w:w="110"/>
            </w:tcMar>
            <w:vAlign w:val="center"/>
          </w:tcPr>
          <w:p>
            <w:pPr>
              <w:jc w:val="center"/>
            </w:pPr>
            <w:r>
              <w:rPr>
                <w:b/>
                <w:bCs/>
                <w:color w:val="FFFFFF"/>
                <w:sz w:val="18"/>
                <w:szCs w:val="18"/>
              </w:rPr>
              <w:t xml:space="preserve">Output</w:t>
            </w:r>
          </w:p>
        </w:tc>
        <w:tc>
          <w:tcPr>
            <w:tcW w:type="dxa" w:w="1700"/>
            <w:shd w:fill="1C3A36" w:val="clear"/>
            <w:tcMar>
              <w:top w:type="dxa" w:w="60"/>
              <w:left w:type="dxa" w:w="110"/>
              <w:bottom w:type="dxa" w:w="60"/>
              <w:right w:type="dxa" w:w="110"/>
            </w:tcMar>
            <w:vAlign w:val="center"/>
          </w:tcPr>
          <w:p>
            <w:pPr>
              <w:jc w:val="center"/>
            </w:pPr>
            <w:r>
              <w:rPr>
                <w:b/>
                <w:bCs/>
                <w:color w:val="FFFFFF"/>
                <w:sz w:val="18"/>
                <w:szCs w:val="18"/>
              </w:rPr>
              <w:t xml:space="preserve">Takeaway</w:t>
            </w:r>
          </w:p>
        </w:tc>
      </w:tr>
      <w:tr>
        <w:tc>
          <w:tcPr>
            <w:tcW w:type="dxa" w:w="2360"/>
            <w:shd w:fill="F6F1E6" w:val="clear"/>
            <w:tcMar>
              <w:top w:type="dxa" w:w="60"/>
              <w:left w:type="dxa" w:w="110"/>
              <w:bottom w:type="dxa" w:w="60"/>
              <w:right w:type="dxa" w:w="110"/>
            </w:tcMar>
            <w:vAlign w:val="center"/>
          </w:tcPr>
          <w:p>
            <w:pPr>
              <w:jc w:val="left"/>
            </w:pPr>
            <w:r>
              <w:rPr>
                <w:b/>
                <w:bCs/>
                <w:color w:val="896F36"/>
                <w:sz w:val="18"/>
                <w:szCs w:val="18"/>
              </w:rPr>
              <w:t xml:space="preserve">FUNDAMENTAL — what the business is worth (the anchor)</w:t>
            </w:r>
          </w:p>
        </w:tc>
        <w:tc>
          <w:tcPr>
            <w:tcW w:type="dxa" w:w="3100"/>
            <w:shd w:fill="F6F1E6" w:val="clear"/>
            <w:tcMar>
              <w:top w:type="dxa" w:w="60"/>
              <w:left w:type="dxa" w:w="110"/>
              <w:bottom w:type="dxa" w:w="60"/>
              <w:right w:type="dxa" w:w="110"/>
            </w:tcMar>
            <w:vAlign w:val="center"/>
          </w:tcPr>
          <w:p>
            <w:pPr>
              <w:jc w:val="left"/>
            </w:pPr>
          </w:p>
        </w:tc>
        <w:tc>
          <w:tcPr>
            <w:tcW w:type="dxa" w:w="2200"/>
            <w:shd w:fill="F6F1E6" w:val="clear"/>
            <w:tcMar>
              <w:top w:type="dxa" w:w="60"/>
              <w:left w:type="dxa" w:w="110"/>
              <w:bottom w:type="dxa" w:w="60"/>
              <w:right w:type="dxa" w:w="110"/>
            </w:tcMar>
            <w:vAlign w:val="center"/>
          </w:tcPr>
          <w:p>
            <w:pPr>
              <w:jc w:val="left"/>
            </w:pPr>
          </w:p>
        </w:tc>
        <w:tc>
          <w:tcPr>
            <w:tcW w:type="dxa" w:w="1700"/>
            <w:shd w:fill="F6F1E6" w:val="clear"/>
            <w:tcMar>
              <w:top w:type="dxa" w:w="60"/>
              <w:left w:type="dxa" w:w="110"/>
              <w:bottom w:type="dxa" w:w="60"/>
              <w:right w:type="dxa" w:w="110"/>
            </w:tcMar>
            <w:vAlign w:val="center"/>
          </w:tcPr>
          <w:p>
            <w:pPr>
              <w:jc w:val="left"/>
            </w:pPr>
          </w:p>
        </w:tc>
      </w:tr>
      <w:tr>
        <w:tc>
          <w:tcPr>
            <w:tcW w:type="dxa" w:w="2360"/>
            <w:tcMar>
              <w:top w:type="dxa" w:w="60"/>
              <w:left w:type="dxa" w:w="110"/>
              <w:bottom w:type="dxa" w:w="60"/>
              <w:right w:type="dxa" w:w="110"/>
            </w:tcMar>
            <w:vAlign w:val="center"/>
          </w:tcPr>
          <w:p>
            <w:pPr>
              <w:jc w:val="left"/>
            </w:pPr>
            <w:r>
              <w:rPr>
                <w:sz w:val="18"/>
                <w:szCs w:val="18"/>
              </w:rPr>
              <w:t xml:space="preserve">Consolidated DCF (primary)</w:t>
            </w:r>
          </w:p>
        </w:tc>
        <w:tc>
          <w:tcPr>
            <w:tcW w:type="dxa" w:w="3100"/>
            <w:tcMar>
              <w:top w:type="dxa" w:w="60"/>
              <w:left w:type="dxa" w:w="110"/>
              <w:bottom w:type="dxa" w:w="60"/>
              <w:right w:type="dxa" w:w="110"/>
            </w:tcMar>
            <w:vAlign w:val="center"/>
          </w:tcPr>
          <w:p>
            <w:pPr>
              <w:jc w:val="right"/>
            </w:pPr>
            <w:r>
              <w:rPr>
                <w:sz w:val="18"/>
                <w:szCs w:val="18"/>
              </w:rPr>
              <w:t xml:space="preserve">5-yr FCFF at a 10.6% sleeve-built WACC</w:t>
            </w:r>
          </w:p>
        </w:tc>
        <w:tc>
          <w:tcPr>
            <w:tcW w:type="dxa" w:w="2200"/>
            <w:tcMar>
              <w:top w:type="dxa" w:w="60"/>
              <w:left w:type="dxa" w:w="110"/>
              <w:bottom w:type="dxa" w:w="60"/>
              <w:right w:type="dxa" w:w="110"/>
            </w:tcMar>
            <w:vAlign w:val="center"/>
          </w:tcPr>
          <w:p>
            <w:pPr>
              <w:jc w:val="right"/>
            </w:pPr>
            <w:r>
              <w:rPr>
                <w:sz w:val="18"/>
                <w:szCs w:val="18"/>
              </w:rPr>
              <w:t xml:space="preserve">AED 4.60</w:t>
            </w:r>
          </w:p>
        </w:tc>
        <w:tc>
          <w:tcPr>
            <w:tcW w:type="dxa" w:w="1700"/>
            <w:tcMar>
              <w:top w:type="dxa" w:w="60"/>
              <w:left w:type="dxa" w:w="110"/>
              <w:bottom w:type="dxa" w:w="60"/>
              <w:right w:type="dxa" w:w="110"/>
            </w:tcMar>
            <w:vAlign w:val="center"/>
          </w:tcPr>
          <w:p>
            <w:pPr>
              <w:jc w:val="right"/>
            </w:pPr>
            <w:r>
              <w:rPr>
                <w:sz w:val="18"/>
                <w:szCs w:val="18"/>
              </w:rPr>
              <w:t xml:space="preserve">+31% vs spot</w:t>
            </w:r>
          </w:p>
        </w:tc>
      </w:tr>
      <w:tr>
        <w:tc>
          <w:tcPr>
            <w:tcW w:type="dxa" w:w="2360"/>
            <w:tcMar>
              <w:top w:type="dxa" w:w="60"/>
              <w:left w:type="dxa" w:w="110"/>
              <w:bottom w:type="dxa" w:w="60"/>
              <w:right w:type="dxa" w:w="110"/>
            </w:tcMar>
            <w:vAlign w:val="center"/>
          </w:tcPr>
          <w:p>
            <w:pPr>
              <w:jc w:val="left"/>
            </w:pPr>
            <w:r>
              <w:rPr>
                <w:sz w:val="18"/>
                <w:szCs w:val="18"/>
              </w:rPr>
              <w:t xml:space="preserve">Segment SOTP</w:t>
            </w:r>
          </w:p>
        </w:tc>
        <w:tc>
          <w:tcPr>
            <w:tcW w:type="dxa" w:w="3100"/>
            <w:tcMar>
              <w:top w:type="dxa" w:w="60"/>
              <w:left w:type="dxa" w:w="110"/>
              <w:bottom w:type="dxa" w:w="60"/>
              <w:right w:type="dxa" w:w="110"/>
            </w:tcMar>
            <w:vAlign w:val="center"/>
          </w:tcPr>
          <w:p>
            <w:pPr>
              <w:jc w:val="right"/>
            </w:pPr>
            <w:r>
              <w:rPr>
                <w:sz w:val="18"/>
                <w:szCs w:val="18"/>
              </w:rPr>
              <w:t xml:space="preserve">Four segments at class multiples</w:t>
            </w:r>
          </w:p>
        </w:tc>
        <w:tc>
          <w:tcPr>
            <w:tcW w:type="dxa" w:w="2200"/>
            <w:tcMar>
              <w:top w:type="dxa" w:w="60"/>
              <w:left w:type="dxa" w:w="110"/>
              <w:bottom w:type="dxa" w:w="60"/>
              <w:right w:type="dxa" w:w="110"/>
            </w:tcMar>
            <w:vAlign w:val="center"/>
          </w:tcPr>
          <w:p>
            <w:pPr>
              <w:jc w:val="right"/>
            </w:pPr>
            <w:r>
              <w:rPr>
                <w:sz w:val="18"/>
                <w:szCs w:val="18"/>
              </w:rPr>
              <w:t xml:space="preserve">AED 4.24</w:t>
            </w:r>
          </w:p>
        </w:tc>
        <w:tc>
          <w:tcPr>
            <w:tcW w:type="dxa" w:w="1700"/>
            <w:tcMar>
              <w:top w:type="dxa" w:w="60"/>
              <w:left w:type="dxa" w:w="110"/>
              <w:bottom w:type="dxa" w:w="60"/>
              <w:right w:type="dxa" w:w="110"/>
            </w:tcMar>
            <w:vAlign w:val="center"/>
          </w:tcPr>
          <w:p>
            <w:pPr>
              <w:jc w:val="right"/>
            </w:pPr>
            <w:r>
              <w:rPr>
                <w:sz w:val="18"/>
                <w:szCs w:val="18"/>
              </w:rPr>
              <w:t xml:space="preserve">+21%</w:t>
            </w:r>
          </w:p>
        </w:tc>
      </w:tr>
      <w:tr>
        <w:tc>
          <w:tcPr>
            <w:tcW w:type="dxa" w:w="2360"/>
            <w:tcMar>
              <w:top w:type="dxa" w:w="60"/>
              <w:left w:type="dxa" w:w="110"/>
              <w:bottom w:type="dxa" w:w="60"/>
              <w:right w:type="dxa" w:w="110"/>
            </w:tcMar>
            <w:vAlign w:val="center"/>
          </w:tcPr>
          <w:p>
            <w:pPr>
              <w:jc w:val="left"/>
            </w:pPr>
            <w:r>
              <w:rPr>
                <w:sz w:val="18"/>
                <w:szCs w:val="18"/>
              </w:rPr>
              <w:t xml:space="preserve">Relative multiples</w:t>
            </w:r>
          </w:p>
        </w:tc>
        <w:tc>
          <w:tcPr>
            <w:tcW w:type="dxa" w:w="3100"/>
            <w:tcMar>
              <w:top w:type="dxa" w:w="60"/>
              <w:left w:type="dxa" w:w="110"/>
              <w:bottom w:type="dxa" w:w="60"/>
              <w:right w:type="dxa" w:w="110"/>
            </w:tcMar>
            <w:vAlign w:val="center"/>
          </w:tcPr>
          <w:p>
            <w:pPr>
              <w:jc w:val="right"/>
            </w:pPr>
            <w:r>
              <w:rPr>
                <w:sz w:val="18"/>
                <w:szCs w:val="18"/>
              </w:rPr>
              <w:t xml:space="preserve">7.5× FY26E EV/EBITDA</w:t>
            </w:r>
          </w:p>
        </w:tc>
        <w:tc>
          <w:tcPr>
            <w:tcW w:type="dxa" w:w="2200"/>
            <w:tcMar>
              <w:top w:type="dxa" w:w="60"/>
              <w:left w:type="dxa" w:w="110"/>
              <w:bottom w:type="dxa" w:w="60"/>
              <w:right w:type="dxa" w:w="110"/>
            </w:tcMar>
            <w:vAlign w:val="center"/>
          </w:tcPr>
          <w:p>
            <w:pPr>
              <w:jc w:val="right"/>
            </w:pPr>
            <w:r>
              <w:rPr>
                <w:sz w:val="18"/>
                <w:szCs w:val="18"/>
              </w:rPr>
              <w:t xml:space="preserve">AED 3.83</w:t>
            </w:r>
          </w:p>
        </w:tc>
        <w:tc>
          <w:tcPr>
            <w:tcW w:type="dxa" w:w="1700"/>
            <w:tcMar>
              <w:top w:type="dxa" w:w="60"/>
              <w:left w:type="dxa" w:w="110"/>
              <w:bottom w:type="dxa" w:w="60"/>
              <w:right w:type="dxa" w:w="110"/>
            </w:tcMar>
            <w:vAlign w:val="center"/>
          </w:tcPr>
          <w:p>
            <w:pPr>
              <w:jc w:val="right"/>
            </w:pPr>
            <w:r>
              <w:rPr>
                <w:sz w:val="18"/>
                <w:szCs w:val="18"/>
              </w:rPr>
              <w:t xml:space="preserve">+9% · the floor</w:t>
            </w:r>
          </w:p>
        </w:tc>
      </w:tr>
      <w:tr>
        <w:tc>
          <w:tcPr>
            <w:tcW w:type="dxa" w:w="2360"/>
            <w:tcMar>
              <w:top w:type="dxa" w:w="60"/>
              <w:left w:type="dxa" w:w="110"/>
              <w:bottom w:type="dxa" w:w="60"/>
              <w:right w:type="dxa" w:w="110"/>
            </w:tcMar>
            <w:vAlign w:val="center"/>
          </w:tcPr>
          <w:p>
            <w:pPr>
              <w:jc w:val="left"/>
            </w:pPr>
            <w:r>
              <w:rPr>
                <w:sz w:val="18"/>
                <w:szCs w:val="18"/>
              </w:rPr>
              <w:t xml:space="preserve">Normalized earnings</w:t>
            </w:r>
          </w:p>
        </w:tc>
        <w:tc>
          <w:tcPr>
            <w:tcW w:type="dxa" w:w="3100"/>
            <w:tcMar>
              <w:top w:type="dxa" w:w="60"/>
              <w:left w:type="dxa" w:w="110"/>
              <w:bottom w:type="dxa" w:w="60"/>
              <w:right w:type="dxa" w:w="110"/>
            </w:tcMar>
            <w:vAlign w:val="center"/>
          </w:tcPr>
          <w:p>
            <w:pPr>
              <w:jc w:val="right"/>
            </w:pPr>
            <w:r>
              <w:rPr>
                <w:sz w:val="18"/>
                <w:szCs w:val="18"/>
              </w:rPr>
              <w:t xml:space="preserve">Mid-cycle attributable NP × P/E</w:t>
            </w:r>
          </w:p>
        </w:tc>
        <w:tc>
          <w:tcPr>
            <w:tcW w:type="dxa" w:w="2200"/>
            <w:tcMar>
              <w:top w:type="dxa" w:w="60"/>
              <w:left w:type="dxa" w:w="110"/>
              <w:bottom w:type="dxa" w:w="60"/>
              <w:right w:type="dxa" w:w="110"/>
            </w:tcMar>
            <w:vAlign w:val="center"/>
          </w:tcPr>
          <w:p>
            <w:pPr>
              <w:jc w:val="right"/>
            </w:pPr>
            <w:r>
              <w:rPr>
                <w:sz w:val="18"/>
                <w:szCs w:val="18"/>
              </w:rPr>
              <w:t xml:space="preserve">AED 4.51</w:t>
            </w:r>
          </w:p>
        </w:tc>
        <w:tc>
          <w:tcPr>
            <w:tcW w:type="dxa" w:w="1700"/>
            <w:tcMar>
              <w:top w:type="dxa" w:w="60"/>
              <w:left w:type="dxa" w:w="110"/>
              <w:bottom w:type="dxa" w:w="60"/>
              <w:right w:type="dxa" w:w="110"/>
            </w:tcMar>
            <w:vAlign w:val="center"/>
          </w:tcPr>
          <w:p>
            <w:pPr>
              <w:jc w:val="right"/>
            </w:pPr>
            <w:r>
              <w:rPr>
                <w:sz w:val="18"/>
                <w:szCs w:val="18"/>
              </w:rPr>
              <w:t xml:space="preserve">+29%</w:t>
            </w:r>
          </w:p>
        </w:tc>
      </w:tr>
      <w:tr>
        <w:tc>
          <w:tcPr>
            <w:tcW w:type="dxa" w:w="2360"/>
            <w:tcMar>
              <w:top w:type="dxa" w:w="60"/>
              <w:left w:type="dxa" w:w="110"/>
              <w:bottom w:type="dxa" w:w="60"/>
              <w:right w:type="dxa" w:w="110"/>
            </w:tcMar>
            <w:vAlign w:val="center"/>
          </w:tcPr>
          <w:p>
            <w:pPr>
              <w:jc w:val="left"/>
            </w:pPr>
            <w:r>
              <w:rPr>
                <w:b/>
                <w:bCs/>
                <w:sz w:val="18"/>
                <w:szCs w:val="18"/>
              </w:rPr>
              <w:t xml:space="preserve">Weighted central</w:t>
            </w:r>
          </w:p>
        </w:tc>
        <w:tc>
          <w:tcPr>
            <w:tcW w:type="dxa" w:w="3100"/>
            <w:tcMar>
              <w:top w:type="dxa" w:w="60"/>
              <w:left w:type="dxa" w:w="110"/>
              <w:bottom w:type="dxa" w:w="60"/>
              <w:right w:type="dxa" w:w="110"/>
            </w:tcMar>
            <w:vAlign w:val="center"/>
          </w:tcPr>
          <w:p>
            <w:pPr>
              <w:jc w:val="right"/>
            </w:pPr>
            <w:r>
              <w:rPr>
                <w:b/>
                <w:bCs/>
                <w:sz w:val="18"/>
                <w:szCs w:val="18"/>
              </w:rPr>
              <w:t xml:space="preserve">Blend 35 / 25 / 15 / 25</w:t>
            </w:r>
          </w:p>
        </w:tc>
        <w:tc>
          <w:tcPr>
            <w:tcW w:type="dxa" w:w="2200"/>
            <w:tcMar>
              <w:top w:type="dxa" w:w="60"/>
              <w:left w:type="dxa" w:w="110"/>
              <w:bottom w:type="dxa" w:w="60"/>
              <w:right w:type="dxa" w:w="110"/>
            </w:tcMar>
            <w:vAlign w:val="center"/>
          </w:tcPr>
          <w:p>
            <w:pPr>
              <w:jc w:val="right"/>
            </w:pPr>
            <w:r>
              <w:rPr>
                <w:b/>
                <w:bCs/>
                <w:sz w:val="18"/>
                <w:szCs w:val="18"/>
              </w:rPr>
              <w:t xml:space="preserve">AED 4.37</w:t>
            </w:r>
          </w:p>
        </w:tc>
        <w:tc>
          <w:tcPr>
            <w:tcW w:type="dxa" w:w="1700"/>
            <w:tcMar>
              <w:top w:type="dxa" w:w="60"/>
              <w:left w:type="dxa" w:w="110"/>
              <w:bottom w:type="dxa" w:w="60"/>
              <w:right w:type="dxa" w:w="110"/>
            </w:tcMar>
            <w:vAlign w:val="center"/>
          </w:tcPr>
          <w:p>
            <w:pPr>
              <w:jc w:val="right"/>
            </w:pPr>
            <w:r>
              <w:rPr>
                <w:b/>
                <w:bCs/>
                <w:sz w:val="18"/>
                <w:szCs w:val="18"/>
              </w:rPr>
              <w:t xml:space="preserve">+25% vs 3.51</w:t>
            </w:r>
          </w:p>
        </w:tc>
      </w:tr>
      <w:tr>
        <w:tc>
          <w:tcPr>
            <w:tcW w:type="dxa" w:w="2360"/>
            <w:shd w:fill="F6F1E6" w:val="clear"/>
            <w:tcMar>
              <w:top w:type="dxa" w:w="60"/>
              <w:left w:type="dxa" w:w="110"/>
              <w:bottom w:type="dxa" w:w="60"/>
              <w:right w:type="dxa" w:w="110"/>
            </w:tcMar>
            <w:vAlign w:val="center"/>
          </w:tcPr>
          <w:p>
            <w:pPr>
              <w:jc w:val="left"/>
            </w:pPr>
            <w:r>
              <w:rPr>
                <w:b/>
                <w:bCs/>
                <w:color w:val="896F36"/>
                <w:sz w:val="18"/>
                <w:szCs w:val="18"/>
              </w:rPr>
              <w:t xml:space="preserve">TECHNICAL — what the tape is doing (timing, not value)</w:t>
            </w:r>
          </w:p>
        </w:tc>
        <w:tc>
          <w:tcPr>
            <w:tcW w:type="dxa" w:w="3100"/>
            <w:shd w:fill="F6F1E6" w:val="clear"/>
            <w:tcMar>
              <w:top w:type="dxa" w:w="60"/>
              <w:left w:type="dxa" w:w="110"/>
              <w:bottom w:type="dxa" w:w="60"/>
              <w:right w:type="dxa" w:w="110"/>
            </w:tcMar>
            <w:vAlign w:val="center"/>
          </w:tcPr>
          <w:p>
            <w:pPr>
              <w:jc w:val="left"/>
            </w:pPr>
          </w:p>
        </w:tc>
        <w:tc>
          <w:tcPr>
            <w:tcW w:type="dxa" w:w="2200"/>
            <w:shd w:fill="F6F1E6" w:val="clear"/>
            <w:tcMar>
              <w:top w:type="dxa" w:w="60"/>
              <w:left w:type="dxa" w:w="110"/>
              <w:bottom w:type="dxa" w:w="60"/>
              <w:right w:type="dxa" w:w="110"/>
            </w:tcMar>
            <w:vAlign w:val="center"/>
          </w:tcPr>
          <w:p>
            <w:pPr>
              <w:jc w:val="left"/>
            </w:pPr>
          </w:p>
        </w:tc>
        <w:tc>
          <w:tcPr>
            <w:tcW w:type="dxa" w:w="1700"/>
            <w:shd w:fill="F6F1E6" w:val="clear"/>
            <w:tcMar>
              <w:top w:type="dxa" w:w="60"/>
              <w:left w:type="dxa" w:w="110"/>
              <w:bottom w:type="dxa" w:w="60"/>
              <w:right w:type="dxa" w:w="110"/>
            </w:tcMar>
            <w:vAlign w:val="center"/>
          </w:tcPr>
          <w:p>
            <w:pPr>
              <w:jc w:val="left"/>
            </w:pPr>
          </w:p>
        </w:tc>
      </w:tr>
      <w:tr>
        <w:tc>
          <w:tcPr>
            <w:tcW w:type="dxa" w:w="2360"/>
            <w:tcMar>
              <w:top w:type="dxa" w:w="60"/>
              <w:left w:type="dxa" w:w="110"/>
              <w:bottom w:type="dxa" w:w="60"/>
              <w:right w:type="dxa" w:w="110"/>
            </w:tcMar>
            <w:vAlign w:val="center"/>
          </w:tcPr>
          <w:p>
            <w:pPr>
              <w:jc w:val="left"/>
            </w:pPr>
            <w:r>
              <w:rPr>
                <w:sz w:val="18"/>
                <w:szCs w:val="18"/>
              </w:rPr>
              <w:t xml:space="preserve">Trend &amp; momentum</w:t>
            </w:r>
          </w:p>
        </w:tc>
        <w:tc>
          <w:tcPr>
            <w:tcW w:type="dxa" w:w="3100"/>
            <w:tcMar>
              <w:top w:type="dxa" w:w="60"/>
              <w:left w:type="dxa" w:w="110"/>
              <w:bottom w:type="dxa" w:w="60"/>
              <w:right w:type="dxa" w:w="110"/>
            </w:tcMar>
            <w:vAlign w:val="center"/>
          </w:tcPr>
          <w:p>
            <w:pPr>
              <w:jc w:val="right"/>
            </w:pPr>
            <w:r>
              <w:rPr>
                <w:sz w:val="18"/>
                <w:szCs w:val="18"/>
              </w:rPr>
              <w:t xml:space="preserve">Price vs the 20/50/100/200-day averages</w:t>
            </w:r>
          </w:p>
        </w:tc>
        <w:tc>
          <w:tcPr>
            <w:tcW w:type="dxa" w:w="2200"/>
            <w:tcMar>
              <w:top w:type="dxa" w:w="60"/>
              <w:left w:type="dxa" w:w="110"/>
              <w:bottom w:type="dxa" w:w="60"/>
              <w:right w:type="dxa" w:w="110"/>
            </w:tcMar>
            <w:vAlign w:val="center"/>
          </w:tcPr>
          <w:p>
            <w:pPr>
              <w:jc w:val="right"/>
            </w:pPr>
            <w:r>
              <w:rPr>
                <w:sz w:val="18"/>
                <w:szCs w:val="18"/>
              </w:rPr>
              <w:t xml:space="preserve">Below all four</w:t>
            </w:r>
          </w:p>
        </w:tc>
        <w:tc>
          <w:tcPr>
            <w:tcW w:type="dxa" w:w="1700"/>
            <w:tcMar>
              <w:top w:type="dxa" w:w="60"/>
              <w:left w:type="dxa" w:w="110"/>
              <w:bottom w:type="dxa" w:w="60"/>
              <w:right w:type="dxa" w:w="110"/>
            </w:tcMar>
            <w:vAlign w:val="center"/>
          </w:tcPr>
          <w:p>
            <w:pPr>
              <w:jc w:val="right"/>
            </w:pPr>
            <w:r>
              <w:rPr>
                <w:sz w:val="18"/>
                <w:szCs w:val="18"/>
              </w:rPr>
              <w:t xml:space="preserve">Soft, corrective</w:t>
            </w:r>
          </w:p>
        </w:tc>
      </w:tr>
      <w:tr>
        <w:tc>
          <w:tcPr>
            <w:tcW w:type="dxa" w:w="2360"/>
            <w:tcMar>
              <w:top w:type="dxa" w:w="60"/>
              <w:left w:type="dxa" w:w="110"/>
              <w:bottom w:type="dxa" w:w="60"/>
              <w:right w:type="dxa" w:w="110"/>
            </w:tcMar>
            <w:vAlign w:val="center"/>
          </w:tcPr>
          <w:p>
            <w:pPr>
              <w:jc w:val="left"/>
            </w:pPr>
            <w:r>
              <w:rPr>
                <w:sz w:val="18"/>
                <w:szCs w:val="18"/>
              </w:rPr>
              <w:t xml:space="preserve">Momentum / range</w:t>
            </w:r>
          </w:p>
        </w:tc>
        <w:tc>
          <w:tcPr>
            <w:tcW w:type="dxa" w:w="3100"/>
            <w:tcMar>
              <w:top w:type="dxa" w:w="60"/>
              <w:left w:type="dxa" w:w="110"/>
              <w:bottom w:type="dxa" w:w="60"/>
              <w:right w:type="dxa" w:w="110"/>
            </w:tcMar>
            <w:vAlign w:val="center"/>
          </w:tcPr>
          <w:p>
            <w:pPr>
              <w:jc w:val="right"/>
            </w:pPr>
            <w:r>
              <w:rPr>
                <w:sz w:val="18"/>
                <w:szCs w:val="18"/>
              </w:rPr>
              <w:t xml:space="preserve">RSI · MACD · 52-week range</w:t>
            </w:r>
          </w:p>
        </w:tc>
        <w:tc>
          <w:tcPr>
            <w:tcW w:type="dxa" w:w="2200"/>
            <w:tcMar>
              <w:top w:type="dxa" w:w="60"/>
              <w:left w:type="dxa" w:w="110"/>
              <w:bottom w:type="dxa" w:w="60"/>
              <w:right w:type="dxa" w:w="110"/>
            </w:tcMar>
            <w:vAlign w:val="center"/>
          </w:tcPr>
          <w:p>
            <w:pPr>
              <w:jc w:val="right"/>
            </w:pPr>
            <w:r>
              <w:rPr>
                <w:sz w:val="18"/>
                <w:szCs w:val="18"/>
              </w:rPr>
              <w:t xml:space="preserve">RSI 42.9 · MACD hist −0.012 · 3.34–4.37</w:t>
            </w:r>
          </w:p>
        </w:tc>
        <w:tc>
          <w:tcPr>
            <w:tcW w:type="dxa" w:w="1700"/>
            <w:tcMar>
              <w:top w:type="dxa" w:w="60"/>
              <w:left w:type="dxa" w:w="110"/>
              <w:bottom w:type="dxa" w:w="60"/>
              <w:right w:type="dxa" w:w="110"/>
            </w:tcMar>
            <w:vAlign w:val="center"/>
          </w:tcPr>
          <w:p>
            <w:pPr>
              <w:jc w:val="right"/>
            </w:pPr>
            <w:r>
              <w:rPr>
                <w:sz w:val="18"/>
                <w:szCs w:val="18"/>
              </w:rPr>
              <w:t xml:space="preserve">Drifting lower</w:t>
            </w:r>
          </w:p>
        </w:tc>
      </w:tr>
      <w:tr>
        <w:tc>
          <w:tcPr>
            <w:tcW w:type="dxa" w:w="2360"/>
            <w:shd w:fill="F6F1E6" w:val="clear"/>
            <w:tcMar>
              <w:top w:type="dxa" w:w="60"/>
              <w:left w:type="dxa" w:w="110"/>
              <w:bottom w:type="dxa" w:w="60"/>
              <w:right w:type="dxa" w:w="110"/>
            </w:tcMar>
            <w:vAlign w:val="center"/>
          </w:tcPr>
          <w:p>
            <w:pPr>
              <w:jc w:val="left"/>
            </w:pPr>
            <w:r>
              <w:rPr>
                <w:b/>
                <w:bCs/>
                <w:color w:val="896F36"/>
                <w:sz w:val="18"/>
                <w:szCs w:val="18"/>
              </w:rPr>
              <w:t xml:space="preserve">MONTE CARLO — 3-month price paths (INDICATIVE ONLY — failed Step 0)</w:t>
            </w:r>
          </w:p>
        </w:tc>
        <w:tc>
          <w:tcPr>
            <w:tcW w:type="dxa" w:w="3100"/>
            <w:shd w:fill="F6F1E6" w:val="clear"/>
            <w:tcMar>
              <w:top w:type="dxa" w:w="60"/>
              <w:left w:type="dxa" w:w="110"/>
              <w:bottom w:type="dxa" w:w="60"/>
              <w:right w:type="dxa" w:w="110"/>
            </w:tcMar>
            <w:vAlign w:val="center"/>
          </w:tcPr>
          <w:p>
            <w:pPr>
              <w:jc w:val="left"/>
            </w:pPr>
          </w:p>
        </w:tc>
        <w:tc>
          <w:tcPr>
            <w:tcW w:type="dxa" w:w="2200"/>
            <w:shd w:fill="F6F1E6" w:val="clear"/>
            <w:tcMar>
              <w:top w:type="dxa" w:w="60"/>
              <w:left w:type="dxa" w:w="110"/>
              <w:bottom w:type="dxa" w:w="60"/>
              <w:right w:type="dxa" w:w="110"/>
            </w:tcMar>
            <w:vAlign w:val="center"/>
          </w:tcPr>
          <w:p>
            <w:pPr>
              <w:jc w:val="left"/>
            </w:pPr>
          </w:p>
        </w:tc>
        <w:tc>
          <w:tcPr>
            <w:tcW w:type="dxa" w:w="1700"/>
            <w:shd w:fill="F6F1E6" w:val="clear"/>
            <w:tcMar>
              <w:top w:type="dxa" w:w="60"/>
              <w:left w:type="dxa" w:w="110"/>
              <w:bottom w:type="dxa" w:w="60"/>
              <w:right w:type="dxa" w:w="110"/>
            </w:tcMar>
            <w:vAlign w:val="center"/>
          </w:tcPr>
          <w:p>
            <w:pPr>
              <w:jc w:val="left"/>
            </w:pPr>
          </w:p>
        </w:tc>
      </w:tr>
      <w:tr>
        <w:tc>
          <w:tcPr>
            <w:tcW w:type="dxa" w:w="2360"/>
            <w:tcMar>
              <w:top w:type="dxa" w:w="60"/>
              <w:left w:type="dxa" w:w="110"/>
              <w:bottom w:type="dxa" w:w="60"/>
              <w:right w:type="dxa" w:w="110"/>
            </w:tcMar>
            <w:vAlign w:val="center"/>
          </w:tcPr>
          <w:p>
            <w:pPr>
              <w:jc w:val="left"/>
            </w:pPr>
            <w:r>
              <w:rPr>
                <w:sz w:val="18"/>
                <w:szCs w:val="18"/>
              </w:rPr>
              <w:t xml:space="preserve">T+20 sessions</w:t>
            </w:r>
          </w:p>
        </w:tc>
        <w:tc>
          <w:tcPr>
            <w:tcW w:type="dxa" w:w="3100"/>
            <w:tcMar>
              <w:top w:type="dxa" w:w="60"/>
              <w:left w:type="dxa" w:w="110"/>
              <w:bottom w:type="dxa" w:w="60"/>
              <w:right w:type="dxa" w:w="110"/>
            </w:tcMar>
            <w:vAlign w:val="center"/>
          </w:tcPr>
          <w:p>
            <w:pPr>
              <w:jc w:val="right"/>
            </w:pPr>
            <w:r>
              <w:rPr>
                <w:sz w:val="18"/>
                <w:szCs w:val="18"/>
              </w:rPr>
              <w:t xml:space="preserve">50,000 paths · 16 factors</w:t>
            </w:r>
          </w:p>
        </w:tc>
        <w:tc>
          <w:tcPr>
            <w:tcW w:type="dxa" w:w="2200"/>
            <w:tcMar>
              <w:top w:type="dxa" w:w="60"/>
              <w:left w:type="dxa" w:w="110"/>
              <w:bottom w:type="dxa" w:w="60"/>
              <w:right w:type="dxa" w:w="110"/>
            </w:tcMar>
            <w:vAlign w:val="center"/>
          </w:tcPr>
          <w:p>
            <w:pPr>
              <w:jc w:val="right"/>
            </w:pPr>
            <w:r>
              <w:rPr>
                <w:sz w:val="18"/>
                <w:szCs w:val="18"/>
              </w:rPr>
              <w:t xml:space="preserve">p5 3.11 · p50 3.51 · p95 3.95</w:t>
            </w:r>
          </w:p>
        </w:tc>
        <w:tc>
          <w:tcPr>
            <w:tcW w:type="dxa" w:w="1700"/>
            <w:tcMar>
              <w:top w:type="dxa" w:w="60"/>
              <w:left w:type="dxa" w:w="110"/>
              <w:bottom w:type="dxa" w:w="60"/>
              <w:right w:type="dxa" w:w="110"/>
            </w:tcMar>
            <w:vAlign w:val="center"/>
          </w:tcPr>
          <w:p>
            <w:pPr>
              <w:jc w:val="right"/>
            </w:pPr>
            <w:r>
              <w:rPr>
                <w:sz w:val="18"/>
                <w:szCs w:val="18"/>
              </w:rPr>
              <w:t xml:space="preserve">Median ≈ spot</w:t>
            </w:r>
          </w:p>
        </w:tc>
      </w:tr>
      <w:tr>
        <w:tc>
          <w:tcPr>
            <w:tcW w:type="dxa" w:w="2360"/>
            <w:tcMar>
              <w:top w:type="dxa" w:w="60"/>
              <w:left w:type="dxa" w:w="110"/>
              <w:bottom w:type="dxa" w:w="60"/>
              <w:right w:type="dxa" w:w="110"/>
            </w:tcMar>
            <w:vAlign w:val="center"/>
          </w:tcPr>
          <w:p>
            <w:pPr>
              <w:jc w:val="left"/>
            </w:pPr>
            <w:r>
              <w:rPr>
                <w:sz w:val="18"/>
                <w:szCs w:val="18"/>
              </w:rPr>
              <w:t xml:space="preserve">T+60 sessions</w:t>
            </w:r>
          </w:p>
        </w:tc>
        <w:tc>
          <w:tcPr>
            <w:tcW w:type="dxa" w:w="3100"/>
            <w:tcMar>
              <w:top w:type="dxa" w:w="60"/>
              <w:left w:type="dxa" w:w="110"/>
              <w:bottom w:type="dxa" w:w="60"/>
              <w:right w:type="dxa" w:w="110"/>
            </w:tcMar>
            <w:vAlign w:val="center"/>
          </w:tcPr>
          <w:p>
            <w:pPr>
              <w:jc w:val="right"/>
            </w:pPr>
            <w:r>
              <w:rPr>
                <w:sz w:val="18"/>
                <w:szCs w:val="18"/>
              </w:rPr>
              <w:t xml:space="preserve">same engine, longer horizon</w:t>
            </w:r>
          </w:p>
        </w:tc>
        <w:tc>
          <w:tcPr>
            <w:tcW w:type="dxa" w:w="2200"/>
            <w:tcMar>
              <w:top w:type="dxa" w:w="60"/>
              <w:left w:type="dxa" w:w="110"/>
              <w:bottom w:type="dxa" w:w="60"/>
              <w:right w:type="dxa" w:w="110"/>
            </w:tcMar>
            <w:vAlign w:val="center"/>
          </w:tcPr>
          <w:p>
            <w:pPr>
              <w:jc w:val="right"/>
            </w:pPr>
            <w:r>
              <w:rPr>
                <w:sz w:val="18"/>
                <w:szCs w:val="18"/>
              </w:rPr>
              <w:t xml:space="preserve">p5 2.85 · p50 3.52 · p95 4.31</w:t>
            </w:r>
          </w:p>
        </w:tc>
        <w:tc>
          <w:tcPr>
            <w:tcW w:type="dxa" w:w="1700"/>
            <w:tcMar>
              <w:top w:type="dxa" w:w="60"/>
              <w:left w:type="dxa" w:w="110"/>
              <w:bottom w:type="dxa" w:w="60"/>
              <w:right w:type="dxa" w:w="110"/>
            </w:tcMar>
            <w:vAlign w:val="center"/>
          </w:tcPr>
          <w:p>
            <w:pPr>
              <w:jc w:val="right"/>
            </w:pPr>
            <w:r>
              <w:rPr>
                <w:sz w:val="18"/>
                <w:szCs w:val="18"/>
              </w:rPr>
              <w:t xml:space="preserve">Wide, near-even</w:t>
            </w:r>
          </w:p>
        </w:tc>
      </w:tr>
      <w:tr>
        <w:tc>
          <w:tcPr>
            <w:tcW w:type="dxa" w:w="2360"/>
            <w:shd w:fill="F6F1E6" w:val="clear"/>
            <w:tcMar>
              <w:top w:type="dxa" w:w="60"/>
              <w:left w:type="dxa" w:w="110"/>
              <w:bottom w:type="dxa" w:w="60"/>
              <w:right w:type="dxa" w:w="110"/>
            </w:tcMar>
            <w:vAlign w:val="center"/>
          </w:tcPr>
          <w:p>
            <w:pPr>
              <w:jc w:val="left"/>
            </w:pPr>
            <w:r>
              <w:rPr>
                <w:b/>
                <w:bCs/>
                <w:color w:val="896F36"/>
                <w:sz w:val="18"/>
                <w:szCs w:val="18"/>
              </w:rPr>
              <w:t xml:space="preserve">EXPERT PANEL — three independent methods (Appendix C)</w:t>
            </w:r>
          </w:p>
        </w:tc>
        <w:tc>
          <w:tcPr>
            <w:tcW w:type="dxa" w:w="3100"/>
            <w:shd w:fill="F6F1E6" w:val="clear"/>
            <w:tcMar>
              <w:top w:type="dxa" w:w="60"/>
              <w:left w:type="dxa" w:w="110"/>
              <w:bottom w:type="dxa" w:w="60"/>
              <w:right w:type="dxa" w:w="110"/>
            </w:tcMar>
            <w:vAlign w:val="center"/>
          </w:tcPr>
          <w:p>
            <w:pPr>
              <w:jc w:val="left"/>
            </w:pPr>
          </w:p>
        </w:tc>
        <w:tc>
          <w:tcPr>
            <w:tcW w:type="dxa" w:w="2200"/>
            <w:shd w:fill="F6F1E6" w:val="clear"/>
            <w:tcMar>
              <w:top w:type="dxa" w:w="60"/>
              <w:left w:type="dxa" w:w="110"/>
              <w:bottom w:type="dxa" w:w="60"/>
              <w:right w:type="dxa" w:w="110"/>
            </w:tcMar>
            <w:vAlign w:val="center"/>
          </w:tcPr>
          <w:p>
            <w:pPr>
              <w:jc w:val="left"/>
            </w:pPr>
          </w:p>
        </w:tc>
        <w:tc>
          <w:tcPr>
            <w:tcW w:type="dxa" w:w="1700"/>
            <w:shd w:fill="F6F1E6" w:val="clear"/>
            <w:tcMar>
              <w:top w:type="dxa" w:w="60"/>
              <w:left w:type="dxa" w:w="110"/>
              <w:bottom w:type="dxa" w:w="60"/>
              <w:right w:type="dxa" w:w="110"/>
            </w:tcMar>
            <w:vAlign w:val="center"/>
          </w:tcPr>
          <w:p>
            <w:pPr>
              <w:jc w:val="left"/>
            </w:pPr>
          </w:p>
        </w:tc>
      </w:tr>
      <w:tr>
        <w:tc>
          <w:tcPr>
            <w:tcW w:type="dxa" w:w="2360"/>
            <w:tcMar>
              <w:top w:type="dxa" w:w="60"/>
              <w:left w:type="dxa" w:w="110"/>
              <w:bottom w:type="dxa" w:w="60"/>
              <w:right w:type="dxa" w:w="110"/>
            </w:tcMar>
            <w:vAlign w:val="center"/>
          </w:tcPr>
          <w:p>
            <w:pPr>
              <w:jc w:val="left"/>
            </w:pPr>
            <w:r>
              <w:rPr>
                <w:sz w:val="18"/>
                <w:szCs w:val="18"/>
              </w:rPr>
              <w:t xml:space="preserve">Expert 1 — normalized earnings power</w:t>
            </w:r>
          </w:p>
        </w:tc>
        <w:tc>
          <w:tcPr>
            <w:tcW w:type="dxa" w:w="3100"/>
            <w:tcMar>
              <w:top w:type="dxa" w:w="60"/>
              <w:left w:type="dxa" w:w="110"/>
              <w:bottom w:type="dxa" w:w="60"/>
              <w:right w:type="dxa" w:w="110"/>
            </w:tcMar>
            <w:vAlign w:val="center"/>
          </w:tcPr>
          <w:p>
            <w:pPr>
              <w:jc w:val="right"/>
            </w:pPr>
            <w:r>
              <w:rPr>
                <w:sz w:val="18"/>
                <w:szCs w:val="18"/>
              </w:rPr>
              <w:t xml:space="preserve">Mid-cycle NP × justified P/E</w:t>
            </w:r>
          </w:p>
        </w:tc>
        <w:tc>
          <w:tcPr>
            <w:tcW w:type="dxa" w:w="2200"/>
            <w:tcMar>
              <w:top w:type="dxa" w:w="60"/>
              <w:left w:type="dxa" w:w="110"/>
              <w:bottom w:type="dxa" w:w="60"/>
              <w:right w:type="dxa" w:w="110"/>
            </w:tcMar>
            <w:vAlign w:val="center"/>
          </w:tcPr>
          <w:p>
            <w:pPr>
              <w:jc w:val="right"/>
            </w:pPr>
            <w:r>
              <w:rPr>
                <w:sz w:val="18"/>
                <w:szCs w:val="18"/>
              </w:rPr>
              <w:t xml:space="preserve">AED 4.51</w:t>
            </w:r>
          </w:p>
        </w:tc>
        <w:tc>
          <w:tcPr>
            <w:tcW w:type="dxa" w:w="1700"/>
            <w:tcMar>
              <w:top w:type="dxa" w:w="60"/>
              <w:left w:type="dxa" w:w="110"/>
              <w:bottom w:type="dxa" w:w="60"/>
              <w:right w:type="dxa" w:w="110"/>
            </w:tcMar>
            <w:vAlign w:val="center"/>
          </w:tcPr>
          <w:p>
            <w:pPr>
              <w:jc w:val="right"/>
            </w:pPr>
            <w:r>
              <w:rPr>
                <w:sz w:val="18"/>
                <w:szCs w:val="18"/>
              </w:rPr>
              <w:t xml:space="preserve">Most constructive</w:t>
            </w:r>
          </w:p>
        </w:tc>
      </w:tr>
      <w:tr>
        <w:tc>
          <w:tcPr>
            <w:tcW w:type="dxa" w:w="2360"/>
            <w:tcMar>
              <w:top w:type="dxa" w:w="60"/>
              <w:left w:type="dxa" w:w="110"/>
              <w:bottom w:type="dxa" w:w="60"/>
              <w:right w:type="dxa" w:w="110"/>
            </w:tcMar>
            <w:vAlign w:val="center"/>
          </w:tcPr>
          <w:p>
            <w:pPr>
              <w:jc w:val="left"/>
            </w:pPr>
            <w:r>
              <w:rPr>
                <w:sz w:val="18"/>
                <w:szCs w:val="18"/>
              </w:rPr>
              <w:t xml:space="preserve">Expert 2 — cash &amp; balance-sheet audit</w:t>
            </w:r>
          </w:p>
        </w:tc>
        <w:tc>
          <w:tcPr>
            <w:tcW w:type="dxa" w:w="3100"/>
            <w:tcMar>
              <w:top w:type="dxa" w:w="60"/>
              <w:left w:type="dxa" w:w="110"/>
              <w:bottom w:type="dxa" w:w="60"/>
              <w:right w:type="dxa" w:w="110"/>
            </w:tcMar>
            <w:vAlign w:val="center"/>
          </w:tcPr>
          <w:p>
            <w:pPr>
              <w:jc w:val="right"/>
            </w:pPr>
            <w:r>
              <w:rPr>
                <w:sz w:val="18"/>
                <w:szCs w:val="18"/>
              </w:rPr>
              <w:t xml:space="preserve">Capitalized sustainable FCFE</w:t>
            </w:r>
          </w:p>
        </w:tc>
        <w:tc>
          <w:tcPr>
            <w:tcW w:type="dxa" w:w="2200"/>
            <w:tcMar>
              <w:top w:type="dxa" w:w="60"/>
              <w:left w:type="dxa" w:w="110"/>
              <w:bottom w:type="dxa" w:w="60"/>
              <w:right w:type="dxa" w:w="110"/>
            </w:tcMar>
            <w:vAlign w:val="center"/>
          </w:tcPr>
          <w:p>
            <w:pPr>
              <w:jc w:val="right"/>
            </w:pPr>
            <w:r>
              <w:rPr>
                <w:sz w:val="18"/>
                <w:szCs w:val="18"/>
              </w:rPr>
              <w:t xml:space="preserve">AED 3.62</w:t>
            </w:r>
          </w:p>
        </w:tc>
        <w:tc>
          <w:tcPr>
            <w:tcW w:type="dxa" w:w="1700"/>
            <w:tcMar>
              <w:top w:type="dxa" w:w="60"/>
              <w:left w:type="dxa" w:w="110"/>
              <w:bottom w:type="dxa" w:w="60"/>
              <w:right w:type="dxa" w:w="110"/>
            </w:tcMar>
            <w:vAlign w:val="center"/>
          </w:tcPr>
          <w:p>
            <w:pPr>
              <w:jc w:val="right"/>
            </w:pPr>
            <w:r>
              <w:rPr>
                <w:sz w:val="18"/>
                <w:szCs w:val="18"/>
              </w:rPr>
              <w:t xml:space="preserve">Most conservative</w:t>
            </w:r>
          </w:p>
        </w:tc>
      </w:tr>
      <w:tr>
        <w:tc>
          <w:tcPr>
            <w:tcW w:type="dxa" w:w="2360"/>
            <w:tcMar>
              <w:top w:type="dxa" w:w="60"/>
              <w:left w:type="dxa" w:w="110"/>
              <w:bottom w:type="dxa" w:w="60"/>
              <w:right w:type="dxa" w:w="110"/>
            </w:tcMar>
            <w:vAlign w:val="center"/>
          </w:tcPr>
          <w:p>
            <w:pPr>
              <w:jc w:val="left"/>
            </w:pPr>
            <w:r>
              <w:rPr>
                <w:sz w:val="18"/>
                <w:szCs w:val="18"/>
              </w:rPr>
              <w:t xml:space="preserve">Expert 3 — macro-policy sleeves</w:t>
            </w:r>
          </w:p>
        </w:tc>
        <w:tc>
          <w:tcPr>
            <w:tcW w:type="dxa" w:w="3100"/>
            <w:tcMar>
              <w:top w:type="dxa" w:w="60"/>
              <w:left w:type="dxa" w:w="110"/>
              <w:bottom w:type="dxa" w:w="60"/>
              <w:right w:type="dxa" w:w="110"/>
            </w:tcMar>
            <w:vAlign w:val="center"/>
          </w:tcPr>
          <w:p>
            <w:pPr>
              <w:jc w:val="right"/>
            </w:pPr>
            <w:r>
              <w:rPr>
                <w:sz w:val="18"/>
                <w:szCs w:val="18"/>
              </w:rPr>
              <w:t xml:space="preserve">Two-currency, policy-weighted NAV</w:t>
            </w:r>
          </w:p>
        </w:tc>
        <w:tc>
          <w:tcPr>
            <w:tcW w:type="dxa" w:w="2200"/>
            <w:tcMar>
              <w:top w:type="dxa" w:w="60"/>
              <w:left w:type="dxa" w:w="110"/>
              <w:bottom w:type="dxa" w:w="60"/>
              <w:right w:type="dxa" w:w="110"/>
            </w:tcMar>
            <w:vAlign w:val="center"/>
          </w:tcPr>
          <w:p>
            <w:pPr>
              <w:jc w:val="right"/>
            </w:pPr>
            <w:r>
              <w:rPr>
                <w:sz w:val="18"/>
                <w:szCs w:val="18"/>
              </w:rPr>
              <w:t xml:space="preserve">AED 4.15</w:t>
            </w:r>
          </w:p>
        </w:tc>
        <w:tc>
          <w:tcPr>
            <w:tcW w:type="dxa" w:w="1700"/>
            <w:tcMar>
              <w:top w:type="dxa" w:w="60"/>
              <w:left w:type="dxa" w:w="110"/>
              <w:bottom w:type="dxa" w:w="60"/>
              <w:right w:type="dxa" w:w="110"/>
            </w:tcMar>
            <w:vAlign w:val="center"/>
          </w:tcPr>
          <w:p>
            <w:pPr>
              <w:jc w:val="right"/>
            </w:pPr>
            <w:r>
              <w:rPr>
                <w:sz w:val="18"/>
                <w:szCs w:val="18"/>
              </w:rPr>
              <w:t xml:space="preserve">The bridge</w:t>
            </w:r>
          </w:p>
        </w:tc>
      </w:tr>
      <w:tr>
        <w:tc>
          <w:tcPr>
            <w:tcW w:type="dxa" w:w="2360"/>
            <w:tcMar>
              <w:top w:type="dxa" w:w="60"/>
              <w:left w:type="dxa" w:w="110"/>
              <w:bottom w:type="dxa" w:w="60"/>
              <w:right w:type="dxa" w:w="110"/>
            </w:tcMar>
            <w:vAlign w:val="center"/>
          </w:tcPr>
          <w:p>
            <w:pPr>
              <w:jc w:val="left"/>
            </w:pPr>
            <w:r>
              <w:rPr>
                <w:b/>
                <w:bCs/>
                <w:sz w:val="18"/>
                <w:szCs w:val="18"/>
              </w:rPr>
              <w:t xml:space="preserve">Panel range</w:t>
            </w:r>
          </w:p>
        </w:tc>
        <w:tc>
          <w:tcPr>
            <w:tcW w:type="dxa" w:w="3100"/>
            <w:tcMar>
              <w:top w:type="dxa" w:w="60"/>
              <w:left w:type="dxa" w:w="110"/>
              <w:bottom w:type="dxa" w:w="60"/>
              <w:right w:type="dxa" w:w="110"/>
            </w:tcMar>
            <w:vAlign w:val="center"/>
          </w:tcPr>
          <w:p>
            <w:pPr>
              <w:jc w:val="right"/>
            </w:pPr>
            <w:r>
              <w:rPr>
                <w:b/>
                <w:bCs/>
                <w:sz w:val="18"/>
                <w:szCs w:val="18"/>
              </w:rPr>
              <w:t xml:space="preserve">Spread = the reset question</w:t>
            </w:r>
          </w:p>
        </w:tc>
        <w:tc>
          <w:tcPr>
            <w:tcW w:type="dxa" w:w="2200"/>
            <w:tcMar>
              <w:top w:type="dxa" w:w="60"/>
              <w:left w:type="dxa" w:w="110"/>
              <w:bottom w:type="dxa" w:w="60"/>
              <w:right w:type="dxa" w:w="110"/>
            </w:tcMar>
            <w:vAlign w:val="center"/>
          </w:tcPr>
          <w:p>
            <w:pPr>
              <w:jc w:val="right"/>
            </w:pPr>
            <w:r>
              <w:rPr>
                <w:b/>
                <w:bCs/>
                <w:sz w:val="18"/>
                <w:szCs w:val="18"/>
              </w:rPr>
              <w:t xml:space="preserve">3.62–4.51</w:t>
            </w:r>
          </w:p>
        </w:tc>
        <w:tc>
          <w:tcPr>
            <w:tcW w:type="dxa" w:w="1700"/>
            <w:tcMar>
              <w:top w:type="dxa" w:w="60"/>
              <w:left w:type="dxa" w:w="110"/>
              <w:bottom w:type="dxa" w:w="60"/>
              <w:right w:type="dxa" w:w="110"/>
            </w:tcMar>
            <w:vAlign w:val="center"/>
          </w:tcPr>
          <w:p>
            <w:pPr>
              <w:jc w:val="right"/>
            </w:pPr>
            <w:r>
              <w:rPr>
                <w:b/>
                <w:bCs/>
                <w:sz w:val="18"/>
                <w:szCs w:val="18"/>
              </w:rPr>
              <w:t xml:space="preserve">Centres ~4.09</w:t>
            </w:r>
          </w:p>
        </w:tc>
      </w:tr>
    </w:tbl>
    <w:p>
      <w:pPr>
        <w:spacing w:after="60"/>
      </w:pPr>
    </w:p>
    <w:p>
      <w:pPr/>
      <w:r>
        <w:rPr>
          <w:b/>
          <w:bCs/>
          <w:sz w:val="20"/>
          <w:szCs w:val="20"/>
        </w:rPr>
        <w:t xml:space="preserve">Bottom line.</w:t>
      </w:r>
      <w:r>
        <w:rPr>
          <w:sz w:val="20"/>
          <w:szCs w:val="20"/>
        </w:rPr>
        <w:t xml:space="preserve"> Every read points the same way on value and disagrees only on magnitude. The fundamental central sits near AED 4.37 — about 25% above the AED 3.51 spot — the three experts span 3.62–4.51, and each turns on the same question: whether the FY2025 write-downs were the cost of resetting the portfolio or the first symptom of a lower-quality one. The technical tape is the lone dissenter, soft and below trend, which is why the three-month distribution centres near spot rather than at fair value — and that distribution itself carries a failed-calibration flag on this name.</w:t>
      </w:r>
    </w:p>
    <w:p>
      <w:pPr>
        <w:pStyle w:val="Heading1"/>
      </w:pPr>
      <w:r>
        <w:rPr>
          <w:sz w:val="20"/>
          <w:szCs w:val="20"/>
        </w:rPr>
        <w:t xml:space="preserve">Company overview — Agthia at a glance</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900"/>
        <w:gridCol w:w="6460"/>
      </w:tblGrid>
      <w:tr>
        <w:tc>
          <w:tcPr>
            <w:tcW w:type="dxa" w:w="2900"/>
            <w:shd w:fill="1C3A36" w:val="clear"/>
            <w:tcMar>
              <w:top w:type="dxa" w:w="60"/>
              <w:left w:type="dxa" w:w="110"/>
              <w:bottom w:type="dxa" w:w="60"/>
              <w:right w:type="dxa" w:w="110"/>
            </w:tcMar>
            <w:vAlign w:val="center"/>
          </w:tcPr>
          <w:p>
            <w:pPr>
              <w:jc w:val="left"/>
            </w:pPr>
            <w:r>
              <w:rPr>
                <w:b/>
                <w:bCs/>
                <w:color w:val="FFFFFF"/>
                <w:sz w:val="18"/>
                <w:szCs w:val="18"/>
              </w:rPr>
              <w:t xml:space="preserve">Item</w:t>
            </w:r>
          </w:p>
        </w:tc>
        <w:tc>
          <w:tcPr>
            <w:tcW w:type="dxa" w:w="6460"/>
            <w:shd w:fill="1C3A36" w:val="clear"/>
            <w:tcMar>
              <w:top w:type="dxa" w:w="60"/>
              <w:left w:type="dxa" w:w="110"/>
              <w:bottom w:type="dxa" w:w="60"/>
              <w:right w:type="dxa" w:w="110"/>
            </w:tcMar>
            <w:vAlign w:val="center"/>
          </w:tcPr>
          <w:p>
            <w:pPr>
              <w:jc w:val="center"/>
            </w:pPr>
            <w:r>
              <w:rPr>
                <w:b/>
                <w:bCs/>
                <w:color w:val="FFFFFF"/>
                <w:sz w:val="18"/>
                <w:szCs w:val="18"/>
              </w:rPr>
              <w:t xml:space="preserve">Value</w:t>
            </w:r>
          </w:p>
        </w:tc>
      </w:tr>
      <w:tr>
        <w:tc>
          <w:tcPr>
            <w:tcW w:type="dxa" w:w="2900"/>
            <w:tcMar>
              <w:top w:type="dxa" w:w="60"/>
              <w:left w:type="dxa" w:w="110"/>
              <w:bottom w:type="dxa" w:w="60"/>
              <w:right w:type="dxa" w:w="110"/>
            </w:tcMar>
            <w:vAlign w:val="center"/>
          </w:tcPr>
          <w:p>
            <w:pPr>
              <w:jc w:val="left"/>
            </w:pPr>
            <w:r>
              <w:rPr>
                <w:sz w:val="18"/>
                <w:szCs w:val="18"/>
              </w:rPr>
              <w:t xml:space="preserve">Listed entity</w:t>
            </w:r>
          </w:p>
        </w:tc>
        <w:tc>
          <w:tcPr>
            <w:tcW w:type="dxa" w:w="6460"/>
            <w:tcMar>
              <w:top w:type="dxa" w:w="60"/>
              <w:left w:type="dxa" w:w="110"/>
              <w:bottom w:type="dxa" w:w="60"/>
              <w:right w:type="dxa" w:w="110"/>
            </w:tcMar>
            <w:vAlign w:val="center"/>
          </w:tcPr>
          <w:p>
            <w:pPr>
              <w:jc w:val="right"/>
            </w:pPr>
            <w:r>
              <w:rPr>
                <w:sz w:val="18"/>
                <w:szCs w:val="18"/>
              </w:rPr>
              <w:t xml:space="preserve">Agthia Group PJSC (ADX: AGTHIA) · est. 2004, Abu Dhabi</w:t>
            </w:r>
          </w:p>
        </w:tc>
      </w:tr>
      <w:tr>
        <w:tc>
          <w:tcPr>
            <w:tcW w:type="dxa" w:w="2900"/>
            <w:tcMar>
              <w:top w:type="dxa" w:w="60"/>
              <w:left w:type="dxa" w:w="110"/>
              <w:bottom w:type="dxa" w:w="60"/>
              <w:right w:type="dxa" w:w="110"/>
            </w:tcMar>
            <w:vAlign w:val="center"/>
          </w:tcPr>
          <w:p>
            <w:pPr>
              <w:jc w:val="left"/>
            </w:pPr>
            <w:r>
              <w:rPr>
                <w:sz w:val="18"/>
                <w:szCs w:val="18"/>
              </w:rPr>
              <w:t xml:space="preserve">What it owns</w:t>
            </w:r>
          </w:p>
        </w:tc>
        <w:tc>
          <w:tcPr>
            <w:tcW w:type="dxa" w:w="6460"/>
            <w:tcMar>
              <w:top w:type="dxa" w:w="60"/>
              <w:left w:type="dxa" w:w="110"/>
              <w:bottom w:type="dxa" w:w="60"/>
              <w:right w:type="dxa" w:w="110"/>
            </w:tcMar>
            <w:vAlign w:val="center"/>
          </w:tcPr>
          <w:p>
            <w:pPr>
              <w:jc w:val="right"/>
            </w:pPr>
            <w:r>
              <w:rPr>
                <w:sz w:val="18"/>
                <w:szCs w:val="18"/>
              </w:rPr>
              <w:t xml:space="preserve">Water &amp; Food (Al Ain, VOSS UAE, Riviere HOS) · Agri-Business (Grand Mills flour, Agrivita feed) · Snacking (Abu Auf, BMB, Al Foah dates) · Protein &amp; Frozen (Nabil, Atyab, Chicketita + KSA plant)</w:t>
            </w:r>
          </w:p>
        </w:tc>
      </w:tr>
      <w:tr>
        <w:tc>
          <w:tcPr>
            <w:tcW w:type="dxa" w:w="2900"/>
            <w:tcMar>
              <w:top w:type="dxa" w:w="60"/>
              <w:left w:type="dxa" w:w="110"/>
              <w:bottom w:type="dxa" w:w="60"/>
              <w:right w:type="dxa" w:w="110"/>
            </w:tcMar>
            <w:vAlign w:val="center"/>
          </w:tcPr>
          <w:p>
            <w:pPr>
              <w:jc w:val="left"/>
            </w:pPr>
            <w:r>
              <w:rPr>
                <w:sz w:val="18"/>
                <w:szCs w:val="18"/>
              </w:rPr>
              <w:t xml:space="preserve">Spot / date</w:t>
            </w:r>
          </w:p>
        </w:tc>
        <w:tc>
          <w:tcPr>
            <w:tcW w:type="dxa" w:w="6460"/>
            <w:tcMar>
              <w:top w:type="dxa" w:w="60"/>
              <w:left w:type="dxa" w:w="110"/>
              <w:bottom w:type="dxa" w:w="60"/>
              <w:right w:type="dxa" w:w="110"/>
            </w:tcMar>
            <w:vAlign w:val="center"/>
          </w:tcPr>
          <w:p>
            <w:pPr>
              <w:jc w:val="right"/>
            </w:pPr>
            <w:r>
              <w:rPr>
                <w:sz w:val="18"/>
                <w:szCs w:val="18"/>
              </w:rPr>
              <w:t xml:space="preserve">AED 3.51 · 6 Jul 2026 close</w:t>
            </w:r>
          </w:p>
        </w:tc>
      </w:tr>
      <w:tr>
        <w:tc>
          <w:tcPr>
            <w:tcW w:type="dxa" w:w="2900"/>
            <w:tcMar>
              <w:top w:type="dxa" w:w="60"/>
              <w:left w:type="dxa" w:w="110"/>
              <w:bottom w:type="dxa" w:w="60"/>
              <w:right w:type="dxa" w:w="110"/>
            </w:tcMar>
            <w:vAlign w:val="center"/>
          </w:tcPr>
          <w:p>
            <w:pPr>
              <w:jc w:val="left"/>
            </w:pPr>
            <w:r>
              <w:rPr>
                <w:sz w:val="18"/>
                <w:szCs w:val="18"/>
              </w:rPr>
              <w:t xml:space="preserve">Shares · market cap</w:t>
            </w:r>
          </w:p>
        </w:tc>
        <w:tc>
          <w:tcPr>
            <w:tcW w:type="dxa" w:w="6460"/>
            <w:tcMar>
              <w:top w:type="dxa" w:w="60"/>
              <w:left w:type="dxa" w:w="110"/>
              <w:bottom w:type="dxa" w:w="60"/>
              <w:right w:type="dxa" w:w="110"/>
            </w:tcMar>
            <w:vAlign w:val="center"/>
          </w:tcPr>
          <w:p>
            <w:pPr>
              <w:jc w:val="right"/>
            </w:pPr>
            <w:r>
              <w:rPr>
                <w:sz w:val="18"/>
                <w:szCs w:val="18"/>
              </w:rPr>
              <w:t xml:space="preserve">831,155,940 · ~AED 2,917mn</w:t>
            </w:r>
          </w:p>
        </w:tc>
      </w:tr>
      <w:tr>
        <w:tc>
          <w:tcPr>
            <w:tcW w:type="dxa" w:w="2900"/>
            <w:tcMar>
              <w:top w:type="dxa" w:w="60"/>
              <w:left w:type="dxa" w:w="110"/>
              <w:bottom w:type="dxa" w:w="60"/>
              <w:right w:type="dxa" w:w="110"/>
            </w:tcMar>
            <w:vAlign w:val="center"/>
          </w:tcPr>
          <w:p>
            <w:pPr>
              <w:jc w:val="left"/>
            </w:pPr>
            <w:r>
              <w:rPr>
                <w:sz w:val="18"/>
                <w:szCs w:val="18"/>
              </w:rPr>
              <w:t xml:space="preserve">Net debt</w:t>
            </w:r>
          </w:p>
        </w:tc>
        <w:tc>
          <w:tcPr>
            <w:tcW w:type="dxa" w:w="6460"/>
            <w:tcMar>
              <w:top w:type="dxa" w:w="60"/>
              <w:left w:type="dxa" w:w="110"/>
              <w:bottom w:type="dxa" w:w="60"/>
              <w:right w:type="dxa" w:w="110"/>
            </w:tcMar>
            <w:vAlign w:val="center"/>
          </w:tcPr>
          <w:p>
            <w:pPr>
              <w:jc w:val="right"/>
            </w:pPr>
            <w:r>
              <w:rPr>
                <w:sz w:val="18"/>
                <w:szCs w:val="18"/>
              </w:rPr>
              <w:t xml:space="preserve">AED 1,300mn · 2.9× reported EBITDA (≈ 2.2× underlying)</w:t>
            </w:r>
          </w:p>
        </w:tc>
      </w:tr>
      <w:tr>
        <w:tc>
          <w:tcPr>
            <w:tcW w:type="dxa" w:w="2900"/>
            <w:tcMar>
              <w:top w:type="dxa" w:w="60"/>
              <w:left w:type="dxa" w:w="110"/>
              <w:bottom w:type="dxa" w:w="60"/>
              <w:right w:type="dxa" w:w="110"/>
            </w:tcMar>
            <w:vAlign w:val="center"/>
          </w:tcPr>
          <w:p>
            <w:pPr>
              <w:jc w:val="left"/>
            </w:pPr>
            <w:r>
              <w:rPr>
                <w:sz w:val="18"/>
                <w:szCs w:val="18"/>
              </w:rPr>
              <w:t xml:space="preserve">FY25 revenue / underlying EBITDA margin</w:t>
            </w:r>
          </w:p>
        </w:tc>
        <w:tc>
          <w:tcPr>
            <w:tcW w:type="dxa" w:w="6460"/>
            <w:tcMar>
              <w:top w:type="dxa" w:w="60"/>
              <w:left w:type="dxa" w:w="110"/>
              <w:bottom w:type="dxa" w:w="60"/>
              <w:right w:type="dxa" w:w="110"/>
            </w:tcMar>
            <w:vAlign w:val="center"/>
          </w:tcPr>
          <w:p>
            <w:pPr>
              <w:jc w:val="right"/>
            </w:pPr>
            <w:r>
              <w:rPr>
                <w:sz w:val="18"/>
                <w:szCs w:val="18"/>
              </w:rPr>
              <w:t xml:space="preserve">AED 4,845.6mn (−1.4% YoY) · 12.5%</w:t>
            </w:r>
          </w:p>
        </w:tc>
      </w:tr>
      <w:tr>
        <w:tc>
          <w:tcPr>
            <w:tcW w:type="dxa" w:w="2900"/>
            <w:tcMar>
              <w:top w:type="dxa" w:w="60"/>
              <w:left w:type="dxa" w:w="110"/>
              <w:bottom w:type="dxa" w:w="60"/>
              <w:right w:type="dxa" w:w="110"/>
            </w:tcMar>
            <w:vAlign w:val="center"/>
          </w:tcPr>
          <w:p>
            <w:pPr>
              <w:jc w:val="left"/>
            </w:pPr>
            <w:r>
              <w:rPr>
                <w:sz w:val="18"/>
                <w:szCs w:val="18"/>
              </w:rPr>
              <w:t xml:space="preserve">Q1 2026 (latest print)</w:t>
            </w:r>
          </w:p>
        </w:tc>
        <w:tc>
          <w:tcPr>
            <w:tcW w:type="dxa" w:w="6460"/>
            <w:tcMar>
              <w:top w:type="dxa" w:w="60"/>
              <w:left w:type="dxa" w:w="110"/>
              <w:bottom w:type="dxa" w:w="60"/>
              <w:right w:type="dxa" w:w="110"/>
            </w:tcMar>
            <w:vAlign w:val="center"/>
          </w:tcPr>
          <w:p>
            <w:pPr>
              <w:jc w:val="right"/>
            </w:pPr>
            <w:r>
              <w:rPr>
                <w:sz w:val="18"/>
                <w:szCs w:val="18"/>
              </w:rPr>
              <w:t xml:space="preserve">Revenue +3.3% · EBITDA AED 193.3mn (+4.1%) · NP AED 96.9mn (+12.5%)</w:t>
            </w:r>
          </w:p>
        </w:tc>
      </w:tr>
      <w:tr>
        <w:tc>
          <w:tcPr>
            <w:tcW w:type="dxa" w:w="2900"/>
            <w:tcMar>
              <w:top w:type="dxa" w:w="60"/>
              <w:left w:type="dxa" w:w="110"/>
              <w:bottom w:type="dxa" w:w="60"/>
              <w:right w:type="dxa" w:w="110"/>
            </w:tcMar>
            <w:vAlign w:val="center"/>
          </w:tcPr>
          <w:p>
            <w:pPr>
              <w:jc w:val="left"/>
            </w:pPr>
            <w:r>
              <w:rPr>
                <w:sz w:val="18"/>
                <w:szCs w:val="18"/>
              </w:rPr>
              <w:t xml:space="preserve">FY25 dividend</w:t>
            </w:r>
          </w:p>
        </w:tc>
        <w:tc>
          <w:tcPr>
            <w:tcW w:type="dxa" w:w="6460"/>
            <w:tcMar>
              <w:top w:type="dxa" w:w="60"/>
              <w:left w:type="dxa" w:w="110"/>
              <w:bottom w:type="dxa" w:w="60"/>
              <w:right w:type="dxa" w:w="110"/>
            </w:tcMar>
            <w:vAlign w:val="center"/>
          </w:tcPr>
          <w:p>
            <w:pPr>
              <w:jc w:val="right"/>
            </w:pPr>
            <w:r>
              <w:rPr>
                <w:sz w:val="18"/>
                <w:szCs w:val="18"/>
              </w:rPr>
              <w:t xml:space="preserve">22.102 fils (interim 10.31 + final 11.792, +10% YoY) ≈ 6.3% yield</w:t>
            </w:r>
          </w:p>
        </w:tc>
      </w:tr>
      <w:tr>
        <w:tc>
          <w:tcPr>
            <w:tcW w:type="dxa" w:w="2900"/>
            <w:tcMar>
              <w:top w:type="dxa" w:w="60"/>
              <w:left w:type="dxa" w:w="110"/>
              <w:bottom w:type="dxa" w:w="60"/>
              <w:right w:type="dxa" w:w="110"/>
            </w:tcMar>
            <w:vAlign w:val="center"/>
          </w:tcPr>
          <w:p>
            <w:pPr>
              <w:jc w:val="left"/>
            </w:pPr>
            <w:r>
              <w:rPr>
                <w:sz w:val="18"/>
                <w:szCs w:val="18"/>
              </w:rPr>
              <w:t xml:space="preserve">Ownership</w:t>
            </w:r>
          </w:p>
        </w:tc>
        <w:tc>
          <w:tcPr>
            <w:tcW w:type="dxa" w:w="6460"/>
            <w:tcMar>
              <w:top w:type="dxa" w:w="60"/>
              <w:left w:type="dxa" w:w="110"/>
              <w:bottom w:type="dxa" w:w="60"/>
              <w:right w:type="dxa" w:w="110"/>
            </w:tcMar>
            <w:vAlign w:val="center"/>
          </w:tcPr>
          <w:p>
            <w:pPr>
              <w:jc w:val="right"/>
            </w:pPr>
            <w:r>
              <w:rPr>
                <w:sz w:val="18"/>
                <w:szCs w:val="18"/>
              </w:rPr>
              <w:t xml:space="preserve">ADQ (via General Holding / Senaat) — majority shareholder</w:t>
            </w:r>
          </w:p>
        </w:tc>
      </w:tr>
      <w:tr>
        <w:tc>
          <w:tcPr>
            <w:tcW w:type="dxa" w:w="2900"/>
            <w:tcMar>
              <w:top w:type="dxa" w:w="60"/>
              <w:left w:type="dxa" w:w="110"/>
              <w:bottom w:type="dxa" w:w="60"/>
              <w:right w:type="dxa" w:w="110"/>
            </w:tcMar>
            <w:vAlign w:val="center"/>
          </w:tcPr>
          <w:p>
            <w:pPr>
              <w:jc w:val="left"/>
            </w:pPr>
            <w:r>
              <w:rPr>
                <w:sz w:val="18"/>
                <w:szCs w:val="18"/>
              </w:rPr>
              <w:t xml:space="preserve">52-week range</w:t>
            </w:r>
          </w:p>
        </w:tc>
        <w:tc>
          <w:tcPr>
            <w:tcW w:type="dxa" w:w="6460"/>
            <w:tcMar>
              <w:top w:type="dxa" w:w="60"/>
              <w:left w:type="dxa" w:w="110"/>
              <w:bottom w:type="dxa" w:w="60"/>
              <w:right w:type="dxa" w:w="110"/>
            </w:tcMar>
            <w:vAlign w:val="center"/>
          </w:tcPr>
          <w:p>
            <w:pPr>
              <w:jc w:val="right"/>
            </w:pPr>
            <w:r>
              <w:rPr>
                <w:sz w:val="18"/>
                <w:szCs w:val="18"/>
              </w:rPr>
              <w:t xml:space="preserve">AED 3.34 – 4.37</w:t>
            </w:r>
          </w:p>
        </w:tc>
      </w:tr>
      <w:tr>
        <w:tc>
          <w:tcPr>
            <w:tcW w:type="dxa" w:w="2900"/>
            <w:tcMar>
              <w:top w:type="dxa" w:w="60"/>
              <w:left w:type="dxa" w:w="110"/>
              <w:bottom w:type="dxa" w:w="60"/>
              <w:right w:type="dxa" w:w="110"/>
            </w:tcMar>
            <w:vAlign w:val="center"/>
          </w:tcPr>
          <w:p>
            <w:pPr>
              <w:jc w:val="left"/>
            </w:pPr>
            <w:r>
              <w:rPr>
                <w:sz w:val="18"/>
                <w:szCs w:val="18"/>
              </w:rPr>
              <w:t xml:space="preserve">Chairman · MD &amp; CEO</w:t>
            </w:r>
          </w:p>
        </w:tc>
        <w:tc>
          <w:tcPr>
            <w:tcW w:type="dxa" w:w="6460"/>
            <w:tcMar>
              <w:top w:type="dxa" w:w="60"/>
              <w:left w:type="dxa" w:w="110"/>
              <w:bottom w:type="dxa" w:w="60"/>
              <w:right w:type="dxa" w:w="110"/>
            </w:tcMar>
            <w:vAlign w:val="center"/>
          </w:tcPr>
          <w:p>
            <w:pPr>
              <w:jc w:val="right"/>
            </w:pPr>
            <w:r>
              <w:rPr>
                <w:sz w:val="18"/>
                <w:szCs w:val="18"/>
              </w:rPr>
              <w:t xml:space="preserve">HE Khalifa Sultan Al Suwaidi · Salmeen Alameri</w:t>
            </w:r>
          </w:p>
        </w:tc>
      </w:tr>
      <w:tr>
        <w:tc>
          <w:tcPr>
            <w:tcW w:type="dxa" w:w="2900"/>
            <w:tcMar>
              <w:top w:type="dxa" w:w="60"/>
              <w:left w:type="dxa" w:w="110"/>
              <w:bottom w:type="dxa" w:w="60"/>
              <w:right w:type="dxa" w:w="110"/>
            </w:tcMar>
            <w:vAlign w:val="center"/>
          </w:tcPr>
          <w:p>
            <w:pPr>
              <w:jc w:val="left"/>
            </w:pPr>
            <w:r>
              <w:rPr>
                <w:sz w:val="18"/>
                <w:szCs w:val="18"/>
              </w:rPr>
              <w:t xml:space="preserve">Footprint</w:t>
            </w:r>
          </w:p>
        </w:tc>
        <w:tc>
          <w:tcPr>
            <w:tcW w:type="dxa" w:w="6460"/>
            <w:tcMar>
              <w:top w:type="dxa" w:w="60"/>
              <w:left w:type="dxa" w:w="110"/>
              <w:bottom w:type="dxa" w:w="60"/>
              <w:right w:type="dxa" w:w="110"/>
            </w:tcMar>
            <w:vAlign w:val="center"/>
          </w:tcPr>
          <w:p>
            <w:pPr>
              <w:jc w:val="right"/>
            </w:pPr>
            <w:r>
              <w:rPr>
                <w:sz w:val="18"/>
                <w:szCs w:val="18"/>
              </w:rPr>
              <w:t xml:space="preserve">UAE · Egypt · Saudi Arabia · Jordan · Kuwait · Oman · exports across MENA</w:t>
            </w:r>
          </w:p>
        </w:tc>
      </w:tr>
    </w:tbl>
    <w:p>
      <w:pPr>
        <w:spacing w:after="60"/>
      </w:pPr>
    </w:p>
    <w:p>
      <w:pPr>
        <w:spacing w:after="160"/>
      </w:pPr>
      <w:r>
        <w:rPr>
          <w:i/>
          <w:iCs/>
          <w:color w:val="6E7B77"/>
          <w:sz w:val="16"/>
          <w:szCs w:val="16"/>
        </w:rPr>
        <w:t xml:space="preserve">Source: ADX preliminary FY2025 results (5 Mar 2026), Q1 2026 release (12 May 2026), company disclosure, exchange data. Values rounded.</w:t>
      </w:r>
    </w:p>
    <w:p>
      <w:pPr>
        <w:pStyle w:val="Heading1"/>
      </w:pPr>
      <w:r>
        <w:rPr>
          <w:sz w:val="20"/>
          <w:szCs w:val="20"/>
        </w:rPr>
        <w:t xml:space="preserve">1  Fundamental valuation</w:t>
      </w:r>
    </w:p>
    <w:p>
      <w:pPr/>
      <w:r>
        <w:rPr>
          <w:sz w:val="20"/>
          <w:szCs w:val="20"/>
        </w:rPr>
        <w:t xml:space="preserve">We value Agthia as a consolidated multi-category consumer group and triangulate four lenses. The primary lens is a </w:t>
      </w:r>
      <w:r>
        <w:rPr>
          <w:b/>
          <w:bCs/>
          <w:sz w:val="20"/>
          <w:szCs w:val="20"/>
        </w:rPr>
        <w:t xml:space="preserve">consolidated DCF</w:t>
      </w:r>
      <w:r>
        <w:rPr>
          <w:sz w:val="20"/>
          <w:szCs w:val="20"/>
        </w:rPr>
        <w:t xml:space="preserve">, because the group’s cash engine — branded water, regulated flour and feed, and a recovering snacking and protein portfolio — is best captured as one free-cash-flow stream discounted at a cost of capital that honestly reflects its two-currency exposure. A segment sum-of-the-parts, a relative-multiple cross-check and a normalized-earnings-power read complete the set. The weights and the football field are in §1.5; the swing factor — the Snacking reset and the KSA protein ramp — is dissected in §1.7 and the sensitivity grid in §1.9. Per the house data-discipline gate, all segment forecasts are </w:t>
      </w:r>
      <w:r>
        <w:rPr>
          <w:b/>
          <w:bCs/>
          <w:sz w:val="20"/>
          <w:szCs w:val="20"/>
        </w:rPr>
        <w:t xml:space="preserve">top-down normalized margins on disclosed segment averages</w:t>
      </w:r>
      <w:r>
        <w:rPr>
          <w:sz w:val="20"/>
          <w:szCs w:val="20"/>
        </w:rPr>
        <w:t xml:space="preserve">: Agthia does not disclose volume/price splits by pack, so no bottom-up packs-×-price build is manufactured (§1.6).</w:t>
      </w:r>
    </w:p>
    <w:p>
      <w:pPr>
        <w:pStyle w:val="Heading2"/>
      </w:pPr>
      <w:r>
        <w:rPr>
          <w:sz w:val="20"/>
          <w:szCs w:val="20"/>
        </w:rPr>
        <w:t xml:space="preserve">1.1  Consolidated DCF — the primary lens</w:t>
      </w:r>
    </w:p>
    <w:p>
      <w:pPr/>
      <w:r>
        <w:rPr>
          <w:sz w:val="20"/>
          <w:szCs w:val="20"/>
        </w:rPr>
        <w:t xml:space="preserve">The cost of capital is built explicitly, per the house rule: </w:t>
      </w:r>
      <w:r>
        <w:rPr>
          <w:b/>
          <w:bCs/>
          <w:sz w:val="20"/>
          <w:szCs w:val="20"/>
        </w:rPr>
        <w:t xml:space="preserve">Ke = rf + β × ERP</w:t>
      </w:r>
      <w:r>
        <w:rPr>
          <w:sz w:val="20"/>
          <w:szCs w:val="20"/>
        </w:rPr>
        <w:t xml:space="preserve"> with rf 4.2% (the dirham is pegged; UAE sovereign USD curve), ERP 6.0% and β 0.90 (staples; within the 0.8–1.3 band) gives a </w:t>
      </w:r>
      <w:r>
        <w:rPr>
          <w:b/>
          <w:bCs/>
          <w:sz w:val="20"/>
          <w:szCs w:val="20"/>
        </w:rPr>
        <w:t xml:space="preserve">UAE-sleeve Ke of 9.6%</w:t>
      </w:r>
      <w:r>
        <w:rPr>
          <w:sz w:val="20"/>
          <w:szCs w:val="20"/>
        </w:rPr>
        <w:t xml:space="preserve">. The Egypt/Jordan sleeve — Abu Auf, Atyab, Nabil, roughly half the group’s risk — carries a flagged-judgment </w:t>
      </w:r>
      <w:r>
        <w:rPr>
          <w:b/>
          <w:bCs/>
          <w:sz w:val="20"/>
          <w:szCs w:val="20"/>
        </w:rPr>
        <w:t xml:space="preserve">Ke of 17.0%</w:t>
      </w:r>
      <w:r>
        <w:rPr>
          <w:sz w:val="20"/>
          <w:szCs w:val="20"/>
        </w:rPr>
        <w:t xml:space="preserve"> (EGP risk premium). Blended 50/50, Ke is 13.3%; with 69% equity weight and a 4.5% after-tax cost of debt, </w:t>
      </w:r>
      <w:r>
        <w:rPr>
          <w:b/>
          <w:bCs/>
          <w:sz w:val="20"/>
          <w:szCs w:val="20"/>
        </w:rPr>
        <w:t xml:space="preserve">WACC ≈ 10.6%</w:t>
      </w:r>
      <w:r>
        <w:rPr>
          <w:sz w:val="20"/>
          <w:szCs w:val="20"/>
        </w:rPr>
        <w:t xml:space="preserve">, terminal growth 2.25%. The five-year FCFF build below runs off the segment forecasts in the companion model (Assumptions sheet); every line links back to one input layer.</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260"/>
        <w:gridCol w:w="1220"/>
        <w:gridCol w:w="1220"/>
        <w:gridCol w:w="1220"/>
        <w:gridCol w:w="1220"/>
        <w:gridCol w:w="1220"/>
      </w:tblGrid>
      <w:tr>
        <w:tc>
          <w:tcPr>
            <w:tcW w:type="dxa" w:w="3260"/>
            <w:shd w:fill="1C3A36" w:val="clear"/>
            <w:tcMar>
              <w:top w:type="dxa" w:w="60"/>
              <w:left w:type="dxa" w:w="110"/>
              <w:bottom w:type="dxa" w:w="60"/>
              <w:right w:type="dxa" w:w="110"/>
            </w:tcMar>
            <w:vAlign w:val="center"/>
          </w:tcPr>
          <w:p>
            <w:pPr>
              <w:jc w:val="left"/>
            </w:pPr>
            <w:r>
              <w:rPr>
                <w:b/>
                <w:bCs/>
                <w:color w:val="FFFFFF"/>
                <w:sz w:val="18"/>
                <w:szCs w:val="18"/>
              </w:rPr>
              <w:t xml:space="preserve">AED mn</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FY26E</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FY27E</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FY28E</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FY29E</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FY30E</w:t>
            </w:r>
          </w:p>
        </w:tc>
      </w:tr>
      <w:tr>
        <w:tc>
          <w:tcPr>
            <w:tcW w:type="dxa" w:w="3260"/>
            <w:tcMar>
              <w:top w:type="dxa" w:w="60"/>
              <w:left w:type="dxa" w:w="110"/>
              <w:bottom w:type="dxa" w:w="60"/>
              <w:right w:type="dxa" w:w="110"/>
            </w:tcMar>
            <w:vAlign w:val="center"/>
          </w:tcPr>
          <w:p>
            <w:pPr>
              <w:jc w:val="left"/>
            </w:pPr>
            <w:r>
              <w:rPr>
                <w:sz w:val="18"/>
                <w:szCs w:val="18"/>
              </w:rPr>
              <w:t xml:space="preserve">Revenue</w:t>
            </w:r>
          </w:p>
        </w:tc>
        <w:tc>
          <w:tcPr>
            <w:tcW w:type="dxa" w:w="1220"/>
            <w:tcMar>
              <w:top w:type="dxa" w:w="60"/>
              <w:left w:type="dxa" w:w="110"/>
              <w:bottom w:type="dxa" w:w="60"/>
              <w:right w:type="dxa" w:w="110"/>
            </w:tcMar>
            <w:vAlign w:val="center"/>
          </w:tcPr>
          <w:p>
            <w:pPr>
              <w:jc w:val="right"/>
            </w:pPr>
            <w:r>
              <w:rPr>
                <w:sz w:val="18"/>
                <w:szCs w:val="18"/>
              </w:rPr>
              <w:t xml:space="preserve">5,051</w:t>
            </w:r>
          </w:p>
        </w:tc>
        <w:tc>
          <w:tcPr>
            <w:tcW w:type="dxa" w:w="1220"/>
            <w:tcMar>
              <w:top w:type="dxa" w:w="60"/>
              <w:left w:type="dxa" w:w="110"/>
              <w:bottom w:type="dxa" w:w="60"/>
              <w:right w:type="dxa" w:w="110"/>
            </w:tcMar>
            <w:vAlign w:val="center"/>
          </w:tcPr>
          <w:p>
            <w:pPr>
              <w:jc w:val="right"/>
            </w:pPr>
            <w:r>
              <w:rPr>
                <w:sz w:val="18"/>
                <w:szCs w:val="18"/>
              </w:rPr>
              <w:t xml:space="preserve">5,335</w:t>
            </w:r>
          </w:p>
        </w:tc>
        <w:tc>
          <w:tcPr>
            <w:tcW w:type="dxa" w:w="1220"/>
            <w:tcMar>
              <w:top w:type="dxa" w:w="60"/>
              <w:left w:type="dxa" w:w="110"/>
              <w:bottom w:type="dxa" w:w="60"/>
              <w:right w:type="dxa" w:w="110"/>
            </w:tcMar>
            <w:vAlign w:val="center"/>
          </w:tcPr>
          <w:p>
            <w:pPr>
              <w:jc w:val="right"/>
            </w:pPr>
            <w:r>
              <w:rPr>
                <w:sz w:val="18"/>
                <w:szCs w:val="18"/>
              </w:rPr>
              <w:t xml:space="preserve">5,624</w:t>
            </w:r>
          </w:p>
        </w:tc>
        <w:tc>
          <w:tcPr>
            <w:tcW w:type="dxa" w:w="1220"/>
            <w:tcMar>
              <w:top w:type="dxa" w:w="60"/>
              <w:left w:type="dxa" w:w="110"/>
              <w:bottom w:type="dxa" w:w="60"/>
              <w:right w:type="dxa" w:w="110"/>
            </w:tcMar>
            <w:vAlign w:val="center"/>
          </w:tcPr>
          <w:p>
            <w:pPr>
              <w:jc w:val="right"/>
            </w:pPr>
            <w:r>
              <w:rPr>
                <w:sz w:val="18"/>
                <w:szCs w:val="18"/>
              </w:rPr>
              <w:t xml:space="preserve">5,888</w:t>
            </w:r>
          </w:p>
        </w:tc>
        <w:tc>
          <w:tcPr>
            <w:tcW w:type="dxa" w:w="1220"/>
            <w:tcMar>
              <w:top w:type="dxa" w:w="60"/>
              <w:left w:type="dxa" w:w="110"/>
              <w:bottom w:type="dxa" w:w="60"/>
              <w:right w:type="dxa" w:w="110"/>
            </w:tcMar>
            <w:vAlign w:val="center"/>
          </w:tcPr>
          <w:p>
            <w:pPr>
              <w:jc w:val="right"/>
            </w:pPr>
            <w:r>
              <w:rPr>
                <w:sz w:val="18"/>
                <w:szCs w:val="18"/>
              </w:rPr>
              <w:t xml:space="preserve">6,135</w:t>
            </w:r>
          </w:p>
        </w:tc>
      </w:tr>
      <w:tr>
        <w:tc>
          <w:tcPr>
            <w:tcW w:type="dxa" w:w="3260"/>
            <w:tcMar>
              <w:top w:type="dxa" w:w="60"/>
              <w:left w:type="dxa" w:w="110"/>
              <w:bottom w:type="dxa" w:w="60"/>
              <w:right w:type="dxa" w:w="110"/>
            </w:tcMar>
            <w:vAlign w:val="center"/>
          </w:tcPr>
          <w:p>
            <w:pPr>
              <w:jc w:val="left"/>
            </w:pPr>
            <w:r>
              <w:rPr>
                <w:sz w:val="18"/>
                <w:szCs w:val="18"/>
              </w:rPr>
              <w:t xml:space="preserve">EBITDA</w:t>
            </w:r>
          </w:p>
        </w:tc>
        <w:tc>
          <w:tcPr>
            <w:tcW w:type="dxa" w:w="1220"/>
            <w:tcMar>
              <w:top w:type="dxa" w:w="60"/>
              <w:left w:type="dxa" w:w="110"/>
              <w:bottom w:type="dxa" w:w="60"/>
              <w:right w:type="dxa" w:w="110"/>
            </w:tcMar>
            <w:vAlign w:val="center"/>
          </w:tcPr>
          <w:p>
            <w:pPr>
              <w:jc w:val="right"/>
            </w:pPr>
            <w:r>
              <w:rPr>
                <w:sz w:val="18"/>
                <w:szCs w:val="18"/>
              </w:rPr>
              <w:t xml:space="preserve">633</w:t>
            </w:r>
          </w:p>
        </w:tc>
        <w:tc>
          <w:tcPr>
            <w:tcW w:type="dxa" w:w="1220"/>
            <w:tcMar>
              <w:top w:type="dxa" w:w="60"/>
              <w:left w:type="dxa" w:w="110"/>
              <w:bottom w:type="dxa" w:w="60"/>
              <w:right w:type="dxa" w:w="110"/>
            </w:tcMar>
            <w:vAlign w:val="center"/>
          </w:tcPr>
          <w:p>
            <w:pPr>
              <w:jc w:val="right"/>
            </w:pPr>
            <w:r>
              <w:rPr>
                <w:sz w:val="18"/>
                <w:szCs w:val="18"/>
              </w:rPr>
              <w:t xml:space="preserve">708</w:t>
            </w:r>
          </w:p>
        </w:tc>
        <w:tc>
          <w:tcPr>
            <w:tcW w:type="dxa" w:w="1220"/>
            <w:tcMar>
              <w:top w:type="dxa" w:w="60"/>
              <w:left w:type="dxa" w:w="110"/>
              <w:bottom w:type="dxa" w:w="60"/>
              <w:right w:type="dxa" w:w="110"/>
            </w:tcMar>
            <w:vAlign w:val="center"/>
          </w:tcPr>
          <w:p>
            <w:pPr>
              <w:jc w:val="right"/>
            </w:pPr>
            <w:r>
              <w:rPr>
                <w:sz w:val="18"/>
                <w:szCs w:val="18"/>
              </w:rPr>
              <w:t xml:space="preserve">776</w:t>
            </w:r>
          </w:p>
        </w:tc>
        <w:tc>
          <w:tcPr>
            <w:tcW w:type="dxa" w:w="1220"/>
            <w:tcMar>
              <w:top w:type="dxa" w:w="60"/>
              <w:left w:type="dxa" w:w="110"/>
              <w:bottom w:type="dxa" w:w="60"/>
              <w:right w:type="dxa" w:w="110"/>
            </w:tcMar>
            <w:vAlign w:val="center"/>
          </w:tcPr>
          <w:p>
            <w:pPr>
              <w:jc w:val="right"/>
            </w:pPr>
            <w:r>
              <w:rPr>
                <w:sz w:val="18"/>
                <w:szCs w:val="18"/>
              </w:rPr>
              <w:t xml:space="preserve">828</w:t>
            </w:r>
          </w:p>
        </w:tc>
        <w:tc>
          <w:tcPr>
            <w:tcW w:type="dxa" w:w="1220"/>
            <w:tcMar>
              <w:top w:type="dxa" w:w="60"/>
              <w:left w:type="dxa" w:w="110"/>
              <w:bottom w:type="dxa" w:w="60"/>
              <w:right w:type="dxa" w:w="110"/>
            </w:tcMar>
            <w:vAlign w:val="center"/>
          </w:tcPr>
          <w:p>
            <w:pPr>
              <w:jc w:val="right"/>
            </w:pPr>
            <w:r>
              <w:rPr>
                <w:sz w:val="18"/>
                <w:szCs w:val="18"/>
              </w:rPr>
              <w:t xml:space="preserve">870</w:t>
            </w:r>
          </w:p>
        </w:tc>
      </w:tr>
      <w:tr>
        <w:tc>
          <w:tcPr>
            <w:tcW w:type="dxa" w:w="3260"/>
            <w:tcMar>
              <w:top w:type="dxa" w:w="60"/>
              <w:left w:type="dxa" w:w="110"/>
              <w:bottom w:type="dxa" w:w="60"/>
              <w:right w:type="dxa" w:w="110"/>
            </w:tcMar>
            <w:vAlign w:val="center"/>
          </w:tcPr>
          <w:p>
            <w:pPr>
              <w:jc w:val="left"/>
            </w:pPr>
            <w:r>
              <w:rPr>
                <w:sz w:val="18"/>
                <w:szCs w:val="18"/>
              </w:rPr>
              <w:t xml:space="preserve">D&amp;A</w:t>
            </w:r>
          </w:p>
        </w:tc>
        <w:tc>
          <w:tcPr>
            <w:tcW w:type="dxa" w:w="1220"/>
            <w:tcMar>
              <w:top w:type="dxa" w:w="60"/>
              <w:left w:type="dxa" w:w="110"/>
              <w:bottom w:type="dxa" w:w="60"/>
              <w:right w:type="dxa" w:w="110"/>
            </w:tcMar>
            <w:vAlign w:val="center"/>
          </w:tcPr>
          <w:p>
            <w:pPr>
              <w:jc w:val="right"/>
            </w:pPr>
            <w:r>
              <w:rPr>
                <w:sz w:val="18"/>
                <w:szCs w:val="18"/>
              </w:rPr>
              <w:t xml:space="preserve">263</w:t>
            </w:r>
          </w:p>
        </w:tc>
        <w:tc>
          <w:tcPr>
            <w:tcW w:type="dxa" w:w="1220"/>
            <w:tcMar>
              <w:top w:type="dxa" w:w="60"/>
              <w:left w:type="dxa" w:w="110"/>
              <w:bottom w:type="dxa" w:w="60"/>
              <w:right w:type="dxa" w:w="110"/>
            </w:tcMar>
            <w:vAlign w:val="center"/>
          </w:tcPr>
          <w:p>
            <w:pPr>
              <w:jc w:val="right"/>
            </w:pPr>
            <w:r>
              <w:rPr>
                <w:sz w:val="18"/>
                <w:szCs w:val="18"/>
              </w:rPr>
              <w:t xml:space="preserve">272</w:t>
            </w:r>
          </w:p>
        </w:tc>
        <w:tc>
          <w:tcPr>
            <w:tcW w:type="dxa" w:w="1220"/>
            <w:tcMar>
              <w:top w:type="dxa" w:w="60"/>
              <w:left w:type="dxa" w:w="110"/>
              <w:bottom w:type="dxa" w:w="60"/>
              <w:right w:type="dxa" w:w="110"/>
            </w:tcMar>
            <w:vAlign w:val="center"/>
          </w:tcPr>
          <w:p>
            <w:pPr>
              <w:jc w:val="right"/>
            </w:pPr>
            <w:r>
              <w:rPr>
                <w:sz w:val="18"/>
                <w:szCs w:val="18"/>
              </w:rPr>
              <w:t xml:space="preserve">287</w:t>
            </w:r>
          </w:p>
        </w:tc>
        <w:tc>
          <w:tcPr>
            <w:tcW w:type="dxa" w:w="1220"/>
            <w:tcMar>
              <w:top w:type="dxa" w:w="60"/>
              <w:left w:type="dxa" w:w="110"/>
              <w:bottom w:type="dxa" w:w="60"/>
              <w:right w:type="dxa" w:w="110"/>
            </w:tcMar>
            <w:vAlign w:val="center"/>
          </w:tcPr>
          <w:p>
            <w:pPr>
              <w:jc w:val="right"/>
            </w:pPr>
            <w:r>
              <w:rPr>
                <w:sz w:val="18"/>
                <w:szCs w:val="18"/>
              </w:rPr>
              <w:t xml:space="preserve">294</w:t>
            </w:r>
          </w:p>
        </w:tc>
        <w:tc>
          <w:tcPr>
            <w:tcW w:type="dxa" w:w="1220"/>
            <w:tcMar>
              <w:top w:type="dxa" w:w="60"/>
              <w:left w:type="dxa" w:w="110"/>
              <w:bottom w:type="dxa" w:w="60"/>
              <w:right w:type="dxa" w:w="110"/>
            </w:tcMar>
            <w:vAlign w:val="center"/>
          </w:tcPr>
          <w:p>
            <w:pPr>
              <w:jc w:val="right"/>
            </w:pPr>
            <w:r>
              <w:rPr>
                <w:sz w:val="18"/>
                <w:szCs w:val="18"/>
              </w:rPr>
              <w:t xml:space="preserve">307</w:t>
            </w:r>
          </w:p>
        </w:tc>
      </w:tr>
      <w:tr>
        <w:tc>
          <w:tcPr>
            <w:tcW w:type="dxa" w:w="3260"/>
            <w:tcMar>
              <w:top w:type="dxa" w:w="60"/>
              <w:left w:type="dxa" w:w="110"/>
              <w:bottom w:type="dxa" w:w="60"/>
              <w:right w:type="dxa" w:w="110"/>
            </w:tcMar>
            <w:vAlign w:val="center"/>
          </w:tcPr>
          <w:p>
            <w:pPr>
              <w:jc w:val="left"/>
            </w:pPr>
            <w:r>
              <w:rPr>
                <w:sz w:val="18"/>
                <w:szCs w:val="18"/>
              </w:rPr>
              <w:t xml:space="preserve">EBIT</w:t>
            </w:r>
          </w:p>
        </w:tc>
        <w:tc>
          <w:tcPr>
            <w:tcW w:type="dxa" w:w="1220"/>
            <w:tcMar>
              <w:top w:type="dxa" w:w="60"/>
              <w:left w:type="dxa" w:w="110"/>
              <w:bottom w:type="dxa" w:w="60"/>
              <w:right w:type="dxa" w:w="110"/>
            </w:tcMar>
            <w:vAlign w:val="center"/>
          </w:tcPr>
          <w:p>
            <w:pPr>
              <w:jc w:val="right"/>
            </w:pPr>
            <w:r>
              <w:rPr>
                <w:sz w:val="18"/>
                <w:szCs w:val="18"/>
              </w:rPr>
              <w:t xml:space="preserve">370</w:t>
            </w:r>
          </w:p>
        </w:tc>
        <w:tc>
          <w:tcPr>
            <w:tcW w:type="dxa" w:w="1220"/>
            <w:tcMar>
              <w:top w:type="dxa" w:w="60"/>
              <w:left w:type="dxa" w:w="110"/>
              <w:bottom w:type="dxa" w:w="60"/>
              <w:right w:type="dxa" w:w="110"/>
            </w:tcMar>
            <w:vAlign w:val="center"/>
          </w:tcPr>
          <w:p>
            <w:pPr>
              <w:jc w:val="right"/>
            </w:pPr>
            <w:r>
              <w:rPr>
                <w:sz w:val="18"/>
                <w:szCs w:val="18"/>
              </w:rPr>
              <w:t xml:space="preserve">436</w:t>
            </w:r>
          </w:p>
        </w:tc>
        <w:tc>
          <w:tcPr>
            <w:tcW w:type="dxa" w:w="1220"/>
            <w:tcMar>
              <w:top w:type="dxa" w:w="60"/>
              <w:left w:type="dxa" w:w="110"/>
              <w:bottom w:type="dxa" w:w="60"/>
              <w:right w:type="dxa" w:w="110"/>
            </w:tcMar>
            <w:vAlign w:val="center"/>
          </w:tcPr>
          <w:p>
            <w:pPr>
              <w:jc w:val="right"/>
            </w:pPr>
            <w:r>
              <w:rPr>
                <w:sz w:val="18"/>
                <w:szCs w:val="18"/>
              </w:rPr>
              <w:t xml:space="preserve">489</w:t>
            </w:r>
          </w:p>
        </w:tc>
        <w:tc>
          <w:tcPr>
            <w:tcW w:type="dxa" w:w="1220"/>
            <w:tcMar>
              <w:top w:type="dxa" w:w="60"/>
              <w:left w:type="dxa" w:w="110"/>
              <w:bottom w:type="dxa" w:w="60"/>
              <w:right w:type="dxa" w:w="110"/>
            </w:tcMar>
            <w:vAlign w:val="center"/>
          </w:tcPr>
          <w:p>
            <w:pPr>
              <w:jc w:val="right"/>
            </w:pPr>
            <w:r>
              <w:rPr>
                <w:sz w:val="18"/>
                <w:szCs w:val="18"/>
              </w:rPr>
              <w:t xml:space="preserve">533</w:t>
            </w:r>
          </w:p>
        </w:tc>
        <w:tc>
          <w:tcPr>
            <w:tcW w:type="dxa" w:w="1220"/>
            <w:tcMar>
              <w:top w:type="dxa" w:w="60"/>
              <w:left w:type="dxa" w:w="110"/>
              <w:bottom w:type="dxa" w:w="60"/>
              <w:right w:type="dxa" w:w="110"/>
            </w:tcMar>
            <w:vAlign w:val="center"/>
          </w:tcPr>
          <w:p>
            <w:pPr>
              <w:jc w:val="right"/>
            </w:pPr>
            <w:r>
              <w:rPr>
                <w:sz w:val="18"/>
                <w:szCs w:val="18"/>
              </w:rPr>
              <w:t xml:space="preserve">564</w:t>
            </w:r>
          </w:p>
        </w:tc>
      </w:tr>
      <w:tr>
        <w:tc>
          <w:tcPr>
            <w:tcW w:type="dxa" w:w="3260"/>
            <w:tcMar>
              <w:top w:type="dxa" w:w="60"/>
              <w:left w:type="dxa" w:w="110"/>
              <w:bottom w:type="dxa" w:w="60"/>
              <w:right w:type="dxa" w:w="110"/>
            </w:tcMar>
            <w:vAlign w:val="center"/>
          </w:tcPr>
          <w:p>
            <w:pPr>
              <w:jc w:val="left"/>
            </w:pPr>
            <w:r>
              <w:rPr>
                <w:sz w:val="18"/>
                <w:szCs w:val="18"/>
              </w:rPr>
              <w:t xml:space="preserve">NOPAT = EBIT × (1−tax 20%)</w:t>
            </w:r>
          </w:p>
        </w:tc>
        <w:tc>
          <w:tcPr>
            <w:tcW w:type="dxa" w:w="1220"/>
            <w:tcMar>
              <w:top w:type="dxa" w:w="60"/>
              <w:left w:type="dxa" w:w="110"/>
              <w:bottom w:type="dxa" w:w="60"/>
              <w:right w:type="dxa" w:w="110"/>
            </w:tcMar>
            <w:vAlign w:val="center"/>
          </w:tcPr>
          <w:p>
            <w:pPr>
              <w:jc w:val="right"/>
            </w:pPr>
            <w:r>
              <w:rPr>
                <w:sz w:val="18"/>
                <w:szCs w:val="18"/>
              </w:rPr>
              <w:t xml:space="preserve">296</w:t>
            </w:r>
          </w:p>
        </w:tc>
        <w:tc>
          <w:tcPr>
            <w:tcW w:type="dxa" w:w="1220"/>
            <w:tcMar>
              <w:top w:type="dxa" w:w="60"/>
              <w:left w:type="dxa" w:w="110"/>
              <w:bottom w:type="dxa" w:w="60"/>
              <w:right w:type="dxa" w:w="110"/>
            </w:tcMar>
            <w:vAlign w:val="center"/>
          </w:tcPr>
          <w:p>
            <w:pPr>
              <w:jc w:val="right"/>
            </w:pPr>
            <w:r>
              <w:rPr>
                <w:sz w:val="18"/>
                <w:szCs w:val="18"/>
              </w:rPr>
              <w:t xml:space="preserve">349</w:t>
            </w:r>
          </w:p>
        </w:tc>
        <w:tc>
          <w:tcPr>
            <w:tcW w:type="dxa" w:w="1220"/>
            <w:tcMar>
              <w:top w:type="dxa" w:w="60"/>
              <w:left w:type="dxa" w:w="110"/>
              <w:bottom w:type="dxa" w:w="60"/>
              <w:right w:type="dxa" w:w="110"/>
            </w:tcMar>
            <w:vAlign w:val="center"/>
          </w:tcPr>
          <w:p>
            <w:pPr>
              <w:jc w:val="right"/>
            </w:pPr>
            <w:r>
              <w:rPr>
                <w:sz w:val="18"/>
                <w:szCs w:val="18"/>
              </w:rPr>
              <w:t xml:space="preserve">391</w:t>
            </w:r>
          </w:p>
        </w:tc>
        <w:tc>
          <w:tcPr>
            <w:tcW w:type="dxa" w:w="1220"/>
            <w:tcMar>
              <w:top w:type="dxa" w:w="60"/>
              <w:left w:type="dxa" w:w="110"/>
              <w:bottom w:type="dxa" w:w="60"/>
              <w:right w:type="dxa" w:w="110"/>
            </w:tcMar>
            <w:vAlign w:val="center"/>
          </w:tcPr>
          <w:p>
            <w:pPr>
              <w:jc w:val="right"/>
            </w:pPr>
            <w:r>
              <w:rPr>
                <w:sz w:val="18"/>
                <w:szCs w:val="18"/>
              </w:rPr>
              <w:t xml:space="preserve">427</w:t>
            </w:r>
          </w:p>
        </w:tc>
        <w:tc>
          <w:tcPr>
            <w:tcW w:type="dxa" w:w="1220"/>
            <w:tcMar>
              <w:top w:type="dxa" w:w="60"/>
              <w:left w:type="dxa" w:w="110"/>
              <w:bottom w:type="dxa" w:w="60"/>
              <w:right w:type="dxa" w:w="110"/>
            </w:tcMar>
            <w:vAlign w:val="center"/>
          </w:tcPr>
          <w:p>
            <w:pPr>
              <w:jc w:val="right"/>
            </w:pPr>
            <w:r>
              <w:rPr>
                <w:sz w:val="18"/>
                <w:szCs w:val="18"/>
              </w:rPr>
              <w:t xml:space="preserve">451</w:t>
            </w:r>
          </w:p>
        </w:tc>
      </w:tr>
      <w:tr>
        <w:tc>
          <w:tcPr>
            <w:tcW w:type="dxa" w:w="3260"/>
            <w:tcMar>
              <w:top w:type="dxa" w:w="60"/>
              <w:left w:type="dxa" w:w="110"/>
              <w:bottom w:type="dxa" w:w="60"/>
              <w:right w:type="dxa" w:w="110"/>
            </w:tcMar>
            <w:vAlign w:val="center"/>
          </w:tcPr>
          <w:p>
            <w:pPr>
              <w:jc w:val="left"/>
            </w:pPr>
            <w:r>
              <w:rPr>
                <w:sz w:val="18"/>
                <w:szCs w:val="18"/>
              </w:rPr>
              <w:t xml:space="preserve">+ D&amp;A</w:t>
            </w:r>
          </w:p>
        </w:tc>
        <w:tc>
          <w:tcPr>
            <w:tcW w:type="dxa" w:w="1220"/>
            <w:tcMar>
              <w:top w:type="dxa" w:w="60"/>
              <w:left w:type="dxa" w:w="110"/>
              <w:bottom w:type="dxa" w:w="60"/>
              <w:right w:type="dxa" w:w="110"/>
            </w:tcMar>
            <w:vAlign w:val="center"/>
          </w:tcPr>
          <w:p>
            <w:pPr>
              <w:jc w:val="right"/>
            </w:pPr>
            <w:r>
              <w:rPr>
                <w:sz w:val="18"/>
                <w:szCs w:val="18"/>
              </w:rPr>
              <w:t xml:space="preserve">263</w:t>
            </w:r>
          </w:p>
        </w:tc>
        <w:tc>
          <w:tcPr>
            <w:tcW w:type="dxa" w:w="1220"/>
            <w:tcMar>
              <w:top w:type="dxa" w:w="60"/>
              <w:left w:type="dxa" w:w="110"/>
              <w:bottom w:type="dxa" w:w="60"/>
              <w:right w:type="dxa" w:w="110"/>
            </w:tcMar>
            <w:vAlign w:val="center"/>
          </w:tcPr>
          <w:p>
            <w:pPr>
              <w:jc w:val="right"/>
            </w:pPr>
            <w:r>
              <w:rPr>
                <w:sz w:val="18"/>
                <w:szCs w:val="18"/>
              </w:rPr>
              <w:t xml:space="preserve">272</w:t>
            </w:r>
          </w:p>
        </w:tc>
        <w:tc>
          <w:tcPr>
            <w:tcW w:type="dxa" w:w="1220"/>
            <w:tcMar>
              <w:top w:type="dxa" w:w="60"/>
              <w:left w:type="dxa" w:w="110"/>
              <w:bottom w:type="dxa" w:w="60"/>
              <w:right w:type="dxa" w:w="110"/>
            </w:tcMar>
            <w:vAlign w:val="center"/>
          </w:tcPr>
          <w:p>
            <w:pPr>
              <w:jc w:val="right"/>
            </w:pPr>
            <w:r>
              <w:rPr>
                <w:sz w:val="18"/>
                <w:szCs w:val="18"/>
              </w:rPr>
              <w:t xml:space="preserve">287</w:t>
            </w:r>
          </w:p>
        </w:tc>
        <w:tc>
          <w:tcPr>
            <w:tcW w:type="dxa" w:w="1220"/>
            <w:tcMar>
              <w:top w:type="dxa" w:w="60"/>
              <w:left w:type="dxa" w:w="110"/>
              <w:bottom w:type="dxa" w:w="60"/>
              <w:right w:type="dxa" w:w="110"/>
            </w:tcMar>
            <w:vAlign w:val="center"/>
          </w:tcPr>
          <w:p>
            <w:pPr>
              <w:jc w:val="right"/>
            </w:pPr>
            <w:r>
              <w:rPr>
                <w:sz w:val="18"/>
                <w:szCs w:val="18"/>
              </w:rPr>
              <w:t xml:space="preserve">294</w:t>
            </w:r>
          </w:p>
        </w:tc>
        <w:tc>
          <w:tcPr>
            <w:tcW w:type="dxa" w:w="1220"/>
            <w:tcMar>
              <w:top w:type="dxa" w:w="60"/>
              <w:left w:type="dxa" w:w="110"/>
              <w:bottom w:type="dxa" w:w="60"/>
              <w:right w:type="dxa" w:w="110"/>
            </w:tcMar>
            <w:vAlign w:val="center"/>
          </w:tcPr>
          <w:p>
            <w:pPr>
              <w:jc w:val="right"/>
            </w:pPr>
            <w:r>
              <w:rPr>
                <w:sz w:val="18"/>
                <w:szCs w:val="18"/>
              </w:rPr>
              <w:t xml:space="preserve">307</w:t>
            </w:r>
          </w:p>
        </w:tc>
      </w:tr>
      <w:tr>
        <w:tc>
          <w:tcPr>
            <w:tcW w:type="dxa" w:w="3260"/>
            <w:tcMar>
              <w:top w:type="dxa" w:w="60"/>
              <w:left w:type="dxa" w:w="110"/>
              <w:bottom w:type="dxa" w:w="60"/>
              <w:right w:type="dxa" w:w="110"/>
            </w:tcMar>
            <w:vAlign w:val="center"/>
          </w:tcPr>
          <w:p>
            <w:pPr>
              <w:jc w:val="left"/>
            </w:pPr>
            <w:r>
              <w:rPr>
                <w:sz w:val="18"/>
                <w:szCs w:val="18"/>
              </w:rPr>
              <w:t xml:space="preserve">− Capex (3.8% of revenue)</w:t>
            </w:r>
          </w:p>
        </w:tc>
        <w:tc>
          <w:tcPr>
            <w:tcW w:type="dxa" w:w="1220"/>
            <w:tcMar>
              <w:top w:type="dxa" w:w="60"/>
              <w:left w:type="dxa" w:w="110"/>
              <w:bottom w:type="dxa" w:w="60"/>
              <w:right w:type="dxa" w:w="110"/>
            </w:tcMar>
            <w:vAlign w:val="center"/>
          </w:tcPr>
          <w:p>
            <w:pPr>
              <w:jc w:val="right"/>
            </w:pPr>
            <w:r>
              <w:rPr>
                <w:sz w:val="18"/>
                <w:szCs w:val="18"/>
              </w:rPr>
              <w:t xml:space="preserve">-192</w:t>
            </w:r>
          </w:p>
        </w:tc>
        <w:tc>
          <w:tcPr>
            <w:tcW w:type="dxa" w:w="1220"/>
            <w:tcMar>
              <w:top w:type="dxa" w:w="60"/>
              <w:left w:type="dxa" w:w="110"/>
              <w:bottom w:type="dxa" w:w="60"/>
              <w:right w:type="dxa" w:w="110"/>
            </w:tcMar>
            <w:vAlign w:val="center"/>
          </w:tcPr>
          <w:p>
            <w:pPr>
              <w:jc w:val="right"/>
            </w:pPr>
            <w:r>
              <w:rPr>
                <w:sz w:val="18"/>
                <w:szCs w:val="18"/>
              </w:rPr>
              <w:t xml:space="preserve">-203</w:t>
            </w:r>
          </w:p>
        </w:tc>
        <w:tc>
          <w:tcPr>
            <w:tcW w:type="dxa" w:w="1220"/>
            <w:tcMar>
              <w:top w:type="dxa" w:w="60"/>
              <w:left w:type="dxa" w:w="110"/>
              <w:bottom w:type="dxa" w:w="60"/>
              <w:right w:type="dxa" w:w="110"/>
            </w:tcMar>
            <w:vAlign w:val="center"/>
          </w:tcPr>
          <w:p>
            <w:pPr>
              <w:jc w:val="right"/>
            </w:pPr>
            <w:r>
              <w:rPr>
                <w:sz w:val="18"/>
                <w:szCs w:val="18"/>
              </w:rPr>
              <w:t xml:space="preserve">-214</w:t>
            </w:r>
          </w:p>
        </w:tc>
        <w:tc>
          <w:tcPr>
            <w:tcW w:type="dxa" w:w="1220"/>
            <w:tcMar>
              <w:top w:type="dxa" w:w="60"/>
              <w:left w:type="dxa" w:w="110"/>
              <w:bottom w:type="dxa" w:w="60"/>
              <w:right w:type="dxa" w:w="110"/>
            </w:tcMar>
            <w:vAlign w:val="center"/>
          </w:tcPr>
          <w:p>
            <w:pPr>
              <w:jc w:val="right"/>
            </w:pPr>
            <w:r>
              <w:rPr>
                <w:sz w:val="18"/>
                <w:szCs w:val="18"/>
              </w:rPr>
              <w:t xml:space="preserve">-224</w:t>
            </w:r>
          </w:p>
        </w:tc>
        <w:tc>
          <w:tcPr>
            <w:tcW w:type="dxa" w:w="1220"/>
            <w:tcMar>
              <w:top w:type="dxa" w:w="60"/>
              <w:left w:type="dxa" w:w="110"/>
              <w:bottom w:type="dxa" w:w="60"/>
              <w:right w:type="dxa" w:w="110"/>
            </w:tcMar>
            <w:vAlign w:val="center"/>
          </w:tcPr>
          <w:p>
            <w:pPr>
              <w:jc w:val="right"/>
            </w:pPr>
            <w:r>
              <w:rPr>
                <w:sz w:val="18"/>
                <w:szCs w:val="18"/>
              </w:rPr>
              <w:t xml:space="preserve">-233</w:t>
            </w:r>
          </w:p>
        </w:tc>
      </w:tr>
      <w:tr>
        <w:tc>
          <w:tcPr>
            <w:tcW w:type="dxa" w:w="3260"/>
            <w:tcMar>
              <w:top w:type="dxa" w:w="60"/>
              <w:left w:type="dxa" w:w="110"/>
              <w:bottom w:type="dxa" w:w="60"/>
              <w:right w:type="dxa" w:w="110"/>
            </w:tcMar>
            <w:vAlign w:val="center"/>
          </w:tcPr>
          <w:p>
            <w:pPr>
              <w:jc w:val="left"/>
            </w:pPr>
            <w:r>
              <w:rPr>
                <w:sz w:val="18"/>
                <w:szCs w:val="18"/>
              </w:rPr>
              <w:t xml:space="preserve">− Δ net working capital</w:t>
            </w:r>
          </w:p>
        </w:tc>
        <w:tc>
          <w:tcPr>
            <w:tcW w:type="dxa" w:w="1220"/>
            <w:tcMar>
              <w:top w:type="dxa" w:w="60"/>
              <w:left w:type="dxa" w:w="110"/>
              <w:bottom w:type="dxa" w:w="60"/>
              <w:right w:type="dxa" w:w="110"/>
            </w:tcMar>
            <w:vAlign w:val="center"/>
          </w:tcPr>
          <w:p>
            <w:pPr>
              <w:jc w:val="right"/>
            </w:pPr>
            <w:r>
              <w:rPr>
                <w:sz w:val="18"/>
                <w:szCs w:val="18"/>
              </w:rPr>
              <w:t xml:space="preserve">-22</w:t>
            </w:r>
          </w:p>
        </w:tc>
        <w:tc>
          <w:tcPr>
            <w:tcW w:type="dxa" w:w="1220"/>
            <w:tcMar>
              <w:top w:type="dxa" w:w="60"/>
              <w:left w:type="dxa" w:w="110"/>
              <w:bottom w:type="dxa" w:w="60"/>
              <w:right w:type="dxa" w:w="110"/>
            </w:tcMar>
            <w:vAlign w:val="center"/>
          </w:tcPr>
          <w:p>
            <w:pPr>
              <w:jc w:val="right"/>
            </w:pPr>
            <w:r>
              <w:rPr>
                <w:sz w:val="18"/>
                <w:szCs w:val="18"/>
              </w:rPr>
              <w:t xml:space="preserve">-24</w:t>
            </w:r>
          </w:p>
        </w:tc>
        <w:tc>
          <w:tcPr>
            <w:tcW w:type="dxa" w:w="1220"/>
            <w:tcMar>
              <w:top w:type="dxa" w:w="60"/>
              <w:left w:type="dxa" w:w="110"/>
              <w:bottom w:type="dxa" w:w="60"/>
              <w:right w:type="dxa" w:w="110"/>
            </w:tcMar>
            <w:vAlign w:val="center"/>
          </w:tcPr>
          <w:p>
            <w:pPr>
              <w:jc w:val="right"/>
            </w:pPr>
            <w:r>
              <w:rPr>
                <w:sz w:val="18"/>
                <w:szCs w:val="18"/>
              </w:rPr>
              <w:t xml:space="preserve">-18</w:t>
            </w:r>
          </w:p>
        </w:tc>
        <w:tc>
          <w:tcPr>
            <w:tcW w:type="dxa" w:w="1220"/>
            <w:tcMar>
              <w:top w:type="dxa" w:w="60"/>
              <w:left w:type="dxa" w:w="110"/>
              <w:bottom w:type="dxa" w:w="60"/>
              <w:right w:type="dxa" w:w="110"/>
            </w:tcMar>
            <w:vAlign w:val="center"/>
          </w:tcPr>
          <w:p>
            <w:pPr>
              <w:jc w:val="right"/>
            </w:pPr>
            <w:r>
              <w:rPr>
                <w:sz w:val="18"/>
                <w:szCs w:val="18"/>
              </w:rPr>
              <w:t xml:space="preserve">-16</w:t>
            </w:r>
          </w:p>
        </w:tc>
        <w:tc>
          <w:tcPr>
            <w:tcW w:type="dxa" w:w="1220"/>
            <w:tcMar>
              <w:top w:type="dxa" w:w="60"/>
              <w:left w:type="dxa" w:w="110"/>
              <w:bottom w:type="dxa" w:w="60"/>
              <w:right w:type="dxa" w:w="110"/>
            </w:tcMar>
            <w:vAlign w:val="center"/>
          </w:tcPr>
          <w:p>
            <w:pPr>
              <w:jc w:val="right"/>
            </w:pPr>
            <w:r>
              <w:rPr>
                <w:sz w:val="18"/>
                <w:szCs w:val="18"/>
              </w:rPr>
              <w:t xml:space="preserve">-15</w:t>
            </w:r>
          </w:p>
        </w:tc>
      </w:tr>
      <w:tr>
        <w:tc>
          <w:tcPr>
            <w:tcW w:type="dxa" w:w="3260"/>
            <w:tcMar>
              <w:top w:type="dxa" w:w="60"/>
              <w:left w:type="dxa" w:w="110"/>
              <w:bottom w:type="dxa" w:w="60"/>
              <w:right w:type="dxa" w:w="110"/>
            </w:tcMar>
            <w:vAlign w:val="center"/>
          </w:tcPr>
          <w:p>
            <w:pPr>
              <w:jc w:val="left"/>
            </w:pPr>
            <w:r>
              <w:rPr>
                <w:b/>
                <w:bCs/>
                <w:sz w:val="18"/>
                <w:szCs w:val="18"/>
              </w:rPr>
              <w:t xml:space="preserve">FCFF</w:t>
            </w:r>
          </w:p>
        </w:tc>
        <w:tc>
          <w:tcPr>
            <w:tcW w:type="dxa" w:w="1220"/>
            <w:tcMar>
              <w:top w:type="dxa" w:w="60"/>
              <w:left w:type="dxa" w:w="110"/>
              <w:bottom w:type="dxa" w:w="60"/>
              <w:right w:type="dxa" w:w="110"/>
            </w:tcMar>
            <w:vAlign w:val="center"/>
          </w:tcPr>
          <w:p>
            <w:pPr>
              <w:jc w:val="right"/>
            </w:pPr>
            <w:r>
              <w:rPr>
                <w:b/>
                <w:bCs/>
                <w:sz w:val="18"/>
                <w:szCs w:val="18"/>
              </w:rPr>
              <w:t xml:space="preserve">345</w:t>
            </w:r>
          </w:p>
        </w:tc>
        <w:tc>
          <w:tcPr>
            <w:tcW w:type="dxa" w:w="1220"/>
            <w:tcMar>
              <w:top w:type="dxa" w:w="60"/>
              <w:left w:type="dxa" w:w="110"/>
              <w:bottom w:type="dxa" w:w="60"/>
              <w:right w:type="dxa" w:w="110"/>
            </w:tcMar>
            <w:vAlign w:val="center"/>
          </w:tcPr>
          <w:p>
            <w:pPr>
              <w:jc w:val="right"/>
            </w:pPr>
            <w:r>
              <w:rPr>
                <w:b/>
                <w:bCs/>
                <w:sz w:val="18"/>
                <w:szCs w:val="18"/>
              </w:rPr>
              <w:t xml:space="preserve">394</w:t>
            </w:r>
          </w:p>
        </w:tc>
        <w:tc>
          <w:tcPr>
            <w:tcW w:type="dxa" w:w="1220"/>
            <w:tcMar>
              <w:top w:type="dxa" w:w="60"/>
              <w:left w:type="dxa" w:w="110"/>
              <w:bottom w:type="dxa" w:w="60"/>
              <w:right w:type="dxa" w:w="110"/>
            </w:tcMar>
            <w:vAlign w:val="center"/>
          </w:tcPr>
          <w:p>
            <w:pPr>
              <w:jc w:val="right"/>
            </w:pPr>
            <w:r>
              <w:rPr>
                <w:b/>
                <w:bCs/>
                <w:sz w:val="18"/>
                <w:szCs w:val="18"/>
              </w:rPr>
              <w:t xml:space="preserve">446</w:t>
            </w:r>
          </w:p>
        </w:tc>
        <w:tc>
          <w:tcPr>
            <w:tcW w:type="dxa" w:w="1220"/>
            <w:tcMar>
              <w:top w:type="dxa" w:w="60"/>
              <w:left w:type="dxa" w:w="110"/>
              <w:bottom w:type="dxa" w:w="60"/>
              <w:right w:type="dxa" w:w="110"/>
            </w:tcMar>
            <w:vAlign w:val="center"/>
          </w:tcPr>
          <w:p>
            <w:pPr>
              <w:jc w:val="right"/>
            </w:pPr>
            <w:r>
              <w:rPr>
                <w:b/>
                <w:bCs/>
                <w:sz w:val="18"/>
                <w:szCs w:val="18"/>
              </w:rPr>
              <w:t xml:space="preserve">481</w:t>
            </w:r>
          </w:p>
        </w:tc>
        <w:tc>
          <w:tcPr>
            <w:tcW w:type="dxa" w:w="1220"/>
            <w:tcMar>
              <w:top w:type="dxa" w:w="60"/>
              <w:left w:type="dxa" w:w="110"/>
              <w:bottom w:type="dxa" w:w="60"/>
              <w:right w:type="dxa" w:w="110"/>
            </w:tcMar>
            <w:vAlign w:val="center"/>
          </w:tcPr>
          <w:p>
            <w:pPr>
              <w:jc w:val="right"/>
            </w:pPr>
            <w:r>
              <w:rPr>
                <w:b/>
                <w:bCs/>
                <w:sz w:val="18"/>
                <w:szCs w:val="18"/>
              </w:rPr>
              <w:t xml:space="preserve">510</w:t>
            </w:r>
          </w:p>
        </w:tc>
      </w:tr>
      <w:tr>
        <w:tc>
          <w:tcPr>
            <w:tcW w:type="dxa" w:w="3260"/>
            <w:tcMar>
              <w:top w:type="dxa" w:w="60"/>
              <w:left w:type="dxa" w:w="110"/>
              <w:bottom w:type="dxa" w:w="60"/>
              <w:right w:type="dxa" w:w="110"/>
            </w:tcMar>
            <w:vAlign w:val="center"/>
          </w:tcPr>
          <w:p>
            <w:pPr>
              <w:jc w:val="left"/>
            </w:pPr>
            <w:r>
              <w:rPr>
                <w:sz w:val="18"/>
                <w:szCs w:val="18"/>
              </w:rPr>
              <w:t xml:space="preserve">Discount factor @ 10.6%</w:t>
            </w:r>
          </w:p>
        </w:tc>
        <w:tc>
          <w:tcPr>
            <w:tcW w:type="dxa" w:w="1220"/>
            <w:tcMar>
              <w:top w:type="dxa" w:w="60"/>
              <w:left w:type="dxa" w:w="110"/>
              <w:bottom w:type="dxa" w:w="60"/>
              <w:right w:type="dxa" w:w="110"/>
            </w:tcMar>
            <w:vAlign w:val="center"/>
          </w:tcPr>
          <w:p>
            <w:pPr>
              <w:jc w:val="right"/>
            </w:pPr>
            <w:r>
              <w:rPr>
                <w:sz w:val="18"/>
                <w:szCs w:val="18"/>
              </w:rPr>
              <w:t xml:space="preserve">0.904</w:t>
            </w:r>
          </w:p>
        </w:tc>
        <w:tc>
          <w:tcPr>
            <w:tcW w:type="dxa" w:w="1220"/>
            <w:tcMar>
              <w:top w:type="dxa" w:w="60"/>
              <w:left w:type="dxa" w:w="110"/>
              <w:bottom w:type="dxa" w:w="60"/>
              <w:right w:type="dxa" w:w="110"/>
            </w:tcMar>
            <w:vAlign w:val="center"/>
          </w:tcPr>
          <w:p>
            <w:pPr>
              <w:jc w:val="right"/>
            </w:pPr>
            <w:r>
              <w:rPr>
                <w:sz w:val="18"/>
                <w:szCs w:val="18"/>
              </w:rPr>
              <w:t xml:space="preserve">0.818</w:t>
            </w:r>
          </w:p>
        </w:tc>
        <w:tc>
          <w:tcPr>
            <w:tcW w:type="dxa" w:w="1220"/>
            <w:tcMar>
              <w:top w:type="dxa" w:w="60"/>
              <w:left w:type="dxa" w:w="110"/>
              <w:bottom w:type="dxa" w:w="60"/>
              <w:right w:type="dxa" w:w="110"/>
            </w:tcMar>
            <w:vAlign w:val="center"/>
          </w:tcPr>
          <w:p>
            <w:pPr>
              <w:jc w:val="right"/>
            </w:pPr>
            <w:r>
              <w:rPr>
                <w:sz w:val="18"/>
                <w:szCs w:val="18"/>
              </w:rPr>
              <w:t xml:space="preserve">0.740</w:t>
            </w:r>
          </w:p>
        </w:tc>
        <w:tc>
          <w:tcPr>
            <w:tcW w:type="dxa" w:w="1220"/>
            <w:tcMar>
              <w:top w:type="dxa" w:w="60"/>
              <w:left w:type="dxa" w:w="110"/>
              <w:bottom w:type="dxa" w:w="60"/>
              <w:right w:type="dxa" w:w="110"/>
            </w:tcMar>
            <w:vAlign w:val="center"/>
          </w:tcPr>
          <w:p>
            <w:pPr>
              <w:jc w:val="right"/>
            </w:pPr>
            <w:r>
              <w:rPr>
                <w:sz w:val="18"/>
                <w:szCs w:val="18"/>
              </w:rPr>
              <w:t xml:space="preserve">0.669</w:t>
            </w:r>
          </w:p>
        </w:tc>
        <w:tc>
          <w:tcPr>
            <w:tcW w:type="dxa" w:w="1220"/>
            <w:tcMar>
              <w:top w:type="dxa" w:w="60"/>
              <w:left w:type="dxa" w:w="110"/>
              <w:bottom w:type="dxa" w:w="60"/>
              <w:right w:type="dxa" w:w="110"/>
            </w:tcMar>
            <w:vAlign w:val="center"/>
          </w:tcPr>
          <w:p>
            <w:pPr>
              <w:jc w:val="right"/>
            </w:pPr>
            <w:r>
              <w:rPr>
                <w:sz w:val="18"/>
                <w:szCs w:val="18"/>
              </w:rPr>
              <w:t xml:space="preserve">0.605</w:t>
            </w:r>
          </w:p>
        </w:tc>
      </w:tr>
      <w:tr>
        <w:tc>
          <w:tcPr>
            <w:tcW w:type="dxa" w:w="3260"/>
            <w:tcMar>
              <w:top w:type="dxa" w:w="60"/>
              <w:left w:type="dxa" w:w="110"/>
              <w:bottom w:type="dxa" w:w="60"/>
              <w:right w:type="dxa" w:w="110"/>
            </w:tcMar>
            <w:vAlign w:val="center"/>
          </w:tcPr>
          <w:p>
            <w:pPr>
              <w:jc w:val="left"/>
            </w:pPr>
            <w:r>
              <w:rPr>
                <w:b/>
                <w:bCs/>
                <w:sz w:val="18"/>
                <w:szCs w:val="18"/>
              </w:rPr>
              <w:t xml:space="preserve">PV of FCFF</w:t>
            </w:r>
          </w:p>
        </w:tc>
        <w:tc>
          <w:tcPr>
            <w:tcW w:type="dxa" w:w="1220"/>
            <w:tcMar>
              <w:top w:type="dxa" w:w="60"/>
              <w:left w:type="dxa" w:w="110"/>
              <w:bottom w:type="dxa" w:w="60"/>
              <w:right w:type="dxa" w:w="110"/>
            </w:tcMar>
            <w:vAlign w:val="center"/>
          </w:tcPr>
          <w:p>
            <w:pPr>
              <w:jc w:val="right"/>
            </w:pPr>
            <w:r>
              <w:rPr>
                <w:b/>
                <w:bCs/>
                <w:sz w:val="18"/>
                <w:szCs w:val="18"/>
              </w:rPr>
              <w:t xml:space="preserve">312</w:t>
            </w:r>
          </w:p>
        </w:tc>
        <w:tc>
          <w:tcPr>
            <w:tcW w:type="dxa" w:w="1220"/>
            <w:tcMar>
              <w:top w:type="dxa" w:w="60"/>
              <w:left w:type="dxa" w:w="110"/>
              <w:bottom w:type="dxa" w:w="60"/>
              <w:right w:type="dxa" w:w="110"/>
            </w:tcMar>
            <w:vAlign w:val="center"/>
          </w:tcPr>
          <w:p>
            <w:pPr>
              <w:jc w:val="right"/>
            </w:pPr>
            <w:r>
              <w:rPr>
                <w:b/>
                <w:bCs/>
                <w:sz w:val="18"/>
                <w:szCs w:val="18"/>
              </w:rPr>
              <w:t xml:space="preserve">323</w:t>
            </w:r>
          </w:p>
        </w:tc>
        <w:tc>
          <w:tcPr>
            <w:tcW w:type="dxa" w:w="1220"/>
            <w:tcMar>
              <w:top w:type="dxa" w:w="60"/>
              <w:left w:type="dxa" w:w="110"/>
              <w:bottom w:type="dxa" w:w="60"/>
              <w:right w:type="dxa" w:w="110"/>
            </w:tcMar>
            <w:vAlign w:val="center"/>
          </w:tcPr>
          <w:p>
            <w:pPr>
              <w:jc w:val="right"/>
            </w:pPr>
            <w:r>
              <w:rPr>
                <w:b/>
                <w:bCs/>
                <w:sz w:val="18"/>
                <w:szCs w:val="18"/>
              </w:rPr>
              <w:t xml:space="preserve">330</w:t>
            </w:r>
          </w:p>
        </w:tc>
        <w:tc>
          <w:tcPr>
            <w:tcW w:type="dxa" w:w="1220"/>
            <w:tcMar>
              <w:top w:type="dxa" w:w="60"/>
              <w:left w:type="dxa" w:w="110"/>
              <w:bottom w:type="dxa" w:w="60"/>
              <w:right w:type="dxa" w:w="110"/>
            </w:tcMar>
            <w:vAlign w:val="center"/>
          </w:tcPr>
          <w:p>
            <w:pPr>
              <w:jc w:val="right"/>
            </w:pPr>
            <w:r>
              <w:rPr>
                <w:b/>
                <w:bCs/>
                <w:sz w:val="18"/>
                <w:szCs w:val="18"/>
              </w:rPr>
              <w:t xml:space="preserve">322</w:t>
            </w:r>
          </w:p>
        </w:tc>
        <w:tc>
          <w:tcPr>
            <w:tcW w:type="dxa" w:w="1220"/>
            <w:tcMar>
              <w:top w:type="dxa" w:w="60"/>
              <w:left w:type="dxa" w:w="110"/>
              <w:bottom w:type="dxa" w:w="60"/>
              <w:right w:type="dxa" w:w="110"/>
            </w:tcMar>
            <w:vAlign w:val="center"/>
          </w:tcPr>
          <w:p>
            <w:pPr>
              <w:jc w:val="right"/>
            </w:pPr>
            <w:r>
              <w:rPr>
                <w:b/>
                <w:bCs/>
                <w:sz w:val="18"/>
                <w:szCs w:val="18"/>
              </w:rPr>
              <w:t xml:space="preserve">308</w:t>
            </w:r>
          </w:p>
        </w:tc>
      </w:tr>
    </w:tbl>
    <w:p>
      <w:pPr>
        <w:spacing w:after="60"/>
      </w:pP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5860"/>
        <w:gridCol w:w="3500"/>
      </w:tblGrid>
      <w:tr>
        <w:tc>
          <w:tcPr>
            <w:tcW w:type="dxa" w:w="5860"/>
            <w:shd w:fill="1C3A36" w:val="clear"/>
            <w:tcMar>
              <w:top w:type="dxa" w:w="60"/>
              <w:left w:type="dxa" w:w="110"/>
              <w:bottom w:type="dxa" w:w="60"/>
              <w:right w:type="dxa" w:w="110"/>
            </w:tcMar>
            <w:vAlign w:val="center"/>
          </w:tcPr>
          <w:p>
            <w:pPr>
              <w:jc w:val="left"/>
            </w:pPr>
            <w:r>
              <w:rPr>
                <w:b/>
                <w:bCs/>
                <w:color w:val="FFFFFF"/>
                <w:sz w:val="18"/>
                <w:szCs w:val="18"/>
              </w:rPr>
              <w:t xml:space="preserve">DCF output</w:t>
            </w:r>
          </w:p>
        </w:tc>
        <w:tc>
          <w:tcPr>
            <w:tcW w:type="dxa" w:w="3500"/>
            <w:shd w:fill="1C3A36" w:val="clear"/>
            <w:tcMar>
              <w:top w:type="dxa" w:w="60"/>
              <w:left w:type="dxa" w:w="110"/>
              <w:bottom w:type="dxa" w:w="60"/>
              <w:right w:type="dxa" w:w="110"/>
            </w:tcMar>
            <w:vAlign w:val="center"/>
          </w:tcPr>
          <w:p>
            <w:pPr>
              <w:jc w:val="center"/>
            </w:pPr>
            <w:r>
              <w:rPr>
                <w:b/>
                <w:bCs/>
                <w:color w:val="FFFFFF"/>
                <w:sz w:val="18"/>
                <w:szCs w:val="18"/>
              </w:rPr>
              <w:t xml:space="preserve">AED mn / per share</w:t>
            </w:r>
          </w:p>
        </w:tc>
      </w:tr>
      <w:tr>
        <w:tc>
          <w:tcPr>
            <w:tcW w:type="dxa" w:w="5860"/>
            <w:tcMar>
              <w:top w:type="dxa" w:w="60"/>
              <w:left w:type="dxa" w:w="110"/>
              <w:bottom w:type="dxa" w:w="60"/>
              <w:right w:type="dxa" w:w="110"/>
            </w:tcMar>
            <w:vAlign w:val="center"/>
          </w:tcPr>
          <w:p>
            <w:pPr>
              <w:jc w:val="left"/>
            </w:pPr>
            <w:r>
              <w:rPr>
                <w:sz w:val="18"/>
                <w:szCs w:val="18"/>
              </w:rPr>
              <w:t xml:space="preserve">Σ PV of explicit FCFF (FY26E–30E)</w:t>
            </w:r>
          </w:p>
        </w:tc>
        <w:tc>
          <w:tcPr>
            <w:tcW w:type="dxa" w:w="3500"/>
            <w:tcMar>
              <w:top w:type="dxa" w:w="60"/>
              <w:left w:type="dxa" w:w="110"/>
              <w:bottom w:type="dxa" w:w="60"/>
              <w:right w:type="dxa" w:w="110"/>
            </w:tcMar>
            <w:vAlign w:val="center"/>
          </w:tcPr>
          <w:p>
            <w:pPr>
              <w:jc w:val="right"/>
            </w:pPr>
            <w:r>
              <w:rPr>
                <w:sz w:val="18"/>
                <w:szCs w:val="18"/>
              </w:rPr>
              <w:t xml:space="preserve">1,595</w:t>
            </w:r>
          </w:p>
        </w:tc>
      </w:tr>
      <w:tr>
        <w:tc>
          <w:tcPr>
            <w:tcW w:type="dxa" w:w="5860"/>
            <w:tcMar>
              <w:top w:type="dxa" w:w="60"/>
              <w:left w:type="dxa" w:w="110"/>
              <w:bottom w:type="dxa" w:w="60"/>
              <w:right w:type="dxa" w:w="110"/>
            </w:tcMar>
            <w:vAlign w:val="center"/>
          </w:tcPr>
          <w:p>
            <w:pPr>
              <w:jc w:val="left"/>
            </w:pPr>
            <w:r>
              <w:rPr>
                <w:sz w:val="18"/>
                <w:szCs w:val="18"/>
              </w:rPr>
              <w:t xml:space="preserve">Terminal value (Gordon, g 2.25%)</w:t>
            </w:r>
          </w:p>
        </w:tc>
        <w:tc>
          <w:tcPr>
            <w:tcW w:type="dxa" w:w="3500"/>
            <w:tcMar>
              <w:top w:type="dxa" w:w="60"/>
              <w:left w:type="dxa" w:w="110"/>
              <w:bottom w:type="dxa" w:w="60"/>
              <w:right w:type="dxa" w:w="110"/>
            </w:tcMar>
            <w:vAlign w:val="center"/>
          </w:tcPr>
          <w:p>
            <w:pPr>
              <w:jc w:val="right"/>
            </w:pPr>
            <w:r>
              <w:rPr>
                <w:sz w:val="18"/>
                <w:szCs w:val="18"/>
              </w:rPr>
              <w:t xml:space="preserve">6,260</w:t>
            </w:r>
          </w:p>
        </w:tc>
      </w:tr>
      <w:tr>
        <w:tc>
          <w:tcPr>
            <w:tcW w:type="dxa" w:w="5860"/>
            <w:tcMar>
              <w:top w:type="dxa" w:w="60"/>
              <w:left w:type="dxa" w:w="110"/>
              <w:bottom w:type="dxa" w:w="60"/>
              <w:right w:type="dxa" w:w="110"/>
            </w:tcMar>
            <w:vAlign w:val="center"/>
          </w:tcPr>
          <w:p>
            <w:pPr>
              <w:jc w:val="left"/>
            </w:pPr>
            <w:r>
              <w:rPr>
                <w:sz w:val="18"/>
                <w:szCs w:val="18"/>
              </w:rPr>
              <w:t xml:space="preserve">PV of terminal value</w:t>
            </w:r>
          </w:p>
        </w:tc>
        <w:tc>
          <w:tcPr>
            <w:tcW w:type="dxa" w:w="3500"/>
            <w:tcMar>
              <w:top w:type="dxa" w:w="60"/>
              <w:left w:type="dxa" w:w="110"/>
              <w:bottom w:type="dxa" w:w="60"/>
              <w:right w:type="dxa" w:w="110"/>
            </w:tcMar>
            <w:vAlign w:val="center"/>
          </w:tcPr>
          <w:p>
            <w:pPr>
              <w:jc w:val="right"/>
            </w:pPr>
            <w:r>
              <w:rPr>
                <w:sz w:val="18"/>
                <w:szCs w:val="18"/>
              </w:rPr>
              <w:t xml:space="preserve">3,788</w:t>
            </w:r>
          </w:p>
        </w:tc>
      </w:tr>
      <w:tr>
        <w:tc>
          <w:tcPr>
            <w:tcW w:type="dxa" w:w="5860"/>
            <w:tcMar>
              <w:top w:type="dxa" w:w="60"/>
              <w:left w:type="dxa" w:w="110"/>
              <w:bottom w:type="dxa" w:w="60"/>
              <w:right w:type="dxa" w:w="110"/>
            </w:tcMar>
            <w:vAlign w:val="center"/>
          </w:tcPr>
          <w:p>
            <w:pPr>
              <w:jc w:val="left"/>
            </w:pPr>
            <w:r>
              <w:rPr>
                <w:b/>
                <w:bCs/>
                <w:sz w:val="18"/>
                <w:szCs w:val="18"/>
              </w:rPr>
              <w:t xml:space="preserve">Enterprise value</w:t>
            </w:r>
          </w:p>
        </w:tc>
        <w:tc>
          <w:tcPr>
            <w:tcW w:type="dxa" w:w="3500"/>
            <w:tcMar>
              <w:top w:type="dxa" w:w="60"/>
              <w:left w:type="dxa" w:w="110"/>
              <w:bottom w:type="dxa" w:w="60"/>
              <w:right w:type="dxa" w:w="110"/>
            </w:tcMar>
            <w:vAlign w:val="center"/>
          </w:tcPr>
          <w:p>
            <w:pPr>
              <w:jc w:val="right"/>
            </w:pPr>
            <w:r>
              <w:rPr>
                <w:b/>
                <w:bCs/>
                <w:sz w:val="18"/>
                <w:szCs w:val="18"/>
              </w:rPr>
              <w:t xml:space="preserve">5,383</w:t>
            </w:r>
          </w:p>
        </w:tc>
      </w:tr>
      <w:tr>
        <w:tc>
          <w:tcPr>
            <w:tcW w:type="dxa" w:w="5860"/>
            <w:tcMar>
              <w:top w:type="dxa" w:w="60"/>
              <w:left w:type="dxa" w:w="110"/>
              <w:bottom w:type="dxa" w:w="60"/>
              <w:right w:type="dxa" w:w="110"/>
            </w:tcMar>
            <w:vAlign w:val="center"/>
          </w:tcPr>
          <w:p>
            <w:pPr>
              <w:jc w:val="left"/>
            </w:pPr>
            <w:r>
              <w:rPr>
                <w:sz w:val="18"/>
                <w:szCs w:val="18"/>
              </w:rPr>
              <w:t xml:space="preserve">less: consolidated net debt</w:t>
            </w:r>
          </w:p>
        </w:tc>
        <w:tc>
          <w:tcPr>
            <w:tcW w:type="dxa" w:w="3500"/>
            <w:tcMar>
              <w:top w:type="dxa" w:w="60"/>
              <w:left w:type="dxa" w:w="110"/>
              <w:bottom w:type="dxa" w:w="60"/>
              <w:right w:type="dxa" w:w="110"/>
            </w:tcMar>
            <w:vAlign w:val="center"/>
          </w:tcPr>
          <w:p>
            <w:pPr>
              <w:jc w:val="right"/>
            </w:pPr>
            <w:r>
              <w:rPr>
                <w:sz w:val="18"/>
                <w:szCs w:val="18"/>
              </w:rPr>
              <w:t xml:space="preserve">(1,300)</w:t>
            </w:r>
          </w:p>
        </w:tc>
      </w:tr>
      <w:tr>
        <w:tc>
          <w:tcPr>
            <w:tcW w:type="dxa" w:w="5860"/>
            <w:tcMar>
              <w:top w:type="dxa" w:w="60"/>
              <w:left w:type="dxa" w:w="110"/>
              <w:bottom w:type="dxa" w:w="60"/>
              <w:right w:type="dxa" w:w="110"/>
            </w:tcMar>
            <w:vAlign w:val="center"/>
          </w:tcPr>
          <w:p>
            <w:pPr>
              <w:jc w:val="left"/>
            </w:pPr>
            <w:r>
              <w:rPr>
                <w:sz w:val="18"/>
                <w:szCs w:val="18"/>
              </w:rPr>
              <w:t xml:space="preserve">less: minorities (est. value)</w:t>
            </w:r>
          </w:p>
        </w:tc>
        <w:tc>
          <w:tcPr>
            <w:tcW w:type="dxa" w:w="3500"/>
            <w:tcMar>
              <w:top w:type="dxa" w:w="60"/>
              <w:left w:type="dxa" w:w="110"/>
              <w:bottom w:type="dxa" w:w="60"/>
              <w:right w:type="dxa" w:w="110"/>
            </w:tcMar>
            <w:vAlign w:val="center"/>
          </w:tcPr>
          <w:p>
            <w:pPr>
              <w:jc w:val="right"/>
            </w:pPr>
            <w:r>
              <w:rPr>
                <w:sz w:val="18"/>
                <w:szCs w:val="18"/>
              </w:rPr>
              <w:t xml:space="preserve">(260)</w:t>
            </w:r>
          </w:p>
        </w:tc>
      </w:tr>
      <w:tr>
        <w:tc>
          <w:tcPr>
            <w:tcW w:type="dxa" w:w="5860"/>
            <w:tcMar>
              <w:top w:type="dxa" w:w="60"/>
              <w:left w:type="dxa" w:w="110"/>
              <w:bottom w:type="dxa" w:w="60"/>
              <w:right w:type="dxa" w:w="110"/>
            </w:tcMar>
            <w:vAlign w:val="center"/>
          </w:tcPr>
          <w:p>
            <w:pPr>
              <w:jc w:val="left"/>
            </w:pPr>
            <w:r>
              <w:rPr>
                <w:b/>
                <w:bCs/>
                <w:sz w:val="18"/>
                <w:szCs w:val="18"/>
              </w:rPr>
              <w:t xml:space="preserve">Equity value → per share</w:t>
            </w:r>
          </w:p>
        </w:tc>
        <w:tc>
          <w:tcPr>
            <w:tcW w:type="dxa" w:w="3500"/>
            <w:tcMar>
              <w:top w:type="dxa" w:w="60"/>
              <w:left w:type="dxa" w:w="110"/>
              <w:bottom w:type="dxa" w:w="60"/>
              <w:right w:type="dxa" w:w="110"/>
            </w:tcMar>
            <w:vAlign w:val="center"/>
          </w:tcPr>
          <w:p>
            <w:pPr>
              <w:jc w:val="right"/>
            </w:pPr>
            <w:r>
              <w:rPr>
                <w:b/>
                <w:bCs/>
                <w:sz w:val="18"/>
                <w:szCs w:val="18"/>
              </w:rPr>
              <w:t xml:space="preserve">3,823 → AED 4.60</w:t>
            </w:r>
          </w:p>
        </w:tc>
      </w:tr>
      <w:tr>
        <w:tc>
          <w:tcPr>
            <w:tcW w:type="dxa" w:w="5860"/>
            <w:tcMar>
              <w:top w:type="dxa" w:w="60"/>
              <w:left w:type="dxa" w:w="110"/>
              <w:bottom w:type="dxa" w:w="60"/>
              <w:right w:type="dxa" w:w="110"/>
            </w:tcMar>
            <w:vAlign w:val="center"/>
          </w:tcPr>
          <w:p>
            <w:pPr>
              <w:jc w:val="left"/>
            </w:pPr>
            <w:r>
              <w:rPr>
                <w:sz w:val="18"/>
                <w:szCs w:val="18"/>
              </w:rPr>
              <w:t xml:space="preserve">Terminal value as % of EV (disclosed &amp; sensitized, §1.9)</w:t>
            </w:r>
          </w:p>
        </w:tc>
        <w:tc>
          <w:tcPr>
            <w:tcW w:type="dxa" w:w="3500"/>
            <w:tcMar>
              <w:top w:type="dxa" w:w="60"/>
              <w:left w:type="dxa" w:w="110"/>
              <w:bottom w:type="dxa" w:w="60"/>
              <w:right w:type="dxa" w:w="110"/>
            </w:tcMar>
            <w:vAlign w:val="center"/>
          </w:tcPr>
          <w:p>
            <w:pPr>
              <w:jc w:val="right"/>
            </w:pPr>
            <w:r>
              <w:rPr>
                <w:sz w:val="18"/>
                <w:szCs w:val="18"/>
              </w:rPr>
              <w:t xml:space="preserve">70.4%</w:t>
            </w:r>
          </w:p>
        </w:tc>
      </w:tr>
    </w:tbl>
    <w:p>
      <w:pPr>
        <w:spacing w:after="60"/>
      </w:pP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660"/>
        <w:gridCol w:w="1900"/>
        <w:gridCol w:w="1900"/>
        <w:gridCol w:w="1900"/>
      </w:tblGrid>
      <w:tr>
        <w:tc>
          <w:tcPr>
            <w:tcW w:type="dxa" w:w="3660"/>
            <w:shd w:fill="1C3A36" w:val="clear"/>
            <w:tcMar>
              <w:top w:type="dxa" w:w="60"/>
              <w:left w:type="dxa" w:w="110"/>
              <w:bottom w:type="dxa" w:w="60"/>
              <w:right w:type="dxa" w:w="110"/>
            </w:tcMar>
            <w:vAlign w:val="center"/>
          </w:tcPr>
          <w:p>
            <w:pPr>
              <w:jc w:val="left"/>
            </w:pPr>
            <w:r>
              <w:rPr>
                <w:b/>
                <w:bCs/>
                <w:color w:val="FFFFFF"/>
                <w:sz w:val="18"/>
                <w:szCs w:val="18"/>
              </w:rPr>
              <w:t xml:space="preserve">DCF input</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Bear</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Base</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Bull</w:t>
            </w:r>
          </w:p>
        </w:tc>
      </w:tr>
      <w:tr>
        <w:tc>
          <w:tcPr>
            <w:tcW w:type="dxa" w:w="3660"/>
            <w:tcMar>
              <w:top w:type="dxa" w:w="60"/>
              <w:left w:type="dxa" w:w="110"/>
              <w:bottom w:type="dxa" w:w="60"/>
              <w:right w:type="dxa" w:w="110"/>
            </w:tcMar>
            <w:vAlign w:val="center"/>
          </w:tcPr>
          <w:p>
            <w:pPr>
              <w:jc w:val="left"/>
            </w:pPr>
            <w:r>
              <w:rPr>
                <w:sz w:val="18"/>
                <w:szCs w:val="18"/>
              </w:rPr>
              <w:t xml:space="preserve">WACC</w:t>
            </w:r>
          </w:p>
        </w:tc>
        <w:tc>
          <w:tcPr>
            <w:tcW w:type="dxa" w:w="1900"/>
            <w:tcMar>
              <w:top w:type="dxa" w:w="60"/>
              <w:left w:type="dxa" w:w="110"/>
              <w:bottom w:type="dxa" w:w="60"/>
              <w:right w:type="dxa" w:w="110"/>
            </w:tcMar>
            <w:vAlign w:val="center"/>
          </w:tcPr>
          <w:p>
            <w:pPr>
              <w:jc w:val="right"/>
            </w:pPr>
            <w:r>
              <w:rPr>
                <w:sz w:val="18"/>
                <w:szCs w:val="18"/>
              </w:rPr>
              <w:t xml:space="preserve">11.6%</w:t>
            </w:r>
          </w:p>
        </w:tc>
        <w:tc>
          <w:tcPr>
            <w:tcW w:type="dxa" w:w="1900"/>
            <w:tcMar>
              <w:top w:type="dxa" w:w="60"/>
              <w:left w:type="dxa" w:w="110"/>
              <w:bottom w:type="dxa" w:w="60"/>
              <w:right w:type="dxa" w:w="110"/>
            </w:tcMar>
            <w:vAlign w:val="center"/>
          </w:tcPr>
          <w:p>
            <w:pPr>
              <w:jc w:val="right"/>
            </w:pPr>
            <w:r>
              <w:rPr>
                <w:sz w:val="18"/>
                <w:szCs w:val="18"/>
              </w:rPr>
              <w:t xml:space="preserve">10.6%</w:t>
            </w:r>
          </w:p>
        </w:tc>
        <w:tc>
          <w:tcPr>
            <w:tcW w:type="dxa" w:w="1900"/>
            <w:tcMar>
              <w:top w:type="dxa" w:w="60"/>
              <w:left w:type="dxa" w:w="110"/>
              <w:bottom w:type="dxa" w:w="60"/>
              <w:right w:type="dxa" w:w="110"/>
            </w:tcMar>
            <w:vAlign w:val="center"/>
          </w:tcPr>
          <w:p>
            <w:pPr>
              <w:jc w:val="right"/>
            </w:pPr>
            <w:r>
              <w:rPr>
                <w:sz w:val="18"/>
                <w:szCs w:val="18"/>
              </w:rPr>
              <w:t xml:space="preserve">9.6%</w:t>
            </w:r>
          </w:p>
        </w:tc>
      </w:tr>
      <w:tr>
        <w:tc>
          <w:tcPr>
            <w:tcW w:type="dxa" w:w="3660"/>
            <w:tcMar>
              <w:top w:type="dxa" w:w="60"/>
              <w:left w:type="dxa" w:w="110"/>
              <w:bottom w:type="dxa" w:w="60"/>
              <w:right w:type="dxa" w:w="110"/>
            </w:tcMar>
            <w:vAlign w:val="center"/>
          </w:tcPr>
          <w:p>
            <w:pPr>
              <w:jc w:val="left"/>
            </w:pPr>
            <w:r>
              <w:rPr>
                <w:sz w:val="18"/>
                <w:szCs w:val="18"/>
              </w:rPr>
              <w:t xml:space="preserve">Terminal growth</w:t>
            </w:r>
          </w:p>
        </w:tc>
        <w:tc>
          <w:tcPr>
            <w:tcW w:type="dxa" w:w="1900"/>
            <w:tcMar>
              <w:top w:type="dxa" w:w="60"/>
              <w:left w:type="dxa" w:w="110"/>
              <w:bottom w:type="dxa" w:w="60"/>
              <w:right w:type="dxa" w:w="110"/>
            </w:tcMar>
            <w:vAlign w:val="center"/>
          </w:tcPr>
          <w:p>
            <w:pPr>
              <w:jc w:val="right"/>
            </w:pPr>
            <w:r>
              <w:rPr>
                <w:sz w:val="18"/>
                <w:szCs w:val="18"/>
              </w:rPr>
              <w:t xml:space="preserve">1.5%</w:t>
            </w:r>
          </w:p>
        </w:tc>
        <w:tc>
          <w:tcPr>
            <w:tcW w:type="dxa" w:w="1900"/>
            <w:tcMar>
              <w:top w:type="dxa" w:w="60"/>
              <w:left w:type="dxa" w:w="110"/>
              <w:bottom w:type="dxa" w:w="60"/>
              <w:right w:type="dxa" w:w="110"/>
            </w:tcMar>
            <w:vAlign w:val="center"/>
          </w:tcPr>
          <w:p>
            <w:pPr>
              <w:jc w:val="right"/>
            </w:pPr>
            <w:r>
              <w:rPr>
                <w:sz w:val="18"/>
                <w:szCs w:val="18"/>
              </w:rPr>
              <w:t xml:space="preserve">2.25%</w:t>
            </w:r>
          </w:p>
        </w:tc>
        <w:tc>
          <w:tcPr>
            <w:tcW w:type="dxa" w:w="1900"/>
            <w:tcMar>
              <w:top w:type="dxa" w:w="60"/>
              <w:left w:type="dxa" w:w="110"/>
              <w:bottom w:type="dxa" w:w="60"/>
              <w:right w:type="dxa" w:w="110"/>
            </w:tcMar>
            <w:vAlign w:val="center"/>
          </w:tcPr>
          <w:p>
            <w:pPr>
              <w:jc w:val="right"/>
            </w:pPr>
            <w:r>
              <w:rPr>
                <w:sz w:val="18"/>
                <w:szCs w:val="18"/>
              </w:rPr>
              <w:t xml:space="preserve">3.0%</w:t>
            </w:r>
          </w:p>
        </w:tc>
      </w:tr>
      <w:tr>
        <w:tc>
          <w:tcPr>
            <w:tcW w:type="dxa" w:w="3660"/>
            <w:tcMar>
              <w:top w:type="dxa" w:w="60"/>
              <w:left w:type="dxa" w:w="110"/>
              <w:bottom w:type="dxa" w:w="60"/>
              <w:right w:type="dxa" w:w="110"/>
            </w:tcMar>
            <w:vAlign w:val="center"/>
          </w:tcPr>
          <w:p>
            <w:pPr>
              <w:jc w:val="left"/>
            </w:pPr>
            <w:r>
              <w:rPr>
                <w:sz w:val="18"/>
                <w:szCs w:val="18"/>
              </w:rPr>
              <w:t xml:space="preserve">Segment EBITDA margins</w:t>
            </w:r>
          </w:p>
        </w:tc>
        <w:tc>
          <w:tcPr>
            <w:tcW w:type="dxa" w:w="1900"/>
            <w:tcMar>
              <w:top w:type="dxa" w:w="60"/>
              <w:left w:type="dxa" w:w="110"/>
              <w:bottom w:type="dxa" w:w="60"/>
              <w:right w:type="dxa" w:w="110"/>
            </w:tcMar>
            <w:vAlign w:val="center"/>
          </w:tcPr>
          <w:p>
            <w:pPr>
              <w:jc w:val="right"/>
            </w:pPr>
            <w:r>
              <w:rPr>
                <w:sz w:val="18"/>
                <w:szCs w:val="18"/>
              </w:rPr>
              <w:t xml:space="preserve">−100bp</w:t>
            </w:r>
          </w:p>
        </w:tc>
        <w:tc>
          <w:tcPr>
            <w:tcW w:type="dxa" w:w="1900"/>
            <w:tcMar>
              <w:top w:type="dxa" w:w="60"/>
              <w:left w:type="dxa" w:w="110"/>
              <w:bottom w:type="dxa" w:w="60"/>
              <w:right w:type="dxa" w:w="110"/>
            </w:tcMar>
            <w:vAlign w:val="center"/>
          </w:tcPr>
          <w:p>
            <w:pPr>
              <w:jc w:val="right"/>
            </w:pPr>
            <w:r>
              <w:rPr>
                <w:sz w:val="18"/>
                <w:szCs w:val="18"/>
              </w:rPr>
              <w:t xml:space="preserve">as forecast</w:t>
            </w:r>
          </w:p>
        </w:tc>
        <w:tc>
          <w:tcPr>
            <w:tcW w:type="dxa" w:w="1900"/>
            <w:tcMar>
              <w:top w:type="dxa" w:w="60"/>
              <w:left w:type="dxa" w:w="110"/>
              <w:bottom w:type="dxa" w:w="60"/>
              <w:right w:type="dxa" w:w="110"/>
            </w:tcMar>
            <w:vAlign w:val="center"/>
          </w:tcPr>
          <w:p>
            <w:pPr>
              <w:jc w:val="right"/>
            </w:pPr>
            <w:r>
              <w:rPr>
                <w:sz w:val="18"/>
                <w:szCs w:val="18"/>
              </w:rPr>
              <w:t xml:space="preserve">+75bp</w:t>
            </w:r>
          </w:p>
        </w:tc>
      </w:tr>
      <w:tr>
        <w:tc>
          <w:tcPr>
            <w:tcW w:type="dxa" w:w="3660"/>
            <w:tcMar>
              <w:top w:type="dxa" w:w="60"/>
              <w:left w:type="dxa" w:w="110"/>
              <w:bottom w:type="dxa" w:w="60"/>
              <w:right w:type="dxa" w:w="110"/>
            </w:tcMar>
            <w:vAlign w:val="center"/>
          </w:tcPr>
          <w:p>
            <w:pPr>
              <w:jc w:val="left"/>
            </w:pPr>
            <w:r>
              <w:rPr>
                <w:sz w:val="18"/>
                <w:szCs w:val="18"/>
              </w:rPr>
              <w:t xml:space="preserve">Capex (% of revenue)</w:t>
            </w:r>
          </w:p>
        </w:tc>
        <w:tc>
          <w:tcPr>
            <w:tcW w:type="dxa" w:w="1900"/>
            <w:tcMar>
              <w:top w:type="dxa" w:w="60"/>
              <w:left w:type="dxa" w:w="110"/>
              <w:bottom w:type="dxa" w:w="60"/>
              <w:right w:type="dxa" w:w="110"/>
            </w:tcMar>
            <w:vAlign w:val="center"/>
          </w:tcPr>
          <w:p>
            <w:pPr>
              <w:jc w:val="right"/>
            </w:pPr>
            <w:r>
              <w:rPr>
                <w:sz w:val="18"/>
                <w:szCs w:val="18"/>
              </w:rPr>
              <w:t xml:space="preserve">4.2%</w:t>
            </w:r>
          </w:p>
        </w:tc>
        <w:tc>
          <w:tcPr>
            <w:tcW w:type="dxa" w:w="1900"/>
            <w:tcMar>
              <w:top w:type="dxa" w:w="60"/>
              <w:left w:type="dxa" w:w="110"/>
              <w:bottom w:type="dxa" w:w="60"/>
              <w:right w:type="dxa" w:w="110"/>
            </w:tcMar>
            <w:vAlign w:val="center"/>
          </w:tcPr>
          <w:p>
            <w:pPr>
              <w:jc w:val="right"/>
            </w:pPr>
            <w:r>
              <w:rPr>
                <w:sz w:val="18"/>
                <w:szCs w:val="18"/>
              </w:rPr>
              <w:t xml:space="preserve">3.8%</w:t>
            </w:r>
          </w:p>
        </w:tc>
        <w:tc>
          <w:tcPr>
            <w:tcW w:type="dxa" w:w="1900"/>
            <w:tcMar>
              <w:top w:type="dxa" w:w="60"/>
              <w:left w:type="dxa" w:w="110"/>
              <w:bottom w:type="dxa" w:w="60"/>
              <w:right w:type="dxa" w:w="110"/>
            </w:tcMar>
            <w:vAlign w:val="center"/>
          </w:tcPr>
          <w:p>
            <w:pPr>
              <w:jc w:val="right"/>
            </w:pPr>
            <w:r>
              <w:rPr>
                <w:sz w:val="18"/>
                <w:szCs w:val="18"/>
              </w:rPr>
              <w:t xml:space="preserve">3.5%</w:t>
            </w:r>
          </w:p>
        </w:tc>
      </w:tr>
      <w:tr>
        <w:tc>
          <w:tcPr>
            <w:tcW w:type="dxa" w:w="3660"/>
            <w:tcMar>
              <w:top w:type="dxa" w:w="60"/>
              <w:left w:type="dxa" w:w="110"/>
              <w:bottom w:type="dxa" w:w="60"/>
              <w:right w:type="dxa" w:w="110"/>
            </w:tcMar>
            <w:vAlign w:val="center"/>
          </w:tcPr>
          <w:p>
            <w:pPr>
              <w:jc w:val="left"/>
            </w:pPr>
            <w:r>
              <w:rPr>
                <w:b/>
                <w:bCs/>
                <w:sz w:val="18"/>
                <w:szCs w:val="18"/>
              </w:rPr>
              <w:t xml:space="preserve">Fair value (AED/share)</w:t>
            </w:r>
          </w:p>
        </w:tc>
        <w:tc>
          <w:tcPr>
            <w:tcW w:type="dxa" w:w="1900"/>
            <w:tcMar>
              <w:top w:type="dxa" w:w="60"/>
              <w:left w:type="dxa" w:w="110"/>
              <w:bottom w:type="dxa" w:w="60"/>
              <w:right w:type="dxa" w:w="110"/>
            </w:tcMar>
            <w:vAlign w:val="center"/>
          </w:tcPr>
          <w:p>
            <w:pPr>
              <w:jc w:val="right"/>
            </w:pPr>
            <w:r>
              <w:rPr>
                <w:b/>
                <w:bCs/>
                <w:sz w:val="18"/>
                <w:szCs w:val="18"/>
              </w:rPr>
              <w:t xml:space="preserve">2.76</w:t>
            </w:r>
          </w:p>
        </w:tc>
        <w:tc>
          <w:tcPr>
            <w:tcW w:type="dxa" w:w="1900"/>
            <w:tcMar>
              <w:top w:type="dxa" w:w="60"/>
              <w:left w:type="dxa" w:w="110"/>
              <w:bottom w:type="dxa" w:w="60"/>
              <w:right w:type="dxa" w:w="110"/>
            </w:tcMar>
            <w:vAlign w:val="center"/>
          </w:tcPr>
          <w:p>
            <w:pPr>
              <w:jc w:val="right"/>
            </w:pPr>
            <w:r>
              <w:rPr>
                <w:b/>
                <w:bCs/>
                <w:sz w:val="18"/>
                <w:szCs w:val="18"/>
              </w:rPr>
              <w:t xml:space="preserve">4.60</w:t>
            </w:r>
          </w:p>
        </w:tc>
        <w:tc>
          <w:tcPr>
            <w:tcW w:type="dxa" w:w="1900"/>
            <w:tcMar>
              <w:top w:type="dxa" w:w="60"/>
              <w:left w:type="dxa" w:w="110"/>
              <w:bottom w:type="dxa" w:w="60"/>
              <w:right w:type="dxa" w:w="110"/>
            </w:tcMar>
            <w:vAlign w:val="center"/>
          </w:tcPr>
          <w:p>
            <w:pPr>
              <w:jc w:val="right"/>
            </w:pPr>
            <w:r>
              <w:rPr>
                <w:b/>
                <w:bCs/>
                <w:sz w:val="18"/>
                <w:szCs w:val="18"/>
              </w:rPr>
              <w:t xml:space="preserve">7.07</w:t>
            </w:r>
          </w:p>
        </w:tc>
      </w:tr>
    </w:tbl>
    <w:p>
      <w:pPr>
        <w:spacing w:after="60"/>
      </w:pPr>
    </w:p>
    <w:p>
      <w:pPr/>
      <w:r>
        <w:rPr>
          <w:sz w:val="20"/>
          <w:szCs w:val="20"/>
        </w:rPr>
        <w:t xml:space="preserve">The DCF base of </w:t>
      </w:r>
      <w:r>
        <w:rPr>
          <w:b/>
          <w:bCs/>
          <w:sz w:val="20"/>
          <w:szCs w:val="20"/>
        </w:rPr>
        <w:t xml:space="preserve">AED 4.60</w:t>
      </w:r>
      <w:r>
        <w:rPr>
          <w:sz w:val="20"/>
          <w:szCs w:val="20"/>
        </w:rPr>
        <w:t xml:space="preserve"> rests on a margin path that only recovers to 14.3% by FY30E — below the group’s own FY23–24 14% on a cleaner mix — and on terminal value of 70.4% of EV, disclosed per house device A-7 and stress-tested in §1.9 rather than buried. Its width is a fair warning: a point of WACC moves the answer by roughly AED 0.40.</w:t>
      </w:r>
    </w:p>
    <w:p>
      <w:pPr>
        <w:pStyle w:val="Heading2"/>
      </w:pPr>
      <w:r>
        <w:rPr>
          <w:sz w:val="20"/>
          <w:szCs w:val="20"/>
        </w:rPr>
        <w:t xml:space="preserve">1.2  Segment sum-of-the-parts — the cross-check</w:t>
      </w:r>
    </w:p>
    <w:p>
      <w:pPr/>
      <w:r>
        <w:rPr>
          <w:sz w:val="20"/>
          <w:szCs w:val="20"/>
        </w:rPr>
        <w:t xml:space="preserve">Four businesses with genuinely different economics share one balance sheet: branded UAE water (a compounding consumer franchise), regulated flour and feed (a stable B2B utility with food-security backing), an Egypt-centred snacking portfolio mid-reset, and a protein platform ramping a new Saudi plant. Each is marked at its FY26E EBITDA × a class multiple; no conglomerate discount is applied because the segments share one management, one distribution backbone and one treasury.</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100"/>
        <w:gridCol w:w="5060"/>
        <w:gridCol w:w="2200"/>
      </w:tblGrid>
      <w:tr>
        <w:tc>
          <w:tcPr>
            <w:tcW w:type="dxa" w:w="2100"/>
            <w:shd w:fill="1C3A36" w:val="clear"/>
            <w:tcMar>
              <w:top w:type="dxa" w:w="60"/>
              <w:left w:type="dxa" w:w="110"/>
              <w:bottom w:type="dxa" w:w="60"/>
              <w:right w:type="dxa" w:w="110"/>
            </w:tcMar>
            <w:vAlign w:val="center"/>
          </w:tcPr>
          <w:p>
            <w:pPr>
              <w:jc w:val="left"/>
            </w:pPr>
            <w:r>
              <w:rPr>
                <w:b/>
                <w:bCs/>
                <w:color w:val="FFFFFF"/>
                <w:sz w:val="18"/>
                <w:szCs w:val="18"/>
              </w:rPr>
              <w:t xml:space="preserve">Part (base case)</w:t>
            </w:r>
          </w:p>
        </w:tc>
        <w:tc>
          <w:tcPr>
            <w:tcW w:type="dxa" w:w="5060"/>
            <w:shd w:fill="1C3A36" w:val="clear"/>
            <w:tcMar>
              <w:top w:type="dxa" w:w="60"/>
              <w:left w:type="dxa" w:w="110"/>
              <w:bottom w:type="dxa" w:w="60"/>
              <w:right w:type="dxa" w:w="110"/>
            </w:tcMar>
            <w:vAlign w:val="center"/>
          </w:tcPr>
          <w:p>
            <w:pPr>
              <w:jc w:val="center"/>
            </w:pPr>
            <w:r>
              <w:rPr>
                <w:b/>
                <w:bCs/>
                <w:color w:val="FFFFFF"/>
                <w:sz w:val="18"/>
                <w:szCs w:val="18"/>
              </w:rPr>
              <w:t xml:space="preserve">Basis</w:t>
            </w:r>
          </w:p>
        </w:tc>
        <w:tc>
          <w:tcPr>
            <w:tcW w:type="dxa" w:w="2200"/>
            <w:shd w:fill="1C3A36" w:val="clear"/>
            <w:tcMar>
              <w:top w:type="dxa" w:w="60"/>
              <w:left w:type="dxa" w:w="110"/>
              <w:bottom w:type="dxa" w:w="60"/>
              <w:right w:type="dxa" w:w="110"/>
            </w:tcMar>
            <w:vAlign w:val="center"/>
          </w:tcPr>
          <w:p>
            <w:pPr>
              <w:jc w:val="center"/>
            </w:pPr>
            <w:r>
              <w:rPr>
                <w:b/>
                <w:bCs/>
                <w:color w:val="FFFFFF"/>
                <w:sz w:val="18"/>
                <w:szCs w:val="18"/>
              </w:rPr>
              <w:t xml:space="preserve">EV (AED mn)</w:t>
            </w:r>
          </w:p>
        </w:tc>
      </w:tr>
      <w:tr>
        <w:tc>
          <w:tcPr>
            <w:tcW w:type="dxa" w:w="2100"/>
            <w:tcMar>
              <w:top w:type="dxa" w:w="60"/>
              <w:left w:type="dxa" w:w="110"/>
              <w:bottom w:type="dxa" w:w="60"/>
              <w:right w:type="dxa" w:w="110"/>
            </w:tcMar>
            <w:vAlign w:val="center"/>
          </w:tcPr>
          <w:p>
            <w:pPr>
              <w:jc w:val="left"/>
            </w:pPr>
            <w:r>
              <w:rPr>
                <w:sz w:val="18"/>
                <w:szCs w:val="18"/>
              </w:rPr>
              <w:t xml:space="preserve">Water &amp; Food</w:t>
            </w:r>
          </w:p>
        </w:tc>
        <w:tc>
          <w:tcPr>
            <w:tcW w:type="dxa" w:w="5060"/>
            <w:tcMar>
              <w:top w:type="dxa" w:w="60"/>
              <w:left w:type="dxa" w:w="110"/>
              <w:bottom w:type="dxa" w:w="60"/>
              <w:right w:type="dxa" w:w="110"/>
            </w:tcMar>
            <w:vAlign w:val="center"/>
          </w:tcPr>
          <w:p>
            <w:pPr>
              <w:jc w:val="right"/>
            </w:pPr>
            <w:r>
              <w:rPr>
                <w:sz w:val="18"/>
                <w:szCs w:val="18"/>
              </w:rPr>
              <w:t xml:space="preserve">FY26E EBITDA 208 × 10.5× (branded #1; Riviere D2C)</w:t>
            </w:r>
          </w:p>
        </w:tc>
        <w:tc>
          <w:tcPr>
            <w:tcW w:type="dxa" w:w="2200"/>
            <w:tcMar>
              <w:top w:type="dxa" w:w="60"/>
              <w:left w:type="dxa" w:w="110"/>
              <w:bottom w:type="dxa" w:w="60"/>
              <w:right w:type="dxa" w:w="110"/>
            </w:tcMar>
            <w:vAlign w:val="center"/>
          </w:tcPr>
          <w:p>
            <w:pPr>
              <w:jc w:val="right"/>
            </w:pPr>
            <w:r>
              <w:rPr>
                <w:sz w:val="18"/>
                <w:szCs w:val="18"/>
              </w:rPr>
              <w:t xml:space="preserve">2,188</w:t>
            </w:r>
          </w:p>
        </w:tc>
      </w:tr>
      <w:tr>
        <w:tc>
          <w:tcPr>
            <w:tcW w:type="dxa" w:w="2100"/>
            <w:tcMar>
              <w:top w:type="dxa" w:w="60"/>
              <w:left w:type="dxa" w:w="110"/>
              <w:bottom w:type="dxa" w:w="60"/>
              <w:right w:type="dxa" w:w="110"/>
            </w:tcMar>
            <w:vAlign w:val="center"/>
          </w:tcPr>
          <w:p>
            <w:pPr>
              <w:jc w:val="left"/>
            </w:pPr>
            <w:r>
              <w:rPr>
                <w:sz w:val="18"/>
                <w:szCs w:val="18"/>
              </w:rPr>
              <w:t xml:space="preserve">Agri-Business</w:t>
            </w:r>
          </w:p>
        </w:tc>
        <w:tc>
          <w:tcPr>
            <w:tcW w:type="dxa" w:w="5060"/>
            <w:tcMar>
              <w:top w:type="dxa" w:w="60"/>
              <w:left w:type="dxa" w:w="110"/>
              <w:bottom w:type="dxa" w:w="60"/>
              <w:right w:type="dxa" w:w="110"/>
            </w:tcMar>
            <w:vAlign w:val="center"/>
          </w:tcPr>
          <w:p>
            <w:pPr>
              <w:jc w:val="right"/>
            </w:pPr>
            <w:r>
              <w:rPr>
                <w:sz w:val="18"/>
                <w:szCs w:val="18"/>
              </w:rPr>
              <w:t xml:space="preserve">FY26E EBITDA 227 × 6.0× (regulated flour &amp; feed)</w:t>
            </w:r>
          </w:p>
        </w:tc>
        <w:tc>
          <w:tcPr>
            <w:tcW w:type="dxa" w:w="2200"/>
            <w:tcMar>
              <w:top w:type="dxa" w:w="60"/>
              <w:left w:type="dxa" w:w="110"/>
              <w:bottom w:type="dxa" w:w="60"/>
              <w:right w:type="dxa" w:w="110"/>
            </w:tcMar>
            <w:vAlign w:val="center"/>
          </w:tcPr>
          <w:p>
            <w:pPr>
              <w:jc w:val="right"/>
            </w:pPr>
            <w:r>
              <w:rPr>
                <w:sz w:val="18"/>
                <w:szCs w:val="18"/>
              </w:rPr>
              <w:t xml:space="preserve">1,362</w:t>
            </w:r>
          </w:p>
        </w:tc>
      </w:tr>
      <w:tr>
        <w:tc>
          <w:tcPr>
            <w:tcW w:type="dxa" w:w="2100"/>
            <w:tcMar>
              <w:top w:type="dxa" w:w="60"/>
              <w:left w:type="dxa" w:w="110"/>
              <w:bottom w:type="dxa" w:w="60"/>
              <w:right w:type="dxa" w:w="110"/>
            </w:tcMar>
            <w:vAlign w:val="center"/>
          </w:tcPr>
          <w:p>
            <w:pPr>
              <w:jc w:val="left"/>
            </w:pPr>
            <w:r>
              <w:rPr>
                <w:sz w:val="18"/>
                <w:szCs w:val="18"/>
              </w:rPr>
              <w:t xml:space="preserve">Snacking</w:t>
            </w:r>
          </w:p>
        </w:tc>
        <w:tc>
          <w:tcPr>
            <w:tcW w:type="dxa" w:w="5060"/>
            <w:tcMar>
              <w:top w:type="dxa" w:w="60"/>
              <w:left w:type="dxa" w:w="110"/>
              <w:bottom w:type="dxa" w:w="60"/>
              <w:right w:type="dxa" w:w="110"/>
            </w:tcMar>
            <w:vAlign w:val="center"/>
          </w:tcPr>
          <w:p>
            <w:pPr>
              <w:jc w:val="right"/>
            </w:pPr>
            <w:r>
              <w:rPr>
                <w:sz w:val="18"/>
                <w:szCs w:val="18"/>
              </w:rPr>
              <w:t xml:space="preserve">FY26E EBITDA 122 × 7.5× (Abu Auf growth, reset year)</w:t>
            </w:r>
          </w:p>
        </w:tc>
        <w:tc>
          <w:tcPr>
            <w:tcW w:type="dxa" w:w="2200"/>
            <w:tcMar>
              <w:top w:type="dxa" w:w="60"/>
              <w:left w:type="dxa" w:w="110"/>
              <w:bottom w:type="dxa" w:w="60"/>
              <w:right w:type="dxa" w:w="110"/>
            </w:tcMar>
            <w:vAlign w:val="center"/>
          </w:tcPr>
          <w:p>
            <w:pPr>
              <w:jc w:val="right"/>
            </w:pPr>
            <w:r>
              <w:rPr>
                <w:sz w:val="18"/>
                <w:szCs w:val="18"/>
              </w:rPr>
              <w:t xml:space="preserve">917</w:t>
            </w:r>
          </w:p>
        </w:tc>
      </w:tr>
      <w:tr>
        <w:tc>
          <w:tcPr>
            <w:tcW w:type="dxa" w:w="2100"/>
            <w:tcMar>
              <w:top w:type="dxa" w:w="60"/>
              <w:left w:type="dxa" w:w="110"/>
              <w:bottom w:type="dxa" w:w="60"/>
              <w:right w:type="dxa" w:w="110"/>
            </w:tcMar>
            <w:vAlign w:val="center"/>
          </w:tcPr>
          <w:p>
            <w:pPr>
              <w:jc w:val="left"/>
            </w:pPr>
            <w:r>
              <w:rPr>
                <w:sz w:val="18"/>
                <w:szCs w:val="18"/>
              </w:rPr>
              <w:t xml:space="preserve">Protein &amp; Frozen</w:t>
            </w:r>
          </w:p>
        </w:tc>
        <w:tc>
          <w:tcPr>
            <w:tcW w:type="dxa" w:w="5060"/>
            <w:tcMar>
              <w:top w:type="dxa" w:w="60"/>
              <w:left w:type="dxa" w:w="110"/>
              <w:bottom w:type="dxa" w:w="60"/>
              <w:right w:type="dxa" w:w="110"/>
            </w:tcMar>
            <w:vAlign w:val="center"/>
          </w:tcPr>
          <w:p>
            <w:pPr>
              <w:jc w:val="right"/>
            </w:pPr>
            <w:r>
              <w:rPr>
                <w:sz w:val="18"/>
                <w:szCs w:val="18"/>
              </w:rPr>
              <w:t xml:space="preserve">FY26E EBITDA 95 × 6.5× (Nabil/Atyab + KSA ramp)</w:t>
            </w:r>
          </w:p>
        </w:tc>
        <w:tc>
          <w:tcPr>
            <w:tcW w:type="dxa" w:w="2200"/>
            <w:tcMar>
              <w:top w:type="dxa" w:w="60"/>
              <w:left w:type="dxa" w:w="110"/>
              <w:bottom w:type="dxa" w:w="60"/>
              <w:right w:type="dxa" w:w="110"/>
            </w:tcMar>
            <w:vAlign w:val="center"/>
          </w:tcPr>
          <w:p>
            <w:pPr>
              <w:jc w:val="right"/>
            </w:pPr>
            <w:r>
              <w:rPr>
                <w:sz w:val="18"/>
                <w:szCs w:val="18"/>
              </w:rPr>
              <w:t xml:space="preserve">617</w:t>
            </w:r>
          </w:p>
        </w:tc>
      </w:tr>
      <w:tr>
        <w:tc>
          <w:tcPr>
            <w:tcW w:type="dxa" w:w="2100"/>
            <w:tcMar>
              <w:top w:type="dxa" w:w="60"/>
              <w:left w:type="dxa" w:w="110"/>
              <w:bottom w:type="dxa" w:w="60"/>
              <w:right w:type="dxa" w:w="110"/>
            </w:tcMar>
            <w:vAlign w:val="center"/>
          </w:tcPr>
          <w:p>
            <w:pPr>
              <w:jc w:val="left"/>
            </w:pPr>
            <w:r>
              <w:rPr>
                <w:sz w:val="18"/>
                <w:szCs w:val="18"/>
              </w:rPr>
              <w:t xml:space="preserve">Σ Enterprise value</w:t>
            </w:r>
          </w:p>
        </w:tc>
        <w:tc>
          <w:tcPr>
            <w:tcW w:type="dxa" w:w="5060"/>
            <w:tcMar>
              <w:top w:type="dxa" w:w="60"/>
              <w:left w:type="dxa" w:w="110"/>
              <w:bottom w:type="dxa" w:w="60"/>
              <w:right w:type="dxa" w:w="110"/>
            </w:tcMar>
            <w:vAlign w:val="center"/>
          </w:tcPr>
          <w:p>
            <w:pPr>
              <w:jc w:val="right"/>
            </w:pPr>
          </w:p>
        </w:tc>
        <w:tc>
          <w:tcPr>
            <w:tcW w:type="dxa" w:w="2200"/>
            <w:tcMar>
              <w:top w:type="dxa" w:w="60"/>
              <w:left w:type="dxa" w:w="110"/>
              <w:bottom w:type="dxa" w:w="60"/>
              <w:right w:type="dxa" w:w="110"/>
            </w:tcMar>
            <w:vAlign w:val="center"/>
          </w:tcPr>
          <w:p>
            <w:pPr>
              <w:jc w:val="right"/>
            </w:pPr>
            <w:r>
              <w:rPr>
                <w:sz w:val="18"/>
                <w:szCs w:val="18"/>
              </w:rPr>
              <w:t xml:space="preserve">5,085</w:t>
            </w:r>
          </w:p>
        </w:tc>
      </w:tr>
      <w:tr>
        <w:tc>
          <w:tcPr>
            <w:tcW w:type="dxa" w:w="2100"/>
            <w:tcMar>
              <w:top w:type="dxa" w:w="60"/>
              <w:left w:type="dxa" w:w="110"/>
              <w:bottom w:type="dxa" w:w="60"/>
              <w:right w:type="dxa" w:w="110"/>
            </w:tcMar>
            <w:vAlign w:val="center"/>
          </w:tcPr>
          <w:p>
            <w:pPr>
              <w:jc w:val="left"/>
            </w:pPr>
            <w:r>
              <w:rPr>
                <w:sz w:val="18"/>
                <w:szCs w:val="18"/>
              </w:rPr>
              <w:t xml:space="preserve">less: net debt · minorities</w:t>
            </w:r>
          </w:p>
        </w:tc>
        <w:tc>
          <w:tcPr>
            <w:tcW w:type="dxa" w:w="5060"/>
            <w:tcMar>
              <w:top w:type="dxa" w:w="60"/>
              <w:left w:type="dxa" w:w="110"/>
              <w:bottom w:type="dxa" w:w="60"/>
              <w:right w:type="dxa" w:w="110"/>
            </w:tcMar>
            <w:vAlign w:val="center"/>
          </w:tcPr>
          <w:p>
            <w:pPr>
              <w:jc w:val="right"/>
            </w:pPr>
          </w:p>
        </w:tc>
        <w:tc>
          <w:tcPr>
            <w:tcW w:type="dxa" w:w="2200"/>
            <w:tcMar>
              <w:top w:type="dxa" w:w="60"/>
              <w:left w:type="dxa" w:w="110"/>
              <w:bottom w:type="dxa" w:w="60"/>
              <w:right w:type="dxa" w:w="110"/>
            </w:tcMar>
            <w:vAlign w:val="center"/>
          </w:tcPr>
          <w:p>
            <w:pPr>
              <w:jc w:val="right"/>
            </w:pPr>
            <w:r>
              <w:rPr>
                <w:sz w:val="18"/>
                <w:szCs w:val="18"/>
              </w:rPr>
              <w:t xml:space="preserve">(1,300) · (260)</w:t>
            </w:r>
          </w:p>
        </w:tc>
      </w:tr>
      <w:tr>
        <w:tc>
          <w:tcPr>
            <w:tcW w:type="dxa" w:w="2100"/>
            <w:tcMar>
              <w:top w:type="dxa" w:w="60"/>
              <w:left w:type="dxa" w:w="110"/>
              <w:bottom w:type="dxa" w:w="60"/>
              <w:right w:type="dxa" w:w="110"/>
            </w:tcMar>
            <w:vAlign w:val="center"/>
          </w:tcPr>
          <w:p>
            <w:pPr>
              <w:jc w:val="left"/>
            </w:pPr>
            <w:r>
              <w:rPr>
                <w:b/>
                <w:bCs/>
                <w:sz w:val="18"/>
                <w:szCs w:val="18"/>
              </w:rPr>
              <w:t xml:space="preserve">SOTP equity → per share</w:t>
            </w:r>
          </w:p>
        </w:tc>
        <w:tc>
          <w:tcPr>
            <w:tcW w:type="dxa" w:w="5060"/>
            <w:tcMar>
              <w:top w:type="dxa" w:w="60"/>
              <w:left w:type="dxa" w:w="110"/>
              <w:bottom w:type="dxa" w:w="60"/>
              <w:right w:type="dxa" w:w="110"/>
            </w:tcMar>
            <w:vAlign w:val="center"/>
          </w:tcPr>
          <w:p>
            <w:pPr>
              <w:jc w:val="right"/>
            </w:pPr>
          </w:p>
        </w:tc>
        <w:tc>
          <w:tcPr>
            <w:tcW w:type="dxa" w:w="2200"/>
            <w:tcMar>
              <w:top w:type="dxa" w:w="60"/>
              <w:left w:type="dxa" w:w="110"/>
              <w:bottom w:type="dxa" w:w="60"/>
              <w:right w:type="dxa" w:w="110"/>
            </w:tcMar>
            <w:vAlign w:val="center"/>
          </w:tcPr>
          <w:p>
            <w:pPr>
              <w:jc w:val="right"/>
            </w:pPr>
            <w:r>
              <w:rPr>
                <w:b/>
                <w:bCs/>
                <w:sz w:val="18"/>
                <w:szCs w:val="18"/>
              </w:rPr>
              <w:t xml:space="preserve">3,525 → AED 4.24</w:t>
            </w:r>
          </w:p>
        </w:tc>
      </w:tr>
    </w:tbl>
    <w:p>
      <w:pPr>
        <w:spacing w:after="60"/>
      </w:pPr>
    </w:p>
    <w:p>
      <w:pPr/>
      <w:r>
        <w:rPr>
          <w:b/>
          <w:bCs/>
          <w:sz w:val="20"/>
          <w:szCs w:val="20"/>
        </w:rPr>
        <w:t xml:space="preserve">SOTP base ≈ AED 4.24/share</w:t>
      </w:r>
      <w:r>
        <w:rPr>
          <w:sz w:val="20"/>
          <w:szCs w:val="20"/>
        </w:rPr>
        <w:t xml:space="preserve"> (bear–bull 3.09–5.71), landing just under the DCF — reassuring, since the two methods share only the FY26E segment forecasts. The message inside the table: Water &amp; Food alone is worth ~AED 2.2bn, roughly three-quarters of today’s entire market capitalisation, before counting flour, feed, protein or snacking.</w:t>
      </w:r>
    </w:p>
    <w:p>
      <w:pPr>
        <w:pStyle w:val="Heading2"/>
      </w:pPr>
      <w:r>
        <w:rPr>
          <w:sz w:val="20"/>
          <w:szCs w:val="20"/>
        </w:rPr>
        <w:t xml:space="preserve">1.3  Relative multiples</w:t>
      </w:r>
    </w:p>
    <w:p>
      <w:pPr/>
      <w:r>
        <w:rPr>
          <w:sz w:val="20"/>
          <w:szCs w:val="20"/>
        </w:rPr>
        <w:t xml:space="preserve">On reported trailing numbers Agthia screens expensive and cheap at once: a 34× P/E on written-down FY25 EPS, but ~7.0× EV/underlying EBITDA and a 6.3% yield — a valuation the GCC staples complex (Almarai ~9–11× EV/EBITDA, Americana at a premium) does not pay for comparable franchises. We mark the relative lens conservatively at 7.5× FY26E group EBITDA, a discount to the regional set for the Egypt mix and the reset execution risk.</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660"/>
        <w:gridCol w:w="1900"/>
        <w:gridCol w:w="1900"/>
        <w:gridCol w:w="1900"/>
      </w:tblGrid>
      <w:tr>
        <w:tc>
          <w:tcPr>
            <w:tcW w:type="dxa" w:w="3660"/>
            <w:shd w:fill="1C3A36" w:val="clear"/>
            <w:tcMar>
              <w:top w:type="dxa" w:w="60"/>
              <w:left w:type="dxa" w:w="110"/>
              <w:bottom w:type="dxa" w:w="60"/>
              <w:right w:type="dxa" w:w="110"/>
            </w:tcMar>
            <w:vAlign w:val="center"/>
          </w:tcPr>
          <w:p>
            <w:pPr>
              <w:jc w:val="left"/>
            </w:pPr>
            <w:r>
              <w:rPr>
                <w:b/>
                <w:bCs/>
                <w:color w:val="FFFFFF"/>
                <w:sz w:val="18"/>
                <w:szCs w:val="18"/>
              </w:rPr>
              <w:t xml:space="preserve">Relative basis</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Bear</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Base</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Bull</w:t>
            </w:r>
          </w:p>
        </w:tc>
      </w:tr>
      <w:tr>
        <w:tc>
          <w:tcPr>
            <w:tcW w:type="dxa" w:w="3660"/>
            <w:tcMar>
              <w:top w:type="dxa" w:w="60"/>
              <w:left w:type="dxa" w:w="110"/>
              <w:bottom w:type="dxa" w:w="60"/>
              <w:right w:type="dxa" w:w="110"/>
            </w:tcMar>
            <w:vAlign w:val="center"/>
          </w:tcPr>
          <w:p>
            <w:pPr>
              <w:jc w:val="left"/>
            </w:pPr>
            <w:r>
              <w:rPr>
                <w:sz w:val="18"/>
                <w:szCs w:val="18"/>
              </w:rPr>
              <w:t xml:space="preserve">FY26E group EBITDA (AED mn)</w:t>
            </w:r>
          </w:p>
        </w:tc>
        <w:tc>
          <w:tcPr>
            <w:tcW w:type="dxa" w:w="1900"/>
            <w:tcMar>
              <w:top w:type="dxa" w:w="60"/>
              <w:left w:type="dxa" w:w="110"/>
              <w:bottom w:type="dxa" w:w="60"/>
              <w:right w:type="dxa" w:w="110"/>
            </w:tcMar>
            <w:vAlign w:val="center"/>
          </w:tcPr>
          <w:p>
            <w:pPr>
              <w:jc w:val="right"/>
            </w:pPr>
            <w:r>
              <w:rPr>
                <w:sz w:val="18"/>
                <w:szCs w:val="18"/>
              </w:rPr>
              <w:t xml:space="preserve">633</w:t>
            </w:r>
          </w:p>
        </w:tc>
        <w:tc>
          <w:tcPr>
            <w:tcW w:type="dxa" w:w="1900"/>
            <w:tcMar>
              <w:top w:type="dxa" w:w="60"/>
              <w:left w:type="dxa" w:w="110"/>
              <w:bottom w:type="dxa" w:w="60"/>
              <w:right w:type="dxa" w:w="110"/>
            </w:tcMar>
            <w:vAlign w:val="center"/>
          </w:tcPr>
          <w:p>
            <w:pPr>
              <w:jc w:val="right"/>
            </w:pPr>
            <w:r>
              <w:rPr>
                <w:sz w:val="18"/>
                <w:szCs w:val="18"/>
              </w:rPr>
              <w:t xml:space="preserve">633</w:t>
            </w:r>
          </w:p>
        </w:tc>
        <w:tc>
          <w:tcPr>
            <w:tcW w:type="dxa" w:w="1900"/>
            <w:tcMar>
              <w:top w:type="dxa" w:w="60"/>
              <w:left w:type="dxa" w:w="110"/>
              <w:bottom w:type="dxa" w:w="60"/>
              <w:right w:type="dxa" w:w="110"/>
            </w:tcMar>
            <w:vAlign w:val="center"/>
          </w:tcPr>
          <w:p>
            <w:pPr>
              <w:jc w:val="right"/>
            </w:pPr>
            <w:r>
              <w:rPr>
                <w:sz w:val="18"/>
                <w:szCs w:val="18"/>
              </w:rPr>
              <w:t xml:space="preserve">633</w:t>
            </w:r>
          </w:p>
        </w:tc>
      </w:tr>
      <w:tr>
        <w:tc>
          <w:tcPr>
            <w:tcW w:type="dxa" w:w="3660"/>
            <w:tcMar>
              <w:top w:type="dxa" w:w="60"/>
              <w:left w:type="dxa" w:w="110"/>
              <w:bottom w:type="dxa" w:w="60"/>
              <w:right w:type="dxa" w:w="110"/>
            </w:tcMar>
            <w:vAlign w:val="center"/>
          </w:tcPr>
          <w:p>
            <w:pPr>
              <w:jc w:val="left"/>
            </w:pPr>
            <w:r>
              <w:rPr>
                <w:sz w:val="18"/>
                <w:szCs w:val="18"/>
              </w:rPr>
              <w:t xml:space="preserve">EV/EBITDA multiple</w:t>
            </w:r>
          </w:p>
        </w:tc>
        <w:tc>
          <w:tcPr>
            <w:tcW w:type="dxa" w:w="1900"/>
            <w:tcMar>
              <w:top w:type="dxa" w:w="60"/>
              <w:left w:type="dxa" w:w="110"/>
              <w:bottom w:type="dxa" w:w="60"/>
              <w:right w:type="dxa" w:w="110"/>
            </w:tcMar>
            <w:vAlign w:val="center"/>
          </w:tcPr>
          <w:p>
            <w:pPr>
              <w:jc w:val="right"/>
            </w:pPr>
            <w:r>
              <w:rPr>
                <w:sz w:val="18"/>
                <w:szCs w:val="18"/>
              </w:rPr>
              <w:t xml:space="preserve">6.5×</w:t>
            </w:r>
          </w:p>
        </w:tc>
        <w:tc>
          <w:tcPr>
            <w:tcW w:type="dxa" w:w="1900"/>
            <w:tcMar>
              <w:top w:type="dxa" w:w="60"/>
              <w:left w:type="dxa" w:w="110"/>
              <w:bottom w:type="dxa" w:w="60"/>
              <w:right w:type="dxa" w:w="110"/>
            </w:tcMar>
            <w:vAlign w:val="center"/>
          </w:tcPr>
          <w:p>
            <w:pPr>
              <w:jc w:val="right"/>
            </w:pPr>
            <w:r>
              <w:rPr>
                <w:sz w:val="18"/>
                <w:szCs w:val="18"/>
              </w:rPr>
              <w:t xml:space="preserve">7.5×</w:t>
            </w:r>
          </w:p>
        </w:tc>
        <w:tc>
          <w:tcPr>
            <w:tcW w:type="dxa" w:w="1900"/>
            <w:tcMar>
              <w:top w:type="dxa" w:w="60"/>
              <w:left w:type="dxa" w:w="110"/>
              <w:bottom w:type="dxa" w:w="60"/>
              <w:right w:type="dxa" w:w="110"/>
            </w:tcMar>
            <w:vAlign w:val="center"/>
          </w:tcPr>
          <w:p>
            <w:pPr>
              <w:jc w:val="right"/>
            </w:pPr>
            <w:r>
              <w:rPr>
                <w:sz w:val="18"/>
                <w:szCs w:val="18"/>
              </w:rPr>
              <w:t xml:space="preserve">9.0×</w:t>
            </w:r>
          </w:p>
        </w:tc>
      </w:tr>
      <w:tr>
        <w:tc>
          <w:tcPr>
            <w:tcW w:type="dxa" w:w="3660"/>
            <w:tcMar>
              <w:top w:type="dxa" w:w="60"/>
              <w:left w:type="dxa" w:w="110"/>
              <w:bottom w:type="dxa" w:w="60"/>
              <w:right w:type="dxa" w:w="110"/>
            </w:tcMar>
            <w:vAlign w:val="center"/>
          </w:tcPr>
          <w:p>
            <w:pPr>
              <w:jc w:val="left"/>
            </w:pPr>
            <w:r>
              <w:rPr>
                <w:b/>
                <w:bCs/>
                <w:sz w:val="18"/>
                <w:szCs w:val="18"/>
              </w:rPr>
              <w:t xml:space="preserve">Fair value (AED/share)</w:t>
            </w:r>
          </w:p>
        </w:tc>
        <w:tc>
          <w:tcPr>
            <w:tcW w:type="dxa" w:w="1900"/>
            <w:tcMar>
              <w:top w:type="dxa" w:w="60"/>
              <w:left w:type="dxa" w:w="110"/>
              <w:bottom w:type="dxa" w:w="60"/>
              <w:right w:type="dxa" w:w="110"/>
            </w:tcMar>
            <w:vAlign w:val="center"/>
          </w:tcPr>
          <w:p>
            <w:pPr>
              <w:jc w:val="right"/>
            </w:pPr>
            <w:r>
              <w:rPr>
                <w:b/>
                <w:bCs/>
                <w:sz w:val="18"/>
                <w:szCs w:val="18"/>
              </w:rPr>
              <w:t xml:space="preserve">3.07</w:t>
            </w:r>
          </w:p>
        </w:tc>
        <w:tc>
          <w:tcPr>
            <w:tcW w:type="dxa" w:w="1900"/>
            <w:tcMar>
              <w:top w:type="dxa" w:w="60"/>
              <w:left w:type="dxa" w:w="110"/>
              <w:bottom w:type="dxa" w:w="60"/>
              <w:right w:type="dxa" w:w="110"/>
            </w:tcMar>
            <w:vAlign w:val="center"/>
          </w:tcPr>
          <w:p>
            <w:pPr>
              <w:jc w:val="right"/>
            </w:pPr>
            <w:r>
              <w:rPr>
                <w:b/>
                <w:bCs/>
                <w:sz w:val="18"/>
                <w:szCs w:val="18"/>
              </w:rPr>
              <w:t xml:space="preserve">3.83</w:t>
            </w:r>
          </w:p>
        </w:tc>
        <w:tc>
          <w:tcPr>
            <w:tcW w:type="dxa" w:w="1900"/>
            <w:tcMar>
              <w:top w:type="dxa" w:w="60"/>
              <w:left w:type="dxa" w:w="110"/>
              <w:bottom w:type="dxa" w:w="60"/>
              <w:right w:type="dxa" w:w="110"/>
            </w:tcMar>
            <w:vAlign w:val="center"/>
          </w:tcPr>
          <w:p>
            <w:pPr>
              <w:jc w:val="right"/>
            </w:pPr>
            <w:r>
              <w:rPr>
                <w:b/>
                <w:bCs/>
                <w:sz w:val="18"/>
                <w:szCs w:val="18"/>
              </w:rPr>
              <w:t xml:space="preserve">4.97</w:t>
            </w:r>
          </w:p>
        </w:tc>
      </w:tr>
    </w:tbl>
    <w:p>
      <w:pPr>
        <w:spacing w:after="60"/>
      </w:pPr>
    </w:p>
    <w:p>
      <w:pPr/>
      <w:r>
        <w:rPr>
          <w:b/>
          <w:bCs/>
          <w:sz w:val="20"/>
          <w:szCs w:val="20"/>
        </w:rPr>
        <w:t xml:space="preserve">Relative base ≈ AED 3.83</w:t>
      </w:r>
      <w:r>
        <w:rPr>
          <w:sz w:val="20"/>
          <w:szCs w:val="20"/>
        </w:rPr>
        <w:t xml:space="preserve"> — the most conservative lens and the sceptic’s anchor: it credits no re-rating, only a clean year at a discount multiple.</w:t>
      </w:r>
    </w:p>
    <w:p>
      <w:pPr>
        <w:pStyle w:val="Heading2"/>
      </w:pPr>
      <w:r>
        <w:rPr>
          <w:sz w:val="20"/>
          <w:szCs w:val="20"/>
        </w:rPr>
        <w:t xml:space="preserve">1.4  Normalized earnings power</w:t>
      </w:r>
    </w:p>
    <w:p>
      <w:pPr/>
      <w:r>
        <w:rPr>
          <w:sz w:val="20"/>
          <w:szCs w:val="20"/>
        </w:rPr>
        <w:t xml:space="preserve">Per house device A-6 we state the cycle position before normalizing: </w:t>
      </w:r>
      <w:r>
        <w:rPr>
          <w:b/>
          <w:bCs/>
          <w:sz w:val="20"/>
          <w:szCs w:val="20"/>
        </w:rPr>
        <w:t xml:space="preserve">FY2025 was a trough on provisions, coffee costs and the first full Pillar-II tax year; FY2023–24 (underlying group NP AED 342mn / 331mn) were upper-mid-cycle; Q1 2026 marks the turn.</w:t>
      </w:r>
      <w:r>
        <w:rPr>
          <w:sz w:val="20"/>
          <w:szCs w:val="20"/>
        </w:rPr>
        <w:t xml:space="preserve"> Mid-cycle attributable earnings power is set at AED 300mn — below the FY23–24 underlying run-rate, acknowledging the structurally higher ~20% tax rate and a snacking book that must re-earn its margin.</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660"/>
        <w:gridCol w:w="1900"/>
        <w:gridCol w:w="1900"/>
        <w:gridCol w:w="1900"/>
      </w:tblGrid>
      <w:tr>
        <w:tc>
          <w:tcPr>
            <w:tcW w:type="dxa" w:w="3660"/>
            <w:shd w:fill="1C3A36" w:val="clear"/>
            <w:tcMar>
              <w:top w:type="dxa" w:w="60"/>
              <w:left w:type="dxa" w:w="110"/>
              <w:bottom w:type="dxa" w:w="60"/>
              <w:right w:type="dxa" w:w="110"/>
            </w:tcMar>
            <w:vAlign w:val="center"/>
          </w:tcPr>
          <w:p>
            <w:pPr>
              <w:jc w:val="left"/>
            </w:pPr>
            <w:r>
              <w:rPr>
                <w:b/>
                <w:bCs/>
                <w:color w:val="FFFFFF"/>
                <w:sz w:val="18"/>
                <w:szCs w:val="18"/>
              </w:rPr>
              <w:t xml:space="preserve">Normalized-earnings basis</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Bear</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Base</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Bull</w:t>
            </w:r>
          </w:p>
        </w:tc>
      </w:tr>
      <w:tr>
        <w:tc>
          <w:tcPr>
            <w:tcW w:type="dxa" w:w="3660"/>
            <w:tcMar>
              <w:top w:type="dxa" w:w="60"/>
              <w:left w:type="dxa" w:w="110"/>
              <w:bottom w:type="dxa" w:w="60"/>
              <w:right w:type="dxa" w:w="110"/>
            </w:tcMar>
            <w:vAlign w:val="center"/>
          </w:tcPr>
          <w:p>
            <w:pPr>
              <w:jc w:val="left"/>
            </w:pPr>
            <w:r>
              <w:rPr>
                <w:sz w:val="18"/>
                <w:szCs w:val="18"/>
              </w:rPr>
              <w:t xml:space="preserve">Mid-cycle attributable NP (AED mn)</w:t>
            </w:r>
          </w:p>
        </w:tc>
        <w:tc>
          <w:tcPr>
            <w:tcW w:type="dxa" w:w="1900"/>
            <w:tcMar>
              <w:top w:type="dxa" w:w="60"/>
              <w:left w:type="dxa" w:w="110"/>
              <w:bottom w:type="dxa" w:w="60"/>
              <w:right w:type="dxa" w:w="110"/>
            </w:tcMar>
            <w:vAlign w:val="center"/>
          </w:tcPr>
          <w:p>
            <w:pPr>
              <w:jc w:val="right"/>
            </w:pPr>
            <w:r>
              <w:rPr>
                <w:sz w:val="18"/>
                <w:szCs w:val="18"/>
              </w:rPr>
              <w:t xml:space="preserve">270</w:t>
            </w:r>
          </w:p>
        </w:tc>
        <w:tc>
          <w:tcPr>
            <w:tcW w:type="dxa" w:w="1900"/>
            <w:tcMar>
              <w:top w:type="dxa" w:w="60"/>
              <w:left w:type="dxa" w:w="110"/>
              <w:bottom w:type="dxa" w:w="60"/>
              <w:right w:type="dxa" w:w="110"/>
            </w:tcMar>
            <w:vAlign w:val="center"/>
          </w:tcPr>
          <w:p>
            <w:pPr>
              <w:jc w:val="right"/>
            </w:pPr>
            <w:r>
              <w:rPr>
                <w:sz w:val="18"/>
                <w:szCs w:val="18"/>
              </w:rPr>
              <w:t xml:space="preserve">300</w:t>
            </w:r>
          </w:p>
        </w:tc>
        <w:tc>
          <w:tcPr>
            <w:tcW w:type="dxa" w:w="1900"/>
            <w:tcMar>
              <w:top w:type="dxa" w:w="60"/>
              <w:left w:type="dxa" w:w="110"/>
              <w:bottom w:type="dxa" w:w="60"/>
              <w:right w:type="dxa" w:w="110"/>
            </w:tcMar>
            <w:vAlign w:val="center"/>
          </w:tcPr>
          <w:p>
            <w:pPr>
              <w:jc w:val="right"/>
            </w:pPr>
            <w:r>
              <w:rPr>
                <w:sz w:val="18"/>
                <w:szCs w:val="18"/>
              </w:rPr>
              <w:t xml:space="preserve">330</w:t>
            </w:r>
          </w:p>
        </w:tc>
      </w:tr>
      <w:tr>
        <w:tc>
          <w:tcPr>
            <w:tcW w:type="dxa" w:w="3660"/>
            <w:tcMar>
              <w:top w:type="dxa" w:w="60"/>
              <w:left w:type="dxa" w:w="110"/>
              <w:bottom w:type="dxa" w:w="60"/>
              <w:right w:type="dxa" w:w="110"/>
            </w:tcMar>
            <w:vAlign w:val="center"/>
          </w:tcPr>
          <w:p>
            <w:pPr>
              <w:jc w:val="left"/>
            </w:pPr>
            <w:r>
              <w:rPr>
                <w:sz w:val="18"/>
                <w:szCs w:val="18"/>
              </w:rPr>
              <w:t xml:space="preserve">Justified P/E (GCC staples, below Almarai)</w:t>
            </w:r>
          </w:p>
        </w:tc>
        <w:tc>
          <w:tcPr>
            <w:tcW w:type="dxa" w:w="1900"/>
            <w:tcMar>
              <w:top w:type="dxa" w:w="60"/>
              <w:left w:type="dxa" w:w="110"/>
              <w:bottom w:type="dxa" w:w="60"/>
              <w:right w:type="dxa" w:w="110"/>
            </w:tcMar>
            <w:vAlign w:val="center"/>
          </w:tcPr>
          <w:p>
            <w:pPr>
              <w:jc w:val="right"/>
            </w:pPr>
            <w:r>
              <w:rPr>
                <w:sz w:val="18"/>
                <w:szCs w:val="18"/>
              </w:rPr>
              <w:t xml:space="preserve">10.5×</w:t>
            </w:r>
          </w:p>
        </w:tc>
        <w:tc>
          <w:tcPr>
            <w:tcW w:type="dxa" w:w="1900"/>
            <w:tcMar>
              <w:top w:type="dxa" w:w="60"/>
              <w:left w:type="dxa" w:w="110"/>
              <w:bottom w:type="dxa" w:w="60"/>
              <w:right w:type="dxa" w:w="110"/>
            </w:tcMar>
            <w:vAlign w:val="center"/>
          </w:tcPr>
          <w:p>
            <w:pPr>
              <w:jc w:val="right"/>
            </w:pPr>
            <w:r>
              <w:rPr>
                <w:sz w:val="18"/>
                <w:szCs w:val="18"/>
              </w:rPr>
              <w:t xml:space="preserve">12.5×</w:t>
            </w:r>
          </w:p>
        </w:tc>
        <w:tc>
          <w:tcPr>
            <w:tcW w:type="dxa" w:w="1900"/>
            <w:tcMar>
              <w:top w:type="dxa" w:w="60"/>
              <w:left w:type="dxa" w:w="110"/>
              <w:bottom w:type="dxa" w:w="60"/>
              <w:right w:type="dxa" w:w="110"/>
            </w:tcMar>
            <w:vAlign w:val="center"/>
          </w:tcPr>
          <w:p>
            <w:pPr>
              <w:jc w:val="right"/>
            </w:pPr>
            <w:r>
              <w:rPr>
                <w:sz w:val="18"/>
                <w:szCs w:val="18"/>
              </w:rPr>
              <w:t xml:space="preserve">14.5×</w:t>
            </w:r>
          </w:p>
        </w:tc>
      </w:tr>
      <w:tr>
        <w:tc>
          <w:tcPr>
            <w:tcW w:type="dxa" w:w="3660"/>
            <w:tcMar>
              <w:top w:type="dxa" w:w="60"/>
              <w:left w:type="dxa" w:w="110"/>
              <w:bottom w:type="dxa" w:w="60"/>
              <w:right w:type="dxa" w:w="110"/>
            </w:tcMar>
            <w:vAlign w:val="center"/>
          </w:tcPr>
          <w:p>
            <w:pPr>
              <w:jc w:val="left"/>
            </w:pPr>
            <w:r>
              <w:rPr>
                <w:b/>
                <w:bCs/>
                <w:sz w:val="18"/>
                <w:szCs w:val="18"/>
              </w:rPr>
              <w:t xml:space="preserve">Fair value (AED/share)</w:t>
            </w:r>
          </w:p>
        </w:tc>
        <w:tc>
          <w:tcPr>
            <w:tcW w:type="dxa" w:w="1900"/>
            <w:tcMar>
              <w:top w:type="dxa" w:w="60"/>
              <w:left w:type="dxa" w:w="110"/>
              <w:bottom w:type="dxa" w:w="60"/>
              <w:right w:type="dxa" w:w="110"/>
            </w:tcMar>
            <w:vAlign w:val="center"/>
          </w:tcPr>
          <w:p>
            <w:pPr>
              <w:jc w:val="right"/>
            </w:pPr>
            <w:r>
              <w:rPr>
                <w:b/>
                <w:bCs/>
                <w:sz w:val="18"/>
                <w:szCs w:val="18"/>
              </w:rPr>
              <w:t xml:space="preserve">3.41</w:t>
            </w:r>
          </w:p>
        </w:tc>
        <w:tc>
          <w:tcPr>
            <w:tcW w:type="dxa" w:w="1900"/>
            <w:tcMar>
              <w:top w:type="dxa" w:w="60"/>
              <w:left w:type="dxa" w:w="110"/>
              <w:bottom w:type="dxa" w:w="60"/>
              <w:right w:type="dxa" w:w="110"/>
            </w:tcMar>
            <w:vAlign w:val="center"/>
          </w:tcPr>
          <w:p>
            <w:pPr>
              <w:jc w:val="right"/>
            </w:pPr>
            <w:r>
              <w:rPr>
                <w:b/>
                <w:bCs/>
                <w:sz w:val="18"/>
                <w:szCs w:val="18"/>
              </w:rPr>
              <w:t xml:space="preserve">4.51</w:t>
            </w:r>
          </w:p>
        </w:tc>
        <w:tc>
          <w:tcPr>
            <w:tcW w:type="dxa" w:w="1900"/>
            <w:tcMar>
              <w:top w:type="dxa" w:w="60"/>
              <w:left w:type="dxa" w:w="110"/>
              <w:bottom w:type="dxa" w:w="60"/>
              <w:right w:type="dxa" w:w="110"/>
            </w:tcMar>
            <w:vAlign w:val="center"/>
          </w:tcPr>
          <w:p>
            <w:pPr>
              <w:jc w:val="right"/>
            </w:pPr>
            <w:r>
              <w:rPr>
                <w:b/>
                <w:bCs/>
                <w:sz w:val="18"/>
                <w:szCs w:val="18"/>
              </w:rPr>
              <w:t xml:space="preserve">5.76</w:t>
            </w:r>
          </w:p>
        </w:tc>
      </w:tr>
    </w:tbl>
    <w:p>
      <w:pPr>
        <w:spacing w:after="60"/>
      </w:pPr>
    </w:p>
    <w:p>
      <w:pPr>
        <w:pStyle w:val="Heading2"/>
      </w:pPr>
      <w:r>
        <w:rPr>
          <w:sz w:val="20"/>
          <w:szCs w:val="20"/>
        </w:rPr>
        <w:t xml:space="preserve">1.5  Synthesis — four lenses</w:t>
      </w:r>
    </w:p>
    <w:p>
      <w:pPr/>
      <w:r>
        <w:rPr>
          <w:sz w:val="20"/>
          <w:szCs w:val="20"/>
        </w:rPr>
        <w:t xml:space="preserve">We weight the DCF most heavily because it is the only lens that prices the recovery path year by year; the SOTP respects the differing economics of the parts; the normalized lens carries the through-cycle thesis; the relative lens anchors the floor. Per house device A-8 the lenses are shown as a field and a distribution — divergent methods are never blended into a false single point beyond this disclosed weighting.</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260"/>
        <w:gridCol w:w="1300"/>
        <w:gridCol w:w="1600"/>
        <w:gridCol w:w="1600"/>
        <w:gridCol w:w="1600"/>
      </w:tblGrid>
      <w:tr>
        <w:tc>
          <w:tcPr>
            <w:tcW w:type="dxa" w:w="3260"/>
            <w:shd w:fill="1C3A36" w:val="clear"/>
            <w:tcMar>
              <w:top w:type="dxa" w:w="60"/>
              <w:left w:type="dxa" w:w="110"/>
              <w:bottom w:type="dxa" w:w="60"/>
              <w:right w:type="dxa" w:w="110"/>
            </w:tcMar>
            <w:vAlign w:val="center"/>
          </w:tcPr>
          <w:p>
            <w:pPr>
              <w:jc w:val="left"/>
            </w:pPr>
            <w:r>
              <w:rPr>
                <w:b/>
                <w:bCs/>
                <w:color w:val="FFFFFF"/>
                <w:sz w:val="18"/>
                <w:szCs w:val="18"/>
              </w:rPr>
              <w:t xml:space="preserve">Lens</w:t>
            </w:r>
          </w:p>
        </w:tc>
        <w:tc>
          <w:tcPr>
            <w:tcW w:type="dxa" w:w="1300"/>
            <w:shd w:fill="1C3A36" w:val="clear"/>
            <w:tcMar>
              <w:top w:type="dxa" w:w="60"/>
              <w:left w:type="dxa" w:w="110"/>
              <w:bottom w:type="dxa" w:w="60"/>
              <w:right w:type="dxa" w:w="110"/>
            </w:tcMar>
            <w:vAlign w:val="center"/>
          </w:tcPr>
          <w:p>
            <w:pPr>
              <w:jc w:val="center"/>
            </w:pPr>
            <w:r>
              <w:rPr>
                <w:b/>
                <w:bCs/>
                <w:color w:val="FFFFFF"/>
                <w:sz w:val="18"/>
                <w:szCs w:val="18"/>
              </w:rPr>
              <w:t xml:space="preserve">Weight</w:t>
            </w:r>
          </w:p>
        </w:tc>
        <w:tc>
          <w:tcPr>
            <w:tcW w:type="dxa" w:w="1600"/>
            <w:shd w:fill="1C3A36" w:val="clear"/>
            <w:tcMar>
              <w:top w:type="dxa" w:w="60"/>
              <w:left w:type="dxa" w:w="110"/>
              <w:bottom w:type="dxa" w:w="60"/>
              <w:right w:type="dxa" w:w="110"/>
            </w:tcMar>
            <w:vAlign w:val="center"/>
          </w:tcPr>
          <w:p>
            <w:pPr>
              <w:jc w:val="center"/>
            </w:pPr>
            <w:r>
              <w:rPr>
                <w:b/>
                <w:bCs/>
                <w:color w:val="FFFFFF"/>
                <w:sz w:val="18"/>
                <w:szCs w:val="18"/>
              </w:rPr>
              <w:t xml:space="preserve">Bear</w:t>
            </w:r>
          </w:p>
        </w:tc>
        <w:tc>
          <w:tcPr>
            <w:tcW w:type="dxa" w:w="1600"/>
            <w:shd w:fill="1C3A36" w:val="clear"/>
            <w:tcMar>
              <w:top w:type="dxa" w:w="60"/>
              <w:left w:type="dxa" w:w="110"/>
              <w:bottom w:type="dxa" w:w="60"/>
              <w:right w:type="dxa" w:w="110"/>
            </w:tcMar>
            <w:vAlign w:val="center"/>
          </w:tcPr>
          <w:p>
            <w:pPr>
              <w:jc w:val="center"/>
            </w:pPr>
            <w:r>
              <w:rPr>
                <w:b/>
                <w:bCs/>
                <w:color w:val="FFFFFF"/>
                <w:sz w:val="18"/>
                <w:szCs w:val="18"/>
              </w:rPr>
              <w:t xml:space="preserve">Base</w:t>
            </w:r>
          </w:p>
        </w:tc>
        <w:tc>
          <w:tcPr>
            <w:tcW w:type="dxa" w:w="1600"/>
            <w:shd w:fill="1C3A36" w:val="clear"/>
            <w:tcMar>
              <w:top w:type="dxa" w:w="60"/>
              <w:left w:type="dxa" w:w="110"/>
              <w:bottom w:type="dxa" w:w="60"/>
              <w:right w:type="dxa" w:w="110"/>
            </w:tcMar>
            <w:vAlign w:val="center"/>
          </w:tcPr>
          <w:p>
            <w:pPr>
              <w:jc w:val="center"/>
            </w:pPr>
            <w:r>
              <w:rPr>
                <w:b/>
                <w:bCs/>
                <w:color w:val="FFFFFF"/>
                <w:sz w:val="18"/>
                <w:szCs w:val="18"/>
              </w:rPr>
              <w:t xml:space="preserve">Bull</w:t>
            </w:r>
          </w:p>
        </w:tc>
      </w:tr>
      <w:tr>
        <w:tc>
          <w:tcPr>
            <w:tcW w:type="dxa" w:w="3260"/>
            <w:tcMar>
              <w:top w:type="dxa" w:w="60"/>
              <w:left w:type="dxa" w:w="110"/>
              <w:bottom w:type="dxa" w:w="60"/>
              <w:right w:type="dxa" w:w="110"/>
            </w:tcMar>
            <w:vAlign w:val="center"/>
          </w:tcPr>
          <w:p>
            <w:pPr>
              <w:jc w:val="left"/>
            </w:pPr>
            <w:r>
              <w:rPr>
                <w:sz w:val="18"/>
                <w:szCs w:val="18"/>
              </w:rPr>
              <w:t xml:space="preserve">Consolidated DCF (primary)</w:t>
            </w:r>
          </w:p>
        </w:tc>
        <w:tc>
          <w:tcPr>
            <w:tcW w:type="dxa" w:w="1300"/>
            <w:tcMar>
              <w:top w:type="dxa" w:w="60"/>
              <w:left w:type="dxa" w:w="110"/>
              <w:bottom w:type="dxa" w:w="60"/>
              <w:right w:type="dxa" w:w="110"/>
            </w:tcMar>
            <w:vAlign w:val="center"/>
          </w:tcPr>
          <w:p>
            <w:pPr>
              <w:jc w:val="right"/>
            </w:pPr>
            <w:r>
              <w:rPr>
                <w:sz w:val="18"/>
                <w:szCs w:val="18"/>
              </w:rPr>
              <w:t xml:space="preserve">35%</w:t>
            </w:r>
          </w:p>
        </w:tc>
        <w:tc>
          <w:tcPr>
            <w:tcW w:type="dxa" w:w="1600"/>
            <w:tcMar>
              <w:top w:type="dxa" w:w="60"/>
              <w:left w:type="dxa" w:w="110"/>
              <w:bottom w:type="dxa" w:w="60"/>
              <w:right w:type="dxa" w:w="110"/>
            </w:tcMar>
            <w:vAlign w:val="center"/>
          </w:tcPr>
          <w:p>
            <w:pPr>
              <w:jc w:val="right"/>
            </w:pPr>
            <w:r>
              <w:rPr>
                <w:sz w:val="18"/>
                <w:szCs w:val="18"/>
              </w:rPr>
              <w:t xml:space="preserve">2.76</w:t>
            </w:r>
          </w:p>
        </w:tc>
        <w:tc>
          <w:tcPr>
            <w:tcW w:type="dxa" w:w="1600"/>
            <w:tcMar>
              <w:top w:type="dxa" w:w="60"/>
              <w:left w:type="dxa" w:w="110"/>
              <w:bottom w:type="dxa" w:w="60"/>
              <w:right w:type="dxa" w:w="110"/>
            </w:tcMar>
            <w:vAlign w:val="center"/>
          </w:tcPr>
          <w:p>
            <w:pPr>
              <w:jc w:val="right"/>
            </w:pPr>
            <w:r>
              <w:rPr>
                <w:sz w:val="18"/>
                <w:szCs w:val="18"/>
              </w:rPr>
              <w:t xml:space="preserve">4.60</w:t>
            </w:r>
          </w:p>
        </w:tc>
        <w:tc>
          <w:tcPr>
            <w:tcW w:type="dxa" w:w="1600"/>
            <w:tcMar>
              <w:top w:type="dxa" w:w="60"/>
              <w:left w:type="dxa" w:w="110"/>
              <w:bottom w:type="dxa" w:w="60"/>
              <w:right w:type="dxa" w:w="110"/>
            </w:tcMar>
            <w:vAlign w:val="center"/>
          </w:tcPr>
          <w:p>
            <w:pPr>
              <w:jc w:val="right"/>
            </w:pPr>
            <w:r>
              <w:rPr>
                <w:sz w:val="18"/>
                <w:szCs w:val="18"/>
              </w:rPr>
              <w:t xml:space="preserve">7.07</w:t>
            </w:r>
          </w:p>
        </w:tc>
      </w:tr>
      <w:tr>
        <w:tc>
          <w:tcPr>
            <w:tcW w:type="dxa" w:w="3260"/>
            <w:tcMar>
              <w:top w:type="dxa" w:w="60"/>
              <w:left w:type="dxa" w:w="110"/>
              <w:bottom w:type="dxa" w:w="60"/>
              <w:right w:type="dxa" w:w="110"/>
            </w:tcMar>
            <w:vAlign w:val="center"/>
          </w:tcPr>
          <w:p>
            <w:pPr>
              <w:jc w:val="left"/>
            </w:pPr>
            <w:r>
              <w:rPr>
                <w:sz w:val="18"/>
                <w:szCs w:val="18"/>
              </w:rPr>
              <w:t xml:space="preserve">Segment SOTP</w:t>
            </w:r>
          </w:p>
        </w:tc>
        <w:tc>
          <w:tcPr>
            <w:tcW w:type="dxa" w:w="1300"/>
            <w:tcMar>
              <w:top w:type="dxa" w:w="60"/>
              <w:left w:type="dxa" w:w="110"/>
              <w:bottom w:type="dxa" w:w="60"/>
              <w:right w:type="dxa" w:w="110"/>
            </w:tcMar>
            <w:vAlign w:val="center"/>
          </w:tcPr>
          <w:p>
            <w:pPr>
              <w:jc w:val="right"/>
            </w:pPr>
            <w:r>
              <w:rPr>
                <w:sz w:val="18"/>
                <w:szCs w:val="18"/>
              </w:rPr>
              <w:t xml:space="preserve">25%</w:t>
            </w:r>
          </w:p>
        </w:tc>
        <w:tc>
          <w:tcPr>
            <w:tcW w:type="dxa" w:w="1600"/>
            <w:tcMar>
              <w:top w:type="dxa" w:w="60"/>
              <w:left w:type="dxa" w:w="110"/>
              <w:bottom w:type="dxa" w:w="60"/>
              <w:right w:type="dxa" w:w="110"/>
            </w:tcMar>
            <w:vAlign w:val="center"/>
          </w:tcPr>
          <w:p>
            <w:pPr>
              <w:jc w:val="right"/>
            </w:pPr>
            <w:r>
              <w:rPr>
                <w:sz w:val="18"/>
                <w:szCs w:val="18"/>
              </w:rPr>
              <w:t xml:space="preserve">3.09</w:t>
            </w:r>
          </w:p>
        </w:tc>
        <w:tc>
          <w:tcPr>
            <w:tcW w:type="dxa" w:w="1600"/>
            <w:tcMar>
              <w:top w:type="dxa" w:w="60"/>
              <w:left w:type="dxa" w:w="110"/>
              <w:bottom w:type="dxa" w:w="60"/>
              <w:right w:type="dxa" w:w="110"/>
            </w:tcMar>
            <w:vAlign w:val="center"/>
          </w:tcPr>
          <w:p>
            <w:pPr>
              <w:jc w:val="right"/>
            </w:pPr>
            <w:r>
              <w:rPr>
                <w:sz w:val="18"/>
                <w:szCs w:val="18"/>
              </w:rPr>
              <w:t xml:space="preserve">4.24</w:t>
            </w:r>
          </w:p>
        </w:tc>
        <w:tc>
          <w:tcPr>
            <w:tcW w:type="dxa" w:w="1600"/>
            <w:tcMar>
              <w:top w:type="dxa" w:w="60"/>
              <w:left w:type="dxa" w:w="110"/>
              <w:bottom w:type="dxa" w:w="60"/>
              <w:right w:type="dxa" w:w="110"/>
            </w:tcMar>
            <w:vAlign w:val="center"/>
          </w:tcPr>
          <w:p>
            <w:pPr>
              <w:jc w:val="right"/>
            </w:pPr>
            <w:r>
              <w:rPr>
                <w:sz w:val="18"/>
                <w:szCs w:val="18"/>
              </w:rPr>
              <w:t xml:space="preserve">5.71</w:t>
            </w:r>
          </w:p>
        </w:tc>
      </w:tr>
      <w:tr>
        <w:tc>
          <w:tcPr>
            <w:tcW w:type="dxa" w:w="3260"/>
            <w:tcMar>
              <w:top w:type="dxa" w:w="60"/>
              <w:left w:type="dxa" w:w="110"/>
              <w:bottom w:type="dxa" w:w="60"/>
              <w:right w:type="dxa" w:w="110"/>
            </w:tcMar>
            <w:vAlign w:val="center"/>
          </w:tcPr>
          <w:p>
            <w:pPr>
              <w:jc w:val="left"/>
            </w:pPr>
            <w:r>
              <w:rPr>
                <w:sz w:val="18"/>
                <w:szCs w:val="18"/>
              </w:rPr>
              <w:t xml:space="preserve">Relative multiples</w:t>
            </w:r>
          </w:p>
        </w:tc>
        <w:tc>
          <w:tcPr>
            <w:tcW w:type="dxa" w:w="1300"/>
            <w:tcMar>
              <w:top w:type="dxa" w:w="60"/>
              <w:left w:type="dxa" w:w="110"/>
              <w:bottom w:type="dxa" w:w="60"/>
              <w:right w:type="dxa" w:w="110"/>
            </w:tcMar>
            <w:vAlign w:val="center"/>
          </w:tcPr>
          <w:p>
            <w:pPr>
              <w:jc w:val="right"/>
            </w:pPr>
            <w:r>
              <w:rPr>
                <w:sz w:val="18"/>
                <w:szCs w:val="18"/>
              </w:rPr>
              <w:t xml:space="preserve">15%</w:t>
            </w:r>
          </w:p>
        </w:tc>
        <w:tc>
          <w:tcPr>
            <w:tcW w:type="dxa" w:w="1600"/>
            <w:tcMar>
              <w:top w:type="dxa" w:w="60"/>
              <w:left w:type="dxa" w:w="110"/>
              <w:bottom w:type="dxa" w:w="60"/>
              <w:right w:type="dxa" w:w="110"/>
            </w:tcMar>
            <w:vAlign w:val="center"/>
          </w:tcPr>
          <w:p>
            <w:pPr>
              <w:jc w:val="right"/>
            </w:pPr>
            <w:r>
              <w:rPr>
                <w:sz w:val="18"/>
                <w:szCs w:val="18"/>
              </w:rPr>
              <w:t xml:space="preserve">3.07</w:t>
            </w:r>
          </w:p>
        </w:tc>
        <w:tc>
          <w:tcPr>
            <w:tcW w:type="dxa" w:w="1600"/>
            <w:tcMar>
              <w:top w:type="dxa" w:w="60"/>
              <w:left w:type="dxa" w:w="110"/>
              <w:bottom w:type="dxa" w:w="60"/>
              <w:right w:type="dxa" w:w="110"/>
            </w:tcMar>
            <w:vAlign w:val="center"/>
          </w:tcPr>
          <w:p>
            <w:pPr>
              <w:jc w:val="right"/>
            </w:pPr>
            <w:r>
              <w:rPr>
                <w:sz w:val="18"/>
                <w:szCs w:val="18"/>
              </w:rPr>
              <w:t xml:space="preserve">3.83</w:t>
            </w:r>
          </w:p>
        </w:tc>
        <w:tc>
          <w:tcPr>
            <w:tcW w:type="dxa" w:w="1600"/>
            <w:tcMar>
              <w:top w:type="dxa" w:w="60"/>
              <w:left w:type="dxa" w:w="110"/>
              <w:bottom w:type="dxa" w:w="60"/>
              <w:right w:type="dxa" w:w="110"/>
            </w:tcMar>
            <w:vAlign w:val="center"/>
          </w:tcPr>
          <w:p>
            <w:pPr>
              <w:jc w:val="right"/>
            </w:pPr>
            <w:r>
              <w:rPr>
                <w:sz w:val="18"/>
                <w:szCs w:val="18"/>
              </w:rPr>
              <w:t xml:space="preserve">4.97</w:t>
            </w:r>
          </w:p>
        </w:tc>
      </w:tr>
      <w:tr>
        <w:tc>
          <w:tcPr>
            <w:tcW w:type="dxa" w:w="3260"/>
            <w:tcMar>
              <w:top w:type="dxa" w:w="60"/>
              <w:left w:type="dxa" w:w="110"/>
              <w:bottom w:type="dxa" w:w="60"/>
              <w:right w:type="dxa" w:w="110"/>
            </w:tcMar>
            <w:vAlign w:val="center"/>
          </w:tcPr>
          <w:p>
            <w:pPr>
              <w:jc w:val="left"/>
            </w:pPr>
            <w:r>
              <w:rPr>
                <w:sz w:val="18"/>
                <w:szCs w:val="18"/>
              </w:rPr>
              <w:t xml:space="preserve">Normalized earnings</w:t>
            </w:r>
          </w:p>
        </w:tc>
        <w:tc>
          <w:tcPr>
            <w:tcW w:type="dxa" w:w="1300"/>
            <w:tcMar>
              <w:top w:type="dxa" w:w="60"/>
              <w:left w:type="dxa" w:w="110"/>
              <w:bottom w:type="dxa" w:w="60"/>
              <w:right w:type="dxa" w:w="110"/>
            </w:tcMar>
            <w:vAlign w:val="center"/>
          </w:tcPr>
          <w:p>
            <w:pPr>
              <w:jc w:val="right"/>
            </w:pPr>
            <w:r>
              <w:rPr>
                <w:sz w:val="18"/>
                <w:szCs w:val="18"/>
              </w:rPr>
              <w:t xml:space="preserve">25%</w:t>
            </w:r>
          </w:p>
        </w:tc>
        <w:tc>
          <w:tcPr>
            <w:tcW w:type="dxa" w:w="1600"/>
            <w:tcMar>
              <w:top w:type="dxa" w:w="60"/>
              <w:left w:type="dxa" w:w="110"/>
              <w:bottom w:type="dxa" w:w="60"/>
              <w:right w:type="dxa" w:w="110"/>
            </w:tcMar>
            <w:vAlign w:val="center"/>
          </w:tcPr>
          <w:p>
            <w:pPr>
              <w:jc w:val="right"/>
            </w:pPr>
            <w:r>
              <w:rPr>
                <w:sz w:val="18"/>
                <w:szCs w:val="18"/>
              </w:rPr>
              <w:t xml:space="preserve">3.41</w:t>
            </w:r>
          </w:p>
        </w:tc>
        <w:tc>
          <w:tcPr>
            <w:tcW w:type="dxa" w:w="1600"/>
            <w:tcMar>
              <w:top w:type="dxa" w:w="60"/>
              <w:left w:type="dxa" w:w="110"/>
              <w:bottom w:type="dxa" w:w="60"/>
              <w:right w:type="dxa" w:w="110"/>
            </w:tcMar>
            <w:vAlign w:val="center"/>
          </w:tcPr>
          <w:p>
            <w:pPr>
              <w:jc w:val="right"/>
            </w:pPr>
            <w:r>
              <w:rPr>
                <w:sz w:val="18"/>
                <w:szCs w:val="18"/>
              </w:rPr>
              <w:t xml:space="preserve">4.51</w:t>
            </w:r>
          </w:p>
        </w:tc>
        <w:tc>
          <w:tcPr>
            <w:tcW w:type="dxa" w:w="1600"/>
            <w:tcMar>
              <w:top w:type="dxa" w:w="60"/>
              <w:left w:type="dxa" w:w="110"/>
              <w:bottom w:type="dxa" w:w="60"/>
              <w:right w:type="dxa" w:w="110"/>
            </w:tcMar>
            <w:vAlign w:val="center"/>
          </w:tcPr>
          <w:p>
            <w:pPr>
              <w:jc w:val="right"/>
            </w:pPr>
            <w:r>
              <w:rPr>
                <w:sz w:val="18"/>
                <w:szCs w:val="18"/>
              </w:rPr>
              <w:t xml:space="preserve">5.76</w:t>
            </w:r>
          </w:p>
        </w:tc>
      </w:tr>
      <w:tr>
        <w:tc>
          <w:tcPr>
            <w:tcW w:type="dxa" w:w="3260"/>
            <w:tcMar>
              <w:top w:type="dxa" w:w="60"/>
              <w:left w:type="dxa" w:w="110"/>
              <w:bottom w:type="dxa" w:w="60"/>
              <w:right w:type="dxa" w:w="110"/>
            </w:tcMar>
            <w:vAlign w:val="center"/>
          </w:tcPr>
          <w:p>
            <w:pPr>
              <w:jc w:val="left"/>
            </w:pPr>
            <w:r>
              <w:rPr>
                <w:b/>
                <w:bCs/>
                <w:sz w:val="18"/>
                <w:szCs w:val="18"/>
              </w:rPr>
              <w:t xml:space="preserve">Weighted central</w:t>
            </w:r>
          </w:p>
        </w:tc>
        <w:tc>
          <w:tcPr>
            <w:tcW w:type="dxa" w:w="1300"/>
            <w:tcMar>
              <w:top w:type="dxa" w:w="60"/>
              <w:left w:type="dxa" w:w="110"/>
              <w:bottom w:type="dxa" w:w="60"/>
              <w:right w:type="dxa" w:w="110"/>
            </w:tcMar>
            <w:vAlign w:val="center"/>
          </w:tcPr>
          <w:p>
            <w:pPr>
              <w:jc w:val="right"/>
            </w:pPr>
          </w:p>
        </w:tc>
        <w:tc>
          <w:tcPr>
            <w:tcW w:type="dxa" w:w="1600"/>
            <w:tcMar>
              <w:top w:type="dxa" w:w="60"/>
              <w:left w:type="dxa" w:w="110"/>
              <w:bottom w:type="dxa" w:w="60"/>
              <w:right w:type="dxa" w:w="110"/>
            </w:tcMar>
            <w:vAlign w:val="center"/>
          </w:tcPr>
          <w:p>
            <w:pPr>
              <w:jc w:val="right"/>
            </w:pPr>
            <w:r>
              <w:rPr>
                <w:b/>
                <w:bCs/>
                <w:sz w:val="18"/>
                <w:szCs w:val="18"/>
              </w:rPr>
              <w:t xml:space="preserve">3.05</w:t>
            </w:r>
          </w:p>
        </w:tc>
        <w:tc>
          <w:tcPr>
            <w:tcW w:type="dxa" w:w="1600"/>
            <w:tcMar>
              <w:top w:type="dxa" w:w="60"/>
              <w:left w:type="dxa" w:w="110"/>
              <w:bottom w:type="dxa" w:w="60"/>
              <w:right w:type="dxa" w:w="110"/>
            </w:tcMar>
            <w:vAlign w:val="center"/>
          </w:tcPr>
          <w:p>
            <w:pPr>
              <w:jc w:val="right"/>
            </w:pPr>
            <w:r>
              <w:rPr>
                <w:b/>
                <w:bCs/>
                <w:sz w:val="18"/>
                <w:szCs w:val="18"/>
              </w:rPr>
              <w:t xml:space="preserve">4.37</w:t>
            </w:r>
          </w:p>
        </w:tc>
        <w:tc>
          <w:tcPr>
            <w:tcW w:type="dxa" w:w="1600"/>
            <w:tcMar>
              <w:top w:type="dxa" w:w="60"/>
              <w:left w:type="dxa" w:w="110"/>
              <w:bottom w:type="dxa" w:w="60"/>
              <w:right w:type="dxa" w:w="110"/>
            </w:tcMar>
            <w:vAlign w:val="center"/>
          </w:tcPr>
          <w:p>
            <w:pPr>
              <w:jc w:val="right"/>
            </w:pPr>
            <w:r>
              <w:rPr>
                <w:b/>
                <w:bCs/>
                <w:sz w:val="18"/>
                <w:szCs w:val="18"/>
              </w:rPr>
              <w:t xml:space="preserve">6.09</w:t>
            </w:r>
          </w:p>
        </w:tc>
      </w:tr>
    </w:tbl>
    <w:p>
      <w:pPr>
        <w:spacing w:after="60"/>
      </w:pPr>
    </w:p>
    <w:p>
      <w:pPr>
        <w:spacing w:before="60" w:after="40"/>
        <w:jc w:val="center"/>
      </w:pPr>
      <w:r>
        <w:drawing>
          <wp:inline distT="0" distB="0" distL="0" distR="0">
            <wp:extent cx="5532120" cy="2134158"/>
            <wp:effectExtent t="0" r="0" b="0" l="0"/>
            <wp:docPr id="100" name="fig1_footb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fig1_football.png"/>
                    <pic:cNvPicPr/>
                  </pic:nvPicPr>
                  <pic:blipFill>
                    <a:blip r:embed="rId9"/>
                    <a:stretch>
                      <a:fillRect/>
                    </a:stretch>
                  </pic:blipFill>
                  <pic:spPr>
                    <a:xfrm>
                      <a:off x="0" y="0"/>
                      <a:ext cx="5532120" cy="2134158"/>
                    </a:xfrm>
                    <a:prstGeom prst="rect">
                      <a:avLst/>
                    </a:prstGeom>
                  </pic:spPr>
                </pic:pic>
              </a:graphicData>
            </a:graphic>
          </wp:inline>
        </w:drawing>
      </w:r>
    </w:p>
    <w:p>
      <w:pPr>
        <w:spacing w:after="140"/>
        <w:jc w:val="center"/>
      </w:pPr>
      <w:r>
        <w:rPr>
          <w:i/>
          <w:iCs/>
          <w:color w:val="6E7B77"/>
          <w:sz w:val="16"/>
          <w:szCs w:val="16"/>
        </w:rPr>
        <w:t xml:space="preserve">Figure 1 — Valuation football field. Bars span bear–bull per lens; the brass tick is each base case; the gold band is the blended central range; the dark line is spot.</w:t>
      </w:r>
    </w:p>
    <w:p>
      <w:pPr/>
      <w:r>
        <w:rPr>
          <w:b/>
          <w:bCs/>
          <w:sz w:val="20"/>
          <w:szCs w:val="20"/>
        </w:rPr>
        <w:t xml:space="preserve">Central fair value ≈ AED 4.37/share</w:t>
      </w:r>
      <w:r>
        <w:rPr>
          <w:sz w:val="20"/>
          <w:szCs w:val="20"/>
        </w:rPr>
        <w:t xml:space="preserve">, about 25% above spot. The spread of the lenses (3.83 to 4.60 at base) is itself the message: this is not a broken business priced for distress, but a franchise priced as if its reset year were its new normal.</w:t>
      </w:r>
    </w:p>
    <w:p>
      <w:pPr>
        <w:pStyle w:val="Heading2"/>
      </w:pPr>
      <w:r>
        <w:rPr>
          <w:sz w:val="20"/>
          <w:szCs w:val="20"/>
        </w:rPr>
        <w:t xml:space="preserve">1.6  A deeper look at the four segments</w:t>
      </w:r>
    </w:p>
    <w:p>
      <w:pPr/>
      <w:r>
        <w:rPr>
          <w:b/>
          <w:bCs/>
          <w:sz w:val="20"/>
          <w:szCs w:val="20"/>
        </w:rPr>
        <w:t xml:space="preserve">Data-discipline gate applied:</w:t>
      </w:r>
      <w:r>
        <w:rPr>
          <w:sz w:val="20"/>
          <w:szCs w:val="20"/>
        </w:rPr>
        <w:t xml:space="preserve"> Agthia discloses segment revenue and EBITDA but not volume/price splits by pack or SKU, so all forecasts here are top-down normalized margins on the disclosed segment averages; no packs-×-price build is manufactured. The scorecard below states each segment’s FY25 print, our forecast stance, and the single driver that decides it.</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1500"/>
        <w:gridCol w:w="1900"/>
        <w:gridCol w:w="2280"/>
        <w:gridCol w:w="2040"/>
        <w:gridCol w:w="1640"/>
      </w:tblGrid>
      <w:tr>
        <w:tc>
          <w:tcPr>
            <w:tcW w:type="dxa" w:w="1500"/>
            <w:shd w:fill="1C3A36" w:val="clear"/>
            <w:tcMar>
              <w:top w:type="dxa" w:w="60"/>
              <w:left w:type="dxa" w:w="110"/>
              <w:bottom w:type="dxa" w:w="60"/>
              <w:right w:type="dxa" w:w="110"/>
            </w:tcMar>
            <w:vAlign w:val="center"/>
          </w:tcPr>
          <w:p>
            <w:pPr>
              <w:jc w:val="left"/>
            </w:pPr>
            <w:r>
              <w:rPr>
                <w:b/>
                <w:bCs/>
                <w:color w:val="FFFFFF"/>
                <w:sz w:val="18"/>
                <w:szCs w:val="18"/>
              </w:rPr>
              <w:t xml:space="preserve">Segment</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FY25 rev / EBITDA (AED mn)</w:t>
            </w:r>
          </w:p>
        </w:tc>
        <w:tc>
          <w:tcPr>
            <w:tcW w:type="dxa" w:w="2280"/>
            <w:shd w:fill="1C3A36" w:val="clear"/>
            <w:tcMar>
              <w:top w:type="dxa" w:w="60"/>
              <w:left w:type="dxa" w:w="110"/>
              <w:bottom w:type="dxa" w:w="60"/>
              <w:right w:type="dxa" w:w="110"/>
            </w:tcMar>
            <w:vAlign w:val="center"/>
          </w:tcPr>
          <w:p>
            <w:pPr>
              <w:jc w:val="center"/>
            </w:pPr>
            <w:r>
              <w:rPr>
                <w:b/>
                <w:bCs/>
                <w:color w:val="FFFFFF"/>
                <w:sz w:val="18"/>
                <w:szCs w:val="18"/>
              </w:rPr>
              <w:t xml:space="preserve">What happened</w:t>
            </w:r>
          </w:p>
        </w:tc>
        <w:tc>
          <w:tcPr>
            <w:tcW w:type="dxa" w:w="2040"/>
            <w:shd w:fill="1C3A36" w:val="clear"/>
            <w:tcMar>
              <w:top w:type="dxa" w:w="60"/>
              <w:left w:type="dxa" w:w="110"/>
              <w:bottom w:type="dxa" w:w="60"/>
              <w:right w:type="dxa" w:w="110"/>
            </w:tcMar>
            <w:vAlign w:val="center"/>
          </w:tcPr>
          <w:p>
            <w:pPr>
              <w:jc w:val="center"/>
            </w:pPr>
            <w:r>
              <w:rPr>
                <w:b/>
                <w:bCs/>
                <w:color w:val="FFFFFF"/>
                <w:sz w:val="18"/>
                <w:szCs w:val="18"/>
              </w:rPr>
              <w:t xml:space="preserve">Our stance (FY26E–30E)</w:t>
            </w:r>
          </w:p>
        </w:tc>
        <w:tc>
          <w:tcPr>
            <w:tcW w:type="dxa" w:w="1640"/>
            <w:shd w:fill="1C3A36" w:val="clear"/>
            <w:tcMar>
              <w:top w:type="dxa" w:w="60"/>
              <w:left w:type="dxa" w:w="110"/>
              <w:bottom w:type="dxa" w:w="60"/>
              <w:right w:type="dxa" w:w="110"/>
            </w:tcMar>
            <w:vAlign w:val="center"/>
          </w:tcPr>
          <w:p>
            <w:pPr>
              <w:jc w:val="center"/>
            </w:pPr>
            <w:r>
              <w:rPr>
                <w:b/>
                <w:bCs/>
                <w:color w:val="FFFFFF"/>
                <w:sz w:val="18"/>
                <w:szCs w:val="18"/>
              </w:rPr>
              <w:t xml:space="preserve">Decides it</w:t>
            </w:r>
          </w:p>
        </w:tc>
      </w:tr>
      <w:tr>
        <w:tc>
          <w:tcPr>
            <w:tcW w:type="dxa" w:w="1500"/>
            <w:tcMar>
              <w:top w:type="dxa" w:w="60"/>
              <w:left w:type="dxa" w:w="110"/>
              <w:bottom w:type="dxa" w:w="60"/>
              <w:right w:type="dxa" w:w="110"/>
            </w:tcMar>
            <w:vAlign w:val="center"/>
          </w:tcPr>
          <w:p>
            <w:pPr>
              <w:jc w:val="left"/>
            </w:pPr>
            <w:r>
              <w:rPr>
                <w:sz w:val="18"/>
                <w:szCs w:val="18"/>
              </w:rPr>
              <w:t xml:space="preserve">Water &amp; Food</w:t>
            </w:r>
          </w:p>
        </w:tc>
        <w:tc>
          <w:tcPr>
            <w:tcW w:type="dxa" w:w="1900"/>
            <w:tcMar>
              <w:top w:type="dxa" w:w="60"/>
              <w:left w:type="dxa" w:w="110"/>
              <w:bottom w:type="dxa" w:w="60"/>
              <w:right w:type="dxa" w:w="110"/>
            </w:tcMar>
            <w:vAlign w:val="center"/>
          </w:tcPr>
          <w:p>
            <w:pPr>
              <w:jc w:val="right"/>
            </w:pPr>
            <w:r>
              <w:rPr>
                <w:sz w:val="18"/>
                <w:szCs w:val="18"/>
              </w:rPr>
              <w:t xml:space="preserve">1,240.3 / 170.9 (13.8%)</w:t>
            </w:r>
          </w:p>
        </w:tc>
        <w:tc>
          <w:tcPr>
            <w:tcW w:type="dxa" w:w="2280"/>
            <w:tcMar>
              <w:top w:type="dxa" w:w="60"/>
              <w:left w:type="dxa" w:w="110"/>
              <w:bottom w:type="dxa" w:w="60"/>
              <w:right w:type="dxa" w:w="110"/>
            </w:tcMar>
            <w:vAlign w:val="center"/>
          </w:tcPr>
          <w:p>
            <w:pPr>
              <w:jc w:val="right"/>
            </w:pPr>
            <w:r>
              <w:rPr>
                <w:sz w:val="18"/>
                <w:szCs w:val="18"/>
              </w:rPr>
              <w:t xml:space="preserve">Al Ain share gains; VOSS UAE; Riviere home-office-delivery scaling; +14.6% revenue</w:t>
            </w:r>
          </w:p>
        </w:tc>
        <w:tc>
          <w:tcPr>
            <w:tcW w:type="dxa" w:w="2040"/>
            <w:tcMar>
              <w:top w:type="dxa" w:w="60"/>
              <w:left w:type="dxa" w:w="110"/>
              <w:bottom w:type="dxa" w:w="60"/>
              <w:right w:type="dxa" w:w="110"/>
            </w:tcMar>
            <w:vAlign w:val="center"/>
          </w:tcPr>
          <w:p>
            <w:pPr>
              <w:jc w:val="right"/>
            </w:pPr>
            <w:r>
              <w:rPr>
                <w:sz w:val="18"/>
                <w:szCs w:val="18"/>
              </w:rPr>
              <w:t xml:space="preserve">+12% then mid-single-digit; margin to 15.6%</w:t>
            </w:r>
          </w:p>
        </w:tc>
        <w:tc>
          <w:tcPr>
            <w:tcW w:type="dxa" w:w="1640"/>
            <w:tcMar>
              <w:top w:type="dxa" w:w="60"/>
              <w:left w:type="dxa" w:w="110"/>
              <w:bottom w:type="dxa" w:w="60"/>
              <w:right w:type="dxa" w:w="110"/>
            </w:tcMar>
            <w:vAlign w:val="center"/>
          </w:tcPr>
          <w:p>
            <w:pPr>
              <w:jc w:val="right"/>
            </w:pPr>
            <w:r>
              <w:rPr>
                <w:sz w:val="18"/>
                <w:szCs w:val="18"/>
              </w:rPr>
              <w:t xml:space="preserve">UAE population &amp; tourism; price ladder discipline</w:t>
            </w:r>
          </w:p>
        </w:tc>
      </w:tr>
      <w:tr>
        <w:tc>
          <w:tcPr>
            <w:tcW w:type="dxa" w:w="1500"/>
            <w:tcMar>
              <w:top w:type="dxa" w:w="60"/>
              <w:left w:type="dxa" w:w="110"/>
              <w:bottom w:type="dxa" w:w="60"/>
              <w:right w:type="dxa" w:w="110"/>
            </w:tcMar>
            <w:vAlign w:val="center"/>
          </w:tcPr>
          <w:p>
            <w:pPr>
              <w:jc w:val="left"/>
            </w:pPr>
            <w:r>
              <w:rPr>
                <w:sz w:val="18"/>
                <w:szCs w:val="18"/>
              </w:rPr>
              <w:t xml:space="preserve">Agri-Business</w:t>
            </w:r>
          </w:p>
        </w:tc>
        <w:tc>
          <w:tcPr>
            <w:tcW w:type="dxa" w:w="1900"/>
            <w:tcMar>
              <w:top w:type="dxa" w:w="60"/>
              <w:left w:type="dxa" w:w="110"/>
              <w:bottom w:type="dxa" w:w="60"/>
              <w:right w:type="dxa" w:w="110"/>
            </w:tcMar>
            <w:vAlign w:val="center"/>
          </w:tcPr>
          <w:p>
            <w:pPr>
              <w:jc w:val="right"/>
            </w:pPr>
            <w:r>
              <w:rPr>
                <w:sz w:val="18"/>
                <w:szCs w:val="18"/>
              </w:rPr>
              <w:t xml:space="preserve">1,223.2 / 222.2 (18.2%)</w:t>
            </w:r>
          </w:p>
        </w:tc>
        <w:tc>
          <w:tcPr>
            <w:tcW w:type="dxa" w:w="2280"/>
            <w:tcMar>
              <w:top w:type="dxa" w:w="60"/>
              <w:left w:type="dxa" w:w="110"/>
              <w:bottom w:type="dxa" w:w="60"/>
              <w:right w:type="dxa" w:w="110"/>
            </w:tcMar>
            <w:vAlign w:val="center"/>
          </w:tcPr>
          <w:p>
            <w:pPr>
              <w:jc w:val="right"/>
            </w:pPr>
            <w:r>
              <w:rPr>
                <w:sz w:val="18"/>
                <w:szCs w:val="18"/>
              </w:rPr>
              <w:t xml:space="preserve">Flour &amp; feed steady; food-security offtake; −8.2% revenue on grain price pass-through</w:t>
            </w:r>
          </w:p>
        </w:tc>
        <w:tc>
          <w:tcPr>
            <w:tcW w:type="dxa" w:w="2040"/>
            <w:tcMar>
              <w:top w:type="dxa" w:w="60"/>
              <w:left w:type="dxa" w:w="110"/>
              <w:bottom w:type="dxa" w:w="60"/>
              <w:right w:type="dxa" w:w="110"/>
            </w:tcMar>
            <w:vAlign w:val="center"/>
          </w:tcPr>
          <w:p>
            <w:pPr>
              <w:jc w:val="right"/>
            </w:pPr>
            <w:r>
              <w:rPr>
                <w:sz w:val="18"/>
                <w:szCs w:val="18"/>
              </w:rPr>
              <w:t xml:space="preserve">+2–2.5%; margin flat 18.2%</w:t>
            </w:r>
          </w:p>
        </w:tc>
        <w:tc>
          <w:tcPr>
            <w:tcW w:type="dxa" w:w="1640"/>
            <w:tcMar>
              <w:top w:type="dxa" w:w="60"/>
              <w:left w:type="dxa" w:w="110"/>
              <w:bottom w:type="dxa" w:w="60"/>
              <w:right w:type="dxa" w:w="110"/>
            </w:tcMar>
            <w:vAlign w:val="center"/>
          </w:tcPr>
          <w:p>
            <w:pPr>
              <w:jc w:val="right"/>
            </w:pPr>
            <w:r>
              <w:rPr>
                <w:sz w:val="18"/>
                <w:szCs w:val="18"/>
              </w:rPr>
              <w:t xml:space="preserve">Regulated tariffs; wheat &amp; corn cost pass-through</w:t>
            </w:r>
          </w:p>
        </w:tc>
      </w:tr>
      <w:tr>
        <w:tc>
          <w:tcPr>
            <w:tcW w:type="dxa" w:w="1500"/>
            <w:tcMar>
              <w:top w:type="dxa" w:w="60"/>
              <w:left w:type="dxa" w:w="110"/>
              <w:bottom w:type="dxa" w:w="60"/>
              <w:right w:type="dxa" w:w="110"/>
            </w:tcMar>
            <w:vAlign w:val="center"/>
          </w:tcPr>
          <w:p>
            <w:pPr>
              <w:jc w:val="left"/>
            </w:pPr>
            <w:r>
              <w:rPr>
                <w:sz w:val="18"/>
                <w:szCs w:val="18"/>
              </w:rPr>
              <w:t xml:space="preserve">Snacking</w:t>
            </w:r>
          </w:p>
        </w:tc>
        <w:tc>
          <w:tcPr>
            <w:tcW w:type="dxa" w:w="1900"/>
            <w:tcMar>
              <w:top w:type="dxa" w:w="60"/>
              <w:left w:type="dxa" w:w="110"/>
              <w:bottom w:type="dxa" w:w="60"/>
              <w:right w:type="dxa" w:w="110"/>
            </w:tcMar>
            <w:vAlign w:val="center"/>
          </w:tcPr>
          <w:p>
            <w:pPr>
              <w:jc w:val="right"/>
            </w:pPr>
            <w:r>
              <w:rPr>
                <w:sz w:val="18"/>
                <w:szCs w:val="18"/>
              </w:rPr>
              <w:t xml:space="preserve">1,386.5 / 17.0 (1.2%)</w:t>
            </w:r>
          </w:p>
        </w:tc>
        <w:tc>
          <w:tcPr>
            <w:tcW w:type="dxa" w:w="2280"/>
            <w:tcMar>
              <w:top w:type="dxa" w:w="60"/>
              <w:left w:type="dxa" w:w="110"/>
              <w:bottom w:type="dxa" w:w="60"/>
              <w:right w:type="dxa" w:w="110"/>
            </w:tcMar>
            <w:vAlign w:val="center"/>
          </w:tcPr>
          <w:p>
            <w:pPr>
              <w:jc w:val="right"/>
            </w:pPr>
            <w:r>
              <w:rPr>
                <w:sz w:val="18"/>
                <w:szCs w:val="18"/>
              </w:rPr>
              <w:t xml:space="preserve">The damage: AED 143mn provisions (Al Foah counterparty, receivables); coffee input spike; Abu Auf still growing</w:t>
            </w:r>
          </w:p>
        </w:tc>
        <w:tc>
          <w:tcPr>
            <w:tcW w:type="dxa" w:w="2040"/>
            <w:tcMar>
              <w:top w:type="dxa" w:w="60"/>
              <w:left w:type="dxa" w:w="110"/>
              <w:bottom w:type="dxa" w:w="60"/>
              <w:right w:type="dxa" w:w="110"/>
            </w:tcMar>
            <w:vAlign w:val="center"/>
          </w:tcPr>
          <w:p>
            <w:pPr>
              <w:jc w:val="right"/>
            </w:pPr>
            <w:r>
              <w:rPr>
                <w:sz w:val="18"/>
                <w:szCs w:val="18"/>
              </w:rPr>
              <w:t xml:space="preserve">−2% then +5–7%; margin rebuilt to 12% by FY29E</w:t>
            </w:r>
          </w:p>
        </w:tc>
        <w:tc>
          <w:tcPr>
            <w:tcW w:type="dxa" w:w="1640"/>
            <w:tcMar>
              <w:top w:type="dxa" w:w="60"/>
              <w:left w:type="dxa" w:w="110"/>
              <w:bottom w:type="dxa" w:w="60"/>
              <w:right w:type="dxa" w:w="110"/>
            </w:tcMar>
            <w:vAlign w:val="center"/>
          </w:tcPr>
          <w:p>
            <w:pPr>
              <w:jc w:val="right"/>
            </w:pPr>
            <w:r>
              <w:rPr>
                <w:sz w:val="18"/>
                <w:szCs w:val="18"/>
              </w:rPr>
              <w:t xml:space="preserve">Green coffee $/lb; EGP; provision recurrence</w:t>
            </w:r>
          </w:p>
        </w:tc>
      </w:tr>
      <w:tr>
        <w:tc>
          <w:tcPr>
            <w:tcW w:type="dxa" w:w="1500"/>
            <w:tcMar>
              <w:top w:type="dxa" w:w="60"/>
              <w:left w:type="dxa" w:w="110"/>
              <w:bottom w:type="dxa" w:w="60"/>
              <w:right w:type="dxa" w:w="110"/>
            </w:tcMar>
            <w:vAlign w:val="center"/>
          </w:tcPr>
          <w:p>
            <w:pPr>
              <w:jc w:val="left"/>
            </w:pPr>
            <w:r>
              <w:rPr>
                <w:sz w:val="18"/>
                <w:szCs w:val="18"/>
              </w:rPr>
              <w:t xml:space="preserve">Protein &amp; Frozen</w:t>
            </w:r>
          </w:p>
        </w:tc>
        <w:tc>
          <w:tcPr>
            <w:tcW w:type="dxa" w:w="1900"/>
            <w:tcMar>
              <w:top w:type="dxa" w:w="60"/>
              <w:left w:type="dxa" w:w="110"/>
              <w:bottom w:type="dxa" w:w="60"/>
              <w:right w:type="dxa" w:w="110"/>
            </w:tcMar>
            <w:vAlign w:val="center"/>
          </w:tcPr>
          <w:p>
            <w:pPr>
              <w:jc w:val="right"/>
            </w:pPr>
            <w:r>
              <w:rPr>
                <w:sz w:val="18"/>
                <w:szCs w:val="18"/>
              </w:rPr>
              <w:t xml:space="preserve">995.6 / 72.7 (7.3%)</w:t>
            </w:r>
          </w:p>
        </w:tc>
        <w:tc>
          <w:tcPr>
            <w:tcW w:type="dxa" w:w="2280"/>
            <w:tcMar>
              <w:top w:type="dxa" w:w="60"/>
              <w:left w:type="dxa" w:w="110"/>
              <w:bottom w:type="dxa" w:w="60"/>
              <w:right w:type="dxa" w:w="110"/>
            </w:tcMar>
            <w:vAlign w:val="center"/>
          </w:tcPr>
          <w:p>
            <w:pPr>
              <w:jc w:val="right"/>
            </w:pPr>
            <w:r>
              <w:rPr>
                <w:sz w:val="18"/>
                <w:szCs w:val="18"/>
              </w:rPr>
              <w:t xml:space="preserve">Nabil/Atyab solid; new KSA plant in ramp, absorbing fixed costs</w:t>
            </w:r>
          </w:p>
        </w:tc>
        <w:tc>
          <w:tcPr>
            <w:tcW w:type="dxa" w:w="2040"/>
            <w:tcMar>
              <w:top w:type="dxa" w:w="60"/>
              <w:left w:type="dxa" w:w="110"/>
              <w:bottom w:type="dxa" w:w="60"/>
              <w:right w:type="dxa" w:w="110"/>
            </w:tcMar>
            <w:vAlign w:val="center"/>
          </w:tcPr>
          <w:p>
            <w:pPr>
              <w:jc w:val="right"/>
            </w:pPr>
            <w:r>
              <w:rPr>
                <w:sz w:val="18"/>
                <w:szCs w:val="18"/>
              </w:rPr>
              <w:t xml:space="preserve">+5–7%; margin to 12.5% as KSA fills</w:t>
            </w:r>
          </w:p>
        </w:tc>
        <w:tc>
          <w:tcPr>
            <w:tcW w:type="dxa" w:w="1640"/>
            <w:tcMar>
              <w:top w:type="dxa" w:w="60"/>
              <w:left w:type="dxa" w:w="110"/>
              <w:bottom w:type="dxa" w:w="60"/>
              <w:right w:type="dxa" w:w="110"/>
            </w:tcMar>
            <w:vAlign w:val="center"/>
          </w:tcPr>
          <w:p>
            <w:pPr>
              <w:jc w:val="right"/>
            </w:pPr>
            <w:r>
              <w:rPr>
                <w:sz w:val="18"/>
                <w:szCs w:val="18"/>
              </w:rPr>
              <w:t xml:space="preserve">KSA plant utilisation; poultry &amp; feed spread</w:t>
            </w:r>
          </w:p>
        </w:tc>
      </w:tr>
    </w:tbl>
    <w:p>
      <w:pPr>
        <w:spacing w:after="60"/>
      </w:pPr>
    </w:p>
    <w:p>
      <w:pPr/>
      <w:r>
        <w:rPr>
          <w:sz w:val="20"/>
          <w:szCs w:val="20"/>
        </w:rPr>
        <w:t xml:space="preserve">The group’s FY25 margin bridge is stark: three segments earned a blended ~14.9% EBITDA margin; Snacking’s 1.2% — against 12.3% in FY24 — cost the group roughly AED 165mn of EBITDA, of which AED 143mn is the provisions block. The reset thesis is therefore narrow and testable: it does not require heroics anywhere, only that Snacking climbs back toward its own recent history while W&amp;F and Agri keep doing what they already do.</w:t>
      </w:r>
    </w:p>
    <w:p>
      <w:pPr>
        <w:pStyle w:val="Heading2"/>
      </w:pPr>
      <w:r>
        <w:rPr>
          <w:sz w:val="20"/>
          <w:szCs w:val="20"/>
        </w:rPr>
        <w:t xml:space="preserve">1.7  The crux — the Snacking reset, in real units</w:t>
      </w:r>
    </w:p>
    <w:p>
      <w:pPr/>
      <w:r>
        <w:rPr>
          <w:sz w:val="20"/>
          <w:szCs w:val="20"/>
        </w:rPr>
        <w:t xml:space="preserve">Per house device A-1 the swing factor is sensitized on observable market quotes, never an abstract margin%. Two real-unit drivers dominate: </w:t>
      </w:r>
      <w:r>
        <w:rPr>
          <w:b/>
          <w:bCs/>
          <w:sz w:val="20"/>
          <w:szCs w:val="20"/>
        </w:rPr>
        <w:t xml:space="preserve">green coffee</w:t>
      </w:r>
      <w:r>
        <w:rPr>
          <w:sz w:val="20"/>
          <w:szCs w:val="20"/>
        </w:rPr>
        <w:t xml:space="preserve"> (Abu Auf’s core input; ICE arabica traded ~$4.4/lb at the Feb-2025 peak, ~$3.40 mid-2026) and the </w:t>
      </w:r>
      <w:r>
        <w:rPr>
          <w:b/>
          <w:bCs/>
          <w:sz w:val="20"/>
          <w:szCs w:val="20"/>
        </w:rPr>
        <w:t xml:space="preserve">EGP/USD rate</w:t>
      </w:r>
      <w:r>
        <w:rPr>
          <w:sz w:val="20"/>
          <w:szCs w:val="20"/>
        </w:rPr>
        <w:t xml:space="preserve"> (~52; roughly a quarter of group revenue is Egypt-linked). The grid below moves only these two quotes through the DCF; the base cell is the §1.1 value.</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060"/>
        <w:gridCol w:w="2100"/>
        <w:gridCol w:w="2100"/>
        <w:gridCol w:w="2100"/>
      </w:tblGrid>
      <w:tr>
        <w:tc>
          <w:tcPr>
            <w:tcW w:type="dxa" w:w="3060"/>
            <w:shd w:fill="1C3A36" w:val="clear"/>
            <w:tcMar>
              <w:top w:type="dxa" w:w="60"/>
              <w:left w:type="dxa" w:w="110"/>
              <w:bottom w:type="dxa" w:w="60"/>
              <w:right w:type="dxa" w:w="110"/>
            </w:tcMar>
            <w:vAlign w:val="center"/>
          </w:tcPr>
          <w:p>
            <w:pPr>
              <w:jc w:val="left"/>
            </w:pPr>
            <w:r>
              <w:rPr>
                <w:b/>
                <w:bCs/>
                <w:color w:val="FFFFFF"/>
                <w:sz w:val="18"/>
                <w:szCs w:val="18"/>
              </w:rPr>
              <w:t xml:space="preserve">Coffee $/lb \ EGP/USD</w:t>
            </w:r>
          </w:p>
        </w:tc>
        <w:tc>
          <w:tcPr>
            <w:tcW w:type="dxa" w:w="2100"/>
            <w:shd w:fill="1C3A36" w:val="clear"/>
            <w:tcMar>
              <w:top w:type="dxa" w:w="60"/>
              <w:left w:type="dxa" w:w="110"/>
              <w:bottom w:type="dxa" w:w="60"/>
              <w:right w:type="dxa" w:w="110"/>
            </w:tcMar>
            <w:vAlign w:val="center"/>
          </w:tcPr>
          <w:p>
            <w:pPr>
              <w:jc w:val="center"/>
            </w:pPr>
            <w:r>
              <w:rPr>
                <w:b/>
                <w:bCs/>
                <w:color w:val="FFFFFF"/>
                <w:sz w:val="18"/>
                <w:szCs w:val="18"/>
              </w:rPr>
              <w:t xml:space="preserve">48</w:t>
            </w:r>
          </w:p>
        </w:tc>
        <w:tc>
          <w:tcPr>
            <w:tcW w:type="dxa" w:w="2100"/>
            <w:shd w:fill="1C3A36" w:val="clear"/>
            <w:tcMar>
              <w:top w:type="dxa" w:w="60"/>
              <w:left w:type="dxa" w:w="110"/>
              <w:bottom w:type="dxa" w:w="60"/>
              <w:right w:type="dxa" w:w="110"/>
            </w:tcMar>
            <w:vAlign w:val="center"/>
          </w:tcPr>
          <w:p>
            <w:pPr>
              <w:jc w:val="center"/>
            </w:pPr>
            <w:r>
              <w:rPr>
                <w:b/>
                <w:bCs/>
                <w:color w:val="FFFFFF"/>
                <w:sz w:val="18"/>
                <w:szCs w:val="18"/>
              </w:rPr>
              <w:t xml:space="preserve">52</w:t>
            </w:r>
          </w:p>
        </w:tc>
        <w:tc>
          <w:tcPr>
            <w:tcW w:type="dxa" w:w="2100"/>
            <w:shd w:fill="1C3A36" w:val="clear"/>
            <w:tcMar>
              <w:top w:type="dxa" w:w="60"/>
              <w:left w:type="dxa" w:w="110"/>
              <w:bottom w:type="dxa" w:w="60"/>
              <w:right w:type="dxa" w:w="110"/>
            </w:tcMar>
            <w:vAlign w:val="center"/>
          </w:tcPr>
          <w:p>
            <w:pPr>
              <w:jc w:val="center"/>
            </w:pPr>
            <w:r>
              <w:rPr>
                <w:b/>
                <w:bCs/>
                <w:color w:val="FFFFFF"/>
                <w:sz w:val="18"/>
                <w:szCs w:val="18"/>
              </w:rPr>
              <w:t xml:space="preserve">58</w:t>
            </w:r>
          </w:p>
        </w:tc>
      </w:tr>
      <w:tr>
        <w:tc>
          <w:tcPr>
            <w:tcW w:type="dxa" w:w="3060"/>
            <w:tcMar>
              <w:top w:type="dxa" w:w="60"/>
              <w:left w:type="dxa" w:w="110"/>
              <w:bottom w:type="dxa" w:w="60"/>
              <w:right w:type="dxa" w:w="110"/>
            </w:tcMar>
            <w:vAlign w:val="center"/>
          </w:tcPr>
          <w:p>
            <w:pPr>
              <w:jc w:val="left"/>
            </w:pPr>
            <w:r>
              <w:rPr>
                <w:sz w:val="18"/>
                <w:szCs w:val="18"/>
              </w:rPr>
              <w:t xml:space="preserve">2.80</w:t>
            </w:r>
          </w:p>
        </w:tc>
        <w:tc>
          <w:tcPr>
            <w:tcW w:type="dxa" w:w="2100"/>
            <w:tcMar>
              <w:top w:type="dxa" w:w="60"/>
              <w:left w:type="dxa" w:w="110"/>
              <w:bottom w:type="dxa" w:w="60"/>
              <w:right w:type="dxa" w:w="110"/>
            </w:tcMar>
            <w:vAlign w:val="center"/>
          </w:tcPr>
          <w:p>
            <w:pPr>
              <w:jc w:val="right"/>
            </w:pPr>
            <w:r>
              <w:rPr>
                <w:sz w:val="18"/>
                <w:szCs w:val="18"/>
              </w:rPr>
              <w:t xml:space="preserve">4.92</w:t>
            </w:r>
          </w:p>
        </w:tc>
        <w:tc>
          <w:tcPr>
            <w:tcW w:type="dxa" w:w="2100"/>
            <w:tcMar>
              <w:top w:type="dxa" w:w="60"/>
              <w:left w:type="dxa" w:w="110"/>
              <w:bottom w:type="dxa" w:w="60"/>
              <w:right w:type="dxa" w:w="110"/>
            </w:tcMar>
            <w:vAlign w:val="center"/>
          </w:tcPr>
          <w:p>
            <w:pPr>
              <w:jc w:val="right"/>
            </w:pPr>
            <w:r>
              <w:rPr>
                <w:sz w:val="18"/>
                <w:szCs w:val="18"/>
              </w:rPr>
              <w:t xml:space="preserve">4.87</w:t>
            </w:r>
          </w:p>
        </w:tc>
        <w:tc>
          <w:tcPr>
            <w:tcW w:type="dxa" w:w="2100"/>
            <w:tcMar>
              <w:top w:type="dxa" w:w="60"/>
              <w:left w:type="dxa" w:w="110"/>
              <w:bottom w:type="dxa" w:w="60"/>
              <w:right w:type="dxa" w:w="110"/>
            </w:tcMar>
            <w:vAlign w:val="center"/>
          </w:tcPr>
          <w:p>
            <w:pPr>
              <w:jc w:val="right"/>
            </w:pPr>
            <w:r>
              <w:rPr>
                <w:sz w:val="18"/>
                <w:szCs w:val="18"/>
              </w:rPr>
              <w:t xml:space="preserve">4.80</w:t>
            </w:r>
          </w:p>
        </w:tc>
      </w:tr>
      <w:tr>
        <w:tc>
          <w:tcPr>
            <w:tcW w:type="dxa" w:w="3060"/>
            <w:tcMar>
              <w:top w:type="dxa" w:w="60"/>
              <w:left w:type="dxa" w:w="110"/>
              <w:bottom w:type="dxa" w:w="60"/>
              <w:right w:type="dxa" w:w="110"/>
            </w:tcMar>
            <w:vAlign w:val="center"/>
          </w:tcPr>
          <w:p>
            <w:pPr>
              <w:jc w:val="left"/>
            </w:pPr>
            <w:r>
              <w:rPr>
                <w:sz w:val="18"/>
                <w:szCs w:val="18"/>
              </w:rPr>
              <w:t xml:space="preserve">3.40</w:t>
            </w:r>
          </w:p>
        </w:tc>
        <w:tc>
          <w:tcPr>
            <w:tcW w:type="dxa" w:w="2100"/>
            <w:tcMar>
              <w:top w:type="dxa" w:w="60"/>
              <w:left w:type="dxa" w:w="110"/>
              <w:bottom w:type="dxa" w:w="60"/>
              <w:right w:type="dxa" w:w="110"/>
            </w:tcMar>
            <w:vAlign w:val="center"/>
          </w:tcPr>
          <w:p>
            <w:pPr>
              <w:jc w:val="right"/>
            </w:pPr>
            <w:r>
              <w:rPr>
                <w:sz w:val="18"/>
                <w:szCs w:val="18"/>
              </w:rPr>
              <w:t xml:space="preserve">4.65</w:t>
            </w:r>
          </w:p>
        </w:tc>
        <w:tc>
          <w:tcPr>
            <w:tcW w:type="dxa" w:w="2100"/>
            <w:tcMar>
              <w:top w:type="dxa" w:w="60"/>
              <w:left w:type="dxa" w:w="110"/>
              <w:bottom w:type="dxa" w:w="60"/>
              <w:right w:type="dxa" w:w="110"/>
            </w:tcMar>
            <w:vAlign w:val="center"/>
          </w:tcPr>
          <w:p>
            <w:pPr>
              <w:jc w:val="right"/>
            </w:pPr>
            <w:r>
              <w:rPr>
                <w:sz w:val="18"/>
                <w:szCs w:val="18"/>
              </w:rPr>
              <w:t xml:space="preserve">4.60</w:t>
            </w:r>
          </w:p>
        </w:tc>
        <w:tc>
          <w:tcPr>
            <w:tcW w:type="dxa" w:w="2100"/>
            <w:tcMar>
              <w:top w:type="dxa" w:w="60"/>
              <w:left w:type="dxa" w:w="110"/>
              <w:bottom w:type="dxa" w:w="60"/>
              <w:right w:type="dxa" w:w="110"/>
            </w:tcMar>
            <w:vAlign w:val="center"/>
          </w:tcPr>
          <w:p>
            <w:pPr>
              <w:jc w:val="right"/>
            </w:pPr>
            <w:r>
              <w:rPr>
                <w:sz w:val="18"/>
                <w:szCs w:val="18"/>
              </w:rPr>
              <w:t xml:space="preserve">4.53</w:t>
            </w:r>
          </w:p>
        </w:tc>
      </w:tr>
      <w:tr>
        <w:tc>
          <w:tcPr>
            <w:tcW w:type="dxa" w:w="3060"/>
            <w:tcMar>
              <w:top w:type="dxa" w:w="60"/>
              <w:left w:type="dxa" w:w="110"/>
              <w:bottom w:type="dxa" w:w="60"/>
              <w:right w:type="dxa" w:w="110"/>
            </w:tcMar>
            <w:vAlign w:val="center"/>
          </w:tcPr>
          <w:p>
            <w:pPr>
              <w:jc w:val="left"/>
            </w:pPr>
            <w:r>
              <w:rPr>
                <w:sz w:val="18"/>
                <w:szCs w:val="18"/>
              </w:rPr>
              <w:t xml:space="preserve">4.00</w:t>
            </w:r>
          </w:p>
        </w:tc>
        <w:tc>
          <w:tcPr>
            <w:tcW w:type="dxa" w:w="2100"/>
            <w:tcMar>
              <w:top w:type="dxa" w:w="60"/>
              <w:left w:type="dxa" w:w="110"/>
              <w:bottom w:type="dxa" w:w="60"/>
              <w:right w:type="dxa" w:w="110"/>
            </w:tcMar>
            <w:vAlign w:val="center"/>
          </w:tcPr>
          <w:p>
            <w:pPr>
              <w:jc w:val="right"/>
            </w:pPr>
            <w:r>
              <w:rPr>
                <w:sz w:val="18"/>
                <w:szCs w:val="18"/>
              </w:rPr>
              <w:t xml:space="preserve">4.37</w:t>
            </w:r>
          </w:p>
        </w:tc>
        <w:tc>
          <w:tcPr>
            <w:tcW w:type="dxa" w:w="2100"/>
            <w:tcMar>
              <w:top w:type="dxa" w:w="60"/>
              <w:left w:type="dxa" w:w="110"/>
              <w:bottom w:type="dxa" w:w="60"/>
              <w:right w:type="dxa" w:w="110"/>
            </w:tcMar>
            <w:vAlign w:val="center"/>
          </w:tcPr>
          <w:p>
            <w:pPr>
              <w:jc w:val="right"/>
            </w:pPr>
            <w:r>
              <w:rPr>
                <w:sz w:val="18"/>
                <w:szCs w:val="18"/>
              </w:rPr>
              <w:t xml:space="preserve">4.33</w:t>
            </w:r>
          </w:p>
        </w:tc>
        <w:tc>
          <w:tcPr>
            <w:tcW w:type="dxa" w:w="2100"/>
            <w:tcMar>
              <w:top w:type="dxa" w:w="60"/>
              <w:left w:type="dxa" w:w="110"/>
              <w:bottom w:type="dxa" w:w="60"/>
              <w:right w:type="dxa" w:w="110"/>
            </w:tcMar>
            <w:vAlign w:val="center"/>
          </w:tcPr>
          <w:p>
            <w:pPr>
              <w:jc w:val="right"/>
            </w:pPr>
            <w:r>
              <w:rPr>
                <w:sz w:val="18"/>
                <w:szCs w:val="18"/>
              </w:rPr>
              <w:t xml:space="preserve">4.26</w:t>
            </w:r>
          </w:p>
        </w:tc>
      </w:tr>
    </w:tbl>
    <w:p>
      <w:pPr>
        <w:spacing w:after="60"/>
      </w:pPr>
    </w:p>
    <w:p>
      <w:pPr/>
      <w:r>
        <w:rPr>
          <w:sz w:val="20"/>
          <w:szCs w:val="20"/>
        </w:rPr>
        <w:t xml:space="preserve">The value stays in a 4.26–4.92 band across the grid — the translation math alone cannot break the thesis. What could: a </w:t>
      </w:r>
      <w:r>
        <w:rPr>
          <w:b/>
          <w:bCs/>
          <w:sz w:val="20"/>
          <w:szCs w:val="20"/>
        </w:rPr>
        <w:t xml:space="preserve">third consecutive year of provisions</w:t>
      </w:r>
      <w:r>
        <w:rPr>
          <w:sz w:val="20"/>
          <w:szCs w:val="20"/>
        </w:rPr>
        <w:t xml:space="preserve"> (the grid assumes zero recurrence), or an EGP step beyond ~65 combined with failure to pass pricing through. Those live in the bear case and in Expert 3’s war-tail scenario, not in this table.</w:t>
      </w:r>
    </w:p>
    <w:p>
      <w:pPr/>
      <w:r>
        <w:rPr>
          <w:b/>
          <w:bCs/>
          <w:sz w:val="20"/>
          <w:szCs w:val="20"/>
        </w:rPr>
        <w:t xml:space="preserve">Dividend schedule and stress (device A-2).</w:t>
      </w:r>
      <w:r>
        <w:rPr>
          <w:sz w:val="20"/>
          <w:szCs w:val="20"/>
        </w:rPr>
        <w:t xml:space="preserve"> The payout is the thesis’s coupon while the reset plays out, so it gets its own sustainability test:</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260"/>
        <w:gridCol w:w="1220"/>
        <w:gridCol w:w="1220"/>
        <w:gridCol w:w="1220"/>
        <w:gridCol w:w="1220"/>
        <w:gridCol w:w="1220"/>
      </w:tblGrid>
      <w:tr>
        <w:tc>
          <w:tcPr>
            <w:tcW w:type="dxa" w:w="3260"/>
            <w:shd w:fill="1C3A36" w:val="clear"/>
            <w:tcMar>
              <w:top w:type="dxa" w:w="60"/>
              <w:left w:type="dxa" w:w="110"/>
              <w:bottom w:type="dxa" w:w="60"/>
              <w:right w:type="dxa" w:w="110"/>
            </w:tcMar>
            <w:vAlign w:val="center"/>
          </w:tcPr>
          <w:p>
            <w:pPr>
              <w:jc w:val="left"/>
            </w:pPr>
            <w:r>
              <w:rPr>
                <w:b/>
                <w:bCs/>
                <w:color w:val="FFFFFF"/>
                <w:sz w:val="18"/>
                <w:szCs w:val="18"/>
              </w:rPr>
              <w:t xml:space="preserve">(AED mn unless stated)</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FY26E</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FY27E</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FY28E</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FY29E</w:t>
            </w:r>
          </w:p>
        </w:tc>
        <w:tc>
          <w:tcPr>
            <w:tcW w:type="dxa" w:w="1220"/>
            <w:shd w:fill="1C3A36" w:val="clear"/>
            <w:tcMar>
              <w:top w:type="dxa" w:w="60"/>
              <w:left w:type="dxa" w:w="110"/>
              <w:bottom w:type="dxa" w:w="60"/>
              <w:right w:type="dxa" w:w="110"/>
            </w:tcMar>
            <w:vAlign w:val="center"/>
          </w:tcPr>
          <w:p>
            <w:pPr>
              <w:jc w:val="center"/>
            </w:pPr>
            <w:r>
              <w:rPr>
                <w:b/>
                <w:bCs/>
                <w:color w:val="FFFFFF"/>
                <w:sz w:val="18"/>
                <w:szCs w:val="18"/>
              </w:rPr>
              <w:t xml:space="preserve">FY30E</w:t>
            </w:r>
          </w:p>
        </w:tc>
      </w:tr>
      <w:tr>
        <w:tc>
          <w:tcPr>
            <w:tcW w:type="dxa" w:w="3260"/>
            <w:tcMar>
              <w:top w:type="dxa" w:w="60"/>
              <w:left w:type="dxa" w:w="110"/>
              <w:bottom w:type="dxa" w:w="60"/>
              <w:right w:type="dxa" w:w="110"/>
            </w:tcMar>
            <w:vAlign w:val="center"/>
          </w:tcPr>
          <w:p>
            <w:pPr>
              <w:jc w:val="left"/>
            </w:pPr>
            <w:r>
              <w:rPr>
                <w:sz w:val="18"/>
                <w:szCs w:val="18"/>
              </w:rPr>
              <w:t xml:space="preserve">DPS (fils)</w:t>
            </w:r>
          </w:p>
        </w:tc>
        <w:tc>
          <w:tcPr>
            <w:tcW w:type="dxa" w:w="1220"/>
            <w:tcMar>
              <w:top w:type="dxa" w:w="60"/>
              <w:left w:type="dxa" w:w="110"/>
              <w:bottom w:type="dxa" w:w="60"/>
              <w:right w:type="dxa" w:w="110"/>
            </w:tcMar>
            <w:vAlign w:val="center"/>
          </w:tcPr>
          <w:p>
            <w:pPr>
              <w:jc w:val="right"/>
            </w:pPr>
            <w:r>
              <w:rPr>
                <w:sz w:val="18"/>
                <w:szCs w:val="18"/>
              </w:rPr>
              <w:t xml:space="preserve">24.3</w:t>
            </w:r>
          </w:p>
        </w:tc>
        <w:tc>
          <w:tcPr>
            <w:tcW w:type="dxa" w:w="1220"/>
            <w:tcMar>
              <w:top w:type="dxa" w:w="60"/>
              <w:left w:type="dxa" w:w="110"/>
              <w:bottom w:type="dxa" w:w="60"/>
              <w:right w:type="dxa" w:w="110"/>
            </w:tcMar>
            <w:vAlign w:val="center"/>
          </w:tcPr>
          <w:p>
            <w:pPr>
              <w:jc w:val="right"/>
            </w:pPr>
            <w:r>
              <w:rPr>
                <w:sz w:val="18"/>
                <w:szCs w:val="18"/>
              </w:rPr>
              <w:t xml:space="preserve">26.7</w:t>
            </w:r>
          </w:p>
        </w:tc>
        <w:tc>
          <w:tcPr>
            <w:tcW w:type="dxa" w:w="1220"/>
            <w:tcMar>
              <w:top w:type="dxa" w:w="60"/>
              <w:left w:type="dxa" w:w="110"/>
              <w:bottom w:type="dxa" w:w="60"/>
              <w:right w:type="dxa" w:w="110"/>
            </w:tcMar>
            <w:vAlign w:val="center"/>
          </w:tcPr>
          <w:p>
            <w:pPr>
              <w:jc w:val="right"/>
            </w:pPr>
            <w:r>
              <w:rPr>
                <w:sz w:val="18"/>
                <w:szCs w:val="18"/>
              </w:rPr>
              <w:t xml:space="preserve">29.4</w:t>
            </w:r>
          </w:p>
        </w:tc>
        <w:tc>
          <w:tcPr>
            <w:tcW w:type="dxa" w:w="1220"/>
            <w:tcMar>
              <w:top w:type="dxa" w:w="60"/>
              <w:left w:type="dxa" w:w="110"/>
              <w:bottom w:type="dxa" w:w="60"/>
              <w:right w:type="dxa" w:w="110"/>
            </w:tcMar>
            <w:vAlign w:val="center"/>
          </w:tcPr>
          <w:p>
            <w:pPr>
              <w:jc w:val="right"/>
            </w:pPr>
            <w:r>
              <w:rPr>
                <w:sz w:val="18"/>
                <w:szCs w:val="18"/>
              </w:rPr>
              <w:t xml:space="preserve">32.3</w:t>
            </w:r>
          </w:p>
        </w:tc>
        <w:tc>
          <w:tcPr>
            <w:tcW w:type="dxa" w:w="1220"/>
            <w:tcMar>
              <w:top w:type="dxa" w:w="60"/>
              <w:left w:type="dxa" w:w="110"/>
              <w:bottom w:type="dxa" w:w="60"/>
              <w:right w:type="dxa" w:w="110"/>
            </w:tcMar>
            <w:vAlign w:val="center"/>
          </w:tcPr>
          <w:p>
            <w:pPr>
              <w:jc w:val="right"/>
            </w:pPr>
            <w:r>
              <w:rPr>
                <w:sz w:val="18"/>
                <w:szCs w:val="18"/>
              </w:rPr>
              <w:t xml:space="preserve">35.6</w:t>
            </w:r>
          </w:p>
        </w:tc>
      </w:tr>
      <w:tr>
        <w:tc>
          <w:tcPr>
            <w:tcW w:type="dxa" w:w="3260"/>
            <w:tcMar>
              <w:top w:type="dxa" w:w="60"/>
              <w:left w:type="dxa" w:w="110"/>
              <w:bottom w:type="dxa" w:w="60"/>
              <w:right w:type="dxa" w:w="110"/>
            </w:tcMar>
            <w:vAlign w:val="center"/>
          </w:tcPr>
          <w:p>
            <w:pPr>
              <w:jc w:val="left"/>
            </w:pPr>
            <w:r>
              <w:rPr>
                <w:sz w:val="18"/>
                <w:szCs w:val="18"/>
              </w:rPr>
              <w:t xml:space="preserve">Common dividend</w:t>
            </w:r>
          </w:p>
        </w:tc>
        <w:tc>
          <w:tcPr>
            <w:tcW w:type="dxa" w:w="1220"/>
            <w:tcMar>
              <w:top w:type="dxa" w:w="60"/>
              <w:left w:type="dxa" w:w="110"/>
              <w:bottom w:type="dxa" w:w="60"/>
              <w:right w:type="dxa" w:w="110"/>
            </w:tcMar>
            <w:vAlign w:val="center"/>
          </w:tcPr>
          <w:p>
            <w:pPr>
              <w:jc w:val="right"/>
            </w:pPr>
            <w:r>
              <w:rPr>
                <w:sz w:val="18"/>
                <w:szCs w:val="18"/>
              </w:rPr>
              <w:t xml:space="preserve">202</w:t>
            </w:r>
          </w:p>
        </w:tc>
        <w:tc>
          <w:tcPr>
            <w:tcW w:type="dxa" w:w="1220"/>
            <w:tcMar>
              <w:top w:type="dxa" w:w="60"/>
              <w:left w:type="dxa" w:w="110"/>
              <w:bottom w:type="dxa" w:w="60"/>
              <w:right w:type="dxa" w:w="110"/>
            </w:tcMar>
            <w:vAlign w:val="center"/>
          </w:tcPr>
          <w:p>
            <w:pPr>
              <w:jc w:val="right"/>
            </w:pPr>
            <w:r>
              <w:rPr>
                <w:sz w:val="18"/>
                <w:szCs w:val="18"/>
              </w:rPr>
              <w:t xml:space="preserve">222</w:t>
            </w:r>
          </w:p>
        </w:tc>
        <w:tc>
          <w:tcPr>
            <w:tcW w:type="dxa" w:w="1220"/>
            <w:tcMar>
              <w:top w:type="dxa" w:w="60"/>
              <w:left w:type="dxa" w:w="110"/>
              <w:bottom w:type="dxa" w:w="60"/>
              <w:right w:type="dxa" w:w="110"/>
            </w:tcMar>
            <w:vAlign w:val="center"/>
          </w:tcPr>
          <w:p>
            <w:pPr>
              <w:jc w:val="right"/>
            </w:pPr>
            <w:r>
              <w:rPr>
                <w:sz w:val="18"/>
                <w:szCs w:val="18"/>
              </w:rPr>
              <w:t xml:space="preserve">244</w:t>
            </w:r>
          </w:p>
        </w:tc>
        <w:tc>
          <w:tcPr>
            <w:tcW w:type="dxa" w:w="1220"/>
            <w:tcMar>
              <w:top w:type="dxa" w:w="60"/>
              <w:left w:type="dxa" w:w="110"/>
              <w:bottom w:type="dxa" w:w="60"/>
              <w:right w:type="dxa" w:w="110"/>
            </w:tcMar>
            <w:vAlign w:val="center"/>
          </w:tcPr>
          <w:p>
            <w:pPr>
              <w:jc w:val="right"/>
            </w:pPr>
            <w:r>
              <w:rPr>
                <w:sz w:val="18"/>
                <w:szCs w:val="18"/>
              </w:rPr>
              <w:t xml:space="preserve">268</w:t>
            </w:r>
          </w:p>
        </w:tc>
        <w:tc>
          <w:tcPr>
            <w:tcW w:type="dxa" w:w="1220"/>
            <w:tcMar>
              <w:top w:type="dxa" w:w="60"/>
              <w:left w:type="dxa" w:w="110"/>
              <w:bottom w:type="dxa" w:w="60"/>
              <w:right w:type="dxa" w:w="110"/>
            </w:tcMar>
            <w:vAlign w:val="center"/>
          </w:tcPr>
          <w:p>
            <w:pPr>
              <w:jc w:val="right"/>
            </w:pPr>
            <w:r>
              <w:rPr>
                <w:sz w:val="18"/>
                <w:szCs w:val="18"/>
              </w:rPr>
              <w:t xml:space="preserve">296</w:t>
            </w:r>
          </w:p>
        </w:tc>
      </w:tr>
      <w:tr>
        <w:tc>
          <w:tcPr>
            <w:tcW w:type="dxa" w:w="3260"/>
            <w:tcMar>
              <w:top w:type="dxa" w:w="60"/>
              <w:left w:type="dxa" w:w="110"/>
              <w:bottom w:type="dxa" w:w="60"/>
              <w:right w:type="dxa" w:w="110"/>
            </w:tcMar>
            <w:vAlign w:val="center"/>
          </w:tcPr>
          <w:p>
            <w:pPr>
              <w:jc w:val="left"/>
            </w:pPr>
            <w:r>
              <w:rPr>
                <w:sz w:val="18"/>
                <w:szCs w:val="18"/>
              </w:rPr>
              <w:t xml:space="preserve">Free cash flow (model)</w:t>
            </w:r>
          </w:p>
        </w:tc>
        <w:tc>
          <w:tcPr>
            <w:tcW w:type="dxa" w:w="1220"/>
            <w:tcMar>
              <w:top w:type="dxa" w:w="60"/>
              <w:left w:type="dxa" w:w="110"/>
              <w:bottom w:type="dxa" w:w="60"/>
              <w:right w:type="dxa" w:w="110"/>
            </w:tcMar>
            <w:vAlign w:val="center"/>
          </w:tcPr>
          <w:p>
            <w:pPr>
              <w:jc w:val="right"/>
            </w:pPr>
            <w:r>
              <w:rPr>
                <w:sz w:val="18"/>
                <w:szCs w:val="18"/>
              </w:rPr>
              <w:t xml:space="preserve">297</w:t>
            </w:r>
          </w:p>
        </w:tc>
        <w:tc>
          <w:tcPr>
            <w:tcW w:type="dxa" w:w="1220"/>
            <w:tcMar>
              <w:top w:type="dxa" w:w="60"/>
              <w:left w:type="dxa" w:w="110"/>
              <w:bottom w:type="dxa" w:w="60"/>
              <w:right w:type="dxa" w:w="110"/>
            </w:tcMar>
            <w:vAlign w:val="center"/>
          </w:tcPr>
          <w:p>
            <w:pPr>
              <w:jc w:val="right"/>
            </w:pPr>
            <w:r>
              <w:rPr>
                <w:sz w:val="18"/>
                <w:szCs w:val="18"/>
              </w:rPr>
              <w:t xml:space="preserve">344</w:t>
            </w:r>
          </w:p>
        </w:tc>
        <w:tc>
          <w:tcPr>
            <w:tcW w:type="dxa" w:w="1220"/>
            <w:tcMar>
              <w:top w:type="dxa" w:w="60"/>
              <w:left w:type="dxa" w:w="110"/>
              <w:bottom w:type="dxa" w:w="60"/>
              <w:right w:type="dxa" w:w="110"/>
            </w:tcMar>
            <w:vAlign w:val="center"/>
          </w:tcPr>
          <w:p>
            <w:pPr>
              <w:jc w:val="right"/>
            </w:pPr>
            <w:r>
              <w:rPr>
                <w:sz w:val="18"/>
                <w:szCs w:val="18"/>
              </w:rPr>
              <w:t xml:space="preserve">397</w:t>
            </w:r>
          </w:p>
        </w:tc>
        <w:tc>
          <w:tcPr>
            <w:tcW w:type="dxa" w:w="1220"/>
            <w:tcMar>
              <w:top w:type="dxa" w:w="60"/>
              <w:left w:type="dxa" w:w="110"/>
              <w:bottom w:type="dxa" w:w="60"/>
              <w:right w:type="dxa" w:w="110"/>
            </w:tcMar>
            <w:vAlign w:val="center"/>
          </w:tcPr>
          <w:p>
            <w:pPr>
              <w:jc w:val="right"/>
            </w:pPr>
            <w:r>
              <w:rPr>
                <w:sz w:val="18"/>
                <w:szCs w:val="18"/>
              </w:rPr>
              <w:t xml:space="preserve">433</w:t>
            </w:r>
          </w:p>
        </w:tc>
        <w:tc>
          <w:tcPr>
            <w:tcW w:type="dxa" w:w="1220"/>
            <w:tcMar>
              <w:top w:type="dxa" w:w="60"/>
              <w:left w:type="dxa" w:w="110"/>
              <w:bottom w:type="dxa" w:w="60"/>
              <w:right w:type="dxa" w:w="110"/>
            </w:tcMar>
            <w:vAlign w:val="center"/>
          </w:tcPr>
          <w:p>
            <w:pPr>
              <w:jc w:val="right"/>
            </w:pPr>
            <w:r>
              <w:rPr>
                <w:sz w:val="18"/>
                <w:szCs w:val="18"/>
              </w:rPr>
              <w:t xml:space="preserve">464</w:t>
            </w:r>
          </w:p>
        </w:tc>
      </w:tr>
      <w:tr>
        <w:tc>
          <w:tcPr>
            <w:tcW w:type="dxa" w:w="3260"/>
            <w:tcMar>
              <w:top w:type="dxa" w:w="60"/>
              <w:left w:type="dxa" w:w="110"/>
              <w:bottom w:type="dxa" w:w="60"/>
              <w:right w:type="dxa" w:w="110"/>
            </w:tcMar>
            <w:vAlign w:val="center"/>
          </w:tcPr>
          <w:p>
            <w:pPr>
              <w:jc w:val="left"/>
            </w:pPr>
            <w:r>
              <w:rPr>
                <w:sz w:val="18"/>
                <w:szCs w:val="18"/>
              </w:rPr>
              <w:t xml:space="preserve">FCF cover</w:t>
            </w:r>
          </w:p>
        </w:tc>
        <w:tc>
          <w:tcPr>
            <w:tcW w:type="dxa" w:w="1220"/>
            <w:tcMar>
              <w:top w:type="dxa" w:w="60"/>
              <w:left w:type="dxa" w:w="110"/>
              <w:bottom w:type="dxa" w:w="60"/>
              <w:right w:type="dxa" w:w="110"/>
            </w:tcMar>
            <w:vAlign w:val="center"/>
          </w:tcPr>
          <w:p>
            <w:pPr>
              <w:jc w:val="right"/>
            </w:pPr>
            <w:r>
              <w:rPr>
                <w:sz w:val="18"/>
                <w:szCs w:val="18"/>
              </w:rPr>
              <w:t xml:space="preserve">1.5×</w:t>
            </w:r>
          </w:p>
        </w:tc>
        <w:tc>
          <w:tcPr>
            <w:tcW w:type="dxa" w:w="1220"/>
            <w:tcMar>
              <w:top w:type="dxa" w:w="60"/>
              <w:left w:type="dxa" w:w="110"/>
              <w:bottom w:type="dxa" w:w="60"/>
              <w:right w:type="dxa" w:w="110"/>
            </w:tcMar>
            <w:vAlign w:val="center"/>
          </w:tcPr>
          <w:p>
            <w:pPr>
              <w:jc w:val="right"/>
            </w:pPr>
            <w:r>
              <w:rPr>
                <w:sz w:val="18"/>
                <w:szCs w:val="18"/>
              </w:rPr>
              <w:t xml:space="preserve">1.5×</w:t>
            </w:r>
          </w:p>
        </w:tc>
        <w:tc>
          <w:tcPr>
            <w:tcW w:type="dxa" w:w="1220"/>
            <w:tcMar>
              <w:top w:type="dxa" w:w="60"/>
              <w:left w:type="dxa" w:w="110"/>
              <w:bottom w:type="dxa" w:w="60"/>
              <w:right w:type="dxa" w:w="110"/>
            </w:tcMar>
            <w:vAlign w:val="center"/>
          </w:tcPr>
          <w:p>
            <w:pPr>
              <w:jc w:val="right"/>
            </w:pPr>
            <w:r>
              <w:rPr>
                <w:sz w:val="18"/>
                <w:szCs w:val="18"/>
              </w:rPr>
              <w:t xml:space="preserve">1.6×</w:t>
            </w:r>
          </w:p>
        </w:tc>
        <w:tc>
          <w:tcPr>
            <w:tcW w:type="dxa" w:w="1220"/>
            <w:tcMar>
              <w:top w:type="dxa" w:w="60"/>
              <w:left w:type="dxa" w:w="110"/>
              <w:bottom w:type="dxa" w:w="60"/>
              <w:right w:type="dxa" w:w="110"/>
            </w:tcMar>
            <w:vAlign w:val="center"/>
          </w:tcPr>
          <w:p>
            <w:pPr>
              <w:jc w:val="right"/>
            </w:pPr>
            <w:r>
              <w:rPr>
                <w:sz w:val="18"/>
                <w:szCs w:val="18"/>
              </w:rPr>
              <w:t xml:space="preserve">1.6×</w:t>
            </w:r>
          </w:p>
        </w:tc>
        <w:tc>
          <w:tcPr>
            <w:tcW w:type="dxa" w:w="1220"/>
            <w:tcMar>
              <w:top w:type="dxa" w:w="60"/>
              <w:left w:type="dxa" w:w="110"/>
              <w:bottom w:type="dxa" w:w="60"/>
              <w:right w:type="dxa" w:w="110"/>
            </w:tcMar>
            <w:vAlign w:val="center"/>
          </w:tcPr>
          <w:p>
            <w:pPr>
              <w:jc w:val="right"/>
            </w:pPr>
            <w:r>
              <w:rPr>
                <w:sz w:val="18"/>
                <w:szCs w:val="18"/>
              </w:rPr>
              <w:t xml:space="preserve">1.6×</w:t>
            </w:r>
          </w:p>
        </w:tc>
      </w:tr>
      <w:tr>
        <w:tc>
          <w:tcPr>
            <w:tcW w:type="dxa" w:w="3260"/>
            <w:tcMar>
              <w:top w:type="dxa" w:w="60"/>
              <w:left w:type="dxa" w:w="110"/>
              <w:bottom w:type="dxa" w:w="60"/>
              <w:right w:type="dxa" w:w="110"/>
            </w:tcMar>
            <w:vAlign w:val="center"/>
          </w:tcPr>
          <w:p>
            <w:pPr>
              <w:jc w:val="left"/>
            </w:pPr>
            <w:r>
              <w:rPr>
                <w:sz w:val="18"/>
                <w:szCs w:val="18"/>
              </w:rPr>
              <w:t xml:space="preserve">Bear-case FCF (margins −100bp, capex 4.2%)</w:t>
            </w:r>
          </w:p>
        </w:tc>
        <w:tc>
          <w:tcPr>
            <w:tcW w:type="dxa" w:w="1220"/>
            <w:tcMar>
              <w:top w:type="dxa" w:w="60"/>
              <w:left w:type="dxa" w:w="110"/>
              <w:bottom w:type="dxa" w:w="60"/>
              <w:right w:type="dxa" w:w="110"/>
            </w:tcMar>
            <w:vAlign w:val="center"/>
          </w:tcPr>
          <w:p>
            <w:pPr>
              <w:jc w:val="right"/>
            </w:pPr>
            <w:r>
              <w:rPr>
                <w:sz w:val="18"/>
                <w:szCs w:val="18"/>
              </w:rPr>
              <w:t xml:space="preserve">221</w:t>
            </w:r>
          </w:p>
        </w:tc>
        <w:tc>
          <w:tcPr>
            <w:tcW w:type="dxa" w:w="1220"/>
            <w:tcMar>
              <w:top w:type="dxa" w:w="60"/>
              <w:left w:type="dxa" w:w="110"/>
              <w:bottom w:type="dxa" w:w="60"/>
              <w:right w:type="dxa" w:w="110"/>
            </w:tcMar>
            <w:vAlign w:val="center"/>
          </w:tcPr>
          <w:p>
            <w:pPr>
              <w:jc w:val="right"/>
            </w:pPr>
            <w:r>
              <w:rPr>
                <w:sz w:val="18"/>
                <w:szCs w:val="18"/>
              </w:rPr>
              <w:t xml:space="preserve">262</w:t>
            </w:r>
          </w:p>
        </w:tc>
        <w:tc>
          <w:tcPr>
            <w:tcW w:type="dxa" w:w="1220"/>
            <w:tcMar>
              <w:top w:type="dxa" w:w="60"/>
              <w:left w:type="dxa" w:w="110"/>
              <w:bottom w:type="dxa" w:w="60"/>
              <w:right w:type="dxa" w:w="110"/>
            </w:tcMar>
            <w:vAlign w:val="center"/>
          </w:tcPr>
          <w:p>
            <w:pPr>
              <w:jc w:val="right"/>
            </w:pPr>
            <w:r>
              <w:rPr>
                <w:sz w:val="18"/>
                <w:szCs w:val="18"/>
              </w:rPr>
              <w:t xml:space="preserve">309</w:t>
            </w:r>
          </w:p>
        </w:tc>
        <w:tc>
          <w:tcPr>
            <w:tcW w:type="dxa" w:w="1220"/>
            <w:tcMar>
              <w:top w:type="dxa" w:w="60"/>
              <w:left w:type="dxa" w:w="110"/>
              <w:bottom w:type="dxa" w:w="60"/>
              <w:right w:type="dxa" w:w="110"/>
            </w:tcMar>
            <w:vAlign w:val="center"/>
          </w:tcPr>
          <w:p>
            <w:pPr>
              <w:jc w:val="right"/>
            </w:pPr>
            <w:r>
              <w:rPr>
                <w:sz w:val="18"/>
                <w:szCs w:val="18"/>
              </w:rPr>
              <w:t xml:space="preserve">341</w:t>
            </w:r>
          </w:p>
        </w:tc>
        <w:tc>
          <w:tcPr>
            <w:tcW w:type="dxa" w:w="1220"/>
            <w:tcMar>
              <w:top w:type="dxa" w:w="60"/>
              <w:left w:type="dxa" w:w="110"/>
              <w:bottom w:type="dxa" w:w="60"/>
              <w:right w:type="dxa" w:w="110"/>
            </w:tcMar>
            <w:vAlign w:val="center"/>
          </w:tcPr>
          <w:p>
            <w:pPr>
              <w:jc w:val="right"/>
            </w:pPr>
            <w:r>
              <w:rPr>
                <w:sz w:val="18"/>
                <w:szCs w:val="18"/>
              </w:rPr>
              <w:t xml:space="preserve">368</w:t>
            </w:r>
          </w:p>
        </w:tc>
      </w:tr>
      <w:tr>
        <w:tc>
          <w:tcPr>
            <w:tcW w:type="dxa" w:w="3260"/>
            <w:tcMar>
              <w:top w:type="dxa" w:w="60"/>
              <w:left w:type="dxa" w:w="110"/>
              <w:bottom w:type="dxa" w:w="60"/>
              <w:right w:type="dxa" w:w="110"/>
            </w:tcMar>
            <w:vAlign w:val="center"/>
          </w:tcPr>
          <w:p>
            <w:pPr>
              <w:jc w:val="left"/>
            </w:pPr>
            <w:r>
              <w:rPr>
                <w:sz w:val="18"/>
                <w:szCs w:val="18"/>
              </w:rPr>
              <w:t xml:space="preserve">Bear cover</w:t>
            </w:r>
          </w:p>
        </w:tc>
        <w:tc>
          <w:tcPr>
            <w:tcW w:type="dxa" w:w="1220"/>
            <w:tcMar>
              <w:top w:type="dxa" w:w="60"/>
              <w:left w:type="dxa" w:w="110"/>
              <w:bottom w:type="dxa" w:w="60"/>
              <w:right w:type="dxa" w:w="110"/>
            </w:tcMar>
            <w:vAlign w:val="center"/>
          </w:tcPr>
          <w:p>
            <w:pPr>
              <w:jc w:val="right"/>
            </w:pPr>
            <w:r>
              <w:rPr>
                <w:sz w:val="18"/>
                <w:szCs w:val="18"/>
              </w:rPr>
              <w:t xml:space="preserve">1.1×</w:t>
            </w:r>
          </w:p>
        </w:tc>
        <w:tc>
          <w:tcPr>
            <w:tcW w:type="dxa" w:w="1220"/>
            <w:tcMar>
              <w:top w:type="dxa" w:w="60"/>
              <w:left w:type="dxa" w:w="110"/>
              <w:bottom w:type="dxa" w:w="60"/>
              <w:right w:type="dxa" w:w="110"/>
            </w:tcMar>
            <w:vAlign w:val="center"/>
          </w:tcPr>
          <w:p>
            <w:pPr>
              <w:jc w:val="right"/>
            </w:pPr>
            <w:r>
              <w:rPr>
                <w:sz w:val="18"/>
                <w:szCs w:val="18"/>
              </w:rPr>
              <w:t xml:space="preserve">1.2×</w:t>
            </w:r>
          </w:p>
        </w:tc>
        <w:tc>
          <w:tcPr>
            <w:tcW w:type="dxa" w:w="1220"/>
            <w:tcMar>
              <w:top w:type="dxa" w:w="60"/>
              <w:left w:type="dxa" w:w="110"/>
              <w:bottom w:type="dxa" w:w="60"/>
              <w:right w:type="dxa" w:w="110"/>
            </w:tcMar>
            <w:vAlign w:val="center"/>
          </w:tcPr>
          <w:p>
            <w:pPr>
              <w:jc w:val="right"/>
            </w:pPr>
            <w:r>
              <w:rPr>
                <w:sz w:val="18"/>
                <w:szCs w:val="18"/>
              </w:rPr>
              <w:t xml:space="preserve">1.3×</w:t>
            </w:r>
          </w:p>
        </w:tc>
        <w:tc>
          <w:tcPr>
            <w:tcW w:type="dxa" w:w="1220"/>
            <w:tcMar>
              <w:top w:type="dxa" w:w="60"/>
              <w:left w:type="dxa" w:w="110"/>
              <w:bottom w:type="dxa" w:w="60"/>
              <w:right w:type="dxa" w:w="110"/>
            </w:tcMar>
            <w:vAlign w:val="center"/>
          </w:tcPr>
          <w:p>
            <w:pPr>
              <w:jc w:val="right"/>
            </w:pPr>
            <w:r>
              <w:rPr>
                <w:sz w:val="18"/>
                <w:szCs w:val="18"/>
              </w:rPr>
              <w:t xml:space="preserve">1.3×</w:t>
            </w:r>
          </w:p>
        </w:tc>
        <w:tc>
          <w:tcPr>
            <w:tcW w:type="dxa" w:w="1220"/>
            <w:tcMar>
              <w:top w:type="dxa" w:w="60"/>
              <w:left w:type="dxa" w:w="110"/>
              <w:bottom w:type="dxa" w:w="60"/>
              <w:right w:type="dxa" w:w="110"/>
            </w:tcMar>
            <w:vAlign w:val="center"/>
          </w:tcPr>
          <w:p>
            <w:pPr>
              <w:jc w:val="right"/>
            </w:pPr>
            <w:r>
              <w:rPr>
                <w:sz w:val="18"/>
                <w:szCs w:val="18"/>
              </w:rPr>
              <w:t xml:space="preserve">1.2×</w:t>
            </w:r>
          </w:p>
        </w:tc>
      </w:tr>
    </w:tbl>
    <w:p>
      <w:pPr>
        <w:spacing w:after="60"/>
      </w:pPr>
    </w:p>
    <w:p>
      <w:pPr/>
      <w:r>
        <w:rPr>
          <w:sz w:val="20"/>
          <w:szCs w:val="20"/>
        </w:rPr>
        <w:t xml:space="preserve">Cover holds above 1× even in the bear path — but only just in FY26E, which is why the H1-2026 interim declaration (expected ~Aug) is a live catalyst: a third consecutive step-up would confirm the board’s own read of the reset; a flat or trimmed interim would be the first hard warning.</w:t>
      </w:r>
    </w:p>
    <w:p>
      <w:pPr>
        <w:pStyle w:val="Heading2"/>
      </w:pPr>
      <w:r>
        <w:rPr>
          <w:sz w:val="20"/>
          <w:szCs w:val="20"/>
        </w:rPr>
        <w:t xml:space="preserve">1.8  Macro &amp; country — the two-currency question</w:t>
      </w:r>
    </w:p>
    <w:p>
      <w:pPr/>
      <w:r>
        <w:rPr>
          <w:sz w:val="20"/>
          <w:szCs w:val="20"/>
        </w:rPr>
        <w:t xml:space="preserve">Agthia is a policy asset on one side and an EM consumer play on the other. The </w:t>
      </w:r>
      <w:r>
        <w:rPr>
          <w:b/>
          <w:bCs/>
          <w:sz w:val="20"/>
          <w:szCs w:val="20"/>
        </w:rPr>
        <w:t xml:space="preserve">UAE side</w:t>
      </w:r>
      <w:r>
        <w:rPr>
          <w:sz w:val="20"/>
          <w:szCs w:val="20"/>
        </w:rPr>
        <w:t xml:space="preserve"> (roughly ~60% of revenue, more of EBITDA in FY25) sits inside Abu Dhabi’s food-security architecture: ADQ is the majority owner, Grand Mills and Agrivita carry strategic-reserve mandates, and the dirham peg (3.6725) makes its cash flows near-USD. Pillar-II corporate tax (15% domestic top-up, blended ~20% group) is now fully in the base. The </w:t>
      </w:r>
      <w:r>
        <w:rPr>
          <w:b/>
          <w:bCs/>
          <w:sz w:val="20"/>
          <w:szCs w:val="20"/>
        </w:rPr>
        <w:t xml:space="preserve">Egypt/Jordan side</w:t>
      </w:r>
      <w:r>
        <w:rPr>
          <w:sz w:val="20"/>
          <w:szCs w:val="20"/>
        </w:rPr>
        <w:t xml:space="preserve"> (~25–30% of revenue: Abu Auf, Atyab, Nabil) carries EGP translation risk — the pound has held ~50–52 since the 2024 float package, but the March 2026 regional escalation reminds that the tail is fat: Suez-canal receipts, tourism and remittances are the pound’s pillars and all three are geopolitics-sensitive. Rates cut both ways: EIBOR tracking the Fed’s easing path trims the AED 88mn finance-cost line, while Egypt’s still-high local curve keeps the sleeve cost of equity at 17%. Commodities are the operating link — wheat and corn (Agri pass-through), green coffee (Snacking), poultry feed (Protein) — and the group’s hedging is rolling and partial, so the P&amp;L feels the quotes with a two-to-three-quarter lag.</w:t>
      </w:r>
    </w:p>
    <w:p>
      <w:pPr>
        <w:pStyle w:val="Heading2"/>
      </w:pPr>
      <w:r>
        <w:rPr>
          <w:sz w:val="20"/>
          <w:szCs w:val="20"/>
        </w:rPr>
        <w:t xml:space="preserve">1.9  Sensitivity — WACC × terminal growth</w:t>
      </w:r>
    </w:p>
    <w:p>
      <w:pPr/>
      <w:r>
        <w:rPr>
          <w:sz w:val="20"/>
          <w:szCs w:val="20"/>
        </w:rPr>
        <w:t xml:space="preserve">The DCF’s honesty check: terminal value is 70.4% of EV (device A-7), so the discount-rate/growth pair is where the value lives. The grid re-discounts the same FCFF path; the base cell (10.6% / 2.25%) reads AED 4.60; the market’s AED 3.51 is only reproduced near 11.6% WACC with 1.5% terminal growth — pricing the Egypt sleeve’s cost of equity on the whole group, forever.</w:t>
      </w:r>
    </w:p>
    <w:p>
      <w:pPr>
        <w:spacing w:before="60" w:after="40"/>
        <w:jc w:val="center"/>
      </w:pPr>
      <w:r>
        <w:drawing>
          <wp:inline distT="0" distB="0" distL="0" distR="0">
            <wp:extent cx="5532120" cy="2965911"/>
            <wp:effectExtent t="0" r="0" b="0" l="0"/>
            <wp:docPr id="101" name="fig2_se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sens.png"/>
                    <pic:cNvPicPr/>
                  </pic:nvPicPr>
                  <pic:blipFill>
                    <a:blip r:embed="rId10"/>
                    <a:stretch>
                      <a:fillRect/>
                    </a:stretch>
                  </pic:blipFill>
                  <pic:spPr>
                    <a:xfrm>
                      <a:off x="0" y="0"/>
                      <a:ext cx="5532120" cy="2965911"/>
                    </a:xfrm>
                    <a:prstGeom prst="rect">
                      <a:avLst/>
                    </a:prstGeom>
                  </pic:spPr>
                </pic:pic>
              </a:graphicData>
            </a:graphic>
          </wp:inline>
        </w:drawing>
      </w:r>
    </w:p>
    <w:p>
      <w:pPr>
        <w:spacing w:after="140"/>
        <w:jc w:val="center"/>
      </w:pPr>
      <w:r>
        <w:rPr>
          <w:i/>
          <w:iCs/>
          <w:color w:val="6E7B77"/>
          <w:sz w:val="16"/>
          <w:szCs w:val="16"/>
        </w:rPr>
        <w:t xml:space="preserve">Figure 2 — DCF fair value (AED/share) across WACC × terminal growth. The gold region marks values above spot; the base case sits at 10.6% / 2.25%.</w:t>
      </w:r>
    </w:p>
    <w:p>
      <w:pPr>
        <w:pStyle w:val="Heading1"/>
      </w:pPr>
      <w:r>
        <w:rPr>
          <w:sz w:val="20"/>
          <w:szCs w:val="20"/>
        </w:rPr>
        <w:t xml:space="preserve">2  Technical &amp; price structure</w:t>
      </w:r>
    </w:p>
    <w:p>
      <w:pPr/>
      <w:r>
        <w:rPr>
          <w:sz w:val="20"/>
          <w:szCs w:val="20"/>
        </w:rPr>
        <w:t xml:space="preserve">The tape disagrees with the valuation work, and honestly so: AGTHIA is below all four moving averages, momentum is negative, and the 52-week structure shows a market that sold the FY25 print in March and has not yet paid for the Q1 turn. Technicals here are timing, not value — they say “not yet confirmed”, not “wrong”.</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360"/>
        <w:gridCol w:w="3100"/>
        <w:gridCol w:w="3900"/>
      </w:tblGrid>
      <w:tr>
        <w:tc>
          <w:tcPr>
            <w:tcW w:type="dxa" w:w="2360"/>
            <w:shd w:fill="1C3A36" w:val="clear"/>
            <w:tcMar>
              <w:top w:type="dxa" w:w="60"/>
              <w:left w:type="dxa" w:w="110"/>
              <w:bottom w:type="dxa" w:w="60"/>
              <w:right w:type="dxa" w:w="110"/>
            </w:tcMar>
            <w:vAlign w:val="center"/>
          </w:tcPr>
          <w:p>
            <w:pPr>
              <w:jc w:val="left"/>
            </w:pPr>
            <w:r>
              <w:rPr>
                <w:b/>
                <w:bCs/>
                <w:color w:val="FFFFFF"/>
                <w:sz w:val="18"/>
                <w:szCs w:val="18"/>
              </w:rPr>
              <w:t xml:space="preserve">Indicator</w:t>
            </w:r>
          </w:p>
        </w:tc>
        <w:tc>
          <w:tcPr>
            <w:tcW w:type="dxa" w:w="3100"/>
            <w:shd w:fill="1C3A36" w:val="clear"/>
            <w:tcMar>
              <w:top w:type="dxa" w:w="60"/>
              <w:left w:type="dxa" w:w="110"/>
              <w:bottom w:type="dxa" w:w="60"/>
              <w:right w:type="dxa" w:w="110"/>
            </w:tcMar>
            <w:vAlign w:val="center"/>
          </w:tcPr>
          <w:p>
            <w:pPr>
              <w:jc w:val="center"/>
            </w:pPr>
            <w:r>
              <w:rPr>
                <w:b/>
                <w:bCs/>
                <w:color w:val="FFFFFF"/>
                <w:sz w:val="18"/>
                <w:szCs w:val="18"/>
              </w:rPr>
              <w:t xml:space="preserve">Reading</w:t>
            </w:r>
          </w:p>
        </w:tc>
        <w:tc>
          <w:tcPr>
            <w:tcW w:type="dxa" w:w="3900"/>
            <w:shd w:fill="1C3A36" w:val="clear"/>
            <w:tcMar>
              <w:top w:type="dxa" w:w="60"/>
              <w:left w:type="dxa" w:w="110"/>
              <w:bottom w:type="dxa" w:w="60"/>
              <w:right w:type="dxa" w:w="110"/>
            </w:tcMar>
            <w:vAlign w:val="center"/>
          </w:tcPr>
          <w:p>
            <w:pPr>
              <w:jc w:val="center"/>
            </w:pPr>
            <w:r>
              <w:rPr>
                <w:b/>
                <w:bCs/>
                <w:color w:val="FFFFFF"/>
                <w:sz w:val="18"/>
                <w:szCs w:val="18"/>
              </w:rPr>
              <w:t xml:space="preserve">Interpretation</w:t>
            </w:r>
          </w:p>
        </w:tc>
      </w:tr>
      <w:tr>
        <w:tc>
          <w:tcPr>
            <w:tcW w:type="dxa" w:w="2360"/>
            <w:tcMar>
              <w:top w:type="dxa" w:w="60"/>
              <w:left w:type="dxa" w:w="110"/>
              <w:bottom w:type="dxa" w:w="60"/>
              <w:right w:type="dxa" w:w="110"/>
            </w:tcMar>
            <w:vAlign w:val="center"/>
          </w:tcPr>
          <w:p>
            <w:pPr>
              <w:jc w:val="left"/>
            </w:pPr>
            <w:r>
              <w:rPr>
                <w:sz w:val="18"/>
                <w:szCs w:val="18"/>
              </w:rPr>
              <w:t xml:space="preserve">Spot vs SMA-20</w:t>
            </w:r>
          </w:p>
        </w:tc>
        <w:tc>
          <w:tcPr>
            <w:tcW w:type="dxa" w:w="3100"/>
            <w:tcMar>
              <w:top w:type="dxa" w:w="60"/>
              <w:left w:type="dxa" w:w="110"/>
              <w:bottom w:type="dxa" w:w="60"/>
              <w:right w:type="dxa" w:w="110"/>
            </w:tcMar>
            <w:vAlign w:val="center"/>
          </w:tcPr>
          <w:p>
            <w:pPr>
              <w:jc w:val="right"/>
            </w:pPr>
            <w:r>
              <w:rPr>
                <w:sz w:val="18"/>
                <w:szCs w:val="18"/>
              </w:rPr>
              <w:t xml:space="preserve">3.51 vs 3.57</w:t>
            </w:r>
          </w:p>
        </w:tc>
        <w:tc>
          <w:tcPr>
            <w:tcW w:type="dxa" w:w="3900"/>
            <w:tcMar>
              <w:top w:type="dxa" w:w="60"/>
              <w:left w:type="dxa" w:w="110"/>
              <w:bottom w:type="dxa" w:w="60"/>
              <w:right w:type="dxa" w:w="110"/>
            </w:tcMar>
            <w:vAlign w:val="center"/>
          </w:tcPr>
          <w:p>
            <w:pPr>
              <w:jc w:val="right"/>
            </w:pPr>
            <w:r>
              <w:rPr>
                <w:sz w:val="18"/>
                <w:szCs w:val="18"/>
              </w:rPr>
              <w:t xml:space="preserve">Below — short-term tape soft</w:t>
            </w:r>
          </w:p>
        </w:tc>
      </w:tr>
      <w:tr>
        <w:tc>
          <w:tcPr>
            <w:tcW w:type="dxa" w:w="2360"/>
            <w:tcMar>
              <w:top w:type="dxa" w:w="60"/>
              <w:left w:type="dxa" w:w="110"/>
              <w:bottom w:type="dxa" w:w="60"/>
              <w:right w:type="dxa" w:w="110"/>
            </w:tcMar>
            <w:vAlign w:val="center"/>
          </w:tcPr>
          <w:p>
            <w:pPr>
              <w:jc w:val="left"/>
            </w:pPr>
            <w:r>
              <w:rPr>
                <w:sz w:val="18"/>
                <w:szCs w:val="18"/>
              </w:rPr>
              <w:t xml:space="preserve">Spot vs SMA-50</w:t>
            </w:r>
          </w:p>
        </w:tc>
        <w:tc>
          <w:tcPr>
            <w:tcW w:type="dxa" w:w="3100"/>
            <w:tcMar>
              <w:top w:type="dxa" w:w="60"/>
              <w:left w:type="dxa" w:w="110"/>
              <w:bottom w:type="dxa" w:w="60"/>
              <w:right w:type="dxa" w:w="110"/>
            </w:tcMar>
            <w:vAlign w:val="center"/>
          </w:tcPr>
          <w:p>
            <w:pPr>
              <w:jc w:val="right"/>
            </w:pPr>
            <w:r>
              <w:rPr>
                <w:sz w:val="18"/>
                <w:szCs w:val="18"/>
              </w:rPr>
              <w:t xml:space="preserve">3.51 vs 3.59</w:t>
            </w:r>
          </w:p>
        </w:tc>
        <w:tc>
          <w:tcPr>
            <w:tcW w:type="dxa" w:w="3900"/>
            <w:tcMar>
              <w:top w:type="dxa" w:w="60"/>
              <w:left w:type="dxa" w:w="110"/>
              <w:bottom w:type="dxa" w:w="60"/>
              <w:right w:type="dxa" w:w="110"/>
            </w:tcMar>
            <w:vAlign w:val="center"/>
          </w:tcPr>
          <w:p>
            <w:pPr>
              <w:jc w:val="right"/>
            </w:pPr>
            <w:r>
              <w:rPr>
                <w:sz w:val="18"/>
                <w:szCs w:val="18"/>
              </w:rPr>
              <w:t xml:space="preserve">Below — corrective structure intact</w:t>
            </w:r>
          </w:p>
        </w:tc>
      </w:tr>
      <w:tr>
        <w:tc>
          <w:tcPr>
            <w:tcW w:type="dxa" w:w="2360"/>
            <w:tcMar>
              <w:top w:type="dxa" w:w="60"/>
              <w:left w:type="dxa" w:w="110"/>
              <w:bottom w:type="dxa" w:w="60"/>
              <w:right w:type="dxa" w:w="110"/>
            </w:tcMar>
            <w:vAlign w:val="center"/>
          </w:tcPr>
          <w:p>
            <w:pPr>
              <w:jc w:val="left"/>
            </w:pPr>
            <w:r>
              <w:rPr>
                <w:sz w:val="18"/>
                <w:szCs w:val="18"/>
              </w:rPr>
              <w:t xml:space="preserve">Spot vs SMA-100</w:t>
            </w:r>
          </w:p>
        </w:tc>
        <w:tc>
          <w:tcPr>
            <w:tcW w:type="dxa" w:w="3100"/>
            <w:tcMar>
              <w:top w:type="dxa" w:w="60"/>
              <w:left w:type="dxa" w:w="110"/>
              <w:bottom w:type="dxa" w:w="60"/>
              <w:right w:type="dxa" w:w="110"/>
            </w:tcMar>
            <w:vAlign w:val="center"/>
          </w:tcPr>
          <w:p>
            <w:pPr>
              <w:jc w:val="right"/>
            </w:pPr>
            <w:r>
              <w:rPr>
                <w:sz w:val="18"/>
                <w:szCs w:val="18"/>
              </w:rPr>
              <w:t xml:space="preserve">3.51 vs 3.64</w:t>
            </w:r>
          </w:p>
        </w:tc>
        <w:tc>
          <w:tcPr>
            <w:tcW w:type="dxa" w:w="3900"/>
            <w:tcMar>
              <w:top w:type="dxa" w:w="60"/>
              <w:left w:type="dxa" w:w="110"/>
              <w:bottom w:type="dxa" w:w="60"/>
              <w:right w:type="dxa" w:w="110"/>
            </w:tcMar>
            <w:vAlign w:val="center"/>
          </w:tcPr>
          <w:p>
            <w:pPr>
              <w:jc w:val="right"/>
            </w:pPr>
            <w:r>
              <w:rPr>
                <w:sz w:val="18"/>
                <w:szCs w:val="18"/>
              </w:rPr>
              <w:t xml:space="preserve">Below — medium trend not yet repaired</w:t>
            </w:r>
          </w:p>
        </w:tc>
      </w:tr>
      <w:tr>
        <w:tc>
          <w:tcPr>
            <w:tcW w:type="dxa" w:w="2360"/>
            <w:tcMar>
              <w:top w:type="dxa" w:w="60"/>
              <w:left w:type="dxa" w:w="110"/>
              <w:bottom w:type="dxa" w:w="60"/>
              <w:right w:type="dxa" w:w="110"/>
            </w:tcMar>
            <w:vAlign w:val="center"/>
          </w:tcPr>
          <w:p>
            <w:pPr>
              <w:jc w:val="left"/>
            </w:pPr>
            <w:r>
              <w:rPr>
                <w:sz w:val="18"/>
                <w:szCs w:val="18"/>
              </w:rPr>
              <w:t xml:space="preserve">Spot vs SMA-200</w:t>
            </w:r>
          </w:p>
        </w:tc>
        <w:tc>
          <w:tcPr>
            <w:tcW w:type="dxa" w:w="3100"/>
            <w:tcMar>
              <w:top w:type="dxa" w:w="60"/>
              <w:left w:type="dxa" w:w="110"/>
              <w:bottom w:type="dxa" w:w="60"/>
              <w:right w:type="dxa" w:w="110"/>
            </w:tcMar>
            <w:vAlign w:val="center"/>
          </w:tcPr>
          <w:p>
            <w:pPr>
              <w:jc w:val="right"/>
            </w:pPr>
            <w:r>
              <w:rPr>
                <w:sz w:val="18"/>
                <w:szCs w:val="18"/>
              </w:rPr>
              <w:t xml:space="preserve">3.51 vs 3.73</w:t>
            </w:r>
          </w:p>
        </w:tc>
        <w:tc>
          <w:tcPr>
            <w:tcW w:type="dxa" w:w="3900"/>
            <w:tcMar>
              <w:top w:type="dxa" w:w="60"/>
              <w:left w:type="dxa" w:w="110"/>
              <w:bottom w:type="dxa" w:w="60"/>
              <w:right w:type="dxa" w:w="110"/>
            </w:tcMar>
            <w:vAlign w:val="center"/>
          </w:tcPr>
          <w:p>
            <w:pPr>
              <w:jc w:val="right"/>
            </w:pPr>
            <w:r>
              <w:rPr>
                <w:sz w:val="18"/>
                <w:szCs w:val="18"/>
              </w:rPr>
              <w:t xml:space="preserve">Below — the long average still falling</w:t>
            </w:r>
          </w:p>
        </w:tc>
      </w:tr>
      <w:tr>
        <w:tc>
          <w:tcPr>
            <w:tcW w:type="dxa" w:w="2360"/>
            <w:tcMar>
              <w:top w:type="dxa" w:w="60"/>
              <w:left w:type="dxa" w:w="110"/>
              <w:bottom w:type="dxa" w:w="60"/>
              <w:right w:type="dxa" w:w="110"/>
            </w:tcMar>
            <w:vAlign w:val="center"/>
          </w:tcPr>
          <w:p>
            <w:pPr>
              <w:jc w:val="left"/>
            </w:pPr>
            <w:r>
              <w:rPr>
                <w:sz w:val="18"/>
                <w:szCs w:val="18"/>
              </w:rPr>
              <w:t xml:space="preserve">RSI (14)</w:t>
            </w:r>
          </w:p>
        </w:tc>
        <w:tc>
          <w:tcPr>
            <w:tcW w:type="dxa" w:w="3100"/>
            <w:tcMar>
              <w:top w:type="dxa" w:w="60"/>
              <w:left w:type="dxa" w:w="110"/>
              <w:bottom w:type="dxa" w:w="60"/>
              <w:right w:type="dxa" w:w="110"/>
            </w:tcMar>
            <w:vAlign w:val="center"/>
          </w:tcPr>
          <w:p>
            <w:pPr>
              <w:jc w:val="right"/>
            </w:pPr>
            <w:r>
              <w:rPr>
                <w:sz w:val="18"/>
                <w:szCs w:val="18"/>
              </w:rPr>
              <w:t xml:space="preserve">42.9</w:t>
            </w:r>
          </w:p>
        </w:tc>
        <w:tc>
          <w:tcPr>
            <w:tcW w:type="dxa" w:w="3900"/>
            <w:tcMar>
              <w:top w:type="dxa" w:w="60"/>
              <w:left w:type="dxa" w:w="110"/>
              <w:bottom w:type="dxa" w:w="60"/>
              <w:right w:type="dxa" w:w="110"/>
            </w:tcMar>
            <w:vAlign w:val="center"/>
          </w:tcPr>
          <w:p>
            <w:pPr>
              <w:jc w:val="right"/>
            </w:pPr>
            <w:r>
              <w:rPr>
                <w:sz w:val="18"/>
                <w:szCs w:val="18"/>
              </w:rPr>
              <w:t xml:space="preserve">Neutral-weak; no oversold washout</w:t>
            </w:r>
          </w:p>
        </w:tc>
      </w:tr>
      <w:tr>
        <w:tc>
          <w:tcPr>
            <w:tcW w:type="dxa" w:w="2360"/>
            <w:tcMar>
              <w:top w:type="dxa" w:w="60"/>
              <w:left w:type="dxa" w:w="110"/>
              <w:bottom w:type="dxa" w:w="60"/>
              <w:right w:type="dxa" w:w="110"/>
            </w:tcMar>
            <w:vAlign w:val="center"/>
          </w:tcPr>
          <w:p>
            <w:pPr>
              <w:jc w:val="left"/>
            </w:pPr>
            <w:r>
              <w:rPr>
                <w:sz w:val="18"/>
                <w:szCs w:val="18"/>
              </w:rPr>
              <w:t xml:space="preserve">MACD (12,26,9)</w:t>
            </w:r>
          </w:p>
        </w:tc>
        <w:tc>
          <w:tcPr>
            <w:tcW w:type="dxa" w:w="3100"/>
            <w:tcMar>
              <w:top w:type="dxa" w:w="60"/>
              <w:left w:type="dxa" w:w="110"/>
              <w:bottom w:type="dxa" w:w="60"/>
              <w:right w:type="dxa" w:w="110"/>
            </w:tcMar>
            <w:vAlign w:val="center"/>
          </w:tcPr>
          <w:p>
            <w:pPr>
              <w:jc w:val="right"/>
            </w:pPr>
            <w:r>
              <w:rPr>
                <w:sz w:val="18"/>
                <w:szCs w:val="18"/>
              </w:rPr>
              <w:t xml:space="preserve">-0.0224 / -0.0106 / hist -0.0119</w:t>
            </w:r>
          </w:p>
        </w:tc>
        <w:tc>
          <w:tcPr>
            <w:tcW w:type="dxa" w:w="3900"/>
            <w:tcMar>
              <w:top w:type="dxa" w:w="60"/>
              <w:left w:type="dxa" w:w="110"/>
              <w:bottom w:type="dxa" w:w="60"/>
              <w:right w:type="dxa" w:w="110"/>
            </w:tcMar>
            <w:vAlign w:val="center"/>
          </w:tcPr>
          <w:p>
            <w:pPr>
              <w:jc w:val="right"/>
            </w:pPr>
            <w:r>
              <w:rPr>
                <w:sz w:val="18"/>
                <w:szCs w:val="18"/>
              </w:rPr>
              <w:t xml:space="preserve">MACD below signal — bearish, flattening</w:t>
            </w:r>
          </w:p>
        </w:tc>
      </w:tr>
      <w:tr>
        <w:tc>
          <w:tcPr>
            <w:tcW w:type="dxa" w:w="2360"/>
            <w:tcMar>
              <w:top w:type="dxa" w:w="60"/>
              <w:left w:type="dxa" w:w="110"/>
              <w:bottom w:type="dxa" w:w="60"/>
              <w:right w:type="dxa" w:w="110"/>
            </w:tcMar>
            <w:vAlign w:val="center"/>
          </w:tcPr>
          <w:p>
            <w:pPr>
              <w:jc w:val="left"/>
            </w:pPr>
            <w:r>
              <w:rPr>
                <w:sz w:val="18"/>
                <w:szCs w:val="18"/>
              </w:rPr>
              <w:t xml:space="preserve">52-week range</w:t>
            </w:r>
          </w:p>
        </w:tc>
        <w:tc>
          <w:tcPr>
            <w:tcW w:type="dxa" w:w="3100"/>
            <w:tcMar>
              <w:top w:type="dxa" w:w="60"/>
              <w:left w:type="dxa" w:w="110"/>
              <w:bottom w:type="dxa" w:w="60"/>
              <w:right w:type="dxa" w:w="110"/>
            </w:tcMar>
            <w:vAlign w:val="center"/>
          </w:tcPr>
          <w:p>
            <w:pPr>
              <w:jc w:val="right"/>
            </w:pPr>
            <w:r>
              <w:rPr>
                <w:sz w:val="18"/>
                <w:szCs w:val="18"/>
              </w:rPr>
              <w:t xml:space="preserve">3.34 – 4.37</w:t>
            </w:r>
          </w:p>
        </w:tc>
        <w:tc>
          <w:tcPr>
            <w:tcW w:type="dxa" w:w="3900"/>
            <w:tcMar>
              <w:top w:type="dxa" w:w="60"/>
              <w:left w:type="dxa" w:w="110"/>
              <w:bottom w:type="dxa" w:w="60"/>
              <w:right w:type="dxa" w:w="110"/>
            </w:tcMar>
            <w:vAlign w:val="center"/>
          </w:tcPr>
          <w:p>
            <w:pPr>
              <w:jc w:val="right"/>
            </w:pPr>
            <w:r>
              <w:rPr>
                <w:sz w:val="18"/>
                <w:szCs w:val="18"/>
              </w:rPr>
              <w:t xml:space="preserve">Spot in the lower quartile</w:t>
            </w:r>
          </w:p>
        </w:tc>
      </w:tr>
      <w:tr>
        <w:tc>
          <w:tcPr>
            <w:tcW w:type="dxa" w:w="2360"/>
            <w:tcMar>
              <w:top w:type="dxa" w:w="60"/>
              <w:left w:type="dxa" w:w="110"/>
              <w:bottom w:type="dxa" w:w="60"/>
              <w:right w:type="dxa" w:w="110"/>
            </w:tcMar>
            <w:vAlign w:val="center"/>
          </w:tcPr>
          <w:p>
            <w:pPr>
              <w:jc w:val="left"/>
            </w:pPr>
            <w:r>
              <w:rPr>
                <w:sz w:val="18"/>
                <w:szCs w:val="18"/>
              </w:rPr>
              <w:t xml:space="preserve">Realized vol (252d)</w:t>
            </w:r>
          </w:p>
        </w:tc>
        <w:tc>
          <w:tcPr>
            <w:tcW w:type="dxa" w:w="3100"/>
            <w:tcMar>
              <w:top w:type="dxa" w:w="60"/>
              <w:left w:type="dxa" w:w="110"/>
              <w:bottom w:type="dxa" w:w="60"/>
              <w:right w:type="dxa" w:w="110"/>
            </w:tcMar>
            <w:vAlign w:val="center"/>
          </w:tcPr>
          <w:p>
            <w:pPr>
              <w:jc w:val="right"/>
            </w:pPr>
            <w:r>
              <w:rPr>
                <w:sz w:val="18"/>
                <w:szCs w:val="18"/>
              </w:rPr>
              <w:t xml:space="preserve">22.3%</w:t>
            </w:r>
          </w:p>
        </w:tc>
        <w:tc>
          <w:tcPr>
            <w:tcW w:type="dxa" w:w="3900"/>
            <w:tcMar>
              <w:top w:type="dxa" w:w="60"/>
              <w:left w:type="dxa" w:w="110"/>
              <w:bottom w:type="dxa" w:w="60"/>
              <w:right w:type="dxa" w:w="110"/>
            </w:tcMar>
            <w:vAlign w:val="center"/>
          </w:tcPr>
          <w:p>
            <w:pPr>
              <w:jc w:val="right"/>
            </w:pPr>
            <w:r>
              <w:rPr>
                <w:sz w:val="18"/>
                <w:szCs w:val="18"/>
              </w:rPr>
              <w:t xml:space="preserve">Calm by EM standards; typical staples tape</w:t>
            </w:r>
          </w:p>
        </w:tc>
      </w:tr>
    </w:tbl>
    <w:p>
      <w:pPr>
        <w:spacing w:after="60"/>
      </w:pPr>
    </w:p>
    <w:p>
      <w:pPr>
        <w:spacing w:before="60" w:after="40"/>
        <w:jc w:val="center"/>
      </w:pPr>
      <w:r>
        <w:drawing>
          <wp:inline distT="0" distB="0" distL="0" distR="0">
            <wp:extent cx="5532120" cy="2392620"/>
            <wp:effectExtent t="0" r="0" b="0" l="0"/>
            <wp:docPr id="102" name="fig3_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_ma.png"/>
                    <pic:cNvPicPr/>
                  </pic:nvPicPr>
                  <pic:blipFill>
                    <a:blip r:embed="rId11"/>
                    <a:stretch>
                      <a:fillRect/>
                    </a:stretch>
                  </pic:blipFill>
                  <pic:spPr>
                    <a:xfrm>
                      <a:off x="0" y="0"/>
                      <a:ext cx="5532120" cy="2392620"/>
                    </a:xfrm>
                    <a:prstGeom prst="rect">
                      <a:avLst/>
                    </a:prstGeom>
                  </pic:spPr>
                </pic:pic>
              </a:graphicData>
            </a:graphic>
          </wp:inline>
        </w:drawing>
      </w:r>
    </w:p>
    <w:p>
      <w:pPr>
        <w:spacing w:after="140"/>
        <w:jc w:val="center"/>
      </w:pPr>
      <w:r>
        <w:rPr>
          <w:i/>
          <w:iCs/>
          <w:color w:val="6E7B77"/>
          <w:sz w:val="16"/>
          <w:szCs w:val="16"/>
        </w:rPr>
        <w:t xml:space="preserve">Figure 3 — Price versus the 20/50/100/200-day moving-average stack, last 260 sessions. The stack is bearishly ordered; the March 2026 gap marks the FY25 results.</w:t>
      </w:r>
    </w:p>
    <w:p>
      <w:pPr>
        <w:pStyle w:val="Heading1"/>
      </w:pPr>
      <w:r>
        <w:rPr>
          <w:sz w:val="20"/>
          <w:szCs w:val="20"/>
        </w:rPr>
        <w:t xml:space="preserve">3  Monte Carlo — 3-month price simulation  ⚠ INDICATIVE ONLY · FAILED CALIBRATION TEST</w:t>
      </w:r>
    </w:p>
    <w:p>
      <w:pPr/>
      <w:r>
        <w:rPr>
          <w:b/>
          <w:bCs/>
          <w:sz w:val="20"/>
          <w:szCs w:val="20"/>
        </w:rPr>
        <w:t xml:space="preserve">Read this first: the Step 0 backtest of this engine on AGTHIA does not beat the naïve zero-drift random-walk benchmark (CRPS skill ≤0 on every windowing scheme).</w:t>
      </w:r>
      <w:r>
        <w:rPr>
          <w:sz w:val="20"/>
          <w:szCs w:val="20"/>
        </w:rPr>
        <w:t xml:space="preserve"> The full Step 0 result — grade table, PIT and coverage diagnostics — is published on the Testahil calibration ledger with this ticker marked INDICATIVE ONLY · FAILED CALIBRATION TEST; per house rule the backtest mechanics are not reprinted inside the study. House rule: a failed test is flagged, never hidden — the simulation below is presented for completeness and transparency, with the failure disclosed here, in the READ FIRST box, and on the ledger. Treat the widths as roughly honest (coverage and PIT are near-target) and the machinery as adding no measurable skill over the naïve cone on this name.</w:t>
      </w:r>
    </w:p>
    <w:p>
      <w:pPr/>
      <w:r>
        <w:rPr>
          <w:b/>
          <w:bCs/>
          <w:sz w:val="20"/>
          <w:szCs w:val="20"/>
        </w:rPr>
        <w:t xml:space="preserve">The probability read</w:t>
      </w:r>
      <w:r>
        <w:rPr>
          <w:sz w:val="20"/>
          <w:szCs w:val="20"/>
        </w:rPr>
        <w:t xml:space="preserve"> — computed from the same 50,000 paths as everything else on this page, presentation-only, never feeding drift or width:</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4660"/>
        <w:gridCol w:w="4700"/>
      </w:tblGrid>
      <w:tr>
        <w:tc>
          <w:tcPr>
            <w:tcW w:type="dxa" w:w="4660"/>
            <w:shd w:fill="1C3A36" w:val="clear"/>
            <w:tcMar>
              <w:top w:type="dxa" w:w="60"/>
              <w:left w:type="dxa" w:w="110"/>
              <w:bottom w:type="dxa" w:w="60"/>
              <w:right w:type="dxa" w:w="110"/>
            </w:tcMar>
            <w:vAlign w:val="center"/>
          </w:tcPr>
          <w:p>
            <w:pPr>
              <w:jc w:val="left"/>
            </w:pPr>
            <w:r>
              <w:rPr>
                <w:b/>
                <w:bCs/>
                <w:color w:val="FFFFFF"/>
                <w:sz w:val="18"/>
                <w:szCs w:val="18"/>
              </w:rPr>
              <w:t xml:space="preserve">The probability read (T+60)</w:t>
            </w:r>
          </w:p>
        </w:tc>
        <w:tc>
          <w:tcPr>
            <w:tcW w:type="dxa" w:w="4700"/>
            <w:shd w:fill="1C3A36" w:val="clear"/>
            <w:tcMar>
              <w:top w:type="dxa" w:w="60"/>
              <w:left w:type="dxa" w:w="110"/>
              <w:bottom w:type="dxa" w:w="60"/>
              <w:right w:type="dxa" w:w="110"/>
            </w:tcMar>
            <w:vAlign w:val="center"/>
          </w:tcPr>
          <w:p>
            <w:pPr>
              <w:jc w:val="center"/>
            </w:pPr>
            <w:r>
              <w:rPr>
                <w:b/>
                <w:bCs/>
                <w:color w:val="FFFFFF"/>
                <w:sz w:val="18"/>
                <w:szCs w:val="18"/>
              </w:rPr>
              <w:t xml:space="preserve">Value</w:t>
            </w:r>
          </w:p>
        </w:tc>
      </w:tr>
      <w:tr>
        <w:tc>
          <w:tcPr>
            <w:tcW w:type="dxa" w:w="4660"/>
            <w:tcMar>
              <w:top w:type="dxa" w:w="60"/>
              <w:left w:type="dxa" w:w="110"/>
              <w:bottom w:type="dxa" w:w="60"/>
              <w:right w:type="dxa" w:w="110"/>
            </w:tcMar>
            <w:vAlign w:val="center"/>
          </w:tcPr>
          <w:p>
            <w:pPr>
              <w:jc w:val="left"/>
            </w:pPr>
            <w:r>
              <w:rPr>
                <w:sz w:val="18"/>
                <w:szCs w:val="18"/>
              </w:rPr>
              <w:t xml:space="preserve">P(price above spot 3.51)</w:t>
            </w:r>
          </w:p>
        </w:tc>
        <w:tc>
          <w:tcPr>
            <w:tcW w:type="dxa" w:w="4700"/>
            <w:tcMar>
              <w:top w:type="dxa" w:w="60"/>
              <w:left w:type="dxa" w:w="110"/>
              <w:bottom w:type="dxa" w:w="60"/>
              <w:right w:type="dxa" w:w="110"/>
            </w:tcMar>
            <w:vAlign w:val="center"/>
          </w:tcPr>
          <w:p>
            <w:pPr>
              <w:jc w:val="right"/>
            </w:pPr>
            <w:r>
              <w:rPr>
                <w:sz w:val="18"/>
                <w:szCs w:val="18"/>
              </w:rPr>
              <w:t xml:space="preserve">50.8%</w:t>
            </w:r>
          </w:p>
        </w:tc>
      </w:tr>
      <w:tr>
        <w:tc>
          <w:tcPr>
            <w:tcW w:type="dxa" w:w="4660"/>
            <w:tcMar>
              <w:top w:type="dxa" w:w="60"/>
              <w:left w:type="dxa" w:w="110"/>
              <w:bottom w:type="dxa" w:w="60"/>
              <w:right w:type="dxa" w:w="110"/>
            </w:tcMar>
            <w:vAlign w:val="center"/>
          </w:tcPr>
          <w:p>
            <w:pPr>
              <w:jc w:val="left"/>
            </w:pPr>
            <w:r>
              <w:rPr>
                <w:sz w:val="18"/>
                <w:szCs w:val="18"/>
              </w:rPr>
              <w:t xml:space="preserve">P(≥ +10%) vs P(≤ −10%)</w:t>
            </w:r>
          </w:p>
        </w:tc>
        <w:tc>
          <w:tcPr>
            <w:tcW w:type="dxa" w:w="4700"/>
            <w:tcMar>
              <w:top w:type="dxa" w:w="60"/>
              <w:left w:type="dxa" w:w="110"/>
              <w:bottom w:type="dxa" w:w="60"/>
              <w:right w:type="dxa" w:w="110"/>
            </w:tcMar>
            <w:vAlign w:val="center"/>
          </w:tcPr>
          <w:p>
            <w:pPr>
              <w:jc w:val="right"/>
            </w:pPr>
            <w:r>
              <w:rPr>
                <w:sz w:val="18"/>
                <w:szCs w:val="18"/>
              </w:rPr>
              <w:t xml:space="preserve">20.4% vs 17.9% · odds 1.14×</w:t>
            </w:r>
          </w:p>
        </w:tc>
      </w:tr>
      <w:tr>
        <w:tc>
          <w:tcPr>
            <w:tcW w:type="dxa" w:w="4660"/>
            <w:tcMar>
              <w:top w:type="dxa" w:w="60"/>
              <w:left w:type="dxa" w:w="110"/>
              <w:bottom w:type="dxa" w:w="60"/>
              <w:right w:type="dxa" w:w="110"/>
            </w:tcMar>
            <w:vAlign w:val="center"/>
          </w:tcPr>
          <w:p>
            <w:pPr>
              <w:jc w:val="left"/>
            </w:pPr>
            <w:r>
              <w:rPr>
                <w:sz w:val="18"/>
                <w:szCs w:val="18"/>
              </w:rPr>
              <w:t xml:space="preserve">Median level and move</w:t>
            </w:r>
          </w:p>
        </w:tc>
        <w:tc>
          <w:tcPr>
            <w:tcW w:type="dxa" w:w="4700"/>
            <w:tcMar>
              <w:top w:type="dxa" w:w="60"/>
              <w:left w:type="dxa" w:w="110"/>
              <w:bottom w:type="dxa" w:w="60"/>
              <w:right w:type="dxa" w:w="110"/>
            </w:tcMar>
            <w:vAlign w:val="center"/>
          </w:tcPr>
          <w:p>
            <w:pPr>
              <w:jc w:val="right"/>
            </w:pPr>
            <w:r>
              <w:rPr>
                <w:sz w:val="18"/>
                <w:szCs w:val="18"/>
              </w:rPr>
              <w:t xml:space="preserve">AED 3.52 (+0.2%)</w:t>
            </w:r>
          </w:p>
        </w:tc>
      </w:tr>
      <w:tr>
        <w:tc>
          <w:tcPr>
            <w:tcW w:type="dxa" w:w="4660"/>
            <w:tcMar>
              <w:top w:type="dxa" w:w="60"/>
              <w:left w:type="dxa" w:w="110"/>
              <w:bottom w:type="dxa" w:w="60"/>
              <w:right w:type="dxa" w:w="110"/>
            </w:tcMar>
            <w:vAlign w:val="center"/>
          </w:tcPr>
          <w:p>
            <w:pPr>
              <w:jc w:val="left"/>
            </w:pPr>
            <w:r>
              <w:rPr>
                <w:sz w:val="18"/>
                <w:szCs w:val="18"/>
              </w:rPr>
              <w:t xml:space="preserve">50% band (25th–75th)</w:t>
            </w:r>
          </w:p>
        </w:tc>
        <w:tc>
          <w:tcPr>
            <w:tcW w:type="dxa" w:w="4700"/>
            <w:tcMar>
              <w:top w:type="dxa" w:w="60"/>
              <w:left w:type="dxa" w:w="110"/>
              <w:bottom w:type="dxa" w:w="60"/>
              <w:right w:type="dxa" w:w="110"/>
            </w:tcMar>
            <w:vAlign w:val="center"/>
          </w:tcPr>
          <w:p>
            <w:pPr>
              <w:jc w:val="right"/>
            </w:pPr>
            <w:r>
              <w:rPr>
                <w:sz w:val="18"/>
                <w:szCs w:val="18"/>
              </w:rPr>
              <w:t xml:space="preserve">AED 3.26 – 3.79 (-7.2% to +8.0%)</w:t>
            </w:r>
          </w:p>
        </w:tc>
      </w:tr>
      <w:tr>
        <w:tc>
          <w:tcPr>
            <w:tcW w:type="dxa" w:w="4660"/>
            <w:tcMar>
              <w:top w:type="dxa" w:w="60"/>
              <w:left w:type="dxa" w:w="110"/>
              <w:bottom w:type="dxa" w:w="60"/>
              <w:right w:type="dxa" w:w="110"/>
            </w:tcMar>
            <w:vAlign w:val="center"/>
          </w:tcPr>
          <w:p>
            <w:pPr>
              <w:jc w:val="left"/>
            </w:pPr>
            <w:r>
              <w:rPr>
                <w:sz w:val="18"/>
                <w:szCs w:val="18"/>
              </w:rPr>
              <w:t xml:space="preserve">Touch(+10%) / touch(−10%)</w:t>
            </w:r>
          </w:p>
        </w:tc>
        <w:tc>
          <w:tcPr>
            <w:tcW w:type="dxa" w:w="4700"/>
            <w:tcMar>
              <w:top w:type="dxa" w:w="60"/>
              <w:left w:type="dxa" w:w="110"/>
              <w:bottom w:type="dxa" w:w="60"/>
              <w:right w:type="dxa" w:w="110"/>
            </w:tcMar>
            <w:vAlign w:val="center"/>
          </w:tcPr>
          <w:p>
            <w:pPr>
              <w:jc w:val="right"/>
            </w:pPr>
            <w:r>
              <w:rPr>
                <w:sz w:val="18"/>
                <w:szCs w:val="18"/>
              </w:rPr>
              <w:t xml:space="preserve">37% / 32%</w:t>
            </w:r>
          </w:p>
        </w:tc>
      </w:tr>
    </w:tbl>
    <w:p>
      <w:pPr>
        <w:spacing w:after="60"/>
      </w:pPr>
    </w:p>
    <w:p>
      <w:pPr/>
      <w:r>
        <w:rPr>
          <w:sz w:val="20"/>
          <w:szCs w:val="20"/>
        </w:rPr>
        <w:t xml:space="preserve">The read is near-even with a mild upward tilt — exactly what a zero-secular-drift engine plus a slightly positive factor stack should print. </w:t>
      </w:r>
      <w:r>
        <w:rPr>
          <w:b/>
          <w:bCs/>
          <w:sz w:val="20"/>
          <w:szCs w:val="20"/>
        </w:rPr>
        <w:t xml:space="preserve">The direction is not manufactured:</w:t>
      </w:r>
      <w:r>
        <w:rPr>
          <w:sz w:val="20"/>
          <w:szCs w:val="20"/>
        </w:rPr>
        <w:t xml:space="preserve"> international names carry no secular drift by house rule, so the fundamental value gap of §1 is deliberately kept out of these paths — they diffuse from spot as near-term price, and the §1 value gap is kept out of the drift.</w:t>
      </w:r>
    </w:p>
    <w:p>
      <w:pPr/>
      <w:r>
        <w:rPr>
          <w:b/>
          <w:bCs/>
          <w:sz w:val="20"/>
          <w:szCs w:val="20"/>
        </w:rPr>
        <w:t xml:space="preserve">Engine.</w:t>
      </w:r>
      <w:r>
        <w:rPr>
          <w:sz w:val="20"/>
          <w:szCs w:val="20"/>
        </w:rPr>
        <w:t xml:space="preserve"> 50,000 paths, 60 sessions, seed 42. Width from the YZ-HAR cascade (gap-aware Yang-Zhang variance proxy; pooled log-HAR on lags 1/5/22) projecting a forward path volatility of ~26.2% annualized — wider than the trailing 252-day 22.3% because the HAR sees the March-2026 variance cluster. Shape: unit-variance Student-t(5) via a per-path chi-square mixture (tight body, honest tails). Drift: zero secular (international name) plus the 16-factor stack below — 7 continuous factors compounding into a net +0.8% 3-month tilt, and 9 discrete jump factors sampled per path.</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560"/>
        <w:gridCol w:w="700"/>
        <w:gridCol w:w="1400"/>
        <w:gridCol w:w="3700"/>
      </w:tblGrid>
      <w:tr>
        <w:tc>
          <w:tcPr>
            <w:tcW w:type="dxa" w:w="3560"/>
            <w:shd w:fill="1C3A36" w:val="clear"/>
            <w:tcMar>
              <w:top w:type="dxa" w:w="60"/>
              <w:left w:type="dxa" w:w="110"/>
              <w:bottom w:type="dxa" w:w="60"/>
              <w:right w:type="dxa" w:w="110"/>
            </w:tcMar>
            <w:vAlign w:val="center"/>
          </w:tcPr>
          <w:p>
            <w:pPr>
              <w:jc w:val="left"/>
            </w:pPr>
            <w:r>
              <w:rPr>
                <w:b/>
                <w:bCs/>
                <w:color w:val="FFFFFF"/>
                <w:sz w:val="18"/>
                <w:szCs w:val="18"/>
              </w:rPr>
              <w:t xml:space="preserve">Continuous factor (7)</w:t>
            </w:r>
          </w:p>
        </w:tc>
        <w:tc>
          <w:tcPr>
            <w:tcW w:type="dxa" w:w="700"/>
            <w:shd w:fill="1C3A36" w:val="clear"/>
            <w:tcMar>
              <w:top w:type="dxa" w:w="60"/>
              <w:left w:type="dxa" w:w="110"/>
              <w:bottom w:type="dxa" w:w="60"/>
              <w:right w:type="dxa" w:w="110"/>
            </w:tcMar>
            <w:vAlign w:val="center"/>
          </w:tcPr>
          <w:p>
            <w:pPr>
              <w:jc w:val="center"/>
            </w:pPr>
            <w:r>
              <w:rPr>
                <w:b/>
                <w:bCs/>
                <w:color w:val="FFFFFF"/>
                <w:sz w:val="18"/>
                <w:szCs w:val="18"/>
              </w:rPr>
              <w:t xml:space="preserve">Dir</w:t>
            </w:r>
          </w:p>
        </w:tc>
        <w:tc>
          <w:tcPr>
            <w:tcW w:type="dxa" w:w="1400"/>
            <w:shd w:fill="1C3A36" w:val="clear"/>
            <w:tcMar>
              <w:top w:type="dxa" w:w="60"/>
              <w:left w:type="dxa" w:w="110"/>
              <w:bottom w:type="dxa" w:w="60"/>
              <w:right w:type="dxa" w:w="110"/>
            </w:tcMar>
            <w:vAlign w:val="center"/>
          </w:tcPr>
          <w:p>
            <w:pPr>
              <w:jc w:val="center"/>
            </w:pPr>
            <w:r>
              <w:rPr>
                <w:b/>
                <w:bCs/>
                <w:color w:val="FFFFFF"/>
                <w:sz w:val="18"/>
                <w:szCs w:val="18"/>
              </w:rPr>
              <w:t xml:space="preserve">3-mo drift</w:t>
            </w:r>
          </w:p>
        </w:tc>
        <w:tc>
          <w:tcPr>
            <w:tcW w:type="dxa" w:w="3700"/>
            <w:shd w:fill="1C3A36" w:val="clear"/>
            <w:tcMar>
              <w:top w:type="dxa" w:w="60"/>
              <w:left w:type="dxa" w:w="110"/>
              <w:bottom w:type="dxa" w:w="60"/>
              <w:right w:type="dxa" w:w="110"/>
            </w:tcMar>
            <w:vAlign w:val="center"/>
          </w:tcPr>
          <w:p>
            <w:pPr>
              <w:jc w:val="center"/>
            </w:pPr>
            <w:r>
              <w:rPr>
                <w:b/>
                <w:bCs/>
                <w:color w:val="FFFFFF"/>
                <w:sz w:val="18"/>
                <w:szCs w:val="18"/>
              </w:rPr>
              <w:t xml:space="preserve">Channel</w:t>
            </w:r>
          </w:p>
        </w:tc>
      </w:tr>
      <w:tr>
        <w:tc>
          <w:tcPr>
            <w:tcW w:type="dxa" w:w="3560"/>
            <w:tcMar>
              <w:top w:type="dxa" w:w="60"/>
              <w:left w:type="dxa" w:w="110"/>
              <w:bottom w:type="dxa" w:w="60"/>
              <w:right w:type="dxa" w:w="110"/>
            </w:tcMar>
            <w:vAlign w:val="center"/>
          </w:tcPr>
          <w:p>
            <w:pPr>
              <w:jc w:val="left"/>
            </w:pPr>
            <w:r>
              <w:rPr>
                <w:sz w:val="18"/>
                <w:szCs w:val="18"/>
              </w:rPr>
              <w:t xml:space="preserve">GCC consumer demand &amp; UAE population/tourism</w:t>
            </w:r>
          </w:p>
        </w:tc>
        <w:tc>
          <w:tcPr>
            <w:tcW w:type="dxa" w:w="700"/>
            <w:tcMar>
              <w:top w:type="dxa" w:w="60"/>
              <w:left w:type="dxa" w:w="110"/>
              <w:bottom w:type="dxa" w:w="60"/>
              <w:right w:type="dxa" w:w="110"/>
            </w:tcMar>
            <w:vAlign w:val="center"/>
          </w:tcPr>
          <w:p>
            <w:pPr>
              <w:jc w:val="right"/>
            </w:pPr>
            <w:r>
              <w:rPr>
                <w:sz w:val="18"/>
                <w:szCs w:val="18"/>
              </w:rPr>
              <w:t xml:space="preserve">+</w:t>
            </w:r>
          </w:p>
        </w:tc>
        <w:tc>
          <w:tcPr>
            <w:tcW w:type="dxa" w:w="1400"/>
            <w:tcMar>
              <w:top w:type="dxa" w:w="60"/>
              <w:left w:type="dxa" w:w="110"/>
              <w:bottom w:type="dxa" w:w="60"/>
              <w:right w:type="dxa" w:w="110"/>
            </w:tcMar>
            <w:vAlign w:val="center"/>
          </w:tcPr>
          <w:p>
            <w:pPr>
              <w:jc w:val="right"/>
            </w:pPr>
            <w:r>
              <w:rPr>
                <w:sz w:val="18"/>
                <w:szCs w:val="18"/>
              </w:rPr>
              <w:t xml:space="preserve">+0.8%</w:t>
            </w:r>
          </w:p>
        </w:tc>
        <w:tc>
          <w:tcPr>
            <w:tcW w:type="dxa" w:w="3700"/>
            <w:tcMar>
              <w:top w:type="dxa" w:w="60"/>
              <w:left w:type="dxa" w:w="110"/>
              <w:bottom w:type="dxa" w:w="60"/>
              <w:right w:type="dxa" w:w="110"/>
            </w:tcMar>
            <w:vAlign w:val="center"/>
          </w:tcPr>
          <w:p>
            <w:pPr>
              <w:jc w:val="right"/>
            </w:pPr>
            <w:r>
              <w:rPr>
                <w:sz w:val="18"/>
                <w:szCs w:val="18"/>
              </w:rPr>
              <w:t xml:space="preserve">volume growth across Water &amp; Food</w:t>
            </w:r>
          </w:p>
        </w:tc>
      </w:tr>
      <w:tr>
        <w:tc>
          <w:tcPr>
            <w:tcW w:type="dxa" w:w="3560"/>
            <w:tcMar>
              <w:top w:type="dxa" w:w="60"/>
              <w:left w:type="dxa" w:w="110"/>
              <w:bottom w:type="dxa" w:w="60"/>
              <w:right w:type="dxa" w:w="110"/>
            </w:tcMar>
            <w:vAlign w:val="center"/>
          </w:tcPr>
          <w:p>
            <w:pPr>
              <w:jc w:val="left"/>
            </w:pPr>
            <w:r>
              <w:rPr>
                <w:sz w:val="18"/>
                <w:szCs w:val="18"/>
              </w:rPr>
              <w:t xml:space="preserve">Snacking reset execution / Abu Auf momentum</w:t>
            </w:r>
          </w:p>
        </w:tc>
        <w:tc>
          <w:tcPr>
            <w:tcW w:type="dxa" w:w="700"/>
            <w:tcMar>
              <w:top w:type="dxa" w:w="60"/>
              <w:left w:type="dxa" w:w="110"/>
              <w:bottom w:type="dxa" w:w="60"/>
              <w:right w:type="dxa" w:w="110"/>
            </w:tcMar>
            <w:vAlign w:val="center"/>
          </w:tcPr>
          <w:p>
            <w:pPr>
              <w:jc w:val="right"/>
            </w:pPr>
            <w:r>
              <w:rPr>
                <w:sz w:val="18"/>
                <w:szCs w:val="18"/>
              </w:rPr>
              <w:t xml:space="preserve">+</w:t>
            </w:r>
          </w:p>
        </w:tc>
        <w:tc>
          <w:tcPr>
            <w:tcW w:type="dxa" w:w="1400"/>
            <w:tcMar>
              <w:top w:type="dxa" w:w="60"/>
              <w:left w:type="dxa" w:w="110"/>
              <w:bottom w:type="dxa" w:w="60"/>
              <w:right w:type="dxa" w:w="110"/>
            </w:tcMar>
            <w:vAlign w:val="center"/>
          </w:tcPr>
          <w:p>
            <w:pPr>
              <w:jc w:val="right"/>
            </w:pPr>
            <w:r>
              <w:rPr>
                <w:sz w:val="18"/>
                <w:szCs w:val="18"/>
              </w:rPr>
              <w:t xml:space="preserve">+0.6%</w:t>
            </w:r>
          </w:p>
        </w:tc>
        <w:tc>
          <w:tcPr>
            <w:tcW w:type="dxa" w:w="3700"/>
            <w:tcMar>
              <w:top w:type="dxa" w:w="60"/>
              <w:left w:type="dxa" w:w="110"/>
              <w:bottom w:type="dxa" w:w="60"/>
              <w:right w:type="dxa" w:w="110"/>
            </w:tcMar>
            <w:vAlign w:val="center"/>
          </w:tcPr>
          <w:p>
            <w:pPr>
              <w:jc w:val="right"/>
            </w:pPr>
            <w:r>
              <w:rPr>
                <w:sz w:val="18"/>
                <w:szCs w:val="18"/>
              </w:rPr>
              <w:t xml:space="preserve">margin-recovery evidence</w:t>
            </w:r>
          </w:p>
        </w:tc>
      </w:tr>
      <w:tr>
        <w:tc>
          <w:tcPr>
            <w:tcW w:type="dxa" w:w="3560"/>
            <w:tcMar>
              <w:top w:type="dxa" w:w="60"/>
              <w:left w:type="dxa" w:w="110"/>
              <w:bottom w:type="dxa" w:w="60"/>
              <w:right w:type="dxa" w:w="110"/>
            </w:tcMar>
            <w:vAlign w:val="center"/>
          </w:tcPr>
          <w:p>
            <w:pPr>
              <w:jc w:val="left"/>
            </w:pPr>
            <w:r>
              <w:rPr>
                <w:sz w:val="18"/>
                <w:szCs w:val="18"/>
              </w:rPr>
              <w:t xml:space="preserve">Input-commodity basket (wheat, green coffee, PET)</w:t>
            </w:r>
          </w:p>
        </w:tc>
        <w:tc>
          <w:tcPr>
            <w:tcW w:type="dxa" w:w="700"/>
            <w:tcMar>
              <w:top w:type="dxa" w:w="60"/>
              <w:left w:type="dxa" w:w="110"/>
              <w:bottom w:type="dxa" w:w="60"/>
              <w:right w:type="dxa" w:w="110"/>
            </w:tcMar>
            <w:vAlign w:val="center"/>
          </w:tcPr>
          <w:p>
            <w:pPr>
              <w:jc w:val="right"/>
            </w:pPr>
            <w:r>
              <w:rPr>
                <w:sz w:val="18"/>
                <w:szCs w:val="18"/>
              </w:rPr>
              <w:t xml:space="preserve">-</w:t>
            </w:r>
          </w:p>
        </w:tc>
        <w:tc>
          <w:tcPr>
            <w:tcW w:type="dxa" w:w="1400"/>
            <w:tcMar>
              <w:top w:type="dxa" w:w="60"/>
              <w:left w:type="dxa" w:w="110"/>
              <w:bottom w:type="dxa" w:w="60"/>
              <w:right w:type="dxa" w:w="110"/>
            </w:tcMar>
            <w:vAlign w:val="center"/>
          </w:tcPr>
          <w:p>
            <w:pPr>
              <w:jc w:val="right"/>
            </w:pPr>
            <w:r>
              <w:rPr>
                <w:sz w:val="18"/>
                <w:szCs w:val="18"/>
              </w:rPr>
              <w:t xml:space="preserve">-0.8%</w:t>
            </w:r>
          </w:p>
        </w:tc>
        <w:tc>
          <w:tcPr>
            <w:tcW w:type="dxa" w:w="3700"/>
            <w:tcMar>
              <w:top w:type="dxa" w:w="60"/>
              <w:left w:type="dxa" w:w="110"/>
              <w:bottom w:type="dxa" w:w="60"/>
              <w:right w:type="dxa" w:w="110"/>
            </w:tcMar>
            <w:vAlign w:val="center"/>
          </w:tcPr>
          <w:p>
            <w:pPr>
              <w:jc w:val="right"/>
            </w:pPr>
            <w:r>
              <w:rPr>
                <w:sz w:val="18"/>
                <w:szCs w:val="18"/>
              </w:rPr>
              <w:t xml:space="preserve">gross-margin squeeze channel</w:t>
            </w:r>
          </w:p>
        </w:tc>
      </w:tr>
      <w:tr>
        <w:tc>
          <w:tcPr>
            <w:tcW w:type="dxa" w:w="3560"/>
            <w:tcMar>
              <w:top w:type="dxa" w:w="60"/>
              <w:left w:type="dxa" w:w="110"/>
              <w:bottom w:type="dxa" w:w="60"/>
              <w:right w:type="dxa" w:w="110"/>
            </w:tcMar>
            <w:vAlign w:val="center"/>
          </w:tcPr>
          <w:p>
            <w:pPr>
              <w:jc w:val="left"/>
            </w:pPr>
            <w:r>
              <w:rPr>
                <w:sz w:val="18"/>
                <w:szCs w:val="18"/>
              </w:rPr>
              <w:t xml:space="preserve">EGP &amp; JOD translation</w:t>
            </w:r>
          </w:p>
        </w:tc>
        <w:tc>
          <w:tcPr>
            <w:tcW w:type="dxa" w:w="700"/>
            <w:tcMar>
              <w:top w:type="dxa" w:w="60"/>
              <w:left w:type="dxa" w:w="110"/>
              <w:bottom w:type="dxa" w:w="60"/>
              <w:right w:type="dxa" w:w="110"/>
            </w:tcMar>
            <w:vAlign w:val="center"/>
          </w:tcPr>
          <w:p>
            <w:pPr>
              <w:jc w:val="right"/>
            </w:pPr>
            <w:r>
              <w:rPr>
                <w:sz w:val="18"/>
                <w:szCs w:val="18"/>
              </w:rPr>
              <w:t xml:space="preserve">-</w:t>
            </w:r>
          </w:p>
        </w:tc>
        <w:tc>
          <w:tcPr>
            <w:tcW w:type="dxa" w:w="1400"/>
            <w:tcMar>
              <w:top w:type="dxa" w:w="60"/>
              <w:left w:type="dxa" w:w="110"/>
              <w:bottom w:type="dxa" w:w="60"/>
              <w:right w:type="dxa" w:w="110"/>
            </w:tcMar>
            <w:vAlign w:val="center"/>
          </w:tcPr>
          <w:p>
            <w:pPr>
              <w:jc w:val="right"/>
            </w:pPr>
            <w:r>
              <w:rPr>
                <w:sz w:val="18"/>
                <w:szCs w:val="18"/>
              </w:rPr>
              <w:t xml:space="preserve">-0.5%</w:t>
            </w:r>
          </w:p>
        </w:tc>
        <w:tc>
          <w:tcPr>
            <w:tcW w:type="dxa" w:w="3700"/>
            <w:tcMar>
              <w:top w:type="dxa" w:w="60"/>
              <w:left w:type="dxa" w:w="110"/>
              <w:bottom w:type="dxa" w:w="60"/>
              <w:right w:type="dxa" w:w="110"/>
            </w:tcMar>
            <w:vAlign w:val="center"/>
          </w:tcPr>
          <w:p>
            <w:pPr>
              <w:jc w:val="right"/>
            </w:pPr>
            <w:r>
              <w:rPr>
                <w:sz w:val="18"/>
                <w:szCs w:val="18"/>
              </w:rPr>
              <w:t xml:space="preserve">~1/4 of revenue reports in soft FX</w:t>
            </w:r>
          </w:p>
        </w:tc>
      </w:tr>
      <w:tr>
        <w:tc>
          <w:tcPr>
            <w:tcW w:type="dxa" w:w="3560"/>
            <w:tcMar>
              <w:top w:type="dxa" w:w="60"/>
              <w:left w:type="dxa" w:w="110"/>
              <w:bottom w:type="dxa" w:w="60"/>
              <w:right w:type="dxa" w:w="110"/>
            </w:tcMar>
            <w:vAlign w:val="center"/>
          </w:tcPr>
          <w:p>
            <w:pPr>
              <w:jc w:val="left"/>
            </w:pPr>
            <w:r>
              <w:rPr>
                <w:sz w:val="18"/>
                <w:szCs w:val="18"/>
              </w:rPr>
              <w:t xml:space="preserve">Water category competition &amp; summer season</w:t>
            </w:r>
          </w:p>
        </w:tc>
        <w:tc>
          <w:tcPr>
            <w:tcW w:type="dxa" w:w="700"/>
            <w:tcMar>
              <w:top w:type="dxa" w:w="60"/>
              <w:left w:type="dxa" w:w="110"/>
              <w:bottom w:type="dxa" w:w="60"/>
              <w:right w:type="dxa" w:w="110"/>
            </w:tcMar>
            <w:vAlign w:val="center"/>
          </w:tcPr>
          <w:p>
            <w:pPr>
              <w:jc w:val="right"/>
            </w:pPr>
            <w:r>
              <w:rPr>
                <w:sz w:val="18"/>
                <w:szCs w:val="18"/>
              </w:rPr>
              <w:t xml:space="preserve">+</w:t>
            </w:r>
          </w:p>
        </w:tc>
        <w:tc>
          <w:tcPr>
            <w:tcW w:type="dxa" w:w="1400"/>
            <w:tcMar>
              <w:top w:type="dxa" w:w="60"/>
              <w:left w:type="dxa" w:w="110"/>
              <w:bottom w:type="dxa" w:w="60"/>
              <w:right w:type="dxa" w:w="110"/>
            </w:tcMar>
            <w:vAlign w:val="center"/>
          </w:tcPr>
          <w:p>
            <w:pPr>
              <w:jc w:val="right"/>
            </w:pPr>
            <w:r>
              <w:rPr>
                <w:sz w:val="18"/>
                <w:szCs w:val="18"/>
              </w:rPr>
              <w:t xml:space="preserve">+0.5%</w:t>
            </w:r>
          </w:p>
        </w:tc>
        <w:tc>
          <w:tcPr>
            <w:tcW w:type="dxa" w:w="3700"/>
            <w:tcMar>
              <w:top w:type="dxa" w:w="60"/>
              <w:left w:type="dxa" w:w="110"/>
              <w:bottom w:type="dxa" w:w="60"/>
              <w:right w:type="dxa" w:w="110"/>
            </w:tcMar>
            <w:vAlign w:val="center"/>
          </w:tcPr>
          <w:p>
            <w:pPr>
              <w:jc w:val="right"/>
            </w:pPr>
            <w:r>
              <w:rPr>
                <w:sz w:val="18"/>
                <w:szCs w:val="18"/>
              </w:rPr>
              <w:t xml:space="preserve">Al Ain share and mix</w:t>
            </w:r>
          </w:p>
        </w:tc>
      </w:tr>
      <w:tr>
        <w:tc>
          <w:tcPr>
            <w:tcW w:type="dxa" w:w="3560"/>
            <w:tcMar>
              <w:top w:type="dxa" w:w="60"/>
              <w:left w:type="dxa" w:w="110"/>
              <w:bottom w:type="dxa" w:w="60"/>
              <w:right w:type="dxa" w:w="110"/>
            </w:tcMar>
            <w:vAlign w:val="center"/>
          </w:tcPr>
          <w:p>
            <w:pPr>
              <w:jc w:val="left"/>
            </w:pPr>
            <w:r>
              <w:rPr>
                <w:sz w:val="18"/>
                <w:szCs w:val="18"/>
              </w:rPr>
              <w:t xml:space="preserve">Rates / ADX liquidity &amp; regional flows</w:t>
            </w:r>
          </w:p>
        </w:tc>
        <w:tc>
          <w:tcPr>
            <w:tcW w:type="dxa" w:w="700"/>
            <w:tcMar>
              <w:top w:type="dxa" w:w="60"/>
              <w:left w:type="dxa" w:w="110"/>
              <w:bottom w:type="dxa" w:w="60"/>
              <w:right w:type="dxa" w:w="110"/>
            </w:tcMar>
            <w:vAlign w:val="center"/>
          </w:tcPr>
          <w:p>
            <w:pPr>
              <w:jc w:val="right"/>
            </w:pPr>
            <w:r>
              <w:rPr>
                <w:sz w:val="18"/>
                <w:szCs w:val="18"/>
              </w:rPr>
              <w:t xml:space="preserve">+</w:t>
            </w:r>
          </w:p>
        </w:tc>
        <w:tc>
          <w:tcPr>
            <w:tcW w:type="dxa" w:w="1400"/>
            <w:tcMar>
              <w:top w:type="dxa" w:w="60"/>
              <w:left w:type="dxa" w:w="110"/>
              <w:bottom w:type="dxa" w:w="60"/>
              <w:right w:type="dxa" w:w="110"/>
            </w:tcMar>
            <w:vAlign w:val="center"/>
          </w:tcPr>
          <w:p>
            <w:pPr>
              <w:jc w:val="right"/>
            </w:pPr>
            <w:r>
              <w:rPr>
                <w:sz w:val="18"/>
                <w:szCs w:val="18"/>
              </w:rPr>
              <w:t xml:space="preserve">+0.3%</w:t>
            </w:r>
          </w:p>
        </w:tc>
        <w:tc>
          <w:tcPr>
            <w:tcW w:type="dxa" w:w="3700"/>
            <w:tcMar>
              <w:top w:type="dxa" w:w="60"/>
              <w:left w:type="dxa" w:w="110"/>
              <w:bottom w:type="dxa" w:w="60"/>
              <w:right w:type="dxa" w:w="110"/>
            </w:tcMar>
            <w:vAlign w:val="center"/>
          </w:tcPr>
          <w:p>
            <w:pPr>
              <w:jc w:val="right"/>
            </w:pPr>
            <w:r>
              <w:rPr>
                <w:sz w:val="18"/>
                <w:szCs w:val="18"/>
              </w:rPr>
              <w:t xml:space="preserve">yield-name bid as rates ease</w:t>
            </w:r>
          </w:p>
        </w:tc>
      </w:tr>
      <w:tr>
        <w:tc>
          <w:tcPr>
            <w:tcW w:type="dxa" w:w="3560"/>
            <w:tcMar>
              <w:top w:type="dxa" w:w="60"/>
              <w:left w:type="dxa" w:w="110"/>
              <w:bottom w:type="dxa" w:w="60"/>
              <w:right w:type="dxa" w:w="110"/>
            </w:tcMar>
            <w:vAlign w:val="center"/>
          </w:tcPr>
          <w:p>
            <w:pPr>
              <w:jc w:val="left"/>
            </w:pPr>
            <w:r>
              <w:rPr>
                <w:sz w:val="18"/>
                <w:szCs w:val="18"/>
              </w:rPr>
              <w:t xml:space="preserve">Red Sea logistics &amp; freight costs</w:t>
            </w:r>
          </w:p>
        </w:tc>
        <w:tc>
          <w:tcPr>
            <w:tcW w:type="dxa" w:w="700"/>
            <w:tcMar>
              <w:top w:type="dxa" w:w="60"/>
              <w:left w:type="dxa" w:w="110"/>
              <w:bottom w:type="dxa" w:w="60"/>
              <w:right w:type="dxa" w:w="110"/>
            </w:tcMar>
            <w:vAlign w:val="center"/>
          </w:tcPr>
          <w:p>
            <w:pPr>
              <w:jc w:val="right"/>
            </w:pPr>
            <w:r>
              <w:rPr>
                <w:sz w:val="18"/>
                <w:szCs w:val="18"/>
              </w:rPr>
              <w:t xml:space="preserve">-</w:t>
            </w:r>
          </w:p>
        </w:tc>
        <w:tc>
          <w:tcPr>
            <w:tcW w:type="dxa" w:w="1400"/>
            <w:tcMar>
              <w:top w:type="dxa" w:w="60"/>
              <w:left w:type="dxa" w:w="110"/>
              <w:bottom w:type="dxa" w:w="60"/>
              <w:right w:type="dxa" w:w="110"/>
            </w:tcMar>
            <w:vAlign w:val="center"/>
          </w:tcPr>
          <w:p>
            <w:pPr>
              <w:jc w:val="right"/>
            </w:pPr>
            <w:r>
              <w:rPr>
                <w:sz w:val="18"/>
                <w:szCs w:val="18"/>
              </w:rPr>
              <w:t xml:space="preserve">-0.4%</w:t>
            </w:r>
          </w:p>
        </w:tc>
        <w:tc>
          <w:tcPr>
            <w:tcW w:type="dxa" w:w="3700"/>
            <w:tcMar>
              <w:top w:type="dxa" w:w="60"/>
              <w:left w:type="dxa" w:w="110"/>
              <w:bottom w:type="dxa" w:w="60"/>
              <w:right w:type="dxa" w:w="110"/>
            </w:tcMar>
            <w:vAlign w:val="center"/>
          </w:tcPr>
          <w:p>
            <w:pPr>
              <w:jc w:val="right"/>
            </w:pPr>
            <w:r>
              <w:rPr>
                <w:sz w:val="18"/>
                <w:szCs w:val="18"/>
              </w:rPr>
              <w:t xml:space="preserve">import/export cost drag</w:t>
            </w:r>
          </w:p>
        </w:tc>
      </w:tr>
      <w:tr>
        <w:tc>
          <w:tcPr>
            <w:tcW w:type="dxa" w:w="3560"/>
            <w:tcMar>
              <w:top w:type="dxa" w:w="60"/>
              <w:left w:type="dxa" w:w="110"/>
              <w:bottom w:type="dxa" w:w="60"/>
              <w:right w:type="dxa" w:w="110"/>
            </w:tcMar>
            <w:vAlign w:val="center"/>
          </w:tcPr>
          <w:p>
            <w:pPr>
              <w:jc w:val="left"/>
            </w:pPr>
            <w:r>
              <w:rPr>
                <w:b/>
                <w:bCs/>
                <w:sz w:val="18"/>
                <w:szCs w:val="18"/>
              </w:rPr>
              <w:t xml:space="preserve">Net continuous tilt</w:t>
            </w:r>
          </w:p>
        </w:tc>
        <w:tc>
          <w:tcPr>
            <w:tcW w:type="dxa" w:w="700"/>
            <w:tcMar>
              <w:top w:type="dxa" w:w="60"/>
              <w:left w:type="dxa" w:w="110"/>
              <w:bottom w:type="dxa" w:w="60"/>
              <w:right w:type="dxa" w:w="110"/>
            </w:tcMar>
            <w:vAlign w:val="center"/>
          </w:tcPr>
          <w:p>
            <w:pPr>
              <w:jc w:val="right"/>
            </w:pPr>
          </w:p>
        </w:tc>
        <w:tc>
          <w:tcPr>
            <w:tcW w:type="dxa" w:w="1400"/>
            <w:tcMar>
              <w:top w:type="dxa" w:w="60"/>
              <w:left w:type="dxa" w:w="110"/>
              <w:bottom w:type="dxa" w:w="60"/>
              <w:right w:type="dxa" w:w="110"/>
            </w:tcMar>
            <w:vAlign w:val="center"/>
          </w:tcPr>
          <w:p>
            <w:pPr>
              <w:jc w:val="right"/>
            </w:pPr>
            <w:r>
              <w:rPr>
                <w:b/>
                <w:bCs/>
                <w:sz w:val="18"/>
                <w:szCs w:val="18"/>
              </w:rPr>
              <w:t xml:space="preserve">+0.8%</w:t>
            </w:r>
          </w:p>
        </w:tc>
        <w:tc>
          <w:tcPr>
            <w:tcW w:type="dxa" w:w="3700"/>
            <w:tcMar>
              <w:top w:type="dxa" w:w="60"/>
              <w:left w:type="dxa" w:w="110"/>
              <w:bottom w:type="dxa" w:w="60"/>
              <w:right w:type="dxa" w:w="110"/>
            </w:tcMar>
            <w:vAlign w:val="center"/>
          </w:tcPr>
          <w:p>
            <w:pPr>
              <w:jc w:val="right"/>
            </w:pPr>
          </w:p>
        </w:tc>
      </w:tr>
    </w:tbl>
    <w:p>
      <w:pPr>
        <w:spacing w:after="60"/>
      </w:pP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4360"/>
        <w:gridCol w:w="1300"/>
        <w:gridCol w:w="1900"/>
        <w:gridCol w:w="1800"/>
      </w:tblGrid>
      <w:tr>
        <w:tc>
          <w:tcPr>
            <w:tcW w:type="dxa" w:w="4360"/>
            <w:shd w:fill="1C3A36" w:val="clear"/>
            <w:tcMar>
              <w:top w:type="dxa" w:w="60"/>
              <w:left w:type="dxa" w:w="110"/>
              <w:bottom w:type="dxa" w:w="60"/>
              <w:right w:type="dxa" w:w="110"/>
            </w:tcMar>
            <w:vAlign w:val="center"/>
          </w:tcPr>
          <w:p>
            <w:pPr>
              <w:jc w:val="left"/>
            </w:pPr>
            <w:r>
              <w:rPr>
                <w:b/>
                <w:bCs/>
                <w:color w:val="FFFFFF"/>
                <w:sz w:val="18"/>
                <w:szCs w:val="18"/>
              </w:rPr>
              <w:t xml:space="preserve">Discrete factor (9)</w:t>
            </w:r>
          </w:p>
        </w:tc>
        <w:tc>
          <w:tcPr>
            <w:tcW w:type="dxa" w:w="1300"/>
            <w:shd w:fill="1C3A36" w:val="clear"/>
            <w:tcMar>
              <w:top w:type="dxa" w:w="60"/>
              <w:left w:type="dxa" w:w="110"/>
              <w:bottom w:type="dxa" w:w="60"/>
              <w:right w:type="dxa" w:w="110"/>
            </w:tcMar>
            <w:vAlign w:val="center"/>
          </w:tcPr>
          <w:p>
            <w:pPr>
              <w:jc w:val="center"/>
            </w:pPr>
            <w:r>
              <w:rPr>
                <w:b/>
                <w:bCs/>
                <w:color w:val="FFFFFF"/>
                <w:sz w:val="18"/>
                <w:szCs w:val="18"/>
              </w:rPr>
              <w:t xml:space="preserve">P(hit)</w:t>
            </w:r>
          </w:p>
        </w:tc>
        <w:tc>
          <w:tcPr>
            <w:tcW w:type="dxa" w:w="1900"/>
            <w:shd w:fill="1C3A36" w:val="clear"/>
            <w:tcMar>
              <w:top w:type="dxa" w:w="60"/>
              <w:left w:type="dxa" w:w="110"/>
              <w:bottom w:type="dxa" w:w="60"/>
              <w:right w:type="dxa" w:w="110"/>
            </w:tcMar>
            <w:vAlign w:val="center"/>
          </w:tcPr>
          <w:p>
            <w:pPr>
              <w:jc w:val="center"/>
            </w:pPr>
            <w:r>
              <w:rPr>
                <w:b/>
                <w:bCs/>
                <w:color w:val="FFFFFF"/>
                <w:sz w:val="18"/>
                <w:szCs w:val="18"/>
              </w:rPr>
              <w:t xml:space="preserve">Mean impact</w:t>
            </w:r>
          </w:p>
        </w:tc>
        <w:tc>
          <w:tcPr>
            <w:tcW w:type="dxa" w:w="1800"/>
            <w:shd w:fill="1C3A36" w:val="clear"/>
            <w:tcMar>
              <w:top w:type="dxa" w:w="60"/>
              <w:left w:type="dxa" w:w="110"/>
              <w:bottom w:type="dxa" w:w="60"/>
              <w:right w:type="dxa" w:w="110"/>
            </w:tcMar>
            <w:vAlign w:val="center"/>
          </w:tcPr>
          <w:p>
            <w:pPr>
              <w:jc w:val="center"/>
            </w:pPr>
            <w:r>
              <w:rPr>
                <w:b/>
                <w:bCs/>
                <w:color w:val="FFFFFF"/>
                <w:sz w:val="18"/>
                <w:szCs w:val="18"/>
              </w:rPr>
              <w:t xml:space="preserve">σ</w:t>
            </w:r>
          </w:p>
        </w:tc>
      </w:tr>
      <w:tr>
        <w:tc>
          <w:tcPr>
            <w:tcW w:type="dxa" w:w="4360"/>
            <w:tcMar>
              <w:top w:type="dxa" w:w="60"/>
              <w:left w:type="dxa" w:w="110"/>
              <w:bottom w:type="dxa" w:w="60"/>
              <w:right w:type="dxa" w:w="110"/>
            </w:tcMar>
            <w:vAlign w:val="center"/>
          </w:tcPr>
          <w:p>
            <w:pPr>
              <w:jc w:val="left"/>
            </w:pPr>
            <w:r>
              <w:rPr>
                <w:sz w:val="18"/>
                <w:szCs w:val="18"/>
              </w:rPr>
              <w:t xml:space="preserve">Q2 2026 results (early Aug)</w:t>
            </w:r>
          </w:p>
        </w:tc>
        <w:tc>
          <w:tcPr>
            <w:tcW w:type="dxa" w:w="1300"/>
            <w:tcMar>
              <w:top w:type="dxa" w:w="60"/>
              <w:left w:type="dxa" w:w="110"/>
              <w:bottom w:type="dxa" w:w="60"/>
              <w:right w:type="dxa" w:w="110"/>
            </w:tcMar>
            <w:vAlign w:val="center"/>
          </w:tcPr>
          <w:p>
            <w:pPr>
              <w:jc w:val="right"/>
            </w:pPr>
            <w:r>
              <w:rPr>
                <w:sz w:val="18"/>
                <w:szCs w:val="18"/>
              </w:rPr>
              <w:t xml:space="preserve">85%</w:t>
            </w:r>
          </w:p>
        </w:tc>
        <w:tc>
          <w:tcPr>
            <w:tcW w:type="dxa" w:w="1900"/>
            <w:tcMar>
              <w:top w:type="dxa" w:w="60"/>
              <w:left w:type="dxa" w:w="110"/>
              <w:bottom w:type="dxa" w:w="60"/>
              <w:right w:type="dxa" w:w="110"/>
            </w:tcMar>
            <w:vAlign w:val="center"/>
          </w:tcPr>
          <w:p>
            <w:pPr>
              <w:jc w:val="right"/>
            </w:pPr>
            <w:r>
              <w:rPr>
                <w:sz w:val="18"/>
                <w:szCs w:val="18"/>
              </w:rPr>
              <w:t xml:space="preserve">+0.5%</w:t>
            </w:r>
          </w:p>
        </w:tc>
        <w:tc>
          <w:tcPr>
            <w:tcW w:type="dxa" w:w="1800"/>
            <w:tcMar>
              <w:top w:type="dxa" w:w="60"/>
              <w:left w:type="dxa" w:w="110"/>
              <w:bottom w:type="dxa" w:w="60"/>
              <w:right w:type="dxa" w:w="110"/>
            </w:tcMar>
            <w:vAlign w:val="center"/>
          </w:tcPr>
          <w:p>
            <w:pPr>
              <w:jc w:val="right"/>
            </w:pPr>
            <w:r>
              <w:rPr>
                <w:sz w:val="18"/>
                <w:szCs w:val="18"/>
              </w:rPr>
              <w:t xml:space="preserve">2.0%</w:t>
            </w:r>
          </w:p>
        </w:tc>
      </w:tr>
      <w:tr>
        <w:tc>
          <w:tcPr>
            <w:tcW w:type="dxa" w:w="4360"/>
            <w:tcMar>
              <w:top w:type="dxa" w:w="60"/>
              <w:left w:type="dxa" w:w="110"/>
              <w:bottom w:type="dxa" w:w="60"/>
              <w:right w:type="dxa" w:w="110"/>
            </w:tcMar>
            <w:vAlign w:val="center"/>
          </w:tcPr>
          <w:p>
            <w:pPr>
              <w:jc w:val="left"/>
            </w:pPr>
            <w:r>
              <w:rPr>
                <w:sz w:val="18"/>
                <w:szCs w:val="18"/>
              </w:rPr>
              <w:t xml:space="preserve">H1-26 interim dividend step-up signal</w:t>
            </w:r>
          </w:p>
        </w:tc>
        <w:tc>
          <w:tcPr>
            <w:tcW w:type="dxa" w:w="1300"/>
            <w:tcMar>
              <w:top w:type="dxa" w:w="60"/>
              <w:left w:type="dxa" w:w="110"/>
              <w:bottom w:type="dxa" w:w="60"/>
              <w:right w:type="dxa" w:w="110"/>
            </w:tcMar>
            <w:vAlign w:val="center"/>
          </w:tcPr>
          <w:p>
            <w:pPr>
              <w:jc w:val="right"/>
            </w:pPr>
            <w:r>
              <w:rPr>
                <w:sz w:val="18"/>
                <w:szCs w:val="18"/>
              </w:rPr>
              <w:t xml:space="preserve">45%</w:t>
            </w:r>
          </w:p>
        </w:tc>
        <w:tc>
          <w:tcPr>
            <w:tcW w:type="dxa" w:w="1900"/>
            <w:tcMar>
              <w:top w:type="dxa" w:w="60"/>
              <w:left w:type="dxa" w:w="110"/>
              <w:bottom w:type="dxa" w:w="60"/>
              <w:right w:type="dxa" w:w="110"/>
            </w:tcMar>
            <w:vAlign w:val="center"/>
          </w:tcPr>
          <w:p>
            <w:pPr>
              <w:jc w:val="right"/>
            </w:pPr>
            <w:r>
              <w:rPr>
                <w:sz w:val="18"/>
                <w:szCs w:val="18"/>
              </w:rPr>
              <w:t xml:space="preserve">+1.0%</w:t>
            </w:r>
          </w:p>
        </w:tc>
        <w:tc>
          <w:tcPr>
            <w:tcW w:type="dxa" w:w="1800"/>
            <w:tcMar>
              <w:top w:type="dxa" w:w="60"/>
              <w:left w:type="dxa" w:w="110"/>
              <w:bottom w:type="dxa" w:w="60"/>
              <w:right w:type="dxa" w:w="110"/>
            </w:tcMar>
            <w:vAlign w:val="center"/>
          </w:tcPr>
          <w:p>
            <w:pPr>
              <w:jc w:val="right"/>
            </w:pPr>
            <w:r>
              <w:rPr>
                <w:sz w:val="18"/>
                <w:szCs w:val="18"/>
              </w:rPr>
              <w:t xml:space="preserve">1.0%</w:t>
            </w:r>
          </w:p>
        </w:tc>
      </w:tr>
      <w:tr>
        <w:tc>
          <w:tcPr>
            <w:tcW w:type="dxa" w:w="4360"/>
            <w:tcMar>
              <w:top w:type="dxa" w:w="60"/>
              <w:left w:type="dxa" w:w="110"/>
              <w:bottom w:type="dxa" w:w="60"/>
              <w:right w:type="dxa" w:w="110"/>
            </w:tcMar>
            <w:vAlign w:val="center"/>
          </w:tcPr>
          <w:p>
            <w:pPr>
              <w:jc w:val="left"/>
            </w:pPr>
            <w:r>
              <w:rPr>
                <w:sz w:val="18"/>
                <w:szCs w:val="18"/>
              </w:rPr>
              <w:t xml:space="preserve">Bolt-on M&amp;A / consolidation announcement</w:t>
            </w:r>
          </w:p>
        </w:tc>
        <w:tc>
          <w:tcPr>
            <w:tcW w:type="dxa" w:w="1300"/>
            <w:tcMar>
              <w:top w:type="dxa" w:w="60"/>
              <w:left w:type="dxa" w:w="110"/>
              <w:bottom w:type="dxa" w:w="60"/>
              <w:right w:type="dxa" w:w="110"/>
            </w:tcMar>
            <w:vAlign w:val="center"/>
          </w:tcPr>
          <w:p>
            <w:pPr>
              <w:jc w:val="right"/>
            </w:pPr>
            <w:r>
              <w:rPr>
                <w:sz w:val="18"/>
                <w:szCs w:val="18"/>
              </w:rPr>
              <w:t xml:space="preserve">25%</w:t>
            </w:r>
          </w:p>
        </w:tc>
        <w:tc>
          <w:tcPr>
            <w:tcW w:type="dxa" w:w="1900"/>
            <w:tcMar>
              <w:top w:type="dxa" w:w="60"/>
              <w:left w:type="dxa" w:w="110"/>
              <w:bottom w:type="dxa" w:w="60"/>
              <w:right w:type="dxa" w:w="110"/>
            </w:tcMar>
            <w:vAlign w:val="center"/>
          </w:tcPr>
          <w:p>
            <w:pPr>
              <w:jc w:val="right"/>
            </w:pPr>
            <w:r>
              <w:rPr>
                <w:sz w:val="18"/>
                <w:szCs w:val="18"/>
              </w:rPr>
              <w:t xml:space="preserve">+1.5%</w:t>
            </w:r>
          </w:p>
        </w:tc>
        <w:tc>
          <w:tcPr>
            <w:tcW w:type="dxa" w:w="1800"/>
            <w:tcMar>
              <w:top w:type="dxa" w:w="60"/>
              <w:left w:type="dxa" w:w="110"/>
              <w:bottom w:type="dxa" w:w="60"/>
              <w:right w:type="dxa" w:w="110"/>
            </w:tcMar>
            <w:vAlign w:val="center"/>
          </w:tcPr>
          <w:p>
            <w:pPr>
              <w:jc w:val="right"/>
            </w:pPr>
            <w:r>
              <w:rPr>
                <w:sz w:val="18"/>
                <w:szCs w:val="18"/>
              </w:rPr>
              <w:t xml:space="preserve">1.5%</w:t>
            </w:r>
          </w:p>
        </w:tc>
      </w:tr>
      <w:tr>
        <w:tc>
          <w:tcPr>
            <w:tcW w:type="dxa" w:w="4360"/>
            <w:tcMar>
              <w:top w:type="dxa" w:w="60"/>
              <w:left w:type="dxa" w:w="110"/>
              <w:bottom w:type="dxa" w:w="60"/>
              <w:right w:type="dxa" w:w="110"/>
            </w:tcMar>
            <w:vAlign w:val="center"/>
          </w:tcPr>
          <w:p>
            <w:pPr>
              <w:jc w:val="left"/>
            </w:pPr>
            <w:r>
              <w:rPr>
                <w:sz w:val="18"/>
                <w:szCs w:val="18"/>
              </w:rPr>
              <w:t xml:space="preserve">Commodity spike (coffee / wheat)</w:t>
            </w:r>
          </w:p>
        </w:tc>
        <w:tc>
          <w:tcPr>
            <w:tcW w:type="dxa" w:w="1300"/>
            <w:tcMar>
              <w:top w:type="dxa" w:w="60"/>
              <w:left w:type="dxa" w:w="110"/>
              <w:bottom w:type="dxa" w:w="60"/>
              <w:right w:type="dxa" w:w="110"/>
            </w:tcMar>
            <w:vAlign w:val="center"/>
          </w:tcPr>
          <w:p>
            <w:pPr>
              <w:jc w:val="right"/>
            </w:pPr>
            <w:r>
              <w:rPr>
                <w:sz w:val="18"/>
                <w:szCs w:val="18"/>
              </w:rPr>
              <w:t xml:space="preserve">25%</w:t>
            </w:r>
          </w:p>
        </w:tc>
        <w:tc>
          <w:tcPr>
            <w:tcW w:type="dxa" w:w="1900"/>
            <w:tcMar>
              <w:top w:type="dxa" w:w="60"/>
              <w:left w:type="dxa" w:w="110"/>
              <w:bottom w:type="dxa" w:w="60"/>
              <w:right w:type="dxa" w:w="110"/>
            </w:tcMar>
            <w:vAlign w:val="center"/>
          </w:tcPr>
          <w:p>
            <w:pPr>
              <w:jc w:val="right"/>
            </w:pPr>
            <w:r>
              <w:rPr>
                <w:sz w:val="18"/>
                <w:szCs w:val="18"/>
              </w:rPr>
              <w:t xml:space="preserve">-2.0%</w:t>
            </w:r>
          </w:p>
        </w:tc>
        <w:tc>
          <w:tcPr>
            <w:tcW w:type="dxa" w:w="1800"/>
            <w:tcMar>
              <w:top w:type="dxa" w:w="60"/>
              <w:left w:type="dxa" w:w="110"/>
              <w:bottom w:type="dxa" w:w="60"/>
              <w:right w:type="dxa" w:w="110"/>
            </w:tcMar>
            <w:vAlign w:val="center"/>
          </w:tcPr>
          <w:p>
            <w:pPr>
              <w:jc w:val="right"/>
            </w:pPr>
            <w:r>
              <w:rPr>
                <w:sz w:val="18"/>
                <w:szCs w:val="18"/>
              </w:rPr>
              <w:t xml:space="preserve">1.5%</w:t>
            </w:r>
          </w:p>
        </w:tc>
      </w:tr>
      <w:tr>
        <w:tc>
          <w:tcPr>
            <w:tcW w:type="dxa" w:w="4360"/>
            <w:tcMar>
              <w:top w:type="dxa" w:w="60"/>
              <w:left w:type="dxa" w:w="110"/>
              <w:bottom w:type="dxa" w:w="60"/>
              <w:right w:type="dxa" w:w="110"/>
            </w:tcMar>
            <w:vAlign w:val="center"/>
          </w:tcPr>
          <w:p>
            <w:pPr>
              <w:jc w:val="left"/>
            </w:pPr>
            <w:r>
              <w:rPr>
                <w:sz w:val="18"/>
                <w:szCs w:val="18"/>
              </w:rPr>
              <w:t xml:space="preserve">EGP devaluation step</w:t>
            </w:r>
          </w:p>
        </w:tc>
        <w:tc>
          <w:tcPr>
            <w:tcW w:type="dxa" w:w="1300"/>
            <w:tcMar>
              <w:top w:type="dxa" w:w="60"/>
              <w:left w:type="dxa" w:w="110"/>
              <w:bottom w:type="dxa" w:w="60"/>
              <w:right w:type="dxa" w:w="110"/>
            </w:tcMar>
            <w:vAlign w:val="center"/>
          </w:tcPr>
          <w:p>
            <w:pPr>
              <w:jc w:val="right"/>
            </w:pPr>
            <w:r>
              <w:rPr>
                <w:sz w:val="18"/>
                <w:szCs w:val="18"/>
              </w:rPr>
              <w:t xml:space="preserve">20%</w:t>
            </w:r>
          </w:p>
        </w:tc>
        <w:tc>
          <w:tcPr>
            <w:tcW w:type="dxa" w:w="1900"/>
            <w:tcMar>
              <w:top w:type="dxa" w:w="60"/>
              <w:left w:type="dxa" w:w="110"/>
              <w:bottom w:type="dxa" w:w="60"/>
              <w:right w:type="dxa" w:w="110"/>
            </w:tcMar>
            <w:vAlign w:val="center"/>
          </w:tcPr>
          <w:p>
            <w:pPr>
              <w:jc w:val="right"/>
            </w:pPr>
            <w:r>
              <w:rPr>
                <w:sz w:val="18"/>
                <w:szCs w:val="18"/>
              </w:rPr>
              <w:t xml:space="preserve">-1.5%</w:t>
            </w:r>
          </w:p>
        </w:tc>
        <w:tc>
          <w:tcPr>
            <w:tcW w:type="dxa" w:w="1800"/>
            <w:tcMar>
              <w:top w:type="dxa" w:w="60"/>
              <w:left w:type="dxa" w:w="110"/>
              <w:bottom w:type="dxa" w:w="60"/>
              <w:right w:type="dxa" w:w="110"/>
            </w:tcMar>
            <w:vAlign w:val="center"/>
          </w:tcPr>
          <w:p>
            <w:pPr>
              <w:jc w:val="right"/>
            </w:pPr>
            <w:r>
              <w:rPr>
                <w:sz w:val="18"/>
                <w:szCs w:val="18"/>
              </w:rPr>
              <w:t xml:space="preserve">1.5%</w:t>
            </w:r>
          </w:p>
        </w:tc>
      </w:tr>
      <w:tr>
        <w:tc>
          <w:tcPr>
            <w:tcW w:type="dxa" w:w="4360"/>
            <w:tcMar>
              <w:top w:type="dxa" w:w="60"/>
              <w:left w:type="dxa" w:w="110"/>
              <w:bottom w:type="dxa" w:w="60"/>
              <w:right w:type="dxa" w:w="110"/>
            </w:tcMar>
            <w:vAlign w:val="center"/>
          </w:tcPr>
          <w:p>
            <w:pPr>
              <w:jc w:val="left"/>
            </w:pPr>
            <w:r>
              <w:rPr>
                <w:sz w:val="18"/>
                <w:szCs w:val="18"/>
              </w:rPr>
              <w:t xml:space="preserve">Regional geopolitical / logistics escalation</w:t>
            </w:r>
          </w:p>
        </w:tc>
        <w:tc>
          <w:tcPr>
            <w:tcW w:type="dxa" w:w="1300"/>
            <w:tcMar>
              <w:top w:type="dxa" w:w="60"/>
              <w:left w:type="dxa" w:w="110"/>
              <w:bottom w:type="dxa" w:w="60"/>
              <w:right w:type="dxa" w:w="110"/>
            </w:tcMar>
            <w:vAlign w:val="center"/>
          </w:tcPr>
          <w:p>
            <w:pPr>
              <w:jc w:val="right"/>
            </w:pPr>
            <w:r>
              <w:rPr>
                <w:sz w:val="18"/>
                <w:szCs w:val="18"/>
              </w:rPr>
              <w:t xml:space="preserve">20%</w:t>
            </w:r>
          </w:p>
        </w:tc>
        <w:tc>
          <w:tcPr>
            <w:tcW w:type="dxa" w:w="1900"/>
            <w:tcMar>
              <w:top w:type="dxa" w:w="60"/>
              <w:left w:type="dxa" w:w="110"/>
              <w:bottom w:type="dxa" w:w="60"/>
              <w:right w:type="dxa" w:w="110"/>
            </w:tcMar>
            <w:vAlign w:val="center"/>
          </w:tcPr>
          <w:p>
            <w:pPr>
              <w:jc w:val="right"/>
            </w:pPr>
            <w:r>
              <w:rPr>
                <w:sz w:val="18"/>
                <w:szCs w:val="18"/>
              </w:rPr>
              <w:t xml:space="preserve">-2.5%</w:t>
            </w:r>
          </w:p>
        </w:tc>
        <w:tc>
          <w:tcPr>
            <w:tcW w:type="dxa" w:w="1800"/>
            <w:tcMar>
              <w:top w:type="dxa" w:w="60"/>
              <w:left w:type="dxa" w:w="110"/>
              <w:bottom w:type="dxa" w:w="60"/>
              <w:right w:type="dxa" w:w="110"/>
            </w:tcMar>
            <w:vAlign w:val="center"/>
          </w:tcPr>
          <w:p>
            <w:pPr>
              <w:jc w:val="right"/>
            </w:pPr>
            <w:r>
              <w:rPr>
                <w:sz w:val="18"/>
                <w:szCs w:val="18"/>
              </w:rPr>
              <w:t xml:space="preserve">2.0%</w:t>
            </w:r>
          </w:p>
        </w:tc>
      </w:tr>
      <w:tr>
        <w:tc>
          <w:tcPr>
            <w:tcW w:type="dxa" w:w="4360"/>
            <w:tcMar>
              <w:top w:type="dxa" w:w="60"/>
              <w:left w:type="dxa" w:w="110"/>
              <w:bottom w:type="dxa" w:w="60"/>
              <w:right w:type="dxa" w:w="110"/>
            </w:tcMar>
            <w:vAlign w:val="center"/>
          </w:tcPr>
          <w:p>
            <w:pPr>
              <w:jc w:val="left"/>
            </w:pPr>
            <w:r>
              <w:rPr>
                <w:sz w:val="18"/>
                <w:szCs w:val="18"/>
              </w:rPr>
              <w:t xml:space="preserve">KSA protein ramp / food-security contract win</w:t>
            </w:r>
          </w:p>
        </w:tc>
        <w:tc>
          <w:tcPr>
            <w:tcW w:type="dxa" w:w="1300"/>
            <w:tcMar>
              <w:top w:type="dxa" w:w="60"/>
              <w:left w:type="dxa" w:w="110"/>
              <w:bottom w:type="dxa" w:w="60"/>
              <w:right w:type="dxa" w:w="110"/>
            </w:tcMar>
            <w:vAlign w:val="center"/>
          </w:tcPr>
          <w:p>
            <w:pPr>
              <w:jc w:val="right"/>
            </w:pPr>
            <w:r>
              <w:rPr>
                <w:sz w:val="18"/>
                <w:szCs w:val="18"/>
              </w:rPr>
              <w:t xml:space="preserve">30%</w:t>
            </w:r>
          </w:p>
        </w:tc>
        <w:tc>
          <w:tcPr>
            <w:tcW w:type="dxa" w:w="1900"/>
            <w:tcMar>
              <w:top w:type="dxa" w:w="60"/>
              <w:left w:type="dxa" w:w="110"/>
              <w:bottom w:type="dxa" w:w="60"/>
              <w:right w:type="dxa" w:w="110"/>
            </w:tcMar>
            <w:vAlign w:val="center"/>
          </w:tcPr>
          <w:p>
            <w:pPr>
              <w:jc w:val="right"/>
            </w:pPr>
            <w:r>
              <w:rPr>
                <w:sz w:val="18"/>
                <w:szCs w:val="18"/>
              </w:rPr>
              <w:t xml:space="preserve">+1.5%</w:t>
            </w:r>
          </w:p>
        </w:tc>
        <w:tc>
          <w:tcPr>
            <w:tcW w:type="dxa" w:w="1800"/>
            <w:tcMar>
              <w:top w:type="dxa" w:w="60"/>
              <w:left w:type="dxa" w:w="110"/>
              <w:bottom w:type="dxa" w:w="60"/>
              <w:right w:type="dxa" w:w="110"/>
            </w:tcMar>
            <w:vAlign w:val="center"/>
          </w:tcPr>
          <w:p>
            <w:pPr>
              <w:jc w:val="right"/>
            </w:pPr>
            <w:r>
              <w:rPr>
                <w:sz w:val="18"/>
                <w:szCs w:val="18"/>
              </w:rPr>
              <w:t xml:space="preserve">1.0%</w:t>
            </w:r>
          </w:p>
        </w:tc>
      </w:tr>
      <w:tr>
        <w:tc>
          <w:tcPr>
            <w:tcW w:type="dxa" w:w="4360"/>
            <w:tcMar>
              <w:top w:type="dxa" w:w="60"/>
              <w:left w:type="dxa" w:w="110"/>
              <w:bottom w:type="dxa" w:w="60"/>
              <w:right w:type="dxa" w:w="110"/>
            </w:tcMar>
            <w:vAlign w:val="center"/>
          </w:tcPr>
          <w:p>
            <w:pPr>
              <w:jc w:val="left"/>
            </w:pPr>
            <w:r>
              <w:rPr>
                <w:sz w:val="18"/>
                <w:szCs w:val="18"/>
              </w:rPr>
              <w:t xml:space="preserve">Snacking reset disappointment (Al Foah / BMB)</w:t>
            </w:r>
          </w:p>
        </w:tc>
        <w:tc>
          <w:tcPr>
            <w:tcW w:type="dxa" w:w="1300"/>
            <w:tcMar>
              <w:top w:type="dxa" w:w="60"/>
              <w:left w:type="dxa" w:w="110"/>
              <w:bottom w:type="dxa" w:w="60"/>
              <w:right w:type="dxa" w:w="110"/>
            </w:tcMar>
            <w:vAlign w:val="center"/>
          </w:tcPr>
          <w:p>
            <w:pPr>
              <w:jc w:val="right"/>
            </w:pPr>
            <w:r>
              <w:rPr>
                <w:sz w:val="18"/>
                <w:szCs w:val="18"/>
              </w:rPr>
              <w:t xml:space="preserve">20%</w:t>
            </w:r>
          </w:p>
        </w:tc>
        <w:tc>
          <w:tcPr>
            <w:tcW w:type="dxa" w:w="1900"/>
            <w:tcMar>
              <w:top w:type="dxa" w:w="60"/>
              <w:left w:type="dxa" w:w="110"/>
              <w:bottom w:type="dxa" w:w="60"/>
              <w:right w:type="dxa" w:w="110"/>
            </w:tcMar>
            <w:vAlign w:val="center"/>
          </w:tcPr>
          <w:p>
            <w:pPr>
              <w:jc w:val="right"/>
            </w:pPr>
            <w:r>
              <w:rPr>
                <w:sz w:val="18"/>
                <w:szCs w:val="18"/>
              </w:rPr>
              <w:t xml:space="preserve">-2.0%</w:t>
            </w:r>
          </w:p>
        </w:tc>
        <w:tc>
          <w:tcPr>
            <w:tcW w:type="dxa" w:w="1800"/>
            <w:tcMar>
              <w:top w:type="dxa" w:w="60"/>
              <w:left w:type="dxa" w:w="110"/>
              <w:bottom w:type="dxa" w:w="60"/>
              <w:right w:type="dxa" w:w="110"/>
            </w:tcMar>
            <w:vAlign w:val="center"/>
          </w:tcPr>
          <w:p>
            <w:pPr>
              <w:jc w:val="right"/>
            </w:pPr>
            <w:r>
              <w:rPr>
                <w:sz w:val="18"/>
                <w:szCs w:val="18"/>
              </w:rPr>
              <w:t xml:space="preserve">1.5%</w:t>
            </w:r>
          </w:p>
        </w:tc>
      </w:tr>
      <w:tr>
        <w:tc>
          <w:tcPr>
            <w:tcW w:type="dxa" w:w="4360"/>
            <w:tcMar>
              <w:top w:type="dxa" w:w="60"/>
              <w:left w:type="dxa" w:w="110"/>
              <w:bottom w:type="dxa" w:w="60"/>
              <w:right w:type="dxa" w:w="110"/>
            </w:tcMar>
            <w:vAlign w:val="center"/>
          </w:tcPr>
          <w:p>
            <w:pPr>
              <w:jc w:val="left"/>
            </w:pPr>
            <w:r>
              <w:rPr>
                <w:sz w:val="18"/>
                <w:szCs w:val="18"/>
              </w:rPr>
              <w:t xml:space="preserve">ADQ corporate action / index-flow event</w:t>
            </w:r>
          </w:p>
        </w:tc>
        <w:tc>
          <w:tcPr>
            <w:tcW w:type="dxa" w:w="1300"/>
            <w:tcMar>
              <w:top w:type="dxa" w:w="60"/>
              <w:left w:type="dxa" w:w="110"/>
              <w:bottom w:type="dxa" w:w="60"/>
              <w:right w:type="dxa" w:w="110"/>
            </w:tcMar>
            <w:vAlign w:val="center"/>
          </w:tcPr>
          <w:p>
            <w:pPr>
              <w:jc w:val="right"/>
            </w:pPr>
            <w:r>
              <w:rPr>
                <w:sz w:val="18"/>
                <w:szCs w:val="18"/>
              </w:rPr>
              <w:t xml:space="preserve">15%</w:t>
            </w:r>
          </w:p>
        </w:tc>
        <w:tc>
          <w:tcPr>
            <w:tcW w:type="dxa" w:w="1900"/>
            <w:tcMar>
              <w:top w:type="dxa" w:w="60"/>
              <w:left w:type="dxa" w:w="110"/>
              <w:bottom w:type="dxa" w:w="60"/>
              <w:right w:type="dxa" w:w="110"/>
            </w:tcMar>
            <w:vAlign w:val="center"/>
          </w:tcPr>
          <w:p>
            <w:pPr>
              <w:jc w:val="right"/>
            </w:pPr>
            <w:r>
              <w:rPr>
                <w:sz w:val="18"/>
                <w:szCs w:val="18"/>
              </w:rPr>
              <w:t xml:space="preserve">+2.0%</w:t>
            </w:r>
          </w:p>
        </w:tc>
        <w:tc>
          <w:tcPr>
            <w:tcW w:type="dxa" w:w="1800"/>
            <w:tcMar>
              <w:top w:type="dxa" w:w="60"/>
              <w:left w:type="dxa" w:w="110"/>
              <w:bottom w:type="dxa" w:w="60"/>
              <w:right w:type="dxa" w:w="110"/>
            </w:tcMar>
            <w:vAlign w:val="center"/>
          </w:tcPr>
          <w:p>
            <w:pPr>
              <w:jc w:val="right"/>
            </w:pPr>
            <w:r>
              <w:rPr>
                <w:sz w:val="18"/>
                <w:szCs w:val="18"/>
              </w:rPr>
              <w:t xml:space="preserve">2.0%</w:t>
            </w:r>
          </w:p>
        </w:tc>
      </w:tr>
    </w:tbl>
    <w:p>
      <w:pPr>
        <w:spacing w:after="60"/>
      </w:pP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360"/>
        <w:gridCol w:w="1400"/>
        <w:gridCol w:w="1400"/>
        <w:gridCol w:w="1400"/>
        <w:gridCol w:w="1400"/>
        <w:gridCol w:w="1400"/>
      </w:tblGrid>
      <w:tr>
        <w:tc>
          <w:tcPr>
            <w:tcW w:type="dxa" w:w="2360"/>
            <w:shd w:fill="1C3A36" w:val="clear"/>
            <w:tcMar>
              <w:top w:type="dxa" w:w="60"/>
              <w:left w:type="dxa" w:w="110"/>
              <w:bottom w:type="dxa" w:w="60"/>
              <w:right w:type="dxa" w:w="110"/>
            </w:tcMar>
            <w:vAlign w:val="center"/>
          </w:tcPr>
          <w:p>
            <w:pPr>
              <w:jc w:val="left"/>
            </w:pPr>
            <w:r>
              <w:rPr>
                <w:b/>
                <w:bCs/>
                <w:color w:val="FFFFFF"/>
                <w:sz w:val="18"/>
                <w:szCs w:val="18"/>
              </w:rPr>
              <w:t xml:space="preserve">Horizon</w:t>
            </w:r>
          </w:p>
        </w:tc>
        <w:tc>
          <w:tcPr>
            <w:tcW w:type="dxa" w:w="1400"/>
            <w:shd w:fill="1C3A36" w:val="clear"/>
            <w:tcMar>
              <w:top w:type="dxa" w:w="60"/>
              <w:left w:type="dxa" w:w="110"/>
              <w:bottom w:type="dxa" w:w="60"/>
              <w:right w:type="dxa" w:w="110"/>
            </w:tcMar>
            <w:vAlign w:val="center"/>
          </w:tcPr>
          <w:p>
            <w:pPr>
              <w:jc w:val="center"/>
            </w:pPr>
            <w:r>
              <w:rPr>
                <w:b/>
                <w:bCs/>
                <w:color w:val="FFFFFF"/>
                <w:sz w:val="18"/>
                <w:szCs w:val="18"/>
              </w:rPr>
              <w:t xml:space="preserve">p5</w:t>
            </w:r>
          </w:p>
        </w:tc>
        <w:tc>
          <w:tcPr>
            <w:tcW w:type="dxa" w:w="1400"/>
            <w:shd w:fill="1C3A36" w:val="clear"/>
            <w:tcMar>
              <w:top w:type="dxa" w:w="60"/>
              <w:left w:type="dxa" w:w="110"/>
              <w:bottom w:type="dxa" w:w="60"/>
              <w:right w:type="dxa" w:w="110"/>
            </w:tcMar>
            <w:vAlign w:val="center"/>
          </w:tcPr>
          <w:p>
            <w:pPr>
              <w:jc w:val="center"/>
            </w:pPr>
            <w:r>
              <w:rPr>
                <w:b/>
                <w:bCs/>
                <w:color w:val="FFFFFF"/>
                <w:sz w:val="18"/>
                <w:szCs w:val="18"/>
              </w:rPr>
              <w:t xml:space="preserve">p25</w:t>
            </w:r>
          </w:p>
        </w:tc>
        <w:tc>
          <w:tcPr>
            <w:tcW w:type="dxa" w:w="1400"/>
            <w:shd w:fill="1C3A36" w:val="clear"/>
            <w:tcMar>
              <w:top w:type="dxa" w:w="60"/>
              <w:left w:type="dxa" w:w="110"/>
              <w:bottom w:type="dxa" w:w="60"/>
              <w:right w:type="dxa" w:w="110"/>
            </w:tcMar>
            <w:vAlign w:val="center"/>
          </w:tcPr>
          <w:p>
            <w:pPr>
              <w:jc w:val="center"/>
            </w:pPr>
            <w:r>
              <w:rPr>
                <w:b/>
                <w:bCs/>
                <w:color w:val="FFFFFF"/>
                <w:sz w:val="18"/>
                <w:szCs w:val="18"/>
              </w:rPr>
              <w:t xml:space="preserve">p50</w:t>
            </w:r>
          </w:p>
        </w:tc>
        <w:tc>
          <w:tcPr>
            <w:tcW w:type="dxa" w:w="1400"/>
            <w:shd w:fill="1C3A36" w:val="clear"/>
            <w:tcMar>
              <w:top w:type="dxa" w:w="60"/>
              <w:left w:type="dxa" w:w="110"/>
              <w:bottom w:type="dxa" w:w="60"/>
              <w:right w:type="dxa" w:w="110"/>
            </w:tcMar>
            <w:vAlign w:val="center"/>
          </w:tcPr>
          <w:p>
            <w:pPr>
              <w:jc w:val="center"/>
            </w:pPr>
            <w:r>
              <w:rPr>
                <w:b/>
                <w:bCs/>
                <w:color w:val="FFFFFF"/>
                <w:sz w:val="18"/>
                <w:szCs w:val="18"/>
              </w:rPr>
              <w:t xml:space="preserve">p75</w:t>
            </w:r>
          </w:p>
        </w:tc>
        <w:tc>
          <w:tcPr>
            <w:tcW w:type="dxa" w:w="1400"/>
            <w:shd w:fill="1C3A36" w:val="clear"/>
            <w:tcMar>
              <w:top w:type="dxa" w:w="60"/>
              <w:left w:type="dxa" w:w="110"/>
              <w:bottom w:type="dxa" w:w="60"/>
              <w:right w:type="dxa" w:w="110"/>
            </w:tcMar>
            <w:vAlign w:val="center"/>
          </w:tcPr>
          <w:p>
            <w:pPr>
              <w:jc w:val="center"/>
            </w:pPr>
            <w:r>
              <w:rPr>
                <w:b/>
                <w:bCs/>
                <w:color w:val="FFFFFF"/>
                <w:sz w:val="18"/>
                <w:szCs w:val="18"/>
              </w:rPr>
              <w:t xml:space="preserve">p95</w:t>
            </w:r>
          </w:p>
        </w:tc>
      </w:tr>
      <w:tr>
        <w:tc>
          <w:tcPr>
            <w:tcW w:type="dxa" w:w="2360"/>
            <w:tcMar>
              <w:top w:type="dxa" w:w="60"/>
              <w:left w:type="dxa" w:w="110"/>
              <w:bottom w:type="dxa" w:w="60"/>
              <w:right w:type="dxa" w:w="110"/>
            </w:tcMar>
            <w:vAlign w:val="center"/>
          </w:tcPr>
          <w:p>
            <w:pPr>
              <w:jc w:val="left"/>
            </w:pPr>
            <w:r>
              <w:rPr>
                <w:sz w:val="18"/>
                <w:szCs w:val="18"/>
              </w:rPr>
              <w:t xml:space="preserve">T+20 sessions</w:t>
            </w:r>
          </w:p>
        </w:tc>
        <w:tc>
          <w:tcPr>
            <w:tcW w:type="dxa" w:w="1400"/>
            <w:tcMar>
              <w:top w:type="dxa" w:w="60"/>
              <w:left w:type="dxa" w:w="110"/>
              <w:bottom w:type="dxa" w:w="60"/>
              <w:right w:type="dxa" w:w="110"/>
            </w:tcMar>
            <w:vAlign w:val="center"/>
          </w:tcPr>
          <w:p>
            <w:pPr>
              <w:jc w:val="right"/>
            </w:pPr>
            <w:r>
              <w:rPr>
                <w:sz w:val="18"/>
                <w:szCs w:val="18"/>
              </w:rPr>
              <w:t xml:space="preserve">3.11</w:t>
            </w:r>
          </w:p>
        </w:tc>
        <w:tc>
          <w:tcPr>
            <w:tcW w:type="dxa" w:w="1400"/>
            <w:tcMar>
              <w:top w:type="dxa" w:w="60"/>
              <w:left w:type="dxa" w:w="110"/>
              <w:bottom w:type="dxa" w:w="60"/>
              <w:right w:type="dxa" w:w="110"/>
            </w:tcMar>
            <w:vAlign w:val="center"/>
          </w:tcPr>
          <w:p>
            <w:pPr>
              <w:jc w:val="right"/>
            </w:pPr>
            <w:r>
              <w:rPr>
                <w:sz w:val="18"/>
                <w:szCs w:val="18"/>
              </w:rPr>
              <w:t xml:space="preserve">3.36</w:t>
            </w:r>
          </w:p>
        </w:tc>
        <w:tc>
          <w:tcPr>
            <w:tcW w:type="dxa" w:w="1400"/>
            <w:tcMar>
              <w:top w:type="dxa" w:w="60"/>
              <w:left w:type="dxa" w:w="110"/>
              <w:bottom w:type="dxa" w:w="60"/>
              <w:right w:type="dxa" w:w="110"/>
            </w:tcMar>
            <w:vAlign w:val="center"/>
          </w:tcPr>
          <w:p>
            <w:pPr>
              <w:jc w:val="right"/>
            </w:pPr>
            <w:r>
              <w:rPr>
                <w:sz w:val="18"/>
                <w:szCs w:val="18"/>
              </w:rPr>
              <w:t xml:space="preserve">3.51</w:t>
            </w:r>
          </w:p>
        </w:tc>
        <w:tc>
          <w:tcPr>
            <w:tcW w:type="dxa" w:w="1400"/>
            <w:tcMar>
              <w:top w:type="dxa" w:w="60"/>
              <w:left w:type="dxa" w:w="110"/>
              <w:bottom w:type="dxa" w:w="60"/>
              <w:right w:type="dxa" w:w="110"/>
            </w:tcMar>
            <w:vAlign w:val="center"/>
          </w:tcPr>
          <w:p>
            <w:pPr>
              <w:jc w:val="right"/>
            </w:pPr>
            <w:r>
              <w:rPr>
                <w:sz w:val="18"/>
                <w:szCs w:val="18"/>
              </w:rPr>
              <w:t xml:space="preserve">3.67</w:t>
            </w:r>
          </w:p>
        </w:tc>
        <w:tc>
          <w:tcPr>
            <w:tcW w:type="dxa" w:w="1400"/>
            <w:tcMar>
              <w:top w:type="dxa" w:w="60"/>
              <w:left w:type="dxa" w:w="110"/>
              <w:bottom w:type="dxa" w:w="60"/>
              <w:right w:type="dxa" w:w="110"/>
            </w:tcMar>
            <w:vAlign w:val="center"/>
          </w:tcPr>
          <w:p>
            <w:pPr>
              <w:jc w:val="right"/>
            </w:pPr>
            <w:r>
              <w:rPr>
                <w:sz w:val="18"/>
                <w:szCs w:val="18"/>
              </w:rPr>
              <w:t xml:space="preserve">3.95</w:t>
            </w:r>
          </w:p>
        </w:tc>
      </w:tr>
      <w:tr>
        <w:tc>
          <w:tcPr>
            <w:tcW w:type="dxa" w:w="2360"/>
            <w:tcMar>
              <w:top w:type="dxa" w:w="60"/>
              <w:left w:type="dxa" w:w="110"/>
              <w:bottom w:type="dxa" w:w="60"/>
              <w:right w:type="dxa" w:w="110"/>
            </w:tcMar>
            <w:vAlign w:val="center"/>
          </w:tcPr>
          <w:p>
            <w:pPr>
              <w:jc w:val="left"/>
            </w:pPr>
            <w:r>
              <w:rPr>
                <w:sz w:val="18"/>
                <w:szCs w:val="18"/>
              </w:rPr>
              <w:t xml:space="preserve">T+60 sessions</w:t>
            </w:r>
          </w:p>
        </w:tc>
        <w:tc>
          <w:tcPr>
            <w:tcW w:type="dxa" w:w="1400"/>
            <w:tcMar>
              <w:top w:type="dxa" w:w="60"/>
              <w:left w:type="dxa" w:w="110"/>
              <w:bottom w:type="dxa" w:w="60"/>
              <w:right w:type="dxa" w:w="110"/>
            </w:tcMar>
            <w:vAlign w:val="center"/>
          </w:tcPr>
          <w:p>
            <w:pPr>
              <w:jc w:val="right"/>
            </w:pPr>
            <w:r>
              <w:rPr>
                <w:sz w:val="18"/>
                <w:szCs w:val="18"/>
              </w:rPr>
              <w:t xml:space="preserve">2.85</w:t>
            </w:r>
          </w:p>
        </w:tc>
        <w:tc>
          <w:tcPr>
            <w:tcW w:type="dxa" w:w="1400"/>
            <w:tcMar>
              <w:top w:type="dxa" w:w="60"/>
              <w:left w:type="dxa" w:w="110"/>
              <w:bottom w:type="dxa" w:w="60"/>
              <w:right w:type="dxa" w:w="110"/>
            </w:tcMar>
            <w:vAlign w:val="center"/>
          </w:tcPr>
          <w:p>
            <w:pPr>
              <w:jc w:val="right"/>
            </w:pPr>
            <w:r>
              <w:rPr>
                <w:sz w:val="18"/>
                <w:szCs w:val="18"/>
              </w:rPr>
              <w:t xml:space="preserve">3.26</w:t>
            </w:r>
          </w:p>
        </w:tc>
        <w:tc>
          <w:tcPr>
            <w:tcW w:type="dxa" w:w="1400"/>
            <w:tcMar>
              <w:top w:type="dxa" w:w="60"/>
              <w:left w:type="dxa" w:w="110"/>
              <w:bottom w:type="dxa" w:w="60"/>
              <w:right w:type="dxa" w:w="110"/>
            </w:tcMar>
            <w:vAlign w:val="center"/>
          </w:tcPr>
          <w:p>
            <w:pPr>
              <w:jc w:val="right"/>
            </w:pPr>
            <w:r>
              <w:rPr>
                <w:sz w:val="18"/>
                <w:szCs w:val="18"/>
              </w:rPr>
              <w:t xml:space="preserve">3.52</w:t>
            </w:r>
          </w:p>
        </w:tc>
        <w:tc>
          <w:tcPr>
            <w:tcW w:type="dxa" w:w="1400"/>
            <w:tcMar>
              <w:top w:type="dxa" w:w="60"/>
              <w:left w:type="dxa" w:w="110"/>
              <w:bottom w:type="dxa" w:w="60"/>
              <w:right w:type="dxa" w:w="110"/>
            </w:tcMar>
            <w:vAlign w:val="center"/>
          </w:tcPr>
          <w:p>
            <w:pPr>
              <w:jc w:val="right"/>
            </w:pPr>
            <w:r>
              <w:rPr>
                <w:sz w:val="18"/>
                <w:szCs w:val="18"/>
              </w:rPr>
              <w:t xml:space="preserve">3.79</w:t>
            </w:r>
          </w:p>
        </w:tc>
        <w:tc>
          <w:tcPr>
            <w:tcW w:type="dxa" w:w="1400"/>
            <w:tcMar>
              <w:top w:type="dxa" w:w="60"/>
              <w:left w:type="dxa" w:w="110"/>
              <w:bottom w:type="dxa" w:w="60"/>
              <w:right w:type="dxa" w:w="110"/>
            </w:tcMar>
            <w:vAlign w:val="center"/>
          </w:tcPr>
          <w:p>
            <w:pPr>
              <w:jc w:val="right"/>
            </w:pPr>
            <w:r>
              <w:rPr>
                <w:sz w:val="18"/>
                <w:szCs w:val="18"/>
              </w:rPr>
              <w:t xml:space="preserve">4.31</w:t>
            </w:r>
          </w:p>
        </w:tc>
      </w:tr>
    </w:tbl>
    <w:p>
      <w:pPr>
        <w:spacing w:after="60"/>
      </w:pPr>
    </w:p>
    <w:p>
      <w:pPr>
        <w:spacing w:before="60" w:after="40"/>
        <w:jc w:val="center"/>
      </w:pPr>
      <w:r>
        <w:drawing>
          <wp:inline distT="0" distB="0" distL="0" distR="0">
            <wp:extent cx="5532120" cy="2596709"/>
            <wp:effectExtent t="0" r="0" b="0" l="0"/>
            <wp:docPr id="103" name="fig4_c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cone.png"/>
                    <pic:cNvPicPr/>
                  </pic:nvPicPr>
                  <pic:blipFill>
                    <a:blip r:embed="rId12"/>
                    <a:stretch>
                      <a:fillRect/>
                    </a:stretch>
                  </pic:blipFill>
                  <pic:spPr>
                    <a:xfrm>
                      <a:off x="0" y="0"/>
                      <a:ext cx="5532120" cy="2596709"/>
                    </a:xfrm>
                    <a:prstGeom prst="rect">
                      <a:avLst/>
                    </a:prstGeom>
                  </pic:spPr>
                </pic:pic>
              </a:graphicData>
            </a:graphic>
          </wp:inline>
        </w:drawing>
      </w:r>
    </w:p>
    <w:p>
      <w:pPr>
        <w:spacing w:after="140"/>
        <w:jc w:val="center"/>
      </w:pPr>
      <w:r>
        <w:rPr>
          <w:i/>
          <w:iCs/>
          <w:color w:val="6E7B77"/>
          <w:sz w:val="16"/>
          <w:szCs w:val="16"/>
        </w:rPr>
        <w:t xml:space="preserve">Figure 4 — Forward price cone to T+60 from 50,000 paths. Gold band = 50% interquartile range (lead read); sage = p5–p95; the dotted gold line marks the §1 fundamental central of 4.37, deliberately outside the drift.</w:t>
      </w:r>
    </w:p>
    <w:p>
      <w:pPr>
        <w:spacing w:before="60" w:after="40"/>
        <w:jc w:val="center"/>
      </w:pPr>
      <w:r>
        <w:drawing>
          <wp:inline distT="0" distB="0" distL="0" distR="0">
            <wp:extent cx="5532120" cy="3448508"/>
            <wp:effectExtent t="0" r="0" b="0" l="0"/>
            <wp:docPr id="104" name="fig5_dist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5_dist20.png"/>
                    <pic:cNvPicPr/>
                  </pic:nvPicPr>
                  <pic:blipFill>
                    <a:blip r:embed="rId13"/>
                    <a:stretch>
                      <a:fillRect/>
                    </a:stretch>
                  </pic:blipFill>
                  <pic:spPr>
                    <a:xfrm>
                      <a:off x="0" y="0"/>
                      <a:ext cx="5532120" cy="3448508"/>
                    </a:xfrm>
                    <a:prstGeom prst="rect">
                      <a:avLst/>
                    </a:prstGeom>
                  </pic:spPr>
                </pic:pic>
              </a:graphicData>
            </a:graphic>
          </wp:inline>
        </w:drawing>
      </w:r>
    </w:p>
    <w:p>
      <w:pPr>
        <w:spacing w:after="140"/>
        <w:jc w:val="center"/>
      </w:pPr>
      <w:r>
        <w:rPr>
          <w:i/>
          <w:iCs/>
          <w:color w:val="6E7B77"/>
          <w:sz w:val="16"/>
          <w:szCs w:val="16"/>
        </w:rPr>
        <w:t xml:space="preserve">Figure 5 — Simulated price distribution at T+20 sessions. Median hugs spot; the t(5) tails are visibly fatter than a Gaussian.</w:t>
      </w:r>
    </w:p>
    <w:p>
      <w:pPr>
        <w:spacing w:before="60" w:after="40"/>
        <w:jc w:val="center"/>
      </w:pPr>
      <w:r>
        <w:drawing>
          <wp:inline distT="0" distB="0" distL="0" distR="0">
            <wp:extent cx="5532120" cy="3448508"/>
            <wp:effectExtent t="0" r="0" b="0" l="0"/>
            <wp:docPr id="105" name="fig6_dist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6_dist60.png"/>
                    <pic:cNvPicPr/>
                  </pic:nvPicPr>
                  <pic:blipFill>
                    <a:blip r:embed="rId14"/>
                    <a:stretch>
                      <a:fillRect/>
                    </a:stretch>
                  </pic:blipFill>
                  <pic:spPr>
                    <a:xfrm>
                      <a:off x="0" y="0"/>
                      <a:ext cx="5532120" cy="3448508"/>
                    </a:xfrm>
                    <a:prstGeom prst="rect">
                      <a:avLst/>
                    </a:prstGeom>
                  </pic:spPr>
                </pic:pic>
              </a:graphicData>
            </a:graphic>
          </wp:inline>
        </w:drawing>
      </w:r>
    </w:p>
    <w:p>
      <w:pPr>
        <w:spacing w:after="140"/>
        <w:jc w:val="center"/>
      </w:pPr>
      <w:r>
        <w:rPr>
          <w:i/>
          <w:iCs/>
          <w:color w:val="6E7B77"/>
          <w:sz w:val="16"/>
          <w:szCs w:val="16"/>
        </w:rPr>
        <w:t xml:space="preserve">Figure 6 — Simulated price distribution at T+60 sessions. The mild right skew is the factor stack, not a trend assumption.</w:t>
      </w:r>
    </w:p>
    <w:p>
      <w:pPr/>
      <w:r>
        <w:rPr>
          <w:b/>
          <w:bCs/>
          <w:sz w:val="20"/>
          <w:szCs w:val="20"/>
        </w:rPr>
        <w:t xml:space="preserve">Touch probabilities</w:t>
      </w:r>
      <w:r>
        <w:rPr>
          <w:sz w:val="20"/>
          <w:szCs w:val="20"/>
        </w:rPr>
        <w:t xml:space="preserve"> — the chance price *trades at* a level at any point inside the horizon (running max/min across paths), always higher than finishing there:</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360"/>
        <w:gridCol w:w="2300"/>
        <w:gridCol w:w="2350"/>
        <w:gridCol w:w="2350"/>
      </w:tblGrid>
      <w:tr>
        <w:tc>
          <w:tcPr>
            <w:tcW w:type="dxa" w:w="2360"/>
            <w:shd w:fill="1C3A36" w:val="clear"/>
            <w:tcMar>
              <w:top w:type="dxa" w:w="60"/>
              <w:left w:type="dxa" w:w="110"/>
              <w:bottom w:type="dxa" w:w="60"/>
              <w:right w:type="dxa" w:w="110"/>
            </w:tcMar>
            <w:vAlign w:val="center"/>
          </w:tcPr>
          <w:p>
            <w:pPr>
              <w:jc w:val="left"/>
            </w:pPr>
            <w:r>
              <w:rPr>
                <w:b/>
                <w:bCs/>
                <w:color w:val="FFFFFF"/>
                <w:sz w:val="18"/>
                <w:szCs w:val="18"/>
              </w:rPr>
              <w:t xml:space="preserve">Level (AED)</w:t>
            </w:r>
          </w:p>
        </w:tc>
        <w:tc>
          <w:tcPr>
            <w:tcW w:type="dxa" w:w="2300"/>
            <w:shd w:fill="1C3A36" w:val="clear"/>
            <w:tcMar>
              <w:top w:type="dxa" w:w="60"/>
              <w:left w:type="dxa" w:w="110"/>
              <w:bottom w:type="dxa" w:w="60"/>
              <w:right w:type="dxa" w:w="110"/>
            </w:tcMar>
            <w:vAlign w:val="center"/>
          </w:tcPr>
          <w:p>
            <w:pPr>
              <w:jc w:val="center"/>
            </w:pPr>
            <w:r>
              <w:rPr>
                <w:b/>
                <w:bCs/>
                <w:color w:val="FFFFFF"/>
                <w:sz w:val="18"/>
                <w:szCs w:val="18"/>
              </w:rPr>
              <w:t xml:space="preserve">vs spot</w:t>
            </w:r>
          </w:p>
        </w:tc>
        <w:tc>
          <w:tcPr>
            <w:tcW w:type="dxa" w:w="2350"/>
            <w:shd w:fill="1C3A36" w:val="clear"/>
            <w:tcMar>
              <w:top w:type="dxa" w:w="60"/>
              <w:left w:type="dxa" w:w="110"/>
              <w:bottom w:type="dxa" w:w="60"/>
              <w:right w:type="dxa" w:w="110"/>
            </w:tcMar>
            <w:vAlign w:val="center"/>
          </w:tcPr>
          <w:p>
            <w:pPr>
              <w:jc w:val="center"/>
            </w:pPr>
            <w:r>
              <w:rPr>
                <w:b/>
                <w:bCs/>
                <w:color w:val="FFFFFF"/>
                <w:sz w:val="18"/>
                <w:szCs w:val="18"/>
              </w:rPr>
              <w:t xml:space="preserve">Touch by T+20</w:t>
            </w:r>
          </w:p>
        </w:tc>
        <w:tc>
          <w:tcPr>
            <w:tcW w:type="dxa" w:w="2350"/>
            <w:shd w:fill="1C3A36" w:val="clear"/>
            <w:tcMar>
              <w:top w:type="dxa" w:w="60"/>
              <w:left w:type="dxa" w:w="110"/>
              <w:bottom w:type="dxa" w:w="60"/>
              <w:right w:type="dxa" w:w="110"/>
            </w:tcMar>
            <w:vAlign w:val="center"/>
          </w:tcPr>
          <w:p>
            <w:pPr>
              <w:jc w:val="center"/>
            </w:pPr>
            <w:r>
              <w:rPr>
                <w:b/>
                <w:bCs/>
                <w:color w:val="FFFFFF"/>
                <w:sz w:val="18"/>
                <w:szCs w:val="18"/>
              </w:rPr>
              <w:t xml:space="preserve">Touch by T+60</w:t>
            </w:r>
          </w:p>
        </w:tc>
      </w:tr>
      <w:tr>
        <w:tc>
          <w:tcPr>
            <w:tcW w:type="dxa" w:w="2360"/>
            <w:tcMar>
              <w:top w:type="dxa" w:w="60"/>
              <w:left w:type="dxa" w:w="110"/>
              <w:bottom w:type="dxa" w:w="60"/>
              <w:right w:type="dxa" w:w="110"/>
            </w:tcMar>
            <w:vAlign w:val="center"/>
          </w:tcPr>
          <w:p>
            <w:pPr>
              <w:jc w:val="left"/>
            </w:pPr>
            <w:r>
              <w:rPr>
                <w:sz w:val="18"/>
                <w:szCs w:val="18"/>
              </w:rPr>
              <w:t xml:space="preserve">4.40</w:t>
            </w:r>
          </w:p>
        </w:tc>
        <w:tc>
          <w:tcPr>
            <w:tcW w:type="dxa" w:w="2300"/>
            <w:tcMar>
              <w:top w:type="dxa" w:w="60"/>
              <w:left w:type="dxa" w:w="110"/>
              <w:bottom w:type="dxa" w:w="60"/>
              <w:right w:type="dxa" w:w="110"/>
            </w:tcMar>
            <w:vAlign w:val="center"/>
          </w:tcPr>
          <w:p>
            <w:pPr>
              <w:jc w:val="right"/>
            </w:pPr>
            <w:r>
              <w:rPr>
                <w:sz w:val="18"/>
                <w:szCs w:val="18"/>
              </w:rPr>
              <w:t xml:space="preserve">+25%</w:t>
            </w:r>
          </w:p>
        </w:tc>
        <w:tc>
          <w:tcPr>
            <w:tcW w:type="dxa" w:w="2350"/>
            <w:tcMar>
              <w:top w:type="dxa" w:w="60"/>
              <w:left w:type="dxa" w:w="110"/>
              <w:bottom w:type="dxa" w:w="60"/>
              <w:right w:type="dxa" w:w="110"/>
            </w:tcMar>
            <w:vAlign w:val="center"/>
          </w:tcPr>
          <w:p>
            <w:pPr>
              <w:jc w:val="right"/>
            </w:pPr>
            <w:r>
              <w:rPr>
                <w:sz w:val="18"/>
                <w:szCs w:val="18"/>
              </w:rPr>
              <w:t xml:space="preserve">1%</w:t>
            </w:r>
          </w:p>
        </w:tc>
        <w:tc>
          <w:tcPr>
            <w:tcW w:type="dxa" w:w="2350"/>
            <w:tcMar>
              <w:top w:type="dxa" w:w="60"/>
              <w:left w:type="dxa" w:w="110"/>
              <w:bottom w:type="dxa" w:w="60"/>
              <w:right w:type="dxa" w:w="110"/>
            </w:tcMar>
            <w:vAlign w:val="center"/>
          </w:tcPr>
          <w:p>
            <w:pPr>
              <w:jc w:val="right"/>
            </w:pPr>
            <w:r>
              <w:rPr>
                <w:sz w:val="18"/>
                <w:szCs w:val="18"/>
              </w:rPr>
              <w:t xml:space="preserve">7%</w:t>
            </w:r>
          </w:p>
        </w:tc>
      </w:tr>
      <w:tr>
        <w:tc>
          <w:tcPr>
            <w:tcW w:type="dxa" w:w="2360"/>
            <w:tcMar>
              <w:top w:type="dxa" w:w="60"/>
              <w:left w:type="dxa" w:w="110"/>
              <w:bottom w:type="dxa" w:w="60"/>
              <w:right w:type="dxa" w:w="110"/>
            </w:tcMar>
            <w:vAlign w:val="center"/>
          </w:tcPr>
          <w:p>
            <w:pPr>
              <w:jc w:val="left"/>
            </w:pPr>
            <w:r>
              <w:rPr>
                <w:sz w:val="18"/>
                <w:szCs w:val="18"/>
              </w:rPr>
              <w:t xml:space="preserve">4.20</w:t>
            </w:r>
          </w:p>
        </w:tc>
        <w:tc>
          <w:tcPr>
            <w:tcW w:type="dxa" w:w="2300"/>
            <w:tcMar>
              <w:top w:type="dxa" w:w="60"/>
              <w:left w:type="dxa" w:w="110"/>
              <w:bottom w:type="dxa" w:w="60"/>
              <w:right w:type="dxa" w:w="110"/>
            </w:tcMar>
            <w:vAlign w:val="center"/>
          </w:tcPr>
          <w:p>
            <w:pPr>
              <w:jc w:val="right"/>
            </w:pPr>
            <w:r>
              <w:rPr>
                <w:sz w:val="18"/>
                <w:szCs w:val="18"/>
              </w:rPr>
              <w:t xml:space="preserve">+20%</w:t>
            </w:r>
          </w:p>
        </w:tc>
        <w:tc>
          <w:tcPr>
            <w:tcW w:type="dxa" w:w="2350"/>
            <w:tcMar>
              <w:top w:type="dxa" w:w="60"/>
              <w:left w:type="dxa" w:w="110"/>
              <w:bottom w:type="dxa" w:w="60"/>
              <w:right w:type="dxa" w:w="110"/>
            </w:tcMar>
            <w:vAlign w:val="center"/>
          </w:tcPr>
          <w:p>
            <w:pPr>
              <w:jc w:val="right"/>
            </w:pPr>
            <w:r>
              <w:rPr>
                <w:sz w:val="18"/>
                <w:szCs w:val="18"/>
              </w:rPr>
              <w:t xml:space="preserve">2%</w:t>
            </w:r>
          </w:p>
        </w:tc>
        <w:tc>
          <w:tcPr>
            <w:tcW w:type="dxa" w:w="2350"/>
            <w:tcMar>
              <w:top w:type="dxa" w:w="60"/>
              <w:left w:type="dxa" w:w="110"/>
              <w:bottom w:type="dxa" w:w="60"/>
              <w:right w:type="dxa" w:w="110"/>
            </w:tcMar>
            <w:vAlign w:val="center"/>
          </w:tcPr>
          <w:p>
            <w:pPr>
              <w:jc w:val="right"/>
            </w:pPr>
            <w:r>
              <w:rPr>
                <w:sz w:val="18"/>
                <w:szCs w:val="18"/>
              </w:rPr>
              <w:t xml:space="preserve">12%</w:t>
            </w:r>
          </w:p>
        </w:tc>
      </w:tr>
      <w:tr>
        <w:tc>
          <w:tcPr>
            <w:tcW w:type="dxa" w:w="2360"/>
            <w:tcMar>
              <w:top w:type="dxa" w:w="60"/>
              <w:left w:type="dxa" w:w="110"/>
              <w:bottom w:type="dxa" w:w="60"/>
              <w:right w:type="dxa" w:w="110"/>
            </w:tcMar>
            <w:vAlign w:val="center"/>
          </w:tcPr>
          <w:p>
            <w:pPr>
              <w:jc w:val="left"/>
            </w:pPr>
            <w:r>
              <w:rPr>
                <w:sz w:val="18"/>
                <w:szCs w:val="18"/>
              </w:rPr>
              <w:t xml:space="preserve">4.00</w:t>
            </w:r>
          </w:p>
        </w:tc>
        <w:tc>
          <w:tcPr>
            <w:tcW w:type="dxa" w:w="2300"/>
            <w:tcMar>
              <w:top w:type="dxa" w:w="60"/>
              <w:left w:type="dxa" w:w="110"/>
              <w:bottom w:type="dxa" w:w="60"/>
              <w:right w:type="dxa" w:w="110"/>
            </w:tcMar>
            <w:vAlign w:val="center"/>
          </w:tcPr>
          <w:p>
            <w:pPr>
              <w:jc w:val="right"/>
            </w:pPr>
            <w:r>
              <w:rPr>
                <w:sz w:val="18"/>
                <w:szCs w:val="18"/>
              </w:rPr>
              <w:t xml:space="preserve">+14%</w:t>
            </w:r>
          </w:p>
        </w:tc>
        <w:tc>
          <w:tcPr>
            <w:tcW w:type="dxa" w:w="2350"/>
            <w:tcMar>
              <w:top w:type="dxa" w:w="60"/>
              <w:left w:type="dxa" w:w="110"/>
              <w:bottom w:type="dxa" w:w="60"/>
              <w:right w:type="dxa" w:w="110"/>
            </w:tcMar>
            <w:vAlign w:val="center"/>
          </w:tcPr>
          <w:p>
            <w:pPr>
              <w:jc w:val="right"/>
            </w:pPr>
            <w:r>
              <w:rPr>
                <w:sz w:val="18"/>
                <w:szCs w:val="18"/>
              </w:rPr>
              <w:t xml:space="preserve">6%</w:t>
            </w:r>
          </w:p>
        </w:tc>
        <w:tc>
          <w:tcPr>
            <w:tcW w:type="dxa" w:w="2350"/>
            <w:tcMar>
              <w:top w:type="dxa" w:w="60"/>
              <w:left w:type="dxa" w:w="110"/>
              <w:bottom w:type="dxa" w:w="60"/>
              <w:right w:type="dxa" w:w="110"/>
            </w:tcMar>
            <w:vAlign w:val="center"/>
          </w:tcPr>
          <w:p>
            <w:pPr>
              <w:jc w:val="right"/>
            </w:pPr>
            <w:r>
              <w:rPr>
                <w:sz w:val="18"/>
                <w:szCs w:val="18"/>
              </w:rPr>
              <w:t xml:space="preserve">24%</w:t>
            </w:r>
          </w:p>
        </w:tc>
      </w:tr>
      <w:tr>
        <w:tc>
          <w:tcPr>
            <w:tcW w:type="dxa" w:w="2360"/>
            <w:tcMar>
              <w:top w:type="dxa" w:w="60"/>
              <w:left w:type="dxa" w:w="110"/>
              <w:bottom w:type="dxa" w:w="60"/>
              <w:right w:type="dxa" w:w="110"/>
            </w:tcMar>
            <w:vAlign w:val="center"/>
          </w:tcPr>
          <w:p>
            <w:pPr>
              <w:jc w:val="left"/>
            </w:pPr>
            <w:r>
              <w:rPr>
                <w:sz w:val="18"/>
                <w:szCs w:val="18"/>
              </w:rPr>
              <w:t xml:space="preserve">3.70</w:t>
            </w:r>
          </w:p>
        </w:tc>
        <w:tc>
          <w:tcPr>
            <w:tcW w:type="dxa" w:w="2300"/>
            <w:tcMar>
              <w:top w:type="dxa" w:w="60"/>
              <w:left w:type="dxa" w:w="110"/>
              <w:bottom w:type="dxa" w:w="60"/>
              <w:right w:type="dxa" w:w="110"/>
            </w:tcMar>
            <w:vAlign w:val="center"/>
          </w:tcPr>
          <w:p>
            <w:pPr>
              <w:jc w:val="right"/>
            </w:pPr>
            <w:r>
              <w:rPr>
                <w:sz w:val="18"/>
                <w:szCs w:val="18"/>
              </w:rPr>
              <w:t xml:space="preserve">+5%</w:t>
            </w:r>
          </w:p>
        </w:tc>
        <w:tc>
          <w:tcPr>
            <w:tcW w:type="dxa" w:w="2350"/>
            <w:tcMar>
              <w:top w:type="dxa" w:w="60"/>
              <w:left w:type="dxa" w:w="110"/>
              <w:bottom w:type="dxa" w:w="60"/>
              <w:right w:type="dxa" w:w="110"/>
            </w:tcMar>
            <w:vAlign w:val="center"/>
          </w:tcPr>
          <w:p>
            <w:pPr>
              <w:jc w:val="right"/>
            </w:pPr>
            <w:r>
              <w:rPr>
                <w:sz w:val="18"/>
                <w:szCs w:val="18"/>
              </w:rPr>
              <w:t xml:space="preserve">36%</w:t>
            </w:r>
          </w:p>
        </w:tc>
        <w:tc>
          <w:tcPr>
            <w:tcW w:type="dxa" w:w="2350"/>
            <w:tcMar>
              <w:top w:type="dxa" w:w="60"/>
              <w:left w:type="dxa" w:w="110"/>
              <w:bottom w:type="dxa" w:w="60"/>
              <w:right w:type="dxa" w:w="110"/>
            </w:tcMar>
            <w:vAlign w:val="center"/>
          </w:tcPr>
          <w:p>
            <w:pPr>
              <w:jc w:val="right"/>
            </w:pPr>
            <w:r>
              <w:rPr>
                <w:sz w:val="18"/>
                <w:szCs w:val="18"/>
              </w:rPr>
              <w:t xml:space="preserve">59%</w:t>
            </w:r>
          </w:p>
        </w:tc>
      </w:tr>
      <w:tr>
        <w:tc>
          <w:tcPr>
            <w:tcW w:type="dxa" w:w="2360"/>
            <w:tcMar>
              <w:top w:type="dxa" w:w="60"/>
              <w:left w:type="dxa" w:w="110"/>
              <w:bottom w:type="dxa" w:w="60"/>
              <w:right w:type="dxa" w:w="110"/>
            </w:tcMar>
            <w:vAlign w:val="center"/>
          </w:tcPr>
          <w:p>
            <w:pPr>
              <w:jc w:val="left"/>
            </w:pPr>
            <w:r>
              <w:rPr>
                <w:sz w:val="18"/>
                <w:szCs w:val="18"/>
              </w:rPr>
              <w:t xml:space="preserve">3.40</w:t>
            </w:r>
          </w:p>
        </w:tc>
        <w:tc>
          <w:tcPr>
            <w:tcW w:type="dxa" w:w="2300"/>
            <w:tcMar>
              <w:top w:type="dxa" w:w="60"/>
              <w:left w:type="dxa" w:w="110"/>
              <w:bottom w:type="dxa" w:w="60"/>
              <w:right w:type="dxa" w:w="110"/>
            </w:tcMar>
            <w:vAlign w:val="center"/>
          </w:tcPr>
          <w:p>
            <w:pPr>
              <w:jc w:val="right"/>
            </w:pPr>
            <w:r>
              <w:rPr>
                <w:sz w:val="18"/>
                <w:szCs w:val="18"/>
              </w:rPr>
              <w:t xml:space="preserve">-3%</w:t>
            </w:r>
          </w:p>
        </w:tc>
        <w:tc>
          <w:tcPr>
            <w:tcW w:type="dxa" w:w="2350"/>
            <w:tcMar>
              <w:top w:type="dxa" w:w="60"/>
              <w:left w:type="dxa" w:w="110"/>
              <w:bottom w:type="dxa" w:w="60"/>
              <w:right w:type="dxa" w:w="110"/>
            </w:tcMar>
            <w:vAlign w:val="center"/>
          </w:tcPr>
          <w:p>
            <w:pPr>
              <w:jc w:val="right"/>
            </w:pPr>
            <w:r>
              <w:rPr>
                <w:sz w:val="18"/>
                <w:szCs w:val="18"/>
              </w:rPr>
              <w:t xml:space="preserve">54%</w:t>
            </w:r>
          </w:p>
        </w:tc>
        <w:tc>
          <w:tcPr>
            <w:tcW w:type="dxa" w:w="2350"/>
            <w:tcMar>
              <w:top w:type="dxa" w:w="60"/>
              <w:left w:type="dxa" w:w="110"/>
              <w:bottom w:type="dxa" w:w="60"/>
              <w:right w:type="dxa" w:w="110"/>
            </w:tcMar>
            <w:vAlign w:val="center"/>
          </w:tcPr>
          <w:p>
            <w:pPr>
              <w:jc w:val="right"/>
            </w:pPr>
            <w:r>
              <w:rPr>
                <w:sz w:val="18"/>
                <w:szCs w:val="18"/>
              </w:rPr>
              <w:t xml:space="preserve">72%</w:t>
            </w:r>
          </w:p>
        </w:tc>
      </w:tr>
      <w:tr>
        <w:tc>
          <w:tcPr>
            <w:tcW w:type="dxa" w:w="2360"/>
            <w:tcMar>
              <w:top w:type="dxa" w:w="60"/>
              <w:left w:type="dxa" w:w="110"/>
              <w:bottom w:type="dxa" w:w="60"/>
              <w:right w:type="dxa" w:w="110"/>
            </w:tcMar>
            <w:vAlign w:val="center"/>
          </w:tcPr>
          <w:p>
            <w:pPr>
              <w:jc w:val="left"/>
            </w:pPr>
            <w:r>
              <w:rPr>
                <w:sz w:val="18"/>
                <w:szCs w:val="18"/>
              </w:rPr>
              <w:t xml:space="preserve">3.20</w:t>
            </w:r>
          </w:p>
        </w:tc>
        <w:tc>
          <w:tcPr>
            <w:tcW w:type="dxa" w:w="2300"/>
            <w:tcMar>
              <w:top w:type="dxa" w:w="60"/>
              <w:left w:type="dxa" w:w="110"/>
              <w:bottom w:type="dxa" w:w="60"/>
              <w:right w:type="dxa" w:w="110"/>
            </w:tcMar>
            <w:vAlign w:val="center"/>
          </w:tcPr>
          <w:p>
            <w:pPr>
              <w:jc w:val="right"/>
            </w:pPr>
            <w:r>
              <w:rPr>
                <w:sz w:val="18"/>
                <w:szCs w:val="18"/>
              </w:rPr>
              <w:t xml:space="preserve">-9%</w:t>
            </w:r>
          </w:p>
        </w:tc>
        <w:tc>
          <w:tcPr>
            <w:tcW w:type="dxa" w:w="2350"/>
            <w:tcMar>
              <w:top w:type="dxa" w:w="60"/>
              <w:left w:type="dxa" w:w="110"/>
              <w:bottom w:type="dxa" w:w="60"/>
              <w:right w:type="dxa" w:w="110"/>
            </w:tcMar>
            <w:vAlign w:val="center"/>
          </w:tcPr>
          <w:p>
            <w:pPr>
              <w:jc w:val="right"/>
            </w:pPr>
            <w:r>
              <w:rPr>
                <w:sz w:val="18"/>
                <w:szCs w:val="18"/>
              </w:rPr>
              <w:t xml:space="preserve">15%</w:t>
            </w:r>
          </w:p>
        </w:tc>
        <w:tc>
          <w:tcPr>
            <w:tcW w:type="dxa" w:w="2350"/>
            <w:tcMar>
              <w:top w:type="dxa" w:w="60"/>
              <w:left w:type="dxa" w:w="110"/>
              <w:bottom w:type="dxa" w:w="60"/>
              <w:right w:type="dxa" w:w="110"/>
            </w:tcMar>
            <w:vAlign w:val="center"/>
          </w:tcPr>
          <w:p>
            <w:pPr>
              <w:jc w:val="right"/>
            </w:pPr>
            <w:r>
              <w:rPr>
                <w:sz w:val="18"/>
                <w:szCs w:val="18"/>
              </w:rPr>
              <w:t xml:space="preserve">38%</w:t>
            </w:r>
          </w:p>
        </w:tc>
      </w:tr>
      <w:tr>
        <w:tc>
          <w:tcPr>
            <w:tcW w:type="dxa" w:w="2360"/>
            <w:tcMar>
              <w:top w:type="dxa" w:w="60"/>
              <w:left w:type="dxa" w:w="110"/>
              <w:bottom w:type="dxa" w:w="60"/>
              <w:right w:type="dxa" w:w="110"/>
            </w:tcMar>
            <w:vAlign w:val="center"/>
          </w:tcPr>
          <w:p>
            <w:pPr>
              <w:jc w:val="left"/>
            </w:pPr>
            <w:r>
              <w:rPr>
                <w:sz w:val="18"/>
                <w:szCs w:val="18"/>
              </w:rPr>
              <w:t xml:space="preserve">3.00</w:t>
            </w:r>
          </w:p>
        </w:tc>
        <w:tc>
          <w:tcPr>
            <w:tcW w:type="dxa" w:w="2300"/>
            <w:tcMar>
              <w:top w:type="dxa" w:w="60"/>
              <w:left w:type="dxa" w:w="110"/>
              <w:bottom w:type="dxa" w:w="60"/>
              <w:right w:type="dxa" w:w="110"/>
            </w:tcMar>
            <w:vAlign w:val="center"/>
          </w:tcPr>
          <w:p>
            <w:pPr>
              <w:jc w:val="right"/>
            </w:pPr>
            <w:r>
              <w:rPr>
                <w:sz w:val="18"/>
                <w:szCs w:val="18"/>
              </w:rPr>
              <w:t xml:space="preserve">-15%</w:t>
            </w:r>
          </w:p>
        </w:tc>
        <w:tc>
          <w:tcPr>
            <w:tcW w:type="dxa" w:w="2350"/>
            <w:tcMar>
              <w:top w:type="dxa" w:w="60"/>
              <w:left w:type="dxa" w:w="110"/>
              <w:bottom w:type="dxa" w:w="60"/>
              <w:right w:type="dxa" w:w="110"/>
            </w:tcMar>
            <w:vAlign w:val="center"/>
          </w:tcPr>
          <w:p>
            <w:pPr>
              <w:jc w:val="right"/>
            </w:pPr>
            <w:r>
              <w:rPr>
                <w:sz w:val="18"/>
                <w:szCs w:val="18"/>
              </w:rPr>
              <w:t xml:space="preserve">4%</w:t>
            </w:r>
          </w:p>
        </w:tc>
        <w:tc>
          <w:tcPr>
            <w:tcW w:type="dxa" w:w="2350"/>
            <w:tcMar>
              <w:top w:type="dxa" w:w="60"/>
              <w:left w:type="dxa" w:w="110"/>
              <w:bottom w:type="dxa" w:w="60"/>
              <w:right w:type="dxa" w:w="110"/>
            </w:tcMar>
            <w:vAlign w:val="center"/>
          </w:tcPr>
          <w:p>
            <w:pPr>
              <w:jc w:val="right"/>
            </w:pPr>
            <w:r>
              <w:rPr>
                <w:sz w:val="18"/>
                <w:szCs w:val="18"/>
              </w:rPr>
              <w:t xml:space="preserve">17%</w:t>
            </w:r>
          </w:p>
        </w:tc>
      </w:tr>
    </w:tbl>
    <w:p>
      <w:pPr>
        <w:spacing w:after="60"/>
      </w:pPr>
    </w:p>
    <w:p>
      <w:pPr>
        <w:pStyle w:val="Heading1"/>
      </w:pPr>
      <w:r>
        <w:rPr>
          <w:sz w:val="20"/>
          <w:szCs w:val="20"/>
        </w:rPr>
        <w:t xml:space="preserve">4  Comparing the lenses — and a verdict</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1900"/>
        <w:gridCol w:w="2260"/>
        <w:gridCol w:w="2700"/>
        <w:gridCol w:w="2500"/>
      </w:tblGrid>
      <w:tr>
        <w:tc>
          <w:tcPr>
            <w:tcW w:type="dxa" w:w="1900"/>
            <w:shd w:fill="1C3A36" w:val="clear"/>
            <w:tcMar>
              <w:top w:type="dxa" w:w="60"/>
              <w:left w:type="dxa" w:w="110"/>
              <w:bottom w:type="dxa" w:w="60"/>
              <w:right w:type="dxa" w:w="110"/>
            </w:tcMar>
            <w:vAlign w:val="center"/>
          </w:tcPr>
          <w:p>
            <w:pPr>
              <w:jc w:val="left"/>
            </w:pPr>
            <w:r>
              <w:rPr>
                <w:b/>
                <w:bCs/>
                <w:color w:val="FFFFFF"/>
                <w:sz w:val="18"/>
                <w:szCs w:val="18"/>
              </w:rPr>
              <w:t xml:space="preserve">Lens</w:t>
            </w:r>
          </w:p>
        </w:tc>
        <w:tc>
          <w:tcPr>
            <w:tcW w:type="dxa" w:w="2260"/>
            <w:shd w:fill="1C3A36" w:val="clear"/>
            <w:tcMar>
              <w:top w:type="dxa" w:w="60"/>
              <w:left w:type="dxa" w:w="110"/>
              <w:bottom w:type="dxa" w:w="60"/>
              <w:right w:type="dxa" w:w="110"/>
            </w:tcMar>
            <w:vAlign w:val="center"/>
          </w:tcPr>
          <w:p>
            <w:pPr>
              <w:jc w:val="center"/>
            </w:pPr>
            <w:r>
              <w:rPr>
                <w:b/>
                <w:bCs/>
                <w:color w:val="FFFFFF"/>
                <w:sz w:val="18"/>
                <w:szCs w:val="18"/>
              </w:rPr>
              <w:t xml:space="preserve">Answer</w:t>
            </w:r>
          </w:p>
        </w:tc>
        <w:tc>
          <w:tcPr>
            <w:tcW w:type="dxa" w:w="2700"/>
            <w:shd w:fill="1C3A36" w:val="clear"/>
            <w:tcMar>
              <w:top w:type="dxa" w:w="60"/>
              <w:left w:type="dxa" w:w="110"/>
              <w:bottom w:type="dxa" w:w="60"/>
              <w:right w:type="dxa" w:w="110"/>
            </w:tcMar>
            <w:vAlign w:val="center"/>
          </w:tcPr>
          <w:p>
            <w:pPr>
              <w:jc w:val="center"/>
            </w:pPr>
            <w:r>
              <w:rPr>
                <w:b/>
                <w:bCs/>
                <w:color w:val="FFFFFF"/>
                <w:sz w:val="18"/>
                <w:szCs w:val="18"/>
              </w:rPr>
              <w:t xml:space="preserve">What it is good at</w:t>
            </w:r>
          </w:p>
        </w:tc>
        <w:tc>
          <w:tcPr>
            <w:tcW w:type="dxa" w:w="2500"/>
            <w:shd w:fill="1C3A36" w:val="clear"/>
            <w:tcMar>
              <w:top w:type="dxa" w:w="60"/>
              <w:left w:type="dxa" w:w="110"/>
              <w:bottom w:type="dxa" w:w="60"/>
              <w:right w:type="dxa" w:w="110"/>
            </w:tcMar>
            <w:vAlign w:val="center"/>
          </w:tcPr>
          <w:p>
            <w:pPr>
              <w:jc w:val="center"/>
            </w:pPr>
            <w:r>
              <w:rPr>
                <w:b/>
                <w:bCs/>
                <w:color w:val="FFFFFF"/>
                <w:sz w:val="18"/>
                <w:szCs w:val="18"/>
              </w:rPr>
              <w:t xml:space="preserve">What it misses</w:t>
            </w:r>
          </w:p>
        </w:tc>
      </w:tr>
      <w:tr>
        <w:tc>
          <w:tcPr>
            <w:tcW w:type="dxa" w:w="1900"/>
            <w:tcMar>
              <w:top w:type="dxa" w:w="60"/>
              <w:left w:type="dxa" w:w="110"/>
              <w:bottom w:type="dxa" w:w="60"/>
              <w:right w:type="dxa" w:w="110"/>
            </w:tcMar>
            <w:vAlign w:val="center"/>
          </w:tcPr>
          <w:p>
            <w:pPr>
              <w:jc w:val="left"/>
            </w:pPr>
            <w:r>
              <w:rPr>
                <w:sz w:val="18"/>
                <w:szCs w:val="18"/>
              </w:rPr>
              <w:t xml:space="preserve">Fundamental (§1)</w:t>
            </w:r>
          </w:p>
        </w:tc>
        <w:tc>
          <w:tcPr>
            <w:tcW w:type="dxa" w:w="2260"/>
            <w:tcMar>
              <w:top w:type="dxa" w:w="60"/>
              <w:left w:type="dxa" w:w="110"/>
              <w:bottom w:type="dxa" w:w="60"/>
              <w:right w:type="dxa" w:w="110"/>
            </w:tcMar>
            <w:vAlign w:val="center"/>
          </w:tcPr>
          <w:p>
            <w:pPr>
              <w:jc w:val="right"/>
            </w:pPr>
            <w:r>
              <w:rPr>
                <w:sz w:val="18"/>
                <w:szCs w:val="18"/>
              </w:rPr>
              <w:t xml:space="preserve">AED 4.37 central, 3.05–6.09</w:t>
            </w:r>
          </w:p>
        </w:tc>
        <w:tc>
          <w:tcPr>
            <w:tcW w:type="dxa" w:w="2700"/>
            <w:tcMar>
              <w:top w:type="dxa" w:w="60"/>
              <w:left w:type="dxa" w:w="110"/>
              <w:bottom w:type="dxa" w:w="60"/>
              <w:right w:type="dxa" w:w="110"/>
            </w:tcMar>
            <w:vAlign w:val="center"/>
          </w:tcPr>
          <w:p>
            <w:pPr>
              <w:jc w:val="right"/>
            </w:pPr>
            <w:r>
              <w:rPr>
                <w:sz w:val="18"/>
                <w:szCs w:val="18"/>
              </w:rPr>
              <w:t xml:space="preserve">Values the reset path and the franchise</w:t>
            </w:r>
          </w:p>
        </w:tc>
        <w:tc>
          <w:tcPr>
            <w:tcW w:type="dxa" w:w="2500"/>
            <w:tcMar>
              <w:top w:type="dxa" w:w="60"/>
              <w:left w:type="dxa" w:w="110"/>
              <w:bottom w:type="dxa" w:w="60"/>
              <w:right w:type="dxa" w:w="110"/>
            </w:tcMar>
            <w:vAlign w:val="center"/>
          </w:tcPr>
          <w:p>
            <w:pPr>
              <w:jc w:val="right"/>
            </w:pPr>
            <w:r>
              <w:rPr>
                <w:sz w:val="18"/>
                <w:szCs w:val="18"/>
              </w:rPr>
              <w:t xml:space="preserve">Timing; assumes provisions do not recur</w:t>
            </w:r>
          </w:p>
        </w:tc>
      </w:tr>
      <w:tr>
        <w:tc>
          <w:tcPr>
            <w:tcW w:type="dxa" w:w="1900"/>
            <w:tcMar>
              <w:top w:type="dxa" w:w="60"/>
              <w:left w:type="dxa" w:w="110"/>
              <w:bottom w:type="dxa" w:w="60"/>
              <w:right w:type="dxa" w:w="110"/>
            </w:tcMar>
            <w:vAlign w:val="center"/>
          </w:tcPr>
          <w:p>
            <w:pPr>
              <w:jc w:val="left"/>
            </w:pPr>
            <w:r>
              <w:rPr>
                <w:sz w:val="18"/>
                <w:szCs w:val="18"/>
              </w:rPr>
              <w:t xml:space="preserve">Technical (§2)</w:t>
            </w:r>
          </w:p>
        </w:tc>
        <w:tc>
          <w:tcPr>
            <w:tcW w:type="dxa" w:w="2260"/>
            <w:tcMar>
              <w:top w:type="dxa" w:w="60"/>
              <w:left w:type="dxa" w:w="110"/>
              <w:bottom w:type="dxa" w:w="60"/>
              <w:right w:type="dxa" w:w="110"/>
            </w:tcMar>
            <w:vAlign w:val="center"/>
          </w:tcPr>
          <w:p>
            <w:pPr>
              <w:jc w:val="right"/>
            </w:pPr>
            <w:r>
              <w:rPr>
                <w:sz w:val="18"/>
                <w:szCs w:val="18"/>
              </w:rPr>
              <w:t xml:space="preserve">Soft; below all MAs</w:t>
            </w:r>
          </w:p>
        </w:tc>
        <w:tc>
          <w:tcPr>
            <w:tcW w:type="dxa" w:w="2700"/>
            <w:tcMar>
              <w:top w:type="dxa" w:w="60"/>
              <w:left w:type="dxa" w:w="110"/>
              <w:bottom w:type="dxa" w:w="60"/>
              <w:right w:type="dxa" w:w="110"/>
            </w:tcMar>
            <w:vAlign w:val="center"/>
          </w:tcPr>
          <w:p>
            <w:pPr>
              <w:jc w:val="right"/>
            </w:pPr>
            <w:r>
              <w:rPr>
                <w:sz w:val="18"/>
                <w:szCs w:val="18"/>
              </w:rPr>
              <w:t xml:space="preserve">Reads what the market is actually paying</w:t>
            </w:r>
          </w:p>
        </w:tc>
        <w:tc>
          <w:tcPr>
            <w:tcW w:type="dxa" w:w="2500"/>
            <w:tcMar>
              <w:top w:type="dxa" w:w="60"/>
              <w:left w:type="dxa" w:w="110"/>
              <w:bottom w:type="dxa" w:w="60"/>
              <w:right w:type="dxa" w:w="110"/>
            </w:tcMar>
            <w:vAlign w:val="center"/>
          </w:tcPr>
          <w:p>
            <w:pPr>
              <w:jc w:val="right"/>
            </w:pPr>
            <w:r>
              <w:rPr>
                <w:sz w:val="18"/>
                <w:szCs w:val="18"/>
              </w:rPr>
              <w:t xml:space="preserve">Blind to the underlying-vs-reported gap</w:t>
            </w:r>
          </w:p>
        </w:tc>
      </w:tr>
      <w:tr>
        <w:tc>
          <w:tcPr>
            <w:tcW w:type="dxa" w:w="1900"/>
            <w:tcMar>
              <w:top w:type="dxa" w:w="60"/>
              <w:left w:type="dxa" w:w="110"/>
              <w:bottom w:type="dxa" w:w="60"/>
              <w:right w:type="dxa" w:w="110"/>
            </w:tcMar>
            <w:vAlign w:val="center"/>
          </w:tcPr>
          <w:p>
            <w:pPr>
              <w:jc w:val="left"/>
            </w:pPr>
            <w:r>
              <w:rPr>
                <w:sz w:val="18"/>
                <w:szCs w:val="18"/>
              </w:rPr>
              <w:t xml:space="preserve">Monte Carlo (§3)</w:t>
            </w:r>
          </w:p>
        </w:tc>
        <w:tc>
          <w:tcPr>
            <w:tcW w:type="dxa" w:w="2260"/>
            <w:tcMar>
              <w:top w:type="dxa" w:w="60"/>
              <w:left w:type="dxa" w:w="110"/>
              <w:bottom w:type="dxa" w:w="60"/>
              <w:right w:type="dxa" w:w="110"/>
            </w:tcMar>
            <w:vAlign w:val="center"/>
          </w:tcPr>
          <w:p>
            <w:pPr>
              <w:jc w:val="right"/>
            </w:pPr>
            <w:r>
              <w:rPr>
                <w:sz w:val="18"/>
                <w:szCs w:val="18"/>
              </w:rPr>
              <w:t xml:space="preserve">p50 ≈ spot; 2.85–4.31 (p5–p95)</w:t>
            </w:r>
          </w:p>
        </w:tc>
        <w:tc>
          <w:tcPr>
            <w:tcW w:type="dxa" w:w="2700"/>
            <w:tcMar>
              <w:top w:type="dxa" w:w="60"/>
              <w:left w:type="dxa" w:w="110"/>
              <w:bottom w:type="dxa" w:w="60"/>
              <w:right w:type="dxa" w:w="110"/>
            </w:tcMar>
            <w:vAlign w:val="center"/>
          </w:tcPr>
          <w:p>
            <w:pPr>
              <w:jc w:val="right"/>
            </w:pPr>
            <w:r>
              <w:rPr>
                <w:sz w:val="18"/>
                <w:szCs w:val="18"/>
              </w:rPr>
              <w:t xml:space="preserve">Honest width for position sizing</w:t>
            </w:r>
          </w:p>
        </w:tc>
        <w:tc>
          <w:tcPr>
            <w:tcW w:type="dxa" w:w="2500"/>
            <w:tcMar>
              <w:top w:type="dxa" w:w="60"/>
              <w:left w:type="dxa" w:w="110"/>
              <w:bottom w:type="dxa" w:w="60"/>
              <w:right w:type="dxa" w:w="110"/>
            </w:tcMar>
            <w:vAlign w:val="center"/>
          </w:tcPr>
          <w:p>
            <w:pPr>
              <w:jc w:val="right"/>
            </w:pPr>
            <w:r>
              <w:rPr>
                <w:sz w:val="18"/>
                <w:szCs w:val="18"/>
              </w:rPr>
              <w:t xml:space="preserve">FAILED Step 0 (see ledger) — adds no skill on this name</w:t>
            </w:r>
          </w:p>
        </w:tc>
      </w:tr>
      <w:tr>
        <w:tc>
          <w:tcPr>
            <w:tcW w:type="dxa" w:w="1900"/>
            <w:tcMar>
              <w:top w:type="dxa" w:w="60"/>
              <w:left w:type="dxa" w:w="110"/>
              <w:bottom w:type="dxa" w:w="60"/>
              <w:right w:type="dxa" w:w="110"/>
            </w:tcMar>
            <w:vAlign w:val="center"/>
          </w:tcPr>
          <w:p>
            <w:pPr>
              <w:jc w:val="left"/>
            </w:pPr>
            <w:r>
              <w:rPr>
                <w:sz w:val="18"/>
                <w:szCs w:val="18"/>
              </w:rPr>
              <w:t xml:space="preserve">Expert panel (App. C)</w:t>
            </w:r>
          </w:p>
        </w:tc>
        <w:tc>
          <w:tcPr>
            <w:tcW w:type="dxa" w:w="2260"/>
            <w:tcMar>
              <w:top w:type="dxa" w:w="60"/>
              <w:left w:type="dxa" w:w="110"/>
              <w:bottom w:type="dxa" w:w="60"/>
              <w:right w:type="dxa" w:w="110"/>
            </w:tcMar>
            <w:vAlign w:val="center"/>
          </w:tcPr>
          <w:p>
            <w:pPr>
              <w:jc w:val="right"/>
            </w:pPr>
            <w:r>
              <w:rPr>
                <w:sz w:val="18"/>
                <w:szCs w:val="18"/>
              </w:rPr>
              <w:t xml:space="preserve">3.62–4.51, centres ~4.09</w:t>
            </w:r>
          </w:p>
        </w:tc>
        <w:tc>
          <w:tcPr>
            <w:tcW w:type="dxa" w:w="2700"/>
            <w:tcMar>
              <w:top w:type="dxa" w:w="60"/>
              <w:left w:type="dxa" w:w="110"/>
              <w:bottom w:type="dxa" w:w="60"/>
              <w:right w:type="dxa" w:w="110"/>
            </w:tcMar>
            <w:vAlign w:val="center"/>
          </w:tcPr>
          <w:p>
            <w:pPr>
              <w:jc w:val="right"/>
            </w:pPr>
            <w:r>
              <w:rPr>
                <w:sz w:val="18"/>
                <w:szCs w:val="18"/>
              </w:rPr>
              <w:t xml:space="preserve">Three genuinely different methods</w:t>
            </w:r>
          </w:p>
        </w:tc>
        <w:tc>
          <w:tcPr>
            <w:tcW w:type="dxa" w:w="2500"/>
            <w:tcMar>
              <w:top w:type="dxa" w:w="60"/>
              <w:left w:type="dxa" w:w="110"/>
              <w:bottom w:type="dxa" w:w="60"/>
              <w:right w:type="dxa" w:w="110"/>
            </w:tcMar>
            <w:vAlign w:val="center"/>
          </w:tcPr>
          <w:p>
            <w:pPr>
              <w:jc w:val="right"/>
            </w:pPr>
            <w:r>
              <w:rPr>
                <w:sz w:val="18"/>
                <w:szCs w:val="18"/>
              </w:rPr>
              <w:t xml:space="preserve">Each hostage to one worldview</w:t>
            </w:r>
          </w:p>
        </w:tc>
      </w:tr>
    </w:tbl>
    <w:p>
      <w:pPr>
        <w:spacing w:after="60"/>
      </w:pPr>
    </w:p>
    <w:p>
      <w:pPr/>
      <w:r>
        <w:rPr>
          <w:b/>
          <w:bCs/>
          <w:sz w:val="20"/>
          <w:szCs w:val="20"/>
        </w:rPr>
        <w:t xml:space="preserve">Verdict.</w:t>
      </w:r>
      <w:r>
        <w:rPr>
          <w:sz w:val="20"/>
          <w:szCs w:val="20"/>
        </w:rPr>
        <w:t xml:space="preserve"> The fundamental case is strong and unusually testable: underlying EBITDA held through the worst optical year in the group’s history, Q1-2026 already turned, and the dividend pays 6.3% while the proof accumulates. The market’s counter-case is not stupid — goodwill of roughly AED 2.3bn sits against AED 2.6bn of equity, provisions have now recurred, and Egypt is a live tail — which is why the honest read is a </w:t>
      </w:r>
      <w:r>
        <w:rPr>
          <w:b/>
          <w:bCs/>
          <w:sz w:val="20"/>
          <w:szCs w:val="20"/>
        </w:rPr>
        <w:t xml:space="preserve">fair-value range of roughly AED 3.8–5.0 centred near 4.37</w:t>
      </w:r>
      <w:r>
        <w:rPr>
          <w:sz w:val="20"/>
          <w:szCs w:val="20"/>
        </w:rPr>
        <w:t xml:space="preserve">, an attractive asymmetry from 3.51, with the tape yet to confirm and the probabilistic lens explicitly unable to add timing skill here. Testahil publishes distributions, not tips; the distribution says the downside cases cluster near 3.0–3.1 and the upside cases near 5.7–7.1.</w:t>
      </w:r>
    </w:p>
    <w:p>
      <w:pPr>
        <w:pStyle w:val="Heading1"/>
      </w:pPr>
      <w:r>
        <w:rPr>
          <w:sz w:val="20"/>
          <w:szCs w:val="20"/>
        </w:rPr>
        <w:t xml:space="preserve">5  Catalysts to watch</w:t>
      </w:r>
    </w:p>
    <w:p>
      <w:pPr>
        <w:pStyle w:val="ListParagraph"/>
        <w:numPr>
          <w:ilvl w:val="0"/>
          <w:numId w:val="2"/>
        </w:numPr>
        <w:spacing w:after="60"/>
      </w:pPr>
      <w:r>
        <w:rPr>
          <w:b/>
          <w:bCs/>
          <w:sz w:val="20"/>
          <w:szCs w:val="20"/>
        </w:rPr>
        <w:t xml:space="preserve">Q2 2026 results (early August).</w:t>
      </w:r>
      <w:r>
        <w:rPr>
          <w:sz w:val="20"/>
          <w:szCs w:val="20"/>
        </w:rPr>
        <w:t xml:space="preserve"> The first clean-comp quarter against the provision-hit H2-25 run-rate; consensus-free, so the print sets the narrative alone.</w:t>
      </w:r>
    </w:p>
    <w:p>
      <w:pPr>
        <w:pStyle w:val="ListParagraph"/>
        <w:numPr>
          <w:ilvl w:val="0"/>
          <w:numId w:val="2"/>
        </w:numPr>
        <w:spacing w:after="60"/>
      </w:pPr>
      <w:r>
        <w:rPr>
          <w:b/>
          <w:bCs/>
          <w:sz w:val="20"/>
          <w:szCs w:val="20"/>
        </w:rPr>
        <w:t xml:space="preserve">H1 2026 interim dividend (with Q2).</w:t>
      </w:r>
      <w:r>
        <w:rPr>
          <w:sz w:val="20"/>
          <w:szCs w:val="20"/>
        </w:rPr>
        <w:t xml:space="preserve"> A third consecutive step-up would be the board underwriting the reset; a flat interim is the first warning.</w:t>
      </w:r>
    </w:p>
    <w:p>
      <w:pPr>
        <w:pStyle w:val="ListParagraph"/>
        <w:numPr>
          <w:ilvl w:val="0"/>
          <w:numId w:val="2"/>
        </w:numPr>
        <w:spacing w:after="60"/>
      </w:pPr>
      <w:r>
        <w:rPr>
          <w:b/>
          <w:bCs/>
          <w:sz w:val="20"/>
          <w:szCs w:val="20"/>
        </w:rPr>
        <w:t xml:space="preserve">Snacking reset milestones.</w:t>
      </w:r>
      <w:r>
        <w:rPr>
          <w:sz w:val="20"/>
          <w:szCs w:val="20"/>
        </w:rPr>
        <w:t xml:space="preserve"> Al Foah date-season contracting on the new counterparty terms; BMB relaunch sell-through; Abu Auf Egypt store count and UAE roll-out.</w:t>
      </w:r>
    </w:p>
    <w:p>
      <w:pPr>
        <w:pStyle w:val="ListParagraph"/>
        <w:numPr>
          <w:ilvl w:val="0"/>
          <w:numId w:val="2"/>
        </w:numPr>
        <w:spacing w:after="60"/>
      </w:pPr>
      <w:r>
        <w:rPr>
          <w:b/>
          <w:bCs/>
          <w:sz w:val="20"/>
          <w:szCs w:val="20"/>
        </w:rPr>
        <w:t xml:space="preserve">KSA protein plant utilisation.</w:t>
      </w:r>
      <w:r>
        <w:rPr>
          <w:sz w:val="20"/>
          <w:szCs w:val="20"/>
        </w:rPr>
        <w:t xml:space="preserve"> Phase-II lines commissioning through H2-26; each 10pp of utilisation is roughly 40–50bp of segment margin.</w:t>
      </w:r>
    </w:p>
    <w:p>
      <w:pPr>
        <w:pStyle w:val="ListParagraph"/>
        <w:numPr>
          <w:ilvl w:val="0"/>
          <w:numId w:val="2"/>
        </w:numPr>
        <w:spacing w:after="60"/>
      </w:pPr>
      <w:r>
        <w:rPr>
          <w:b/>
          <w:bCs/>
          <w:sz w:val="20"/>
          <w:szCs w:val="20"/>
        </w:rPr>
        <w:t xml:space="preserve">The commodity tape.</w:t>
      </w:r>
      <w:r>
        <w:rPr>
          <w:sz w:val="20"/>
          <w:szCs w:val="20"/>
        </w:rPr>
        <w:t xml:space="preserve"> Green coffee below ~$3/lb or wheat/corn softness flows to margin with a 2–3 quarter lag; a fresh coffee spike does the reverse.</w:t>
      </w:r>
    </w:p>
    <w:p>
      <w:pPr>
        <w:pStyle w:val="ListParagraph"/>
        <w:numPr>
          <w:ilvl w:val="0"/>
          <w:numId w:val="2"/>
        </w:numPr>
        <w:spacing w:after="60"/>
      </w:pPr>
      <w:r>
        <w:rPr>
          <w:b/>
          <w:bCs/>
          <w:sz w:val="20"/>
          <w:szCs w:val="20"/>
        </w:rPr>
        <w:t xml:space="preserve">The EGP.</w:t>
      </w:r>
      <w:r>
        <w:rPr>
          <w:sz w:val="20"/>
          <w:szCs w:val="20"/>
        </w:rPr>
        <w:t xml:space="preserve"> A step to 58+ (or a credible move the other way) re-marks a quarter of revenue; watch Suez receipts and the IMF review calendar.</w:t>
      </w:r>
    </w:p>
    <w:p>
      <w:pPr>
        <w:pStyle w:val="ListParagraph"/>
        <w:numPr>
          <w:ilvl w:val="0"/>
          <w:numId w:val="2"/>
        </w:numPr>
        <w:spacing w:after="60"/>
      </w:pPr>
      <w:r>
        <w:rPr>
          <w:b/>
          <w:bCs/>
          <w:sz w:val="20"/>
          <w:szCs w:val="20"/>
        </w:rPr>
        <w:t xml:space="preserve">Food-security program awards.</w:t>
      </w:r>
      <w:r>
        <w:rPr>
          <w:sz w:val="20"/>
          <w:szCs w:val="20"/>
        </w:rPr>
        <w:t xml:space="preserve"> New strategic-reserve or offtake mandates to Grand Mills/Agrivita would harden the Agri floor.</w:t>
      </w:r>
    </w:p>
    <w:p>
      <w:pPr>
        <w:pStyle w:val="ListParagraph"/>
        <w:numPr>
          <w:ilvl w:val="0"/>
          <w:numId w:val="2"/>
        </w:numPr>
        <w:spacing w:after="60"/>
      </w:pPr>
      <w:r>
        <w:rPr>
          <w:b/>
          <w:bCs/>
          <w:sz w:val="20"/>
          <w:szCs w:val="20"/>
        </w:rPr>
        <w:t xml:space="preserve">ADQ corporate actions &amp; index events.</w:t>
      </w:r>
      <w:r>
        <w:rPr>
          <w:sz w:val="20"/>
          <w:szCs w:val="20"/>
        </w:rPr>
        <w:t xml:space="preserve"> Bolt-on M&amp;A (the machine that built the group), any stake action, or FTSE/MSCI EM weight changes move the register.</w:t>
      </w:r>
    </w:p>
    <w:p>
      <w:pPr>
        <w:pStyle w:val="Heading1"/>
      </w:pPr>
      <w:r>
        <w:rPr>
          <w:sz w:val="20"/>
          <w:szCs w:val="20"/>
        </w:rPr>
        <w:t xml:space="preserve">6  Reading the probability zones</w:t>
      </w:r>
    </w:p>
    <w:p>
      <w:pPr/>
      <w:r>
        <w:rPr>
          <w:sz w:val="20"/>
          <w:szCs w:val="20"/>
        </w:rPr>
        <w:t xml:space="preserve">The T+60 distribution, cut into the bands a reader actually acts on (indicative only, per the §3 flag):</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1900"/>
        <w:gridCol w:w="1500"/>
        <w:gridCol w:w="5960"/>
      </w:tblGrid>
      <w:tr>
        <w:tc>
          <w:tcPr>
            <w:tcW w:type="dxa" w:w="1900"/>
            <w:shd w:fill="1C3A36" w:val="clear"/>
            <w:tcMar>
              <w:top w:type="dxa" w:w="60"/>
              <w:left w:type="dxa" w:w="110"/>
              <w:bottom w:type="dxa" w:w="60"/>
              <w:right w:type="dxa" w:w="110"/>
            </w:tcMar>
            <w:vAlign w:val="center"/>
          </w:tcPr>
          <w:p>
            <w:pPr>
              <w:jc w:val="left"/>
            </w:pPr>
            <w:r>
              <w:rPr>
                <w:b/>
                <w:bCs/>
                <w:color w:val="FFFFFF"/>
                <w:sz w:val="18"/>
                <w:szCs w:val="18"/>
              </w:rPr>
              <w:t xml:space="preserve">Zone (AED)</w:t>
            </w:r>
          </w:p>
        </w:tc>
        <w:tc>
          <w:tcPr>
            <w:tcW w:type="dxa" w:w="1500"/>
            <w:shd w:fill="1C3A36" w:val="clear"/>
            <w:tcMar>
              <w:top w:type="dxa" w:w="60"/>
              <w:left w:type="dxa" w:w="110"/>
              <w:bottom w:type="dxa" w:w="60"/>
              <w:right w:type="dxa" w:w="110"/>
            </w:tcMar>
            <w:vAlign w:val="center"/>
          </w:tcPr>
          <w:p>
            <w:pPr>
              <w:jc w:val="center"/>
            </w:pPr>
            <w:r>
              <w:rPr>
                <w:b/>
                <w:bCs/>
                <w:color w:val="FFFFFF"/>
                <w:sz w:val="18"/>
                <w:szCs w:val="18"/>
              </w:rPr>
              <w:t xml:space="preserve">Probability</w:t>
            </w:r>
          </w:p>
        </w:tc>
        <w:tc>
          <w:tcPr>
            <w:tcW w:type="dxa" w:w="5960"/>
            <w:shd w:fill="1C3A36" w:val="clear"/>
            <w:tcMar>
              <w:top w:type="dxa" w:w="60"/>
              <w:left w:type="dxa" w:w="110"/>
              <w:bottom w:type="dxa" w:w="60"/>
              <w:right w:type="dxa" w:w="110"/>
            </w:tcMar>
            <w:vAlign w:val="center"/>
          </w:tcPr>
          <w:p>
            <w:pPr>
              <w:jc w:val="center"/>
            </w:pPr>
            <w:r>
              <w:rPr>
                <w:b/>
                <w:bCs/>
                <w:color w:val="FFFFFF"/>
                <w:sz w:val="18"/>
                <w:szCs w:val="18"/>
              </w:rPr>
              <w:t xml:space="preserve">What it would mean</w:t>
            </w:r>
          </w:p>
        </w:tc>
      </w:tr>
      <w:tr>
        <w:tc>
          <w:tcPr>
            <w:tcW w:type="dxa" w:w="1900"/>
            <w:tcMar>
              <w:top w:type="dxa" w:w="60"/>
              <w:left w:type="dxa" w:w="110"/>
              <w:bottom w:type="dxa" w:w="60"/>
              <w:right w:type="dxa" w:w="110"/>
            </w:tcMar>
            <w:vAlign w:val="center"/>
          </w:tcPr>
          <w:p>
            <w:pPr>
              <w:jc w:val="left"/>
            </w:pPr>
            <w:r>
              <w:rPr>
                <w:sz w:val="18"/>
                <w:szCs w:val="18"/>
              </w:rPr>
              <w:t xml:space="preserve">&lt; 3.00</w:t>
            </w:r>
          </w:p>
        </w:tc>
        <w:tc>
          <w:tcPr>
            <w:tcW w:type="dxa" w:w="1500"/>
            <w:tcMar>
              <w:top w:type="dxa" w:w="60"/>
              <w:left w:type="dxa" w:w="110"/>
              <w:bottom w:type="dxa" w:w="60"/>
              <w:right w:type="dxa" w:w="110"/>
            </w:tcMar>
            <w:vAlign w:val="center"/>
          </w:tcPr>
          <w:p>
            <w:pPr>
              <w:jc w:val="right"/>
            </w:pPr>
            <w:r>
              <w:rPr>
                <w:sz w:val="18"/>
                <w:szCs w:val="18"/>
              </w:rPr>
              <w:t xml:space="preserve">10%</w:t>
            </w:r>
          </w:p>
        </w:tc>
        <w:tc>
          <w:tcPr>
            <w:tcW w:type="dxa" w:w="5960"/>
            <w:tcMar>
              <w:top w:type="dxa" w:w="60"/>
              <w:left w:type="dxa" w:w="110"/>
              <w:bottom w:type="dxa" w:w="60"/>
              <w:right w:type="dxa" w:w="110"/>
            </w:tcMar>
            <w:vAlign w:val="center"/>
          </w:tcPr>
          <w:p>
            <w:pPr>
              <w:jc w:val="right"/>
            </w:pPr>
            <w:r>
              <w:rPr>
                <w:sz w:val="18"/>
                <w:szCs w:val="18"/>
              </w:rPr>
              <w:t xml:space="preserve">Bear tail — provisions recur or EGP/geopolitics shock; bear fundamentals (≈3.05) in play</w:t>
            </w:r>
          </w:p>
        </w:tc>
      </w:tr>
      <w:tr>
        <w:tc>
          <w:tcPr>
            <w:tcW w:type="dxa" w:w="1900"/>
            <w:tcMar>
              <w:top w:type="dxa" w:w="60"/>
              <w:left w:type="dxa" w:w="110"/>
              <w:bottom w:type="dxa" w:w="60"/>
              <w:right w:type="dxa" w:w="110"/>
            </w:tcMar>
            <w:vAlign w:val="center"/>
          </w:tcPr>
          <w:p>
            <w:pPr>
              <w:jc w:val="left"/>
            </w:pPr>
            <w:r>
              <w:rPr>
                <w:sz w:val="18"/>
                <w:szCs w:val="18"/>
              </w:rPr>
              <w:t xml:space="preserve">3.00 – 3.30</w:t>
            </w:r>
          </w:p>
        </w:tc>
        <w:tc>
          <w:tcPr>
            <w:tcW w:type="dxa" w:w="1500"/>
            <w:tcMar>
              <w:top w:type="dxa" w:w="60"/>
              <w:left w:type="dxa" w:w="110"/>
              <w:bottom w:type="dxa" w:w="60"/>
              <w:right w:type="dxa" w:w="110"/>
            </w:tcMar>
            <w:vAlign w:val="center"/>
          </w:tcPr>
          <w:p>
            <w:pPr>
              <w:jc w:val="right"/>
            </w:pPr>
            <w:r>
              <w:rPr>
                <w:sz w:val="18"/>
                <w:szCs w:val="18"/>
              </w:rPr>
              <w:t xml:space="preserve">19%</w:t>
            </w:r>
          </w:p>
        </w:tc>
        <w:tc>
          <w:tcPr>
            <w:tcW w:type="dxa" w:w="5960"/>
            <w:tcMar>
              <w:top w:type="dxa" w:w="60"/>
              <w:left w:type="dxa" w:w="110"/>
              <w:bottom w:type="dxa" w:w="60"/>
              <w:right w:type="dxa" w:w="110"/>
            </w:tcMar>
            <w:vAlign w:val="center"/>
          </w:tcPr>
          <w:p>
            <w:pPr>
              <w:jc w:val="right"/>
            </w:pPr>
            <w:r>
              <w:rPr>
                <w:sz w:val="18"/>
                <w:szCs w:val="18"/>
              </w:rPr>
              <w:t xml:space="preserve">Soft drift — reset doubted; yield ≈ 6.7–7.4% does the waiting</w:t>
            </w:r>
          </w:p>
        </w:tc>
      </w:tr>
      <w:tr>
        <w:tc>
          <w:tcPr>
            <w:tcW w:type="dxa" w:w="1900"/>
            <w:tcMar>
              <w:top w:type="dxa" w:w="60"/>
              <w:left w:type="dxa" w:w="110"/>
              <w:bottom w:type="dxa" w:w="60"/>
              <w:right w:type="dxa" w:w="110"/>
            </w:tcMar>
            <w:vAlign w:val="center"/>
          </w:tcPr>
          <w:p>
            <w:pPr>
              <w:jc w:val="left"/>
            </w:pPr>
            <w:r>
              <w:rPr>
                <w:sz w:val="18"/>
                <w:szCs w:val="18"/>
              </w:rPr>
              <w:t xml:space="preserve">3.30 – 3.70</w:t>
            </w:r>
          </w:p>
        </w:tc>
        <w:tc>
          <w:tcPr>
            <w:tcW w:type="dxa" w:w="1500"/>
            <w:tcMar>
              <w:top w:type="dxa" w:w="60"/>
              <w:left w:type="dxa" w:w="110"/>
              <w:bottom w:type="dxa" w:w="60"/>
              <w:right w:type="dxa" w:w="110"/>
            </w:tcMar>
            <w:vAlign w:val="center"/>
          </w:tcPr>
          <w:p>
            <w:pPr>
              <w:jc w:val="right"/>
            </w:pPr>
            <w:r>
              <w:rPr>
                <w:sz w:val="18"/>
                <w:szCs w:val="18"/>
              </w:rPr>
              <w:t xml:space="preserve">39%</w:t>
            </w:r>
          </w:p>
        </w:tc>
        <w:tc>
          <w:tcPr>
            <w:tcW w:type="dxa" w:w="5960"/>
            <w:tcMar>
              <w:top w:type="dxa" w:w="60"/>
              <w:left w:type="dxa" w:w="110"/>
              <w:bottom w:type="dxa" w:w="60"/>
              <w:right w:type="dxa" w:w="110"/>
            </w:tcMar>
            <w:vAlign w:val="center"/>
          </w:tcPr>
          <w:p>
            <w:pPr>
              <w:jc w:val="right"/>
            </w:pPr>
            <w:r>
              <w:rPr>
                <w:sz w:val="18"/>
                <w:szCs w:val="18"/>
              </w:rPr>
              <w:t xml:space="preserve">The base camp — market waits for Q2/Q3 proof; most likely single zone</w:t>
            </w:r>
          </w:p>
        </w:tc>
      </w:tr>
      <w:tr>
        <w:tc>
          <w:tcPr>
            <w:tcW w:type="dxa" w:w="1900"/>
            <w:tcMar>
              <w:top w:type="dxa" w:w="60"/>
              <w:left w:type="dxa" w:w="110"/>
              <w:bottom w:type="dxa" w:w="60"/>
              <w:right w:type="dxa" w:w="110"/>
            </w:tcMar>
            <w:vAlign w:val="center"/>
          </w:tcPr>
          <w:p>
            <w:pPr>
              <w:jc w:val="left"/>
            </w:pPr>
            <w:r>
              <w:rPr>
                <w:sz w:val="18"/>
                <w:szCs w:val="18"/>
              </w:rPr>
              <w:t xml:space="preserve">3.70 – 4.10</w:t>
            </w:r>
          </w:p>
        </w:tc>
        <w:tc>
          <w:tcPr>
            <w:tcW w:type="dxa" w:w="1500"/>
            <w:tcMar>
              <w:top w:type="dxa" w:w="60"/>
              <w:left w:type="dxa" w:w="110"/>
              <w:bottom w:type="dxa" w:w="60"/>
              <w:right w:type="dxa" w:w="110"/>
            </w:tcMar>
            <w:vAlign w:val="center"/>
          </w:tcPr>
          <w:p>
            <w:pPr>
              <w:jc w:val="right"/>
            </w:pPr>
            <w:r>
              <w:rPr>
                <w:sz w:val="18"/>
                <w:szCs w:val="18"/>
              </w:rPr>
              <w:t xml:space="preserve">23%</w:t>
            </w:r>
          </w:p>
        </w:tc>
        <w:tc>
          <w:tcPr>
            <w:tcW w:type="dxa" w:w="5960"/>
            <w:tcMar>
              <w:top w:type="dxa" w:w="60"/>
              <w:left w:type="dxa" w:w="110"/>
              <w:bottom w:type="dxa" w:w="60"/>
              <w:right w:type="dxa" w:w="110"/>
            </w:tcMar>
            <w:vAlign w:val="center"/>
          </w:tcPr>
          <w:p>
            <w:pPr>
              <w:jc w:val="right"/>
            </w:pPr>
            <w:r>
              <w:rPr>
                <w:sz w:val="18"/>
                <w:szCs w:val="18"/>
              </w:rPr>
              <w:t xml:space="preserve">Repair — tape reclaims the averages, first re-rating leg toward the relative floor 3.83</w:t>
            </w:r>
          </w:p>
        </w:tc>
      </w:tr>
      <w:tr>
        <w:tc>
          <w:tcPr>
            <w:tcW w:type="dxa" w:w="1900"/>
            <w:tcMar>
              <w:top w:type="dxa" w:w="60"/>
              <w:left w:type="dxa" w:w="110"/>
              <w:bottom w:type="dxa" w:w="60"/>
              <w:right w:type="dxa" w:w="110"/>
            </w:tcMar>
            <w:vAlign w:val="center"/>
          </w:tcPr>
          <w:p>
            <w:pPr>
              <w:jc w:val="left"/>
            </w:pPr>
            <w:r>
              <w:rPr>
                <w:sz w:val="18"/>
                <w:szCs w:val="18"/>
              </w:rPr>
              <w:t xml:space="preserve">&gt; 4.10</w:t>
            </w:r>
          </w:p>
        </w:tc>
        <w:tc>
          <w:tcPr>
            <w:tcW w:type="dxa" w:w="1500"/>
            <w:tcMar>
              <w:top w:type="dxa" w:w="60"/>
              <w:left w:type="dxa" w:w="110"/>
              <w:bottom w:type="dxa" w:w="60"/>
              <w:right w:type="dxa" w:w="110"/>
            </w:tcMar>
            <w:vAlign w:val="center"/>
          </w:tcPr>
          <w:p>
            <w:pPr>
              <w:jc w:val="right"/>
            </w:pPr>
            <w:r>
              <w:rPr>
                <w:sz w:val="18"/>
                <w:szCs w:val="18"/>
              </w:rPr>
              <w:t xml:space="preserve">10%</w:t>
            </w:r>
          </w:p>
        </w:tc>
        <w:tc>
          <w:tcPr>
            <w:tcW w:type="dxa" w:w="5960"/>
            <w:tcMar>
              <w:top w:type="dxa" w:w="60"/>
              <w:left w:type="dxa" w:w="110"/>
              <w:bottom w:type="dxa" w:w="60"/>
              <w:right w:type="dxa" w:w="110"/>
            </w:tcMar>
            <w:vAlign w:val="center"/>
          </w:tcPr>
          <w:p>
            <w:pPr>
              <w:jc w:val="right"/>
            </w:pPr>
            <w:r>
              <w:rPr>
                <w:sz w:val="18"/>
                <w:szCs w:val="18"/>
              </w:rPr>
              <w:t xml:space="preserve">Re-rating — early move toward the 4.37 central; needs a catalyst from §5</w:t>
            </w:r>
          </w:p>
        </w:tc>
      </w:tr>
    </w:tbl>
    <w:p>
      <w:pPr>
        <w:spacing w:after="60"/>
      </w:pPr>
    </w:p>
    <w:p>
      <w:pPr>
        <w:spacing w:before="60" w:after="40"/>
        <w:jc w:val="center"/>
      </w:pPr>
      <w:r>
        <w:drawing>
          <wp:inline distT="0" distB="0" distL="0" distR="0">
            <wp:extent cx="5532120" cy="2472393"/>
            <wp:effectExtent t="0" r="0" b="0" l="0"/>
            <wp:docPr id="106" name="fig7_z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7_zones.png"/>
                    <pic:cNvPicPr/>
                  </pic:nvPicPr>
                  <pic:blipFill>
                    <a:blip r:embed="rId15"/>
                    <a:stretch>
                      <a:fillRect/>
                    </a:stretch>
                  </pic:blipFill>
                  <pic:spPr>
                    <a:xfrm>
                      <a:off x="0" y="0"/>
                      <a:ext cx="5532120" cy="2472393"/>
                    </a:xfrm>
                    <a:prstGeom prst="rect">
                      <a:avLst/>
                    </a:prstGeom>
                  </pic:spPr>
                </pic:pic>
              </a:graphicData>
            </a:graphic>
          </wp:inline>
        </w:drawing>
      </w:r>
    </w:p>
    <w:p>
      <w:pPr>
        <w:spacing w:after="140"/>
        <w:jc w:val="center"/>
      </w:pPr>
      <w:r>
        <w:rPr>
          <w:i/>
          <w:iCs/>
          <w:color w:val="6E7B77"/>
          <w:sz w:val="16"/>
          <w:szCs w:val="16"/>
        </w:rPr>
        <w:t xml:space="preserve">Figure 7 — Probability zones at T+60. The base camp (3.30–3.70) is the single most likely band; the tails carry the bear fundamentals and the first re-rating leg.</w:t>
      </w:r>
    </w:p>
    <w:p>
      <w:pPr>
        <w:pStyle w:val="Heading1"/>
      </w:pPr>
      <w:r>
        <w:rPr>
          <w:sz w:val="20"/>
          <w:szCs w:val="20"/>
        </w:rPr>
        <w:t xml:space="preserve">7  Caveats — what would change our mind</w:t>
      </w:r>
    </w:p>
    <w:p>
      <w:pPr>
        <w:pStyle w:val="ListParagraph"/>
        <w:numPr>
          <w:ilvl w:val="0"/>
          <w:numId w:val="2"/>
        </w:numPr>
        <w:spacing w:after="60"/>
      </w:pPr>
      <w:r>
        <w:rPr>
          <w:b/>
          <w:bCs/>
          <w:sz w:val="20"/>
          <w:szCs w:val="20"/>
        </w:rPr>
        <w:t xml:space="preserve">Provision recurrence.</w:t>
      </w:r>
      <w:r>
        <w:rPr>
          <w:sz w:val="20"/>
          <w:szCs w:val="20"/>
        </w:rPr>
        <w:t xml:space="preserve"> A third year of receivable/counterparty charges converts “one-off” into “business model” and breaks the normalized-earnings lens; Expert 2’s 3.62 becomes the ceiling, not the floor.</w:t>
      </w:r>
    </w:p>
    <w:p>
      <w:pPr>
        <w:pStyle w:val="ListParagraph"/>
        <w:numPr>
          <w:ilvl w:val="0"/>
          <w:numId w:val="2"/>
        </w:numPr>
        <w:spacing w:after="60"/>
      </w:pPr>
      <w:r>
        <w:rPr>
          <w:b/>
          <w:bCs/>
          <w:sz w:val="20"/>
          <w:szCs w:val="20"/>
        </w:rPr>
        <w:t xml:space="preserve">Goodwill concentration.</w:t>
      </w:r>
      <w:r>
        <w:rPr>
          <w:sz w:val="20"/>
          <w:szCs w:val="20"/>
        </w:rPr>
        <w:t xml:space="preserve"> ~AED 2.3bn of goodwill/intangibles against AED 2.63bn of equity; a Snacking impairment would not touch cash but would crush book value and the P/B optics.</w:t>
      </w:r>
    </w:p>
    <w:p>
      <w:pPr>
        <w:pStyle w:val="ListParagraph"/>
        <w:numPr>
          <w:ilvl w:val="0"/>
          <w:numId w:val="2"/>
        </w:numPr>
        <w:spacing w:after="60"/>
      </w:pPr>
      <w:r>
        <w:rPr>
          <w:b/>
          <w:bCs/>
          <w:sz w:val="20"/>
          <w:szCs w:val="20"/>
        </w:rPr>
        <w:t xml:space="preserve">The Egypt tail.</w:t>
      </w:r>
      <w:r>
        <w:rPr>
          <w:sz w:val="20"/>
          <w:szCs w:val="20"/>
        </w:rPr>
        <w:t xml:space="preserve"> EGP beyond ~65 without pricing pass-through, or a structural regional escalation, invalidates the sleeve math in §1.8 and Expert 3’s weights.</w:t>
      </w:r>
    </w:p>
    <w:p>
      <w:pPr>
        <w:pStyle w:val="ListParagraph"/>
        <w:numPr>
          <w:ilvl w:val="0"/>
          <w:numId w:val="2"/>
        </w:numPr>
        <w:spacing w:after="60"/>
      </w:pPr>
      <w:r>
        <w:rPr>
          <w:b/>
          <w:bCs/>
          <w:sz w:val="20"/>
          <w:szCs w:val="20"/>
        </w:rPr>
        <w:t xml:space="preserve">KSA ramp risk.</w:t>
      </w:r>
      <w:r>
        <w:rPr>
          <w:sz w:val="20"/>
          <w:szCs w:val="20"/>
        </w:rPr>
        <w:t xml:space="preserve"> If the protein plant stalls below breakeven utilisation into FY27, the P&amp;F margin path (to 12.5%) is wrong and ~AED 0.25/share of the DCF with it.</w:t>
      </w:r>
    </w:p>
    <w:p>
      <w:pPr>
        <w:pStyle w:val="ListParagraph"/>
        <w:numPr>
          <w:ilvl w:val="0"/>
          <w:numId w:val="2"/>
        </w:numPr>
        <w:spacing w:after="60"/>
      </w:pPr>
      <w:r>
        <w:rPr>
          <w:b/>
          <w:bCs/>
          <w:sz w:val="20"/>
          <w:szCs w:val="20"/>
        </w:rPr>
        <w:t xml:space="preserve">Calibration failure (§3 / calibration ledger).</w:t>
      </w:r>
      <w:r>
        <w:rPr>
          <w:sz w:val="20"/>
          <w:szCs w:val="20"/>
        </w:rPr>
        <w:t xml:space="preserve"> The Monte Carlo lens has no demonstrated skill on this name; nothing in this study’s probability tables should be treated as calibrated forecasting. This is disclosed, not fixable by assertion — only by the engine some day beating the benchmark here.</w:t>
      </w:r>
    </w:p>
    <w:p>
      <w:pPr>
        <w:pStyle w:val="ListParagraph"/>
        <w:numPr>
          <w:ilvl w:val="0"/>
          <w:numId w:val="2"/>
        </w:numPr>
        <w:spacing w:after="60"/>
      </w:pPr>
      <w:r>
        <w:rPr>
          <w:b/>
          <w:bCs/>
          <w:sz w:val="20"/>
          <w:szCs w:val="20"/>
        </w:rPr>
        <w:t xml:space="preserve">Regulated-margin risk.</w:t>
      </w:r>
      <w:r>
        <w:rPr>
          <w:sz w:val="20"/>
          <w:szCs w:val="20"/>
        </w:rPr>
        <w:t xml:space="preserve"> Flour/feed tariff resets are a policy variable; the Agri 18.2% margin is an administrative outcome as much as a commercial one.</w:t>
      </w:r>
    </w:p>
    <w:p>
      <w:pPr>
        <w:pStyle w:val="Heading1"/>
      </w:pPr>
      <w:r>
        <w:rPr>
          <w:sz w:val="20"/>
          <w:szCs w:val="20"/>
        </w:rPr>
        <w:t xml:space="preserve">Appendix A — Financial statements</w:t>
      </w:r>
    </w:p>
    <w:p>
      <w:pPr/>
      <w:r>
        <w:rPr>
          <w:sz w:val="20"/>
          <w:szCs w:val="20"/>
        </w:rPr>
        <w:t xml:space="preserve">FY2023–FY2025 from company disclosure (ADX preliminary FY2025 results, 5 Mar 2026); FY2026E–FY2030E are the model’s forecasts (companion Excel, Assumptions sheet). Historical D&amp;A, net finance cost, tax and minorities are not separately itemised in the preliminary release and are </w:t>
      </w:r>
      <w:r>
        <w:rPr>
          <w:b/>
          <w:bCs/>
          <w:sz w:val="20"/>
          <w:szCs w:val="20"/>
        </w:rPr>
        <w:t xml:space="preserve">estimated to balance</w:t>
      </w:r>
      <w:r>
        <w:rPr>
          <w:sz w:val="20"/>
          <w:szCs w:val="20"/>
        </w:rPr>
        <w:t xml:space="preserve"> to the disclosed totals (revenue, EBITDA, net profit, EPS, total assets, equity) — marked †. AED millions.</w:t>
      </w:r>
    </w:p>
    <w:p>
      <w:pPr>
        <w:pStyle w:val="Heading2"/>
      </w:pPr>
      <w:r>
        <w:rPr>
          <w:sz w:val="20"/>
          <w:szCs w:val="20"/>
        </w:rPr>
        <w:t xml:space="preserve">A.1  Income statement</w:t>
      </w:r>
    </w:p>
    <w:tbl>
      <w:tblPr>
        <w:tblW w:type="dxa" w:w="9380"/>
        <w:tblBorders>
          <w:top w:val="single" w:color="CBD6D2" w:sz="1"/>
          <w:left w:val="single" w:color="CBD6D2" w:sz="1"/>
          <w:bottom w:val="single" w:color="CBD6D2" w:sz="1"/>
          <w:right w:val="single" w:color="CBD6D2" w:sz="1"/>
          <w:insideH w:val="single" w:color="CBD6D2" w:sz="1"/>
          <w:insideV w:val="single" w:color="CBD6D2" w:sz="1"/>
        </w:tblBorders>
      </w:tblPr>
      <w:tblGrid>
        <w:gridCol w:w="2260"/>
        <w:gridCol w:w="890"/>
        <w:gridCol w:w="890"/>
        <w:gridCol w:w="890"/>
        <w:gridCol w:w="890"/>
        <w:gridCol w:w="890"/>
        <w:gridCol w:w="890"/>
        <w:gridCol w:w="890"/>
        <w:gridCol w:w="890"/>
      </w:tblGrid>
      <w:tr>
        <w:tc>
          <w:tcPr>
            <w:tcW w:type="dxa" w:w="2260"/>
            <w:shd w:fill="1C3A36" w:val="clear"/>
            <w:tcMar>
              <w:top w:type="dxa" w:w="60"/>
              <w:left w:type="dxa" w:w="110"/>
              <w:bottom w:type="dxa" w:w="60"/>
              <w:right w:type="dxa" w:w="110"/>
            </w:tcMar>
            <w:vAlign w:val="center"/>
          </w:tcPr>
          <w:p>
            <w:pPr>
              <w:jc w:val="left"/>
            </w:pPr>
            <w:r>
              <w:rPr>
                <w:b/>
                <w:bCs/>
                <w:color w:val="FFFFFF"/>
                <w:sz w:val="18"/>
                <w:szCs w:val="18"/>
              </w:rPr>
              <w:t xml:space="preserve">AED mn</w:t>
            </w:r>
          </w:p>
        </w:tc>
        <w:tc>
          <w:tcPr>
            <w:tcW w:type="dxa" w:w="890"/>
            <w:shd w:fill="1C3A36" w:val="clear"/>
            <w:tcMar>
              <w:top w:type="dxa" w:w="60"/>
              <w:left w:type="dxa" w:w="110"/>
              <w:bottom w:type="dxa" w:w="60"/>
              <w:right w:type="dxa" w:w="110"/>
            </w:tcMar>
            <w:vAlign w:val="center"/>
          </w:tcPr>
          <w:p>
            <w:pPr>
              <w:jc w:val="center"/>
            </w:pPr>
            <w:r>
              <w:rPr>
                <w:b/>
                <w:bCs/>
                <w:color w:val="FFFFFF"/>
                <w:sz w:val="18"/>
                <w:szCs w:val="18"/>
              </w:rPr>
              <w:t xml:space="preserve">FY23</w:t>
            </w:r>
          </w:p>
        </w:tc>
        <w:tc>
          <w:tcPr>
            <w:tcW w:type="dxa" w:w="890"/>
            <w:shd w:fill="1C3A36" w:val="clear"/>
            <w:tcMar>
              <w:top w:type="dxa" w:w="60"/>
              <w:left w:type="dxa" w:w="110"/>
              <w:bottom w:type="dxa" w:w="60"/>
              <w:right w:type="dxa" w:w="110"/>
            </w:tcMar>
            <w:vAlign w:val="center"/>
          </w:tcPr>
          <w:p>
            <w:pPr>
              <w:jc w:val="center"/>
            </w:pPr>
            <w:r>
              <w:rPr>
                <w:b/>
                <w:bCs/>
                <w:color w:val="FFFFFF"/>
                <w:sz w:val="18"/>
                <w:szCs w:val="18"/>
              </w:rPr>
              <w:t xml:space="preserve">FY24</w:t>
            </w:r>
          </w:p>
        </w:tc>
        <w:tc>
          <w:tcPr>
            <w:tcW w:type="dxa" w:w="890"/>
            <w:shd w:fill="1C3A36" w:val="clear"/>
            <w:tcMar>
              <w:top w:type="dxa" w:w="60"/>
              <w:left w:type="dxa" w:w="110"/>
              <w:bottom w:type="dxa" w:w="60"/>
              <w:right w:type="dxa" w:w="110"/>
            </w:tcMar>
            <w:vAlign w:val="center"/>
          </w:tcPr>
          <w:p>
            <w:pPr>
              <w:jc w:val="center"/>
            </w:pPr>
            <w:r>
              <w:rPr>
                <w:b/>
                <w:bCs/>
                <w:color w:val="FFFFFF"/>
                <w:sz w:val="18"/>
                <w:szCs w:val="18"/>
              </w:rPr>
              <w:t xml:space="preserve">FY25</w:t>
            </w:r>
          </w:p>
        </w:tc>
        <w:tc>
          <w:tcPr>
            <w:tcW w:type="dxa" w:w="890"/>
            <w:shd w:fill="1C3A36" w:val="clear"/>
            <w:tcMar>
              <w:top w:type="dxa" w:w="60"/>
              <w:left w:type="dxa" w:w="110"/>
              <w:bottom w:type="dxa" w:w="60"/>
              <w:right w:type="dxa" w:w="110"/>
            </w:tcMar>
            <w:vAlign w:val="center"/>
          </w:tcPr>
          <w:p>
            <w:pPr>
              <w:jc w:val="center"/>
            </w:pPr>
            <w:r>
              <w:rPr>
                <w:b/>
                <w:bCs/>
                <w:color w:val="FFFFFF"/>
                <w:sz w:val="18"/>
                <w:szCs w:val="18"/>
              </w:rPr>
              <w:t xml:space="preserve">FY26E</w:t>
            </w:r>
          </w:p>
        </w:tc>
        <w:tc>
          <w:tcPr>
            <w:tcW w:type="dxa" w:w="890"/>
            <w:shd w:fill="1C3A36" w:val="clear"/>
            <w:tcMar>
              <w:top w:type="dxa" w:w="60"/>
              <w:left w:type="dxa" w:w="110"/>
              <w:bottom w:type="dxa" w:w="60"/>
              <w:right w:type="dxa" w:w="110"/>
            </w:tcMar>
            <w:vAlign w:val="center"/>
          </w:tcPr>
          <w:p>
            <w:pPr>
              <w:jc w:val="center"/>
            </w:pPr>
            <w:r>
              <w:rPr>
                <w:b/>
                <w:bCs/>
                <w:color w:val="FFFFFF"/>
                <w:sz w:val="18"/>
                <w:szCs w:val="18"/>
              </w:rPr>
              <w:t xml:space="preserve">FY27E</w:t>
            </w:r>
          </w:p>
        </w:tc>
        <w:tc>
          <w:tcPr>
            <w:tcW w:type="dxa" w:w="890"/>
            <w:shd w:fill="1C3A36" w:val="clear"/>
            <w:tcMar>
              <w:top w:type="dxa" w:w="60"/>
              <w:left w:type="dxa" w:w="110"/>
              <w:bottom w:type="dxa" w:w="60"/>
              <w:right w:type="dxa" w:w="110"/>
            </w:tcMar>
            <w:vAlign w:val="center"/>
          </w:tcPr>
          <w:p>
            <w:pPr>
              <w:jc w:val="center"/>
            </w:pPr>
            <w:r>
              <w:rPr>
                <w:b/>
                <w:bCs/>
                <w:color w:val="FFFFFF"/>
                <w:sz w:val="18"/>
                <w:szCs w:val="18"/>
              </w:rPr>
              <w:t xml:space="preserve">FY28E</w:t>
            </w:r>
          </w:p>
        </w:tc>
        <w:tc>
          <w:tcPr>
            <w:tcW w:type="dxa" w:w="890"/>
            <w:shd w:fill="1C3A36" w:val="clear"/>
            <w:tcMar>
              <w:top w:type="dxa" w:w="60"/>
              <w:left w:type="dxa" w:w="110"/>
              <w:bottom w:type="dxa" w:w="60"/>
              <w:right w:type="dxa" w:w="110"/>
            </w:tcMar>
            <w:vAlign w:val="center"/>
          </w:tcPr>
          <w:p>
            <w:pPr>
              <w:jc w:val="center"/>
            </w:pPr>
            <w:r>
              <w:rPr>
                <w:b/>
                <w:bCs/>
                <w:color w:val="FFFFFF"/>
                <w:sz w:val="18"/>
                <w:szCs w:val="18"/>
              </w:rPr>
              <w:t xml:space="preserve">FY29E</w:t>
            </w:r>
          </w:p>
        </w:tc>
        <w:tc>
          <w:tcPr>
            <w:tcW w:type="dxa" w:w="890"/>
            <w:shd w:fill="1C3A36" w:val="clear"/>
            <w:tcMar>
              <w:top w:type="dxa" w:w="60"/>
              <w:left w:type="dxa" w:w="110"/>
              <w:bottom w:type="dxa" w:w="60"/>
              <w:right w:type="dxa" w:w="110"/>
            </w:tcMar>
            <w:vAlign w:val="center"/>
          </w:tcPr>
          <w:p>
            <w:pPr>
              <w:jc w:val="center"/>
            </w:pPr>
            <w:r>
              <w:rPr>
                <w:b/>
                <w:bCs/>
                <w:color w:val="FFFFFF"/>
                <w:sz w:val="18"/>
                <w:szCs w:val="18"/>
              </w:rPr>
              <w:t xml:space="preserve">FY30E</w:t>
            </w:r>
          </w:p>
        </w:tc>
      </w:tr>
      <w:tr>
        <w:tc>
          <w:tcPr>
            <w:tcW w:type="dxa" w:w="2260"/>
            <w:tcMar>
              <w:top w:type="dxa" w:w="60"/>
              <w:left w:type="dxa" w:w="110"/>
              <w:bottom w:type="dxa" w:w="60"/>
              <w:right w:type="dxa" w:w="110"/>
            </w:tcMar>
            <w:vAlign w:val="center"/>
          </w:tcPr>
          <w:p>
            <w:pPr>
              <w:jc w:val="left"/>
            </w:pPr>
            <w:r>
              <w:rPr>
                <w:sz w:val="18"/>
                <w:szCs w:val="18"/>
              </w:rPr>
              <w:t xml:space="preserve">Revenue</w:t>
            </w:r>
          </w:p>
        </w:tc>
        <w:tc>
          <w:tcPr>
            <w:tcW w:type="dxa" w:w="890"/>
            <w:tcMar>
              <w:top w:type="dxa" w:w="60"/>
              <w:left w:type="dxa" w:w="110"/>
              <w:bottom w:type="dxa" w:w="60"/>
              <w:right w:type="dxa" w:w="110"/>
            </w:tcMar>
            <w:vAlign w:val="center"/>
          </w:tcPr>
          <w:p>
            <w:pPr>
              <w:jc w:val="right"/>
            </w:pPr>
            <w:r>
              <w:rPr>
                <w:sz w:val="18"/>
                <w:szCs w:val="18"/>
              </w:rPr>
              <w:t xml:space="preserve">4,561.2</w:t>
            </w:r>
          </w:p>
        </w:tc>
        <w:tc>
          <w:tcPr>
            <w:tcW w:type="dxa" w:w="890"/>
            <w:tcMar>
              <w:top w:type="dxa" w:w="60"/>
              <w:left w:type="dxa" w:w="110"/>
              <w:bottom w:type="dxa" w:w="60"/>
              <w:right w:type="dxa" w:w="110"/>
            </w:tcMar>
            <w:vAlign w:val="center"/>
          </w:tcPr>
          <w:p>
            <w:pPr>
              <w:jc w:val="right"/>
            </w:pPr>
            <w:r>
              <w:rPr>
                <w:sz w:val="18"/>
                <w:szCs w:val="18"/>
              </w:rPr>
              <w:t xml:space="preserve">4,914.6</w:t>
            </w:r>
          </w:p>
        </w:tc>
        <w:tc>
          <w:tcPr>
            <w:tcW w:type="dxa" w:w="890"/>
            <w:tcMar>
              <w:top w:type="dxa" w:w="60"/>
              <w:left w:type="dxa" w:w="110"/>
              <w:bottom w:type="dxa" w:w="60"/>
              <w:right w:type="dxa" w:w="110"/>
            </w:tcMar>
            <w:vAlign w:val="center"/>
          </w:tcPr>
          <w:p>
            <w:pPr>
              <w:jc w:val="right"/>
            </w:pPr>
            <w:r>
              <w:rPr>
                <w:sz w:val="18"/>
                <w:szCs w:val="18"/>
              </w:rPr>
              <w:t xml:space="preserve">4,845.6</w:t>
            </w:r>
          </w:p>
        </w:tc>
        <w:tc>
          <w:tcPr>
            <w:tcW w:type="dxa" w:w="890"/>
            <w:tcMar>
              <w:top w:type="dxa" w:w="60"/>
              <w:left w:type="dxa" w:w="110"/>
              <w:bottom w:type="dxa" w:w="60"/>
              <w:right w:type="dxa" w:w="110"/>
            </w:tcMar>
            <w:vAlign w:val="center"/>
          </w:tcPr>
          <w:p>
            <w:pPr>
              <w:jc w:val="right"/>
            </w:pPr>
            <w:r>
              <w:rPr>
                <w:sz w:val="18"/>
                <w:szCs w:val="18"/>
              </w:rPr>
              <w:t xml:space="preserve">5,051</w:t>
            </w:r>
          </w:p>
        </w:tc>
        <w:tc>
          <w:tcPr>
            <w:tcW w:type="dxa" w:w="890"/>
            <w:tcMar>
              <w:top w:type="dxa" w:w="60"/>
              <w:left w:type="dxa" w:w="110"/>
              <w:bottom w:type="dxa" w:w="60"/>
              <w:right w:type="dxa" w:w="110"/>
            </w:tcMar>
            <w:vAlign w:val="center"/>
          </w:tcPr>
          <w:p>
            <w:pPr>
              <w:jc w:val="right"/>
            </w:pPr>
            <w:r>
              <w:rPr>
                <w:sz w:val="18"/>
                <w:szCs w:val="18"/>
              </w:rPr>
              <w:t xml:space="preserve">5,335</w:t>
            </w:r>
          </w:p>
        </w:tc>
        <w:tc>
          <w:tcPr>
            <w:tcW w:type="dxa" w:w="890"/>
            <w:tcMar>
              <w:top w:type="dxa" w:w="60"/>
              <w:left w:type="dxa" w:w="110"/>
              <w:bottom w:type="dxa" w:w="60"/>
              <w:right w:type="dxa" w:w="110"/>
            </w:tcMar>
            <w:vAlign w:val="center"/>
          </w:tcPr>
          <w:p>
            <w:pPr>
              <w:jc w:val="right"/>
            </w:pPr>
            <w:r>
              <w:rPr>
                <w:sz w:val="18"/>
                <w:szCs w:val="18"/>
              </w:rPr>
              <w:t xml:space="preserve">5,624</w:t>
            </w:r>
          </w:p>
        </w:tc>
        <w:tc>
          <w:tcPr>
            <w:tcW w:type="dxa" w:w="890"/>
            <w:tcMar>
              <w:top w:type="dxa" w:w="60"/>
              <w:left w:type="dxa" w:w="110"/>
              <w:bottom w:type="dxa" w:w="60"/>
              <w:right w:type="dxa" w:w="110"/>
            </w:tcMar>
            <w:vAlign w:val="center"/>
          </w:tcPr>
          <w:p>
            <w:pPr>
              <w:jc w:val="right"/>
            </w:pPr>
            <w:r>
              <w:rPr>
                <w:sz w:val="18"/>
                <w:szCs w:val="18"/>
              </w:rPr>
              <w:t xml:space="preserve">5,888</w:t>
            </w:r>
          </w:p>
        </w:tc>
        <w:tc>
          <w:tcPr>
            <w:tcW w:type="dxa" w:w="890"/>
            <w:tcMar>
              <w:top w:type="dxa" w:w="60"/>
              <w:left w:type="dxa" w:w="110"/>
              <w:bottom w:type="dxa" w:w="60"/>
              <w:right w:type="dxa" w:w="110"/>
            </w:tcMar>
            <w:vAlign w:val="center"/>
          </w:tcPr>
          <w:p>
            <w:pPr>
              <w:jc w:val="right"/>
            </w:pPr>
            <w:r>
              <w:rPr>
                <w:sz w:val="18"/>
                <w:szCs w:val="18"/>
              </w:rPr>
              <w:t xml:space="preserve">6,135</w:t>
            </w:r>
          </w:p>
        </w:tc>
      </w:tr>
      <w:tr>
        <w:tc>
          <w:tcPr>
            <w:tcW w:type="dxa" w:w="2260"/>
            <w:tcMar>
              <w:top w:type="dxa" w:w="60"/>
              <w:left w:type="dxa" w:w="110"/>
              <w:bottom w:type="dxa" w:w="60"/>
              <w:right w:type="dxa" w:w="110"/>
            </w:tcMar>
            <w:vAlign w:val="center"/>
          </w:tcPr>
          <w:p>
            <w:pPr>
              <w:jc w:val="left"/>
            </w:pPr>
            <w:r>
              <w:rPr>
                <w:sz w:val="18"/>
                <w:szCs w:val="18"/>
              </w:rPr>
              <w:t xml:space="preserve">Group EBITDA (reported)</w:t>
            </w:r>
          </w:p>
        </w:tc>
        <w:tc>
          <w:tcPr>
            <w:tcW w:type="dxa" w:w="890"/>
            <w:tcMar>
              <w:top w:type="dxa" w:w="60"/>
              <w:left w:type="dxa" w:w="110"/>
              <w:bottom w:type="dxa" w:w="60"/>
              <w:right w:type="dxa" w:w="110"/>
            </w:tcMar>
            <w:vAlign w:val="center"/>
          </w:tcPr>
          <w:p>
            <w:pPr>
              <w:jc w:val="right"/>
            </w:pPr>
            <w:r>
              <w:rPr>
                <w:sz w:val="18"/>
                <w:szCs w:val="18"/>
              </w:rPr>
              <w:t xml:space="preserve">689.3</w:t>
            </w:r>
          </w:p>
        </w:tc>
        <w:tc>
          <w:tcPr>
            <w:tcW w:type="dxa" w:w="890"/>
            <w:tcMar>
              <w:top w:type="dxa" w:w="60"/>
              <w:left w:type="dxa" w:w="110"/>
              <w:bottom w:type="dxa" w:w="60"/>
              <w:right w:type="dxa" w:w="110"/>
            </w:tcMar>
            <w:vAlign w:val="center"/>
          </w:tcPr>
          <w:p>
            <w:pPr>
              <w:jc w:val="right"/>
            </w:pPr>
            <w:r>
              <w:rPr>
                <w:sz w:val="18"/>
                <w:szCs w:val="18"/>
              </w:rPr>
              <w:t xml:space="preserve">678.8</w:t>
            </w:r>
          </w:p>
        </w:tc>
        <w:tc>
          <w:tcPr>
            <w:tcW w:type="dxa" w:w="890"/>
            <w:tcMar>
              <w:top w:type="dxa" w:w="60"/>
              <w:left w:type="dxa" w:w="110"/>
              <w:bottom w:type="dxa" w:w="60"/>
              <w:right w:type="dxa" w:w="110"/>
            </w:tcMar>
            <w:vAlign w:val="center"/>
          </w:tcPr>
          <w:p>
            <w:pPr>
              <w:jc w:val="right"/>
            </w:pPr>
            <w:r>
              <w:rPr>
                <w:sz w:val="18"/>
                <w:szCs w:val="18"/>
              </w:rPr>
              <w:t xml:space="preserve">463.4</w:t>
            </w:r>
          </w:p>
        </w:tc>
        <w:tc>
          <w:tcPr>
            <w:tcW w:type="dxa" w:w="890"/>
            <w:tcMar>
              <w:top w:type="dxa" w:w="60"/>
              <w:left w:type="dxa" w:w="110"/>
              <w:bottom w:type="dxa" w:w="60"/>
              <w:right w:type="dxa" w:w="110"/>
            </w:tcMar>
            <w:vAlign w:val="center"/>
          </w:tcPr>
          <w:p>
            <w:pPr>
              <w:jc w:val="right"/>
            </w:pPr>
            <w:r>
              <w:rPr>
                <w:sz w:val="18"/>
                <w:szCs w:val="18"/>
              </w:rPr>
              <w:t xml:space="preserve">633</w:t>
            </w:r>
          </w:p>
        </w:tc>
        <w:tc>
          <w:tcPr>
            <w:tcW w:type="dxa" w:w="890"/>
            <w:tcMar>
              <w:top w:type="dxa" w:w="60"/>
              <w:left w:type="dxa" w:w="110"/>
              <w:bottom w:type="dxa" w:w="60"/>
              <w:right w:type="dxa" w:w="110"/>
            </w:tcMar>
            <w:vAlign w:val="center"/>
          </w:tcPr>
          <w:p>
            <w:pPr>
              <w:jc w:val="right"/>
            </w:pPr>
            <w:r>
              <w:rPr>
                <w:sz w:val="18"/>
                <w:szCs w:val="18"/>
              </w:rPr>
              <w:t xml:space="preserve">708</w:t>
            </w:r>
          </w:p>
        </w:tc>
        <w:tc>
          <w:tcPr>
            <w:tcW w:type="dxa" w:w="890"/>
            <w:tcMar>
              <w:top w:type="dxa" w:w="60"/>
              <w:left w:type="dxa" w:w="110"/>
              <w:bottom w:type="dxa" w:w="60"/>
              <w:right w:type="dxa" w:w="110"/>
            </w:tcMar>
            <w:vAlign w:val="center"/>
          </w:tcPr>
          <w:p>
            <w:pPr>
              <w:jc w:val="right"/>
            </w:pPr>
            <w:r>
              <w:rPr>
                <w:sz w:val="18"/>
                <w:szCs w:val="18"/>
              </w:rPr>
              <w:t xml:space="preserve">776</w:t>
            </w:r>
          </w:p>
        </w:tc>
        <w:tc>
          <w:tcPr>
            <w:tcW w:type="dxa" w:w="890"/>
            <w:tcMar>
              <w:top w:type="dxa" w:w="60"/>
              <w:left w:type="dxa" w:w="110"/>
              <w:bottom w:type="dxa" w:w="60"/>
              <w:right w:type="dxa" w:w="110"/>
            </w:tcMar>
            <w:vAlign w:val="center"/>
          </w:tcPr>
          <w:p>
            <w:pPr>
              <w:jc w:val="right"/>
            </w:pPr>
            <w:r>
              <w:rPr>
                <w:sz w:val="18"/>
                <w:szCs w:val="18"/>
              </w:rPr>
              <w:t xml:space="preserve">828</w:t>
            </w:r>
          </w:p>
        </w:tc>
        <w:tc>
          <w:tcPr>
            <w:tcW w:type="dxa" w:w="890"/>
            <w:tcMar>
              <w:top w:type="dxa" w:w="60"/>
              <w:left w:type="dxa" w:w="110"/>
              <w:bottom w:type="dxa" w:w="60"/>
              <w:right w:type="dxa" w:w="110"/>
            </w:tcMar>
            <w:vAlign w:val="center"/>
          </w:tcPr>
          <w:p>
            <w:pPr>
              <w:jc w:val="right"/>
            </w:pPr>
            <w:r>
              <w:rPr>
                <w:sz w:val="18"/>
                <w:szCs w:val="18"/>
              </w:rPr>
              <w:t xml:space="preserve">870</w:t>
            </w:r>
          </w:p>
        </w:tc>
      </w:tr>
      <w:tr>
        <w:tc>
          <w:tcPr>
            <w:tcW w:type="dxa" w:w="2260"/>
            <w:tcMar>
              <w:top w:type="dxa" w:w="60"/>
              <w:left w:type="dxa" w:w="110"/>
              <w:bottom w:type="dxa" w:w="60"/>
              <w:right w:type="dxa" w:w="110"/>
            </w:tcMar>
            <w:vAlign w:val="center"/>
          </w:tcPr>
          <w:p>
            <w:pPr>
              <w:jc w:val="left"/>
            </w:pPr>
            <w:r>
              <w:rPr>
                <w:sz w:val="18"/>
                <w:szCs w:val="18"/>
              </w:rPr>
              <w:t xml:space="preserve">  one-off items (memo)</w:t>
            </w:r>
          </w:p>
        </w:tc>
        <w:tc>
          <w:tcPr>
            <w:tcW w:type="dxa" w:w="890"/>
            <w:tcMar>
              <w:top w:type="dxa" w:w="60"/>
              <w:left w:type="dxa" w:w="110"/>
              <w:bottom w:type="dxa" w:w="60"/>
              <w:right w:type="dxa" w:w="110"/>
            </w:tcMar>
            <w:vAlign w:val="center"/>
          </w:tcPr>
          <w:p>
            <w:pPr>
              <w:jc w:val="right"/>
            </w:pPr>
            <w:r>
              <w:rPr>
                <w:sz w:val="18"/>
                <w:szCs w:val="18"/>
              </w:rPr>
              <w:t xml:space="preserve">–</w:t>
            </w:r>
          </w:p>
        </w:tc>
        <w:tc>
          <w:tcPr>
            <w:tcW w:type="dxa" w:w="890"/>
            <w:tcMar>
              <w:top w:type="dxa" w:w="60"/>
              <w:left w:type="dxa" w:w="110"/>
              <w:bottom w:type="dxa" w:w="60"/>
              <w:right w:type="dxa" w:w="110"/>
            </w:tcMar>
            <w:vAlign w:val="center"/>
          </w:tcPr>
          <w:p>
            <w:pPr>
              <w:jc w:val="right"/>
            </w:pPr>
            <w:r>
              <w:rPr>
                <w:sz w:val="18"/>
                <w:szCs w:val="18"/>
              </w:rPr>
              <w:t xml:space="preserve">(10.0)</w:t>
            </w:r>
          </w:p>
        </w:tc>
        <w:tc>
          <w:tcPr>
            <w:tcW w:type="dxa" w:w="890"/>
            <w:tcMar>
              <w:top w:type="dxa" w:w="60"/>
              <w:left w:type="dxa" w:w="110"/>
              <w:bottom w:type="dxa" w:w="60"/>
              <w:right w:type="dxa" w:w="110"/>
            </w:tcMar>
            <w:vAlign w:val="center"/>
          </w:tcPr>
          <w:p>
            <w:pPr>
              <w:jc w:val="right"/>
            </w:pPr>
            <w:r>
              <w:rPr>
                <w:sz w:val="18"/>
                <w:szCs w:val="18"/>
              </w:rPr>
              <w:t xml:space="preserve">143.4</w:t>
            </w:r>
          </w:p>
        </w:tc>
        <w:tc>
          <w:tcPr>
            <w:tcW w:type="dxa" w:w="890"/>
            <w:tcMar>
              <w:top w:type="dxa" w:w="60"/>
              <w:left w:type="dxa" w:w="110"/>
              <w:bottom w:type="dxa" w:w="60"/>
              <w:right w:type="dxa" w:w="110"/>
            </w:tcMar>
            <w:vAlign w:val="center"/>
          </w:tcPr>
          <w:p>
            <w:pPr>
              <w:jc w:val="right"/>
            </w:pPr>
            <w:r>
              <w:rPr>
                <w:sz w:val="18"/>
                <w:szCs w:val="18"/>
              </w:rPr>
              <w:t xml:space="preserve">–</w:t>
            </w:r>
          </w:p>
        </w:tc>
        <w:tc>
          <w:tcPr>
            <w:tcW w:type="dxa" w:w="890"/>
            <w:tcMar>
              <w:top w:type="dxa" w:w="60"/>
              <w:left w:type="dxa" w:w="110"/>
              <w:bottom w:type="dxa" w:w="60"/>
              <w:right w:type="dxa" w:w="110"/>
            </w:tcMar>
            <w:vAlign w:val="center"/>
          </w:tcPr>
          <w:p>
            <w:pPr>
              <w:jc w:val="right"/>
            </w:pPr>
            <w:r>
              <w:rPr>
                <w:sz w:val="18"/>
                <w:szCs w:val="18"/>
              </w:rPr>
              <w:t xml:space="preserve">–</w:t>
            </w:r>
          </w:p>
        </w:tc>
        <w:tc>
          <w:tcPr>
            <w:tcW w:type="dxa" w:w="890"/>
            <w:tcMar>
              <w:top w:type="dxa" w:w="60"/>
              <w:left w:type="dxa" w:w="110"/>
              <w:bottom w:type="dxa" w:w="60"/>
              <w:right w:type="dxa" w:w="110"/>
            </w:tcMar>
            <w:vAlign w:val="center"/>
          </w:tcPr>
          <w:p>
            <w:pPr>
              <w:jc w:val="right"/>
            </w:pPr>
            <w:r>
              <w:rPr>
                <w:sz w:val="18"/>
                <w:szCs w:val="18"/>
              </w:rPr>
              <w:t xml:space="preserve">–</w:t>
            </w:r>
          </w:p>
        </w:tc>
        <w:tc>
          <w:tcPr>
            <w:tcW w:type="dxa" w:w="890"/>
            <w:tcMar>
              <w:top w:type="dxa" w:w="60"/>
              <w:left w:type="dxa" w:w="110"/>
              <w:bottom w:type="dxa" w:w="60"/>
              <w:right w:type="dxa" w:w="110"/>
            </w:tcMar>
            <w:vAlign w:val="center"/>
          </w:tcPr>
          <w:p>
            <w:pPr>
              <w:jc w:val="right"/>
            </w:pPr>
            <w:r>
              <w:rPr>
                <w:sz w:val="18"/>
                <w:szCs w:val="18"/>
              </w:rPr>
              <w:t xml:space="preserve">–</w:t>
            </w:r>
          </w:p>
        </w:tc>
        <w:tc>
          <w:tcPr>
            <w:tcW w:type="dxa" w:w="890"/>
            <w:tcMar>
              <w:top w:type="dxa" w:w="60"/>
              <w:left w:type="dxa" w:w="110"/>
              <w:bottom w:type="dxa" w:w="60"/>
              <w:right w:type="dxa" w:w="110"/>
            </w:tcMar>
            <w:vAlign w:val="center"/>
          </w:tcPr>
          <w:p>
            <w:pPr>
              <w:jc w:val="right"/>
            </w:pPr>
            <w:r>
              <w:rPr>
                <w:sz w:val="18"/>
                <w:szCs w:val="18"/>
              </w:rPr>
              <w:t xml:space="preserve">–</w:t>
            </w:r>
          </w:p>
        </w:tc>
      </w:tr>
      <w:tr>
        <w:tc>
          <w:tcPr>
            <w:tcW w:type="dxa" w:w="2260"/>
            <w:tcMar>
              <w:top w:type="dxa" w:w="60"/>
              <w:left w:type="dxa" w:w="110"/>
              <w:bottom w:type="dxa" w:w="60"/>
              <w:right w:type="dxa" w:w="110"/>
            </w:tcMar>
            <w:vAlign w:val="center"/>
          </w:tcPr>
          <w:p>
            <w:pPr>
              <w:jc w:val="left"/>
            </w:pPr>
            <w:r>
              <w:rPr>
                <w:sz w:val="18"/>
                <w:szCs w:val="18"/>
              </w:rPr>
              <w:t xml:space="preserve">  underlying EBITDA (memo)</w:t>
            </w:r>
          </w:p>
        </w:tc>
        <w:tc>
          <w:tcPr>
            <w:tcW w:type="dxa" w:w="890"/>
            <w:tcMar>
              <w:top w:type="dxa" w:w="60"/>
              <w:left w:type="dxa" w:w="110"/>
              <w:bottom w:type="dxa" w:w="60"/>
              <w:right w:type="dxa" w:w="110"/>
            </w:tcMar>
            <w:vAlign w:val="center"/>
          </w:tcPr>
          <w:p>
            <w:pPr>
              <w:jc w:val="right"/>
            </w:pPr>
            <w:r>
              <w:rPr>
                <w:sz w:val="18"/>
                <w:szCs w:val="18"/>
              </w:rPr>
              <w:t xml:space="preserve">689.3</w:t>
            </w:r>
          </w:p>
        </w:tc>
        <w:tc>
          <w:tcPr>
            <w:tcW w:type="dxa" w:w="890"/>
            <w:tcMar>
              <w:top w:type="dxa" w:w="60"/>
              <w:left w:type="dxa" w:w="110"/>
              <w:bottom w:type="dxa" w:w="60"/>
              <w:right w:type="dxa" w:w="110"/>
            </w:tcMar>
            <w:vAlign w:val="center"/>
          </w:tcPr>
          <w:p>
            <w:pPr>
              <w:jc w:val="right"/>
            </w:pPr>
            <w:r>
              <w:rPr>
                <w:sz w:val="18"/>
                <w:szCs w:val="18"/>
              </w:rPr>
              <w:t xml:space="preserve">688.8</w:t>
            </w:r>
          </w:p>
        </w:tc>
        <w:tc>
          <w:tcPr>
            <w:tcW w:type="dxa" w:w="890"/>
            <w:tcMar>
              <w:top w:type="dxa" w:w="60"/>
              <w:left w:type="dxa" w:w="110"/>
              <w:bottom w:type="dxa" w:w="60"/>
              <w:right w:type="dxa" w:w="110"/>
            </w:tcMar>
            <w:vAlign w:val="center"/>
          </w:tcPr>
          <w:p>
            <w:pPr>
              <w:jc w:val="right"/>
            </w:pPr>
            <w:r>
              <w:rPr>
                <w:sz w:val="18"/>
                <w:szCs w:val="18"/>
              </w:rPr>
              <w:t xml:space="preserve">606.8</w:t>
            </w:r>
          </w:p>
        </w:tc>
        <w:tc>
          <w:tcPr>
            <w:tcW w:type="dxa" w:w="890"/>
            <w:tcMar>
              <w:top w:type="dxa" w:w="60"/>
              <w:left w:type="dxa" w:w="110"/>
              <w:bottom w:type="dxa" w:w="60"/>
              <w:right w:type="dxa" w:w="110"/>
            </w:tcMar>
            <w:vAlign w:val="center"/>
          </w:tcPr>
          <w:p>
            <w:pPr>
              <w:jc w:val="right"/>
            </w:pPr>
            <w:r>
              <w:rPr>
                <w:sz w:val="18"/>
                <w:szCs w:val="18"/>
              </w:rPr>
              <w:t xml:space="preserve">633</w:t>
            </w:r>
          </w:p>
        </w:tc>
        <w:tc>
          <w:tcPr>
            <w:tcW w:type="dxa" w:w="890"/>
            <w:tcMar>
              <w:top w:type="dxa" w:w="60"/>
              <w:left w:type="dxa" w:w="110"/>
              <w:bottom w:type="dxa" w:w="60"/>
              <w:right w:type="dxa" w:w="110"/>
            </w:tcMar>
            <w:vAlign w:val="center"/>
          </w:tcPr>
          <w:p>
            <w:pPr>
              <w:jc w:val="right"/>
            </w:pPr>
            <w:r>
              <w:rPr>
                <w:sz w:val="18"/>
                <w:szCs w:val="18"/>
              </w:rPr>
              <w:t xml:space="preserve">708</w:t>
            </w:r>
          </w:p>
        </w:tc>
        <w:tc>
          <w:tcPr>
            <w:tcW w:type="dxa" w:w="890"/>
            <w:tcMar>
              <w:top w:type="dxa" w:w="60"/>
              <w:left w:type="dxa" w:w="110"/>
              <w:bottom w:type="dxa" w:w="60"/>
              <w:right w:type="dxa" w:w="110"/>
            </w:tcMar>
            <w:vAlign w:val="center"/>
          </w:tcPr>
          <w:p>
            <w:pPr>
              <w:jc w:val="right"/>
            </w:pPr>
            <w:r>
              <w:rPr>
                <w:sz w:val="18"/>
                <w:szCs w:val="18"/>
              </w:rPr>
              <w:t xml:space="preserve">776</w:t>
            </w:r>
          </w:p>
        </w:tc>
        <w:tc>
          <w:tcPr>
            <w:tcW w:type="dxa" w:w="890"/>
            <w:tcMar>
              <w:top w:type="dxa" w:w="60"/>
              <w:left w:type="dxa" w:w="110"/>
              <w:bottom w:type="dxa" w:w="60"/>
              <w:right w:type="dxa" w:w="110"/>
            </w:tcMar>
            <w:vAlign w:val="center"/>
          </w:tcPr>
          <w:p>
            <w:pPr>
              <w:jc w:val="right"/>
            </w:pPr>
            <w:r>
              <w:rPr>
                <w:sz w:val="18"/>
                <w:szCs w:val="18"/>
              </w:rPr>
              <w:t xml:space="preserve">828</w:t>
            </w:r>
          </w:p>
        </w:tc>
        <w:tc>
          <w:tcPr>
            <w:tcW w:type="dxa" w:w="890"/>
            <w:tcMar>
              <w:top w:type="dxa" w:w="60"/>
              <w:left w:type="dxa" w:w="110"/>
              <w:bottom w:type="dxa" w:w="60"/>
              <w:right w:type="dxa" w:w="110"/>
            </w:tcMar>
            <w:vAlign w:val="center"/>
          </w:tcPr>
          <w:p>
            <w:pPr>
              <w:jc w:val="right"/>
            </w:pPr>
            <w:r>
              <w:rPr>
                <w:sz w:val="18"/>
                <w:szCs w:val="18"/>
              </w:rPr>
              <w:t xml:space="preserve">870</w:t>
            </w:r>
          </w:p>
        </w:tc>
      </w:tr>
      <w:tr>
        <w:tc>
          <w:tcPr>
            <w:tcW w:type="dxa" w:w="2260"/>
            <w:tcMar>
              <w:top w:type="dxa" w:w="60"/>
              <w:left w:type="dxa" w:w="110"/>
              <w:bottom w:type="dxa" w:w="60"/>
              <w:right w:type="dxa" w:w="110"/>
            </w:tcMar>
            <w:vAlign w:val="center"/>
          </w:tcPr>
          <w:p>
            <w:pPr>
              <w:jc w:val="left"/>
            </w:pPr>
            <w:r>
              <w:rPr>
                <w:sz w:val="18"/>
                <w:szCs w:val="18"/>
              </w:rPr>
              <w:t xml:space="preserve">D&amp;A †</w:t>
            </w:r>
          </w:p>
        </w:tc>
        <w:tc>
          <w:tcPr>
            <w:tcW w:type="dxa" w:w="890"/>
            <w:tcMar>
              <w:top w:type="dxa" w:w="60"/>
              <w:left w:type="dxa" w:w="110"/>
              <w:bottom w:type="dxa" w:w="60"/>
              <w:right w:type="dxa" w:w="110"/>
            </w:tcMar>
            <w:vAlign w:val="center"/>
          </w:tcPr>
          <w:p>
            <w:pPr>
              <w:jc w:val="right"/>
            </w:pPr>
            <w:r>
              <w:rPr>
                <w:sz w:val="18"/>
                <w:szCs w:val="18"/>
              </w:rPr>
              <w:t xml:space="preserve">240.0</w:t>
            </w:r>
          </w:p>
        </w:tc>
        <w:tc>
          <w:tcPr>
            <w:tcW w:type="dxa" w:w="890"/>
            <w:tcMar>
              <w:top w:type="dxa" w:w="60"/>
              <w:left w:type="dxa" w:w="110"/>
              <w:bottom w:type="dxa" w:w="60"/>
              <w:right w:type="dxa" w:w="110"/>
            </w:tcMar>
            <w:vAlign w:val="center"/>
          </w:tcPr>
          <w:p>
            <w:pPr>
              <w:jc w:val="right"/>
            </w:pPr>
            <w:r>
              <w:rPr>
                <w:sz w:val="18"/>
                <w:szCs w:val="18"/>
              </w:rPr>
              <w:t xml:space="preserve">245.0</w:t>
            </w:r>
          </w:p>
        </w:tc>
        <w:tc>
          <w:tcPr>
            <w:tcW w:type="dxa" w:w="890"/>
            <w:tcMar>
              <w:top w:type="dxa" w:w="60"/>
              <w:left w:type="dxa" w:w="110"/>
              <w:bottom w:type="dxa" w:w="60"/>
              <w:right w:type="dxa" w:w="110"/>
            </w:tcMar>
            <w:vAlign w:val="center"/>
          </w:tcPr>
          <w:p>
            <w:pPr>
              <w:jc w:val="right"/>
            </w:pPr>
            <w:r>
              <w:rPr>
                <w:sz w:val="18"/>
                <w:szCs w:val="18"/>
              </w:rPr>
              <w:t xml:space="preserve">250.0</w:t>
            </w:r>
          </w:p>
        </w:tc>
        <w:tc>
          <w:tcPr>
            <w:tcW w:type="dxa" w:w="890"/>
            <w:tcMar>
              <w:top w:type="dxa" w:w="60"/>
              <w:left w:type="dxa" w:w="110"/>
              <w:bottom w:type="dxa" w:w="60"/>
              <w:right w:type="dxa" w:w="110"/>
            </w:tcMar>
            <w:vAlign w:val="center"/>
          </w:tcPr>
          <w:p>
            <w:pPr>
              <w:jc w:val="right"/>
            </w:pPr>
            <w:r>
              <w:rPr>
                <w:sz w:val="18"/>
                <w:szCs w:val="18"/>
              </w:rPr>
              <w:t xml:space="preserve">263</w:t>
            </w:r>
          </w:p>
        </w:tc>
        <w:tc>
          <w:tcPr>
            <w:tcW w:type="dxa" w:w="890"/>
            <w:tcMar>
              <w:top w:type="dxa" w:w="60"/>
              <w:left w:type="dxa" w:w="110"/>
              <w:bottom w:type="dxa" w:w="60"/>
              <w:right w:type="dxa" w:w="110"/>
            </w:tcMar>
            <w:vAlign w:val="center"/>
          </w:tcPr>
          <w:p>
            <w:pPr>
              <w:jc w:val="right"/>
            </w:pPr>
            <w:r>
              <w:rPr>
                <w:sz w:val="18"/>
                <w:szCs w:val="18"/>
              </w:rPr>
              <w:t xml:space="preserve">272</w:t>
            </w:r>
          </w:p>
        </w:tc>
        <w:tc>
          <w:tcPr>
            <w:tcW w:type="dxa" w:w="890"/>
            <w:tcMar>
              <w:top w:type="dxa" w:w="60"/>
              <w:left w:type="dxa" w:w="110"/>
              <w:bottom w:type="dxa" w:w="60"/>
              <w:right w:type="dxa" w:w="110"/>
            </w:tcMar>
            <w:vAlign w:val="center"/>
          </w:tcPr>
          <w:p>
            <w:pPr>
              <w:jc w:val="right"/>
            </w:pPr>
            <w:r>
              <w:rPr>
                <w:sz w:val="18"/>
                <w:szCs w:val="18"/>
              </w:rPr>
              <w:t xml:space="preserve">287</w:t>
            </w:r>
          </w:p>
        </w:tc>
        <w:tc>
          <w:tcPr>
            <w:tcW w:type="dxa" w:w="890"/>
            <w:tcMar>
              <w:top w:type="dxa" w:w="60"/>
              <w:left w:type="dxa" w:w="110"/>
              <w:bottom w:type="dxa" w:w="60"/>
              <w:right w:type="dxa" w:w="110"/>
            </w:tcMar>
            <w:vAlign w:val="center"/>
          </w:tcPr>
          <w:p>
            <w:pPr>
              <w:jc w:val="right"/>
            </w:pPr>
            <w:r>
              <w:rPr>
                <w:sz w:val="18"/>
                <w:szCs w:val="18"/>
              </w:rPr>
              <w:t xml:space="preserve">294</w:t>
            </w:r>
          </w:p>
        </w:tc>
        <w:tc>
          <w:tcPr>
            <w:tcW w:type="dxa" w:w="890"/>
            <w:tcMar>
              <w:top w:type="dxa" w:w="60"/>
              <w:left w:type="dxa" w:w="110"/>
              <w:bottom w:type="dxa" w:w="60"/>
              <w:right w:type="dxa" w:w="110"/>
            </w:tcMar>
            <w:vAlign w:val="center"/>
          </w:tcPr>
          <w:p>
            <w:pPr>
              <w:jc w:val="right"/>
            </w:pPr>
            <w:r>
              <w:rPr>
                <w:sz w:val="18"/>
                <w:szCs w:val="18"/>
              </w:rPr>
              <w:t xml:space="preserve">307</w:t>
            </w:r>
          </w:p>
        </w:tc>
      </w:tr>
      <w:tr>
        <w:tc>
          <w:tcPr>
            <w:tcW w:type="dxa" w:w="2260"/>
            <w:tcMar>
              <w:top w:type="dxa" w:w="60"/>
              <w:left w:type="dxa" w:w="110"/>
              <w:bottom w:type="dxa" w:w="60"/>
              <w:right w:type="dxa" w:w="110"/>
            </w:tcMar>
            <w:vAlign w:val="center"/>
          </w:tcPr>
          <w:p>
            <w:pPr>
              <w:jc w:val="left"/>
            </w:pPr>
            <w:r>
              <w:rPr>
                <w:sz w:val="18"/>
                <w:szCs w:val="18"/>
              </w:rPr>
              <w:t xml:space="preserve">EBIT</w:t>
            </w:r>
          </w:p>
        </w:tc>
        <w:tc>
          <w:tcPr>
            <w:tcW w:type="dxa" w:w="890"/>
            <w:tcMar>
              <w:top w:type="dxa" w:w="60"/>
              <w:left w:type="dxa" w:w="110"/>
              <w:bottom w:type="dxa" w:w="60"/>
              <w:right w:type="dxa" w:w="110"/>
            </w:tcMar>
            <w:vAlign w:val="center"/>
          </w:tcPr>
          <w:p>
            <w:pPr>
              <w:jc w:val="right"/>
            </w:pPr>
            <w:r>
              <w:rPr>
                <w:sz w:val="18"/>
                <w:szCs w:val="18"/>
              </w:rPr>
              <w:t xml:space="preserve">449.3</w:t>
            </w:r>
          </w:p>
        </w:tc>
        <w:tc>
          <w:tcPr>
            <w:tcW w:type="dxa" w:w="890"/>
            <w:tcMar>
              <w:top w:type="dxa" w:w="60"/>
              <w:left w:type="dxa" w:w="110"/>
              <w:bottom w:type="dxa" w:w="60"/>
              <w:right w:type="dxa" w:w="110"/>
            </w:tcMar>
            <w:vAlign w:val="center"/>
          </w:tcPr>
          <w:p>
            <w:pPr>
              <w:jc w:val="right"/>
            </w:pPr>
            <w:r>
              <w:rPr>
                <w:sz w:val="18"/>
                <w:szCs w:val="18"/>
              </w:rPr>
              <w:t xml:space="preserve">433.8</w:t>
            </w:r>
          </w:p>
        </w:tc>
        <w:tc>
          <w:tcPr>
            <w:tcW w:type="dxa" w:w="890"/>
            <w:tcMar>
              <w:top w:type="dxa" w:w="60"/>
              <w:left w:type="dxa" w:w="110"/>
              <w:bottom w:type="dxa" w:w="60"/>
              <w:right w:type="dxa" w:w="110"/>
            </w:tcMar>
            <w:vAlign w:val="center"/>
          </w:tcPr>
          <w:p>
            <w:pPr>
              <w:jc w:val="right"/>
            </w:pPr>
            <w:r>
              <w:rPr>
                <w:sz w:val="18"/>
                <w:szCs w:val="18"/>
              </w:rPr>
              <w:t xml:space="preserve">213.4</w:t>
            </w:r>
          </w:p>
        </w:tc>
        <w:tc>
          <w:tcPr>
            <w:tcW w:type="dxa" w:w="890"/>
            <w:tcMar>
              <w:top w:type="dxa" w:w="60"/>
              <w:left w:type="dxa" w:w="110"/>
              <w:bottom w:type="dxa" w:w="60"/>
              <w:right w:type="dxa" w:w="110"/>
            </w:tcMar>
            <w:vAlign w:val="center"/>
          </w:tcPr>
          <w:p>
            <w:pPr>
              <w:jc w:val="right"/>
            </w:pPr>
            <w:r>
              <w:rPr>
                <w:sz w:val="18"/>
                <w:szCs w:val="18"/>
              </w:rPr>
              <w:t xml:space="preserve">370</w:t>
            </w:r>
          </w:p>
        </w:tc>
        <w:tc>
          <w:tcPr>
            <w:tcW w:type="dxa" w:w="890"/>
            <w:tcMar>
              <w:top w:type="dxa" w:w="60"/>
              <w:left w:type="dxa" w:w="110"/>
              <w:bottom w:type="dxa" w:w="60"/>
              <w:right w:type="dxa" w:w="110"/>
            </w:tcMar>
            <w:vAlign w:val="center"/>
          </w:tcPr>
          <w:p>
            <w:pPr>
              <w:jc w:val="right"/>
            </w:pPr>
            <w:r>
              <w:rPr>
                <w:sz w:val="18"/>
                <w:szCs w:val="18"/>
              </w:rPr>
              <w:t xml:space="preserve">436</w:t>
            </w:r>
          </w:p>
        </w:tc>
        <w:tc>
          <w:tcPr>
            <w:tcW w:type="dxa" w:w="890"/>
            <w:tcMar>
              <w:top w:type="dxa" w:w="60"/>
              <w:left w:type="dxa" w:w="110"/>
              <w:bottom w:type="dxa" w:w="60"/>
              <w:right w:type="dxa" w:w="110"/>
            </w:tcMar>
            <w:vAlign w:val="center"/>
          </w:tcPr>
          <w:p>
            <w:pPr>
              <w:jc w:val="right"/>
            </w:pPr>
            <w:r>
              <w:rPr>
                <w:sz w:val="18"/>
                <w:szCs w:val="18"/>
              </w:rPr>
              <w:t xml:space="preserve">489</w:t>
            </w:r>
          </w:p>
        </w:tc>
        <w:tc>
          <w:tcPr>
            <w:tcW w:type="dxa" w:w="890"/>
            <w:tcMar>
              <w:top w:type="dxa" w:w="60"/>
              <w:left w:type="dxa" w:w="110"/>
              <w:bottom w:type="dxa" w:w="60"/>
              <w:right w:type="dxa" w:w="110"/>
            </w:tcMar>
            <w:vAlign w:val="center"/>
          </w:tcPr>
          <w:p>
            <w:pPr>
              <w:jc w:val="right"/>
            </w:pPr>
            <w:r>
              <w:rPr>
                <w:sz w:val="18"/>
                <w:szCs w:val="18"/>
              </w:rPr>
              <w:t xml:space="preserve">533</w:t>
            </w:r>
          </w:p>
        </w:tc>
        <w:tc>
          <w:tcPr>
            <w:tcW w:type="dxa" w:w="890"/>
            <w:tcMar>
              <w:top w:type="dxa" w:w="60"/>
              <w:left w:type="dxa" w:w="110"/>
              <w:bottom w:type="dxa" w:w="60"/>
              <w:right w:type="dxa" w:w="110"/>
            </w:tcMar>
            <w:vAlign w:val="center"/>
          </w:tcPr>
          <w:p>
            <w:pPr>
              <w:jc w:val="right"/>
            </w:pPr>
            <w:r>
              <w:rPr>
                <w:sz w:val="18"/>
                <w:szCs w:val="18"/>
              </w:rPr>
              <w:t xml:space="preserve">564</w:t>
            </w:r>
          </w:p>
        </w:tc>
      </w:tr>
      <w:tr>
        <w:tc>
          <w:tcPr>
            <w:tcW w:type="dxa" w:w="2260"/>
            <w:tcMar>
              <w:top w:type="dxa" w:w="60"/>
              <w:left w:type="dxa" w:w="110"/>
              <w:bottom w:type="dxa" w:w="60"/>
              <w:right w:type="dxa" w:w="110"/>
            </w:tcMar>
            <w:vAlign w:val="center"/>
          </w:tcPr>
          <w:p>
            <w:pPr>
              <w:jc w:val="left"/>
            </w:pPr>
            <w:r>
              <w:rPr>
                <w:sz w:val="18"/>
                <w:szCs w:val="18"/>
              </w:rPr>
              <w:t xml:space="preserve">Net finance cost †</w:t>
            </w:r>
          </w:p>
        </w:tc>
        <w:tc>
          <w:tcPr>
            <w:tcW w:type="dxa" w:w="890"/>
            <w:tcMar>
              <w:top w:type="dxa" w:w="60"/>
              <w:left w:type="dxa" w:w="110"/>
              <w:bottom w:type="dxa" w:w="60"/>
              <w:right w:type="dxa" w:w="110"/>
            </w:tcMar>
            <w:vAlign w:val="center"/>
          </w:tcPr>
          <w:p>
            <w:pPr>
              <w:jc w:val="right"/>
            </w:pPr>
            <w:r>
              <w:rPr>
                <w:sz w:val="18"/>
                <w:szCs w:val="18"/>
              </w:rPr>
              <w:t xml:space="preserve">110.7</w:t>
            </w:r>
          </w:p>
        </w:tc>
        <w:tc>
          <w:tcPr>
            <w:tcW w:type="dxa" w:w="890"/>
            <w:tcMar>
              <w:top w:type="dxa" w:w="60"/>
              <w:left w:type="dxa" w:w="110"/>
              <w:bottom w:type="dxa" w:w="60"/>
              <w:right w:type="dxa" w:w="110"/>
            </w:tcMar>
            <w:vAlign w:val="center"/>
          </w:tcPr>
          <w:p>
            <w:pPr>
              <w:jc w:val="right"/>
            </w:pPr>
            <w:r>
              <w:rPr>
                <w:sz w:val="18"/>
                <w:szCs w:val="18"/>
              </w:rPr>
              <w:t xml:space="preserve">62.0</w:t>
            </w:r>
          </w:p>
        </w:tc>
        <w:tc>
          <w:tcPr>
            <w:tcW w:type="dxa" w:w="890"/>
            <w:tcMar>
              <w:top w:type="dxa" w:w="60"/>
              <w:left w:type="dxa" w:w="110"/>
              <w:bottom w:type="dxa" w:w="60"/>
              <w:right w:type="dxa" w:w="110"/>
            </w:tcMar>
            <w:vAlign w:val="center"/>
          </w:tcPr>
          <w:p>
            <w:pPr>
              <w:jc w:val="right"/>
            </w:pPr>
            <w:r>
              <w:rPr>
                <w:sz w:val="18"/>
                <w:szCs w:val="18"/>
              </w:rPr>
              <w:t xml:space="preserve">88.3</w:t>
            </w:r>
          </w:p>
        </w:tc>
        <w:tc>
          <w:tcPr>
            <w:tcW w:type="dxa" w:w="890"/>
            <w:tcMar>
              <w:top w:type="dxa" w:w="60"/>
              <w:left w:type="dxa" w:w="110"/>
              <w:bottom w:type="dxa" w:w="60"/>
              <w:right w:type="dxa" w:w="110"/>
            </w:tcMar>
            <w:vAlign w:val="center"/>
          </w:tcPr>
          <w:p>
            <w:pPr>
              <w:jc w:val="right"/>
            </w:pPr>
            <w:r>
              <w:rPr>
                <w:sz w:val="18"/>
                <w:szCs w:val="18"/>
              </w:rPr>
              <w:t xml:space="preserve">60.0</w:t>
            </w:r>
          </w:p>
        </w:tc>
        <w:tc>
          <w:tcPr>
            <w:tcW w:type="dxa" w:w="890"/>
            <w:tcMar>
              <w:top w:type="dxa" w:w="60"/>
              <w:left w:type="dxa" w:w="110"/>
              <w:bottom w:type="dxa" w:w="60"/>
              <w:right w:type="dxa" w:w="110"/>
            </w:tcMar>
            <w:vAlign w:val="center"/>
          </w:tcPr>
          <w:p>
            <w:pPr>
              <w:jc w:val="right"/>
            </w:pPr>
            <w:r>
              <w:rPr>
                <w:sz w:val="18"/>
                <w:szCs w:val="18"/>
              </w:rPr>
              <w:t xml:space="preserve">56.0</w:t>
            </w:r>
          </w:p>
        </w:tc>
        <w:tc>
          <w:tcPr>
            <w:tcW w:type="dxa" w:w="890"/>
            <w:tcMar>
              <w:top w:type="dxa" w:w="60"/>
              <w:left w:type="dxa" w:w="110"/>
              <w:bottom w:type="dxa" w:w="60"/>
              <w:right w:type="dxa" w:w="110"/>
            </w:tcMar>
            <w:vAlign w:val="center"/>
          </w:tcPr>
          <w:p>
            <w:pPr>
              <w:jc w:val="right"/>
            </w:pPr>
            <w:r>
              <w:rPr>
                <w:sz w:val="18"/>
                <w:szCs w:val="18"/>
              </w:rPr>
              <w:t xml:space="preserve">52.0</w:t>
            </w:r>
          </w:p>
        </w:tc>
        <w:tc>
          <w:tcPr>
            <w:tcW w:type="dxa" w:w="890"/>
            <w:tcMar>
              <w:top w:type="dxa" w:w="60"/>
              <w:left w:type="dxa" w:w="110"/>
              <w:bottom w:type="dxa" w:w="60"/>
              <w:right w:type="dxa" w:w="110"/>
            </w:tcMar>
            <w:vAlign w:val="center"/>
          </w:tcPr>
          <w:p>
            <w:pPr>
              <w:jc w:val="right"/>
            </w:pPr>
            <w:r>
              <w:rPr>
                <w:sz w:val="18"/>
                <w:szCs w:val="18"/>
              </w:rPr>
              <w:t xml:space="preserve">47.0</w:t>
            </w:r>
          </w:p>
        </w:tc>
        <w:tc>
          <w:tcPr>
            <w:tcW w:type="dxa" w:w="890"/>
            <w:tcMar>
              <w:top w:type="dxa" w:w="60"/>
              <w:left w:type="dxa" w:w="110"/>
              <w:bottom w:type="dxa" w:w="60"/>
              <w:right w:type="dxa" w:w="110"/>
            </w:tcMar>
            <w:vAlign w:val="center"/>
          </w:tcPr>
          <w:p>
            <w:pPr>
              <w:jc w:val="right"/>
            </w:pPr>
            <w:r>
              <w:rPr>
                <w:sz w:val="18"/>
                <w:szCs w:val="18"/>
              </w:rPr>
              <w:t xml:space="preserve">42.0</w:t>
            </w:r>
          </w:p>
        </w:tc>
      </w:tr>
      <w:tr>
        <w:tc>
          <w:tcPr>
            <w:tcW w:type="dxa" w:w="2260"/>
            <w:tcMar>
              <w:top w:type="dxa" w:w="60"/>
              <w:left w:type="dxa" w:w="110"/>
              <w:bottom w:type="dxa" w:w="60"/>
              <w:right w:type="dxa" w:w="110"/>
            </w:tcMar>
            <w:vAlign w:val="center"/>
          </w:tcPr>
          <w:p>
            <w:pPr>
              <w:jc w:val="left"/>
            </w:pPr>
            <w:r>
              <w:rPr>
                <w:sz w:val="18"/>
                <w:szCs w:val="18"/>
              </w:rPr>
              <w:t xml:space="preserve">Profit before tax</w:t>
            </w:r>
          </w:p>
        </w:tc>
        <w:tc>
          <w:tcPr>
            <w:tcW w:type="dxa" w:w="890"/>
            <w:tcMar>
              <w:top w:type="dxa" w:w="60"/>
              <w:left w:type="dxa" w:w="110"/>
              <w:bottom w:type="dxa" w:w="60"/>
              <w:right w:type="dxa" w:w="110"/>
            </w:tcMar>
            <w:vAlign w:val="center"/>
          </w:tcPr>
          <w:p>
            <w:pPr>
              <w:jc w:val="right"/>
            </w:pPr>
            <w:r>
              <w:rPr>
                <w:sz w:val="18"/>
                <w:szCs w:val="18"/>
              </w:rPr>
              <w:t xml:space="preserve">338.6</w:t>
            </w:r>
          </w:p>
        </w:tc>
        <w:tc>
          <w:tcPr>
            <w:tcW w:type="dxa" w:w="890"/>
            <w:tcMar>
              <w:top w:type="dxa" w:w="60"/>
              <w:left w:type="dxa" w:w="110"/>
              <w:bottom w:type="dxa" w:w="60"/>
              <w:right w:type="dxa" w:w="110"/>
            </w:tcMar>
            <w:vAlign w:val="center"/>
          </w:tcPr>
          <w:p>
            <w:pPr>
              <w:jc w:val="right"/>
            </w:pPr>
            <w:r>
              <w:rPr>
                <w:sz w:val="18"/>
                <w:szCs w:val="18"/>
              </w:rPr>
              <w:t xml:space="preserve">371.8</w:t>
            </w:r>
          </w:p>
        </w:tc>
        <w:tc>
          <w:tcPr>
            <w:tcW w:type="dxa" w:w="890"/>
            <w:tcMar>
              <w:top w:type="dxa" w:w="60"/>
              <w:left w:type="dxa" w:w="110"/>
              <w:bottom w:type="dxa" w:w="60"/>
              <w:right w:type="dxa" w:w="110"/>
            </w:tcMar>
            <w:vAlign w:val="center"/>
          </w:tcPr>
          <w:p>
            <w:pPr>
              <w:jc w:val="right"/>
            </w:pPr>
            <w:r>
              <w:rPr>
                <w:sz w:val="18"/>
                <w:szCs w:val="18"/>
              </w:rPr>
              <w:t xml:space="preserve">125.1</w:t>
            </w:r>
          </w:p>
        </w:tc>
        <w:tc>
          <w:tcPr>
            <w:tcW w:type="dxa" w:w="890"/>
            <w:tcMar>
              <w:top w:type="dxa" w:w="60"/>
              <w:left w:type="dxa" w:w="110"/>
              <w:bottom w:type="dxa" w:w="60"/>
              <w:right w:type="dxa" w:w="110"/>
            </w:tcMar>
            <w:vAlign w:val="center"/>
          </w:tcPr>
          <w:p>
            <w:pPr>
              <w:jc w:val="right"/>
            </w:pPr>
            <w:r>
              <w:rPr>
                <w:sz w:val="18"/>
                <w:szCs w:val="18"/>
              </w:rPr>
              <w:t xml:space="preserve">310</w:t>
            </w:r>
          </w:p>
        </w:tc>
        <w:tc>
          <w:tcPr>
            <w:tcW w:type="dxa" w:w="890"/>
            <w:tcMar>
              <w:top w:type="dxa" w:w="60"/>
              <w:left w:type="dxa" w:w="110"/>
              <w:bottom w:type="dxa" w:w="60"/>
              <w:right w:type="dxa" w:w="110"/>
            </w:tcMar>
            <w:vAlign w:val="center"/>
          </w:tcPr>
          <w:p>
            <w:pPr>
              <w:jc w:val="right"/>
            </w:pPr>
            <w:r>
              <w:rPr>
                <w:sz w:val="18"/>
                <w:szCs w:val="18"/>
              </w:rPr>
              <w:t xml:space="preserve">380</w:t>
            </w:r>
          </w:p>
        </w:tc>
        <w:tc>
          <w:tcPr>
            <w:tcW w:type="dxa" w:w="890"/>
            <w:tcMar>
              <w:top w:type="dxa" w:w="60"/>
              <w:left w:type="dxa" w:w="110"/>
              <w:bottom w:type="dxa" w:w="60"/>
              <w:right w:type="dxa" w:w="110"/>
            </w:tcMar>
            <w:vAlign w:val="center"/>
          </w:tcPr>
          <w:p>
            <w:pPr>
              <w:jc w:val="right"/>
            </w:pPr>
            <w:r>
              <w:rPr>
                <w:sz w:val="18"/>
                <w:szCs w:val="18"/>
              </w:rPr>
              <w:t xml:space="preserve">437</w:t>
            </w:r>
          </w:p>
        </w:tc>
        <w:tc>
          <w:tcPr>
            <w:tcW w:type="dxa" w:w="890"/>
            <w:tcMar>
              <w:top w:type="dxa" w:w="60"/>
              <w:left w:type="dxa" w:w="110"/>
              <w:bottom w:type="dxa" w:w="60"/>
              <w:right w:type="dxa" w:w="110"/>
            </w:tcMar>
            <w:vAlign w:val="center"/>
          </w:tcPr>
          <w:p>
            <w:pPr>
              <w:jc w:val="right"/>
            </w:pPr>
            <w:r>
              <w:rPr>
                <w:sz w:val="18"/>
                <w:szCs w:val="18"/>
              </w:rPr>
              <w:t xml:space="preserve">486</w:t>
            </w:r>
          </w:p>
        </w:tc>
        <w:tc>
          <w:tcPr>
            <w:tcW w:type="dxa" w:w="890"/>
            <w:tcMar>
              <w:top w:type="dxa" w:w="60"/>
              <w:left w:type="dxa" w:w="110"/>
              <w:bottom w:type="dxa" w:w="60"/>
              <w:right w:type="dxa" w:w="110"/>
            </w:tcMar>
            <w:vAlign w:val="center"/>
          </w:tcPr>
          <w:p>
            <w:pPr>
              <w:jc w:val="right"/>
            </w:pPr>
            <w:r>
              <w:rPr>
                <w:sz w:val="18"/>
                <w:szCs w:val="18"/>
              </w:rPr>
              <w:t xml:space="preserve">522</w:t>
            </w:r>
          </w:p>
        </w:tc>
      </w:tr>
      <w:tr>
        <w:tc>
          <w:tcPr>
            <w:tcW w:type="dxa" w:w="2260"/>
            <w:tcMar>
              <w:top w:type="dxa" w:w="60"/>
              <w:left w:type="dxa" w:w="110"/>
              <w:bottom w:type="dxa" w:w="60"/>
              <w:right w:type="dxa" w:w="110"/>
            </w:tcMar>
            <w:vAlign w:val="center"/>
          </w:tcPr>
          <w:p>
            <w:pPr>
              <w:jc w:val="left"/>
            </w:pPr>
            <w:r>
              <w:rPr>
                <w:sz w:val="18"/>
                <w:szCs w:val="18"/>
              </w:rPr>
              <w:t xml:space="preserve">Tax †</w:t>
            </w:r>
          </w:p>
        </w:tc>
        <w:tc>
          <w:tcPr>
            <w:tcW w:type="dxa" w:w="890"/>
            <w:tcMar>
              <w:top w:type="dxa" w:w="60"/>
              <w:left w:type="dxa" w:w="110"/>
              <w:bottom w:type="dxa" w:w="60"/>
              <w:right w:type="dxa" w:w="110"/>
            </w:tcMar>
            <w:vAlign w:val="center"/>
          </w:tcPr>
          <w:p>
            <w:pPr>
              <w:jc w:val="right"/>
            </w:pPr>
            <w:r>
              <w:rPr>
                <w:sz w:val="18"/>
                <w:szCs w:val="18"/>
              </w:rPr>
              <w:t xml:space="preserve">39.0</w:t>
            </w:r>
          </w:p>
        </w:tc>
        <w:tc>
          <w:tcPr>
            <w:tcW w:type="dxa" w:w="890"/>
            <w:tcMar>
              <w:top w:type="dxa" w:w="60"/>
              <w:left w:type="dxa" w:w="110"/>
              <w:bottom w:type="dxa" w:w="60"/>
              <w:right w:type="dxa" w:w="110"/>
            </w:tcMar>
            <w:vAlign w:val="center"/>
          </w:tcPr>
          <w:p>
            <w:pPr>
              <w:jc w:val="right"/>
            </w:pPr>
            <w:r>
              <w:rPr>
                <w:sz w:val="18"/>
                <w:szCs w:val="18"/>
              </w:rPr>
              <w:t xml:space="preserve">50.0</w:t>
            </w:r>
          </w:p>
        </w:tc>
        <w:tc>
          <w:tcPr>
            <w:tcW w:type="dxa" w:w="890"/>
            <w:tcMar>
              <w:top w:type="dxa" w:w="60"/>
              <w:left w:type="dxa" w:w="110"/>
              <w:bottom w:type="dxa" w:w="60"/>
              <w:right w:type="dxa" w:w="110"/>
            </w:tcMar>
            <w:vAlign w:val="center"/>
          </w:tcPr>
          <w:p>
            <w:pPr>
              <w:jc w:val="right"/>
            </w:pPr>
            <w:r>
              <w:rPr>
                <w:sz w:val="18"/>
                <w:szCs w:val="18"/>
              </w:rPr>
              <w:t xml:space="preserve">24.5</w:t>
            </w:r>
          </w:p>
        </w:tc>
        <w:tc>
          <w:tcPr>
            <w:tcW w:type="dxa" w:w="890"/>
            <w:tcMar>
              <w:top w:type="dxa" w:w="60"/>
              <w:left w:type="dxa" w:w="110"/>
              <w:bottom w:type="dxa" w:w="60"/>
              <w:right w:type="dxa" w:w="110"/>
            </w:tcMar>
            <w:vAlign w:val="center"/>
          </w:tcPr>
          <w:p>
            <w:pPr>
              <w:jc w:val="right"/>
            </w:pPr>
            <w:r>
              <w:rPr>
                <w:sz w:val="18"/>
                <w:szCs w:val="18"/>
              </w:rPr>
              <w:t xml:space="preserve">62</w:t>
            </w:r>
          </w:p>
        </w:tc>
        <w:tc>
          <w:tcPr>
            <w:tcW w:type="dxa" w:w="890"/>
            <w:tcMar>
              <w:top w:type="dxa" w:w="60"/>
              <w:left w:type="dxa" w:w="110"/>
              <w:bottom w:type="dxa" w:w="60"/>
              <w:right w:type="dxa" w:w="110"/>
            </w:tcMar>
            <w:vAlign w:val="center"/>
          </w:tcPr>
          <w:p>
            <w:pPr>
              <w:jc w:val="right"/>
            </w:pPr>
            <w:r>
              <w:rPr>
                <w:sz w:val="18"/>
                <w:szCs w:val="18"/>
              </w:rPr>
              <w:t xml:space="preserve">76</w:t>
            </w:r>
          </w:p>
        </w:tc>
        <w:tc>
          <w:tcPr>
            <w:tcW w:type="dxa" w:w="890"/>
            <w:tcMar>
              <w:top w:type="dxa" w:w="60"/>
              <w:left w:type="dxa" w:w="110"/>
              <w:bottom w:type="dxa" w:w="60"/>
              <w:right w:type="dxa" w:w="110"/>
            </w:tcMar>
            <w:vAlign w:val="center"/>
          </w:tcPr>
          <w:p>
            <w:pPr>
              <w:jc w:val="right"/>
            </w:pPr>
            <w:r>
              <w:rPr>
                <w:sz w:val="18"/>
                <w:szCs w:val="18"/>
              </w:rPr>
              <w:t xml:space="preserve">87</w:t>
            </w:r>
          </w:p>
        </w:tc>
        <w:tc>
          <w:tcPr>
            <w:tcW w:type="dxa" w:w="890"/>
            <w:tcMar>
              <w:top w:type="dxa" w:w="60"/>
              <w:left w:type="dxa" w:w="110"/>
              <w:bottom w:type="dxa" w:w="60"/>
              <w:right w:type="dxa" w:w="110"/>
            </w:tcMar>
            <w:vAlign w:val="center"/>
          </w:tcPr>
          <w:p>
            <w:pPr>
              <w:jc w:val="right"/>
            </w:pPr>
            <w:r>
              <w:rPr>
                <w:sz w:val="18"/>
                <w:szCs w:val="18"/>
              </w:rPr>
              <w:t xml:space="preserve">97</w:t>
            </w:r>
          </w:p>
        </w:tc>
        <w:tc>
          <w:tcPr>
            <w:tcW w:type="dxa" w:w="890"/>
            <w:tcMar>
              <w:top w:type="dxa" w:w="60"/>
              <w:left w:type="dxa" w:w="110"/>
              <w:bottom w:type="dxa" w:w="60"/>
              <w:right w:type="dxa" w:w="110"/>
            </w:tcMar>
            <w:vAlign w:val="center"/>
          </w:tcPr>
          <w:p>
            <w:pPr>
              <w:jc w:val="right"/>
            </w:pPr>
            <w:r>
              <w:rPr>
                <w:sz w:val="18"/>
                <w:szCs w:val="18"/>
              </w:rPr>
              <w:t xml:space="preserve">104</w:t>
            </w:r>
          </w:p>
        </w:tc>
      </w:tr>
      <w:tr>
        <w:tc>
          <w:tcPr>
            <w:tcW w:type="dxa" w:w="2260"/>
            <w:tcMar>
              <w:top w:type="dxa" w:w="60"/>
              <w:left w:type="dxa" w:w="110"/>
              <w:bottom w:type="dxa" w:w="60"/>
              <w:right w:type="dxa" w:w="110"/>
            </w:tcMar>
            <w:vAlign w:val="center"/>
          </w:tcPr>
          <w:p>
            <w:pPr>
              <w:jc w:val="left"/>
            </w:pPr>
            <w:r>
              <w:rPr>
                <w:sz w:val="18"/>
                <w:szCs w:val="18"/>
              </w:rPr>
              <w:t xml:space="preserve">Net profit (group)</w:t>
            </w:r>
          </w:p>
        </w:tc>
        <w:tc>
          <w:tcPr>
            <w:tcW w:type="dxa" w:w="890"/>
            <w:tcMar>
              <w:top w:type="dxa" w:w="60"/>
              <w:left w:type="dxa" w:w="110"/>
              <w:bottom w:type="dxa" w:w="60"/>
              <w:right w:type="dxa" w:w="110"/>
            </w:tcMar>
            <w:vAlign w:val="center"/>
          </w:tcPr>
          <w:p>
            <w:pPr>
              <w:jc w:val="right"/>
            </w:pPr>
            <w:r>
              <w:rPr>
                <w:sz w:val="18"/>
                <w:szCs w:val="18"/>
              </w:rPr>
              <w:t xml:space="preserve">299.6</w:t>
            </w:r>
          </w:p>
        </w:tc>
        <w:tc>
          <w:tcPr>
            <w:tcW w:type="dxa" w:w="890"/>
            <w:tcMar>
              <w:top w:type="dxa" w:w="60"/>
              <w:left w:type="dxa" w:w="110"/>
              <w:bottom w:type="dxa" w:w="60"/>
              <w:right w:type="dxa" w:w="110"/>
            </w:tcMar>
            <w:vAlign w:val="center"/>
          </w:tcPr>
          <w:p>
            <w:pPr>
              <w:jc w:val="right"/>
            </w:pPr>
            <w:r>
              <w:rPr>
                <w:sz w:val="18"/>
                <w:szCs w:val="18"/>
              </w:rPr>
              <w:t xml:space="preserve">321.8</w:t>
            </w:r>
          </w:p>
        </w:tc>
        <w:tc>
          <w:tcPr>
            <w:tcW w:type="dxa" w:w="890"/>
            <w:tcMar>
              <w:top w:type="dxa" w:w="60"/>
              <w:left w:type="dxa" w:w="110"/>
              <w:bottom w:type="dxa" w:w="60"/>
              <w:right w:type="dxa" w:w="110"/>
            </w:tcMar>
            <w:vAlign w:val="center"/>
          </w:tcPr>
          <w:p>
            <w:pPr>
              <w:jc w:val="right"/>
            </w:pPr>
            <w:r>
              <w:rPr>
                <w:sz w:val="18"/>
                <w:szCs w:val="18"/>
              </w:rPr>
              <w:t xml:space="preserve">100.6</w:t>
            </w:r>
          </w:p>
        </w:tc>
        <w:tc>
          <w:tcPr>
            <w:tcW w:type="dxa" w:w="890"/>
            <w:tcMar>
              <w:top w:type="dxa" w:w="60"/>
              <w:left w:type="dxa" w:w="110"/>
              <w:bottom w:type="dxa" w:w="60"/>
              <w:right w:type="dxa" w:w="110"/>
            </w:tcMar>
            <w:vAlign w:val="center"/>
          </w:tcPr>
          <w:p>
            <w:pPr>
              <w:jc w:val="right"/>
            </w:pPr>
            <w:r>
              <w:rPr>
                <w:sz w:val="18"/>
                <w:szCs w:val="18"/>
              </w:rPr>
              <w:t xml:space="preserve">248</w:t>
            </w:r>
          </w:p>
        </w:tc>
        <w:tc>
          <w:tcPr>
            <w:tcW w:type="dxa" w:w="890"/>
            <w:tcMar>
              <w:top w:type="dxa" w:w="60"/>
              <w:left w:type="dxa" w:w="110"/>
              <w:bottom w:type="dxa" w:w="60"/>
              <w:right w:type="dxa" w:w="110"/>
            </w:tcMar>
            <w:vAlign w:val="center"/>
          </w:tcPr>
          <w:p>
            <w:pPr>
              <w:jc w:val="right"/>
            </w:pPr>
            <w:r>
              <w:rPr>
                <w:sz w:val="18"/>
                <w:szCs w:val="18"/>
              </w:rPr>
              <w:t xml:space="preserve">304</w:t>
            </w:r>
          </w:p>
        </w:tc>
        <w:tc>
          <w:tcPr>
            <w:tcW w:type="dxa" w:w="890"/>
            <w:tcMar>
              <w:top w:type="dxa" w:w="60"/>
              <w:left w:type="dxa" w:w="110"/>
              <w:bottom w:type="dxa" w:w="60"/>
              <w:right w:type="dxa" w:w="110"/>
            </w:tcMar>
            <w:vAlign w:val="center"/>
          </w:tcPr>
          <w:p>
            <w:pPr>
              <w:jc w:val="right"/>
            </w:pPr>
            <w:r>
              <w:rPr>
                <w:sz w:val="18"/>
                <w:szCs w:val="18"/>
              </w:rPr>
              <w:t xml:space="preserve">350</w:t>
            </w:r>
          </w:p>
        </w:tc>
        <w:tc>
          <w:tcPr>
            <w:tcW w:type="dxa" w:w="890"/>
            <w:tcMar>
              <w:top w:type="dxa" w:w="60"/>
              <w:left w:type="dxa" w:w="110"/>
              <w:bottom w:type="dxa" w:w="60"/>
              <w:right w:type="dxa" w:w="110"/>
            </w:tcMar>
            <w:vAlign w:val="center"/>
          </w:tcPr>
          <w:p>
            <w:pPr>
              <w:jc w:val="right"/>
            </w:pPr>
            <w:r>
              <w:rPr>
                <w:sz w:val="18"/>
                <w:szCs w:val="18"/>
              </w:rPr>
              <w:t xml:space="preserve">389</w:t>
            </w:r>
          </w:p>
        </w:tc>
        <w:tc>
          <w:tcPr>
            <w:tcW w:type="dxa" w:w="890"/>
            <w:tcMar>
              <w:top w:type="dxa" w:w="60"/>
              <w:left w:type="dxa" w:w="110"/>
              <w:bottom w:type="dxa" w:w="60"/>
              <w:right w:type="dxa" w:w="110"/>
            </w:tcMar>
            <w:vAlign w:val="center"/>
          </w:tcPr>
          <w:p>
            <w:pPr>
              <w:jc w:val="right"/>
            </w:pPr>
            <w:r>
              <w:rPr>
                <w:sz w:val="18"/>
                <w:szCs w:val="18"/>
              </w:rPr>
              <w:t xml:space="preserve">417</w:t>
            </w:r>
          </w:p>
        </w:tc>
      </w:tr>
      <w:tr>
        <w:tc>
          <w:tcPr>
            <w:tcW w:type="dxa" w:w="2260"/>
            <w:tcMar>
              <w:top w:type="dxa" w:w="60"/>
              <w:left w:type="dxa" w:w="110"/>
              <w:bottom w:type="dxa" w:w="60"/>
              <w:right w:type="dxa" w:w="110"/>
            </w:tcMar>
            <w:vAlign w:val="center"/>
          </w:tcPr>
          <w:p>
            <w:pPr>
              <w:jc w:val="left"/>
            </w:pPr>
            <w:r>
              <w:rPr>
                <w:sz w:val="18"/>
                <w:szCs w:val="18"/>
              </w:rPr>
              <w:t xml:space="preserve">Minorities †</w:t>
            </w:r>
          </w:p>
        </w:tc>
        <w:tc>
          <w:tcPr>
            <w:tcW w:type="dxa" w:w="890"/>
            <w:tcMar>
              <w:top w:type="dxa" w:w="60"/>
              <w:left w:type="dxa" w:w="110"/>
              <w:bottom w:type="dxa" w:w="60"/>
              <w:right w:type="dxa" w:w="110"/>
            </w:tcMar>
            <w:vAlign w:val="center"/>
          </w:tcPr>
          <w:p>
            <w:pPr>
              <w:jc w:val="right"/>
            </w:pPr>
            <w:r>
              <w:rPr>
                <w:sz w:val="18"/>
                <w:szCs w:val="18"/>
              </w:rPr>
              <w:t xml:space="preserve">25.3</w:t>
            </w:r>
          </w:p>
        </w:tc>
        <w:tc>
          <w:tcPr>
            <w:tcW w:type="dxa" w:w="890"/>
            <w:tcMar>
              <w:top w:type="dxa" w:w="60"/>
              <w:left w:type="dxa" w:w="110"/>
              <w:bottom w:type="dxa" w:w="60"/>
              <w:right w:type="dxa" w:w="110"/>
            </w:tcMar>
            <w:vAlign w:val="center"/>
          </w:tcPr>
          <w:p>
            <w:pPr>
              <w:jc w:val="right"/>
            </w:pPr>
            <w:r>
              <w:rPr>
                <w:sz w:val="18"/>
                <w:szCs w:val="18"/>
              </w:rPr>
              <w:t xml:space="preserve">25.9</w:t>
            </w:r>
          </w:p>
        </w:tc>
        <w:tc>
          <w:tcPr>
            <w:tcW w:type="dxa" w:w="890"/>
            <w:tcMar>
              <w:top w:type="dxa" w:w="60"/>
              <w:left w:type="dxa" w:w="110"/>
              <w:bottom w:type="dxa" w:w="60"/>
              <w:right w:type="dxa" w:w="110"/>
            </w:tcMar>
            <w:vAlign w:val="center"/>
          </w:tcPr>
          <w:p>
            <w:pPr>
              <w:jc w:val="right"/>
            </w:pPr>
            <w:r>
              <w:rPr>
                <w:sz w:val="18"/>
                <w:szCs w:val="18"/>
              </w:rPr>
              <w:t xml:space="preserve">15.0</w:t>
            </w:r>
          </w:p>
        </w:tc>
        <w:tc>
          <w:tcPr>
            <w:tcW w:type="dxa" w:w="890"/>
            <w:tcMar>
              <w:top w:type="dxa" w:w="60"/>
              <w:left w:type="dxa" w:w="110"/>
              <w:bottom w:type="dxa" w:w="60"/>
              <w:right w:type="dxa" w:w="110"/>
            </w:tcMar>
            <w:vAlign w:val="center"/>
          </w:tcPr>
          <w:p>
            <w:pPr>
              <w:jc w:val="right"/>
            </w:pPr>
            <w:r>
              <w:rPr>
                <w:sz w:val="18"/>
                <w:szCs w:val="18"/>
              </w:rPr>
              <w:t xml:space="preserve">32</w:t>
            </w:r>
          </w:p>
        </w:tc>
        <w:tc>
          <w:tcPr>
            <w:tcW w:type="dxa" w:w="890"/>
            <w:tcMar>
              <w:top w:type="dxa" w:w="60"/>
              <w:left w:type="dxa" w:w="110"/>
              <w:bottom w:type="dxa" w:w="60"/>
              <w:right w:type="dxa" w:w="110"/>
            </w:tcMar>
            <w:vAlign w:val="center"/>
          </w:tcPr>
          <w:p>
            <w:pPr>
              <w:jc w:val="right"/>
            </w:pPr>
            <w:r>
              <w:rPr>
                <w:sz w:val="18"/>
                <w:szCs w:val="18"/>
              </w:rPr>
              <w:t xml:space="preserve">40</w:t>
            </w:r>
          </w:p>
        </w:tc>
        <w:tc>
          <w:tcPr>
            <w:tcW w:type="dxa" w:w="890"/>
            <w:tcMar>
              <w:top w:type="dxa" w:w="60"/>
              <w:left w:type="dxa" w:w="110"/>
              <w:bottom w:type="dxa" w:w="60"/>
              <w:right w:type="dxa" w:w="110"/>
            </w:tcMar>
            <w:vAlign w:val="center"/>
          </w:tcPr>
          <w:p>
            <w:pPr>
              <w:jc w:val="right"/>
            </w:pPr>
            <w:r>
              <w:rPr>
                <w:sz w:val="18"/>
                <w:szCs w:val="18"/>
              </w:rPr>
              <w:t xml:space="preserve">46</w:t>
            </w:r>
          </w:p>
        </w:tc>
        <w:tc>
          <w:tcPr>
            <w:tcW w:type="dxa" w:w="890"/>
            <w:tcMar>
              <w:top w:type="dxa" w:w="60"/>
              <w:left w:type="dxa" w:w="110"/>
              <w:bottom w:type="dxa" w:w="60"/>
              <w:right w:type="dxa" w:w="110"/>
            </w:tcMar>
            <w:vAlign w:val="center"/>
          </w:tcPr>
          <w:p>
            <w:pPr>
              <w:jc w:val="right"/>
            </w:pPr>
            <w:r>
              <w:rPr>
                <w:sz w:val="18"/>
                <w:szCs w:val="18"/>
              </w:rPr>
              <w:t xml:space="preserve">51</w:t>
            </w:r>
          </w:p>
        </w:tc>
        <w:tc>
          <w:tcPr>
            <w:tcW w:type="dxa" w:w="890"/>
            <w:tcMar>
              <w:top w:type="dxa" w:w="60"/>
              <w:left w:type="dxa" w:w="110"/>
              <w:bottom w:type="dxa" w:w="60"/>
              <w:right w:type="dxa" w:w="110"/>
            </w:tcMar>
            <w:vAlign w:val="center"/>
          </w:tcPr>
          <w:p>
            <w:pPr>
              <w:jc w:val="right"/>
            </w:pPr>
            <w:r>
              <w:rPr>
                <w:sz w:val="18"/>
                <w:szCs w:val="18"/>
              </w:rPr>
              <w:t xml:space="preserve">54</w:t>
            </w:r>
          </w:p>
        </w:tc>
      </w:tr>
      <w:tr>
        <w:tc>
          <w:tcPr>
            <w:tcW w:type="dxa" w:w="2260"/>
            <w:tcMar>
              <w:top w:type="dxa" w:w="60"/>
              <w:left w:type="dxa" w:w="110"/>
              <w:bottom w:type="dxa" w:w="60"/>
              <w:right w:type="dxa" w:w="110"/>
            </w:tcMar>
            <w:vAlign w:val="center"/>
          </w:tcPr>
          <w:p>
            <w:pPr>
              <w:jc w:val="left"/>
            </w:pPr>
            <w:r>
              <w:rPr>
                <w:b/>
                <w:bCs/>
                <w:sz w:val="18"/>
                <w:szCs w:val="18"/>
              </w:rPr>
              <w:t xml:space="preserve">Attributable NP · EPS (AED)</w:t>
            </w:r>
          </w:p>
        </w:tc>
        <w:tc>
          <w:tcPr>
            <w:tcW w:type="dxa" w:w="890"/>
            <w:tcMar>
              <w:top w:type="dxa" w:w="60"/>
              <w:left w:type="dxa" w:w="110"/>
              <w:bottom w:type="dxa" w:w="60"/>
              <w:right w:type="dxa" w:w="110"/>
            </w:tcMar>
            <w:vAlign w:val="center"/>
          </w:tcPr>
          <w:p>
            <w:pPr>
              <w:jc w:val="right"/>
            </w:pPr>
            <w:r>
              <w:rPr>
                <w:b/>
                <w:bCs/>
                <w:sz w:val="18"/>
                <w:szCs w:val="18"/>
              </w:rPr>
              <w:t xml:space="preserve">274.3 · 0.330</w:t>
            </w:r>
          </w:p>
        </w:tc>
        <w:tc>
          <w:tcPr>
            <w:tcW w:type="dxa" w:w="890"/>
            <w:tcMar>
              <w:top w:type="dxa" w:w="60"/>
              <w:left w:type="dxa" w:w="110"/>
              <w:bottom w:type="dxa" w:w="60"/>
              <w:right w:type="dxa" w:w="110"/>
            </w:tcMar>
            <w:vAlign w:val="center"/>
          </w:tcPr>
          <w:p>
            <w:pPr>
              <w:jc w:val="right"/>
            </w:pPr>
            <w:r>
              <w:rPr>
                <w:b/>
                <w:bCs/>
                <w:sz w:val="18"/>
                <w:szCs w:val="18"/>
              </w:rPr>
              <w:t xml:space="preserve">295.9 · 0.356</w:t>
            </w:r>
          </w:p>
        </w:tc>
        <w:tc>
          <w:tcPr>
            <w:tcW w:type="dxa" w:w="890"/>
            <w:tcMar>
              <w:top w:type="dxa" w:w="60"/>
              <w:left w:type="dxa" w:w="110"/>
              <w:bottom w:type="dxa" w:w="60"/>
              <w:right w:type="dxa" w:w="110"/>
            </w:tcMar>
            <w:vAlign w:val="center"/>
          </w:tcPr>
          <w:p>
            <w:pPr>
              <w:jc w:val="right"/>
            </w:pPr>
            <w:r>
              <w:rPr>
                <w:b/>
                <w:bCs/>
                <w:sz w:val="18"/>
                <w:szCs w:val="18"/>
              </w:rPr>
              <w:t xml:space="preserve">85.6 · 0.103</w:t>
            </w:r>
          </w:p>
        </w:tc>
        <w:tc>
          <w:tcPr>
            <w:tcW w:type="dxa" w:w="890"/>
            <w:tcMar>
              <w:top w:type="dxa" w:w="60"/>
              <w:left w:type="dxa" w:w="110"/>
              <w:bottom w:type="dxa" w:w="60"/>
              <w:right w:type="dxa" w:w="110"/>
            </w:tcMar>
            <w:vAlign w:val="center"/>
          </w:tcPr>
          <w:p>
            <w:pPr>
              <w:jc w:val="right"/>
            </w:pPr>
            <w:r>
              <w:rPr>
                <w:b/>
                <w:bCs/>
                <w:sz w:val="18"/>
                <w:szCs w:val="18"/>
              </w:rPr>
              <w:t xml:space="preserve">216 · 0.260</w:t>
            </w:r>
          </w:p>
        </w:tc>
        <w:tc>
          <w:tcPr>
            <w:tcW w:type="dxa" w:w="890"/>
            <w:tcMar>
              <w:top w:type="dxa" w:w="60"/>
              <w:left w:type="dxa" w:w="110"/>
              <w:bottom w:type="dxa" w:w="60"/>
              <w:right w:type="dxa" w:w="110"/>
            </w:tcMar>
            <w:vAlign w:val="center"/>
          </w:tcPr>
          <w:p>
            <w:pPr>
              <w:jc w:val="right"/>
            </w:pPr>
            <w:r>
              <w:rPr>
                <w:b/>
                <w:bCs/>
                <w:sz w:val="18"/>
                <w:szCs w:val="18"/>
              </w:rPr>
              <w:t xml:space="preserve">265 · 0.319</w:t>
            </w:r>
          </w:p>
        </w:tc>
        <w:tc>
          <w:tcPr>
            <w:tcW w:type="dxa" w:w="890"/>
            <w:tcMar>
              <w:top w:type="dxa" w:w="60"/>
              <w:left w:type="dxa" w:w="110"/>
              <w:bottom w:type="dxa" w:w="60"/>
              <w:right w:type="dxa" w:w="110"/>
            </w:tcMar>
            <w:vAlign w:val="center"/>
          </w:tcPr>
          <w:p>
            <w:pPr>
              <w:jc w:val="right"/>
            </w:pPr>
            <w:r>
              <w:rPr>
                <w:b/>
                <w:bCs/>
                <w:sz w:val="18"/>
                <w:szCs w:val="18"/>
              </w:rPr>
              <w:t xml:space="preserve">304 · 0.366</w:t>
            </w:r>
          </w:p>
        </w:tc>
        <w:tc>
          <w:tcPr>
            <w:tcW w:type="dxa" w:w="890"/>
            <w:tcMar>
              <w:top w:type="dxa" w:w="60"/>
              <w:left w:type="dxa" w:w="110"/>
              <w:bottom w:type="dxa" w:w="60"/>
              <w:right w:type="dxa" w:w="110"/>
            </w:tcMar>
            <w:vAlign w:val="center"/>
          </w:tcPr>
          <w:p>
            <w:pPr>
              <w:jc w:val="right"/>
            </w:pPr>
            <w:r>
              <w:rPr>
                <w:b/>
                <w:bCs/>
                <w:sz w:val="18"/>
                <w:szCs w:val="18"/>
              </w:rPr>
              <w:t xml:space="preserve">338 · 0.407</w:t>
            </w:r>
          </w:p>
        </w:tc>
        <w:tc>
          <w:tcPr>
            <w:tcW w:type="dxa" w:w="890"/>
            <w:tcMar>
              <w:top w:type="dxa" w:w="60"/>
              <w:left w:type="dxa" w:w="110"/>
              <w:bottom w:type="dxa" w:w="60"/>
              <w:right w:type="dxa" w:w="110"/>
            </w:tcMar>
            <w:vAlign w:val="center"/>
          </w:tcPr>
          <w:p>
            <w:pPr>
              <w:jc w:val="right"/>
            </w:pPr>
            <w:r>
              <w:rPr>
                <w:b/>
                <w:bCs/>
                <w:sz w:val="18"/>
                <w:szCs w:val="18"/>
              </w:rPr>
              <w:t xml:space="preserve">363 · 0.437</w:t>
            </w:r>
          </w:p>
        </w:tc>
      </w:tr>
    </w:tbl>
    <w:p>
      <w:pPr>
        <w:spacing w:after="60"/>
      </w:pPr>
    </w:p>
    <w:p>
      <w:pPr>
        <w:pStyle w:val="Heading2"/>
      </w:pPr>
      <w:r>
        <w:rPr>
          <w:sz w:val="20"/>
          <w:szCs w:val="20"/>
        </w:rPr>
        <w:t xml:space="preserve">A.2  Balance sheet</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160"/>
        <w:gridCol w:w="1240"/>
        <w:gridCol w:w="1240"/>
        <w:gridCol w:w="1240"/>
        <w:gridCol w:w="1240"/>
        <w:gridCol w:w="1240"/>
      </w:tblGrid>
      <w:tr>
        <w:tc>
          <w:tcPr>
            <w:tcW w:type="dxa" w:w="3160"/>
            <w:shd w:fill="1C3A36" w:val="clear"/>
            <w:tcMar>
              <w:top w:type="dxa" w:w="60"/>
              <w:left w:type="dxa" w:w="110"/>
              <w:bottom w:type="dxa" w:w="60"/>
              <w:right w:type="dxa" w:w="110"/>
            </w:tcMar>
            <w:vAlign w:val="center"/>
          </w:tcPr>
          <w:p>
            <w:pPr>
              <w:jc w:val="left"/>
            </w:pPr>
            <w:r>
              <w:rPr>
                <w:b/>
                <w:bCs/>
                <w:color w:val="FFFFFF"/>
                <w:sz w:val="18"/>
                <w:szCs w:val="18"/>
              </w:rPr>
              <w:t xml:space="preserve">AED mn</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FY23</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FY24</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FY25</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FY26E</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FY30E</w:t>
            </w:r>
          </w:p>
        </w:tc>
      </w:tr>
      <w:tr>
        <w:tc>
          <w:tcPr>
            <w:tcW w:type="dxa" w:w="3160"/>
            <w:tcMar>
              <w:top w:type="dxa" w:w="60"/>
              <w:left w:type="dxa" w:w="110"/>
              <w:bottom w:type="dxa" w:w="60"/>
              <w:right w:type="dxa" w:w="110"/>
            </w:tcMar>
            <w:vAlign w:val="center"/>
          </w:tcPr>
          <w:p>
            <w:pPr>
              <w:jc w:val="left"/>
            </w:pPr>
            <w:r>
              <w:rPr>
                <w:sz w:val="18"/>
                <w:szCs w:val="18"/>
              </w:rPr>
              <w:t xml:space="preserve">PP&amp;E, goodwill &amp; intangibles</w:t>
            </w:r>
          </w:p>
        </w:tc>
        <w:tc>
          <w:tcPr>
            <w:tcW w:type="dxa" w:w="1240"/>
            <w:tcMar>
              <w:top w:type="dxa" w:w="60"/>
              <w:left w:type="dxa" w:w="110"/>
              <w:bottom w:type="dxa" w:w="60"/>
              <w:right w:type="dxa" w:w="110"/>
            </w:tcMar>
            <w:vAlign w:val="center"/>
          </w:tcPr>
          <w:p>
            <w:pPr>
              <w:jc w:val="right"/>
            </w:pPr>
            <w:r>
              <w:rPr>
                <w:sz w:val="18"/>
                <w:szCs w:val="18"/>
              </w:rPr>
              <w:t xml:space="preserve">4,486</w:t>
            </w:r>
          </w:p>
        </w:tc>
        <w:tc>
          <w:tcPr>
            <w:tcW w:type="dxa" w:w="1240"/>
            <w:tcMar>
              <w:top w:type="dxa" w:w="60"/>
              <w:left w:type="dxa" w:w="110"/>
              <w:bottom w:type="dxa" w:w="60"/>
              <w:right w:type="dxa" w:w="110"/>
            </w:tcMar>
            <w:vAlign w:val="center"/>
          </w:tcPr>
          <w:p>
            <w:pPr>
              <w:jc w:val="right"/>
            </w:pPr>
            <w:r>
              <w:rPr>
                <w:sz w:val="18"/>
                <w:szCs w:val="18"/>
              </w:rPr>
              <w:t xml:space="preserve">4,347</w:t>
            </w:r>
          </w:p>
        </w:tc>
        <w:tc>
          <w:tcPr>
            <w:tcW w:type="dxa" w:w="1240"/>
            <w:tcMar>
              <w:top w:type="dxa" w:w="60"/>
              <w:left w:type="dxa" w:w="110"/>
              <w:bottom w:type="dxa" w:w="60"/>
              <w:right w:type="dxa" w:w="110"/>
            </w:tcMar>
            <w:vAlign w:val="center"/>
          </w:tcPr>
          <w:p>
            <w:pPr>
              <w:jc w:val="right"/>
            </w:pPr>
            <w:r>
              <w:rPr>
                <w:sz w:val="18"/>
                <w:szCs w:val="18"/>
              </w:rPr>
              <w:t xml:space="preserve">4,015</w:t>
            </w:r>
          </w:p>
        </w:tc>
        <w:tc>
          <w:tcPr>
            <w:tcW w:type="dxa" w:w="1240"/>
            <w:tcMar>
              <w:top w:type="dxa" w:w="60"/>
              <w:left w:type="dxa" w:w="110"/>
              <w:bottom w:type="dxa" w:w="60"/>
              <w:right w:type="dxa" w:w="110"/>
            </w:tcMar>
            <w:vAlign w:val="center"/>
          </w:tcPr>
          <w:p>
            <w:pPr>
              <w:jc w:val="right"/>
            </w:pPr>
            <w:r>
              <w:rPr>
                <w:sz w:val="18"/>
                <w:szCs w:val="18"/>
              </w:rPr>
              <w:t xml:space="preserve">3,955</w:t>
            </w:r>
          </w:p>
        </w:tc>
        <w:tc>
          <w:tcPr>
            <w:tcW w:type="dxa" w:w="1240"/>
            <w:tcMar>
              <w:top w:type="dxa" w:w="60"/>
              <w:left w:type="dxa" w:w="110"/>
              <w:bottom w:type="dxa" w:w="60"/>
              <w:right w:type="dxa" w:w="110"/>
            </w:tcMar>
            <w:vAlign w:val="center"/>
          </w:tcPr>
          <w:p>
            <w:pPr>
              <w:jc w:val="right"/>
            </w:pPr>
            <w:r>
              <w:rPr>
                <w:sz w:val="18"/>
                <w:szCs w:val="18"/>
              </w:rPr>
              <w:t xml:space="preserve">3,912</w:t>
            </w:r>
          </w:p>
        </w:tc>
      </w:tr>
      <w:tr>
        <w:tc>
          <w:tcPr>
            <w:tcW w:type="dxa" w:w="3160"/>
            <w:tcMar>
              <w:top w:type="dxa" w:w="60"/>
              <w:left w:type="dxa" w:w="110"/>
              <w:bottom w:type="dxa" w:w="60"/>
              <w:right w:type="dxa" w:w="110"/>
            </w:tcMar>
            <w:vAlign w:val="center"/>
          </w:tcPr>
          <w:p>
            <w:pPr>
              <w:jc w:val="left"/>
            </w:pPr>
            <w:r>
              <w:rPr>
                <w:sz w:val="18"/>
                <w:szCs w:val="18"/>
              </w:rPr>
              <w:t xml:space="preserve">Inventory + receivables (modeled)</w:t>
            </w:r>
          </w:p>
        </w:tc>
        <w:tc>
          <w:tcPr>
            <w:tcW w:type="dxa" w:w="1240"/>
            <w:tcMar>
              <w:top w:type="dxa" w:w="60"/>
              <w:left w:type="dxa" w:w="110"/>
              <w:bottom w:type="dxa" w:w="60"/>
              <w:right w:type="dxa" w:w="110"/>
            </w:tcMar>
            <w:vAlign w:val="center"/>
          </w:tcPr>
          <w:p>
            <w:pPr>
              <w:jc w:val="right"/>
            </w:pPr>
            <w:r>
              <w:rPr>
                <w:sz w:val="18"/>
                <w:szCs w:val="18"/>
              </w:rPr>
              <w:t xml:space="preserve">1,804</w:t>
            </w:r>
          </w:p>
        </w:tc>
        <w:tc>
          <w:tcPr>
            <w:tcW w:type="dxa" w:w="1240"/>
            <w:tcMar>
              <w:top w:type="dxa" w:w="60"/>
              <w:left w:type="dxa" w:w="110"/>
              <w:bottom w:type="dxa" w:w="60"/>
              <w:right w:type="dxa" w:w="110"/>
            </w:tcMar>
            <w:vAlign w:val="center"/>
          </w:tcPr>
          <w:p>
            <w:pPr>
              <w:jc w:val="right"/>
            </w:pPr>
            <w:r>
              <w:rPr>
                <w:sz w:val="18"/>
                <w:szCs w:val="18"/>
              </w:rPr>
              <w:t xml:space="preserve">1,837</w:t>
            </w:r>
          </w:p>
        </w:tc>
        <w:tc>
          <w:tcPr>
            <w:tcW w:type="dxa" w:w="1240"/>
            <w:tcMar>
              <w:top w:type="dxa" w:w="60"/>
              <w:left w:type="dxa" w:w="110"/>
              <w:bottom w:type="dxa" w:w="60"/>
              <w:right w:type="dxa" w:w="110"/>
            </w:tcMar>
            <w:vAlign w:val="center"/>
          </w:tcPr>
          <w:p>
            <w:pPr>
              <w:jc w:val="right"/>
            </w:pPr>
            <w:r>
              <w:rPr>
                <w:sz w:val="18"/>
                <w:szCs w:val="18"/>
              </w:rPr>
              <w:t xml:space="preserve">1,770</w:t>
            </w:r>
          </w:p>
        </w:tc>
        <w:tc>
          <w:tcPr>
            <w:tcW w:type="dxa" w:w="1240"/>
            <w:tcMar>
              <w:top w:type="dxa" w:w="60"/>
              <w:left w:type="dxa" w:w="110"/>
              <w:bottom w:type="dxa" w:w="60"/>
              <w:right w:type="dxa" w:w="110"/>
            </w:tcMar>
            <w:vAlign w:val="center"/>
          </w:tcPr>
          <w:p>
            <w:pPr>
              <w:jc w:val="right"/>
            </w:pPr>
            <w:r>
              <w:rPr>
                <w:sz w:val="18"/>
                <w:szCs w:val="18"/>
              </w:rPr>
              <w:t xml:space="preserve">1,873</w:t>
            </w:r>
          </w:p>
        </w:tc>
        <w:tc>
          <w:tcPr>
            <w:tcW w:type="dxa" w:w="1240"/>
            <w:tcMar>
              <w:top w:type="dxa" w:w="60"/>
              <w:left w:type="dxa" w:w="110"/>
              <w:bottom w:type="dxa" w:w="60"/>
              <w:right w:type="dxa" w:w="110"/>
            </w:tcMar>
            <w:vAlign w:val="center"/>
          </w:tcPr>
          <w:p>
            <w:pPr>
              <w:jc w:val="right"/>
            </w:pPr>
            <w:r>
              <w:rPr>
                <w:sz w:val="18"/>
                <w:szCs w:val="18"/>
              </w:rPr>
              <w:t xml:space="preserve">2,297</w:t>
            </w:r>
          </w:p>
        </w:tc>
      </w:tr>
      <w:tr>
        <w:tc>
          <w:tcPr>
            <w:tcW w:type="dxa" w:w="3160"/>
            <w:tcMar>
              <w:top w:type="dxa" w:w="60"/>
              <w:left w:type="dxa" w:w="110"/>
              <w:bottom w:type="dxa" w:w="60"/>
              <w:right w:type="dxa" w:w="110"/>
            </w:tcMar>
            <w:vAlign w:val="center"/>
          </w:tcPr>
          <w:p>
            <w:pPr>
              <w:jc w:val="left"/>
            </w:pPr>
            <w:r>
              <w:rPr>
                <w:sz w:val="18"/>
                <w:szCs w:val="18"/>
              </w:rPr>
              <w:t xml:space="preserve">Cash &amp; equivalents †</w:t>
            </w:r>
          </w:p>
        </w:tc>
        <w:tc>
          <w:tcPr>
            <w:tcW w:type="dxa" w:w="1240"/>
            <w:tcMar>
              <w:top w:type="dxa" w:w="60"/>
              <w:left w:type="dxa" w:w="110"/>
              <w:bottom w:type="dxa" w:w="60"/>
              <w:right w:type="dxa" w:w="110"/>
            </w:tcMar>
            <w:vAlign w:val="center"/>
          </w:tcPr>
          <w:p>
            <w:pPr>
              <w:jc w:val="right"/>
            </w:pPr>
            <w:r>
              <w:rPr>
                <w:sz w:val="18"/>
                <w:szCs w:val="18"/>
              </w:rPr>
              <w:t xml:space="preserve">350</w:t>
            </w:r>
          </w:p>
        </w:tc>
        <w:tc>
          <w:tcPr>
            <w:tcW w:type="dxa" w:w="1240"/>
            <w:tcMar>
              <w:top w:type="dxa" w:w="60"/>
              <w:left w:type="dxa" w:w="110"/>
              <w:bottom w:type="dxa" w:w="60"/>
              <w:right w:type="dxa" w:w="110"/>
            </w:tcMar>
            <w:vAlign w:val="center"/>
          </w:tcPr>
          <w:p>
            <w:pPr>
              <w:jc w:val="right"/>
            </w:pPr>
            <w:r>
              <w:rPr>
                <w:sz w:val="18"/>
                <w:szCs w:val="18"/>
              </w:rPr>
              <w:t xml:space="preserve">420</w:t>
            </w:r>
          </w:p>
        </w:tc>
        <w:tc>
          <w:tcPr>
            <w:tcW w:type="dxa" w:w="1240"/>
            <w:tcMar>
              <w:top w:type="dxa" w:w="60"/>
              <w:left w:type="dxa" w:w="110"/>
              <w:bottom w:type="dxa" w:w="60"/>
              <w:right w:type="dxa" w:w="110"/>
            </w:tcMar>
            <w:vAlign w:val="center"/>
          </w:tcPr>
          <w:p>
            <w:pPr>
              <w:jc w:val="right"/>
            </w:pPr>
            <w:r>
              <w:rPr>
                <w:sz w:val="18"/>
                <w:szCs w:val="18"/>
              </w:rPr>
              <w:t xml:space="preserve">531</w:t>
            </w:r>
          </w:p>
        </w:tc>
        <w:tc>
          <w:tcPr>
            <w:tcW w:type="dxa" w:w="1240"/>
            <w:tcMar>
              <w:top w:type="dxa" w:w="60"/>
              <w:left w:type="dxa" w:w="110"/>
              <w:bottom w:type="dxa" w:w="60"/>
              <w:right w:type="dxa" w:w="110"/>
            </w:tcMar>
            <w:vAlign w:val="center"/>
          </w:tcPr>
          <w:p>
            <w:pPr>
              <w:jc w:val="right"/>
            </w:pPr>
            <w:r>
              <w:rPr>
                <w:sz w:val="18"/>
                <w:szCs w:val="18"/>
              </w:rPr>
              <w:t xml:space="preserve">609</w:t>
            </w:r>
          </w:p>
        </w:tc>
        <w:tc>
          <w:tcPr>
            <w:tcW w:type="dxa" w:w="1240"/>
            <w:tcMar>
              <w:top w:type="dxa" w:w="60"/>
              <w:left w:type="dxa" w:w="110"/>
              <w:bottom w:type="dxa" w:w="60"/>
              <w:right w:type="dxa" w:w="110"/>
            </w:tcMar>
            <w:vAlign w:val="center"/>
          </w:tcPr>
          <w:p>
            <w:pPr>
              <w:jc w:val="right"/>
            </w:pPr>
            <w:r>
              <w:rPr>
                <w:sz w:val="18"/>
                <w:szCs w:val="18"/>
              </w:rPr>
              <w:t xml:space="preserve">1,364</w:t>
            </w:r>
          </w:p>
        </w:tc>
      </w:tr>
      <w:tr>
        <w:tc>
          <w:tcPr>
            <w:tcW w:type="dxa" w:w="3160"/>
            <w:tcMar>
              <w:top w:type="dxa" w:w="60"/>
              <w:left w:type="dxa" w:w="110"/>
              <w:bottom w:type="dxa" w:w="60"/>
              <w:right w:type="dxa" w:w="110"/>
            </w:tcMar>
            <w:vAlign w:val="center"/>
          </w:tcPr>
          <w:p>
            <w:pPr>
              <w:jc w:val="left"/>
            </w:pPr>
            <w:r>
              <w:rPr>
                <w:b/>
                <w:bCs/>
                <w:sz w:val="18"/>
                <w:szCs w:val="18"/>
              </w:rPr>
              <w:t xml:space="preserve">Total assets</w:t>
            </w:r>
          </w:p>
        </w:tc>
        <w:tc>
          <w:tcPr>
            <w:tcW w:type="dxa" w:w="1240"/>
            <w:tcMar>
              <w:top w:type="dxa" w:w="60"/>
              <w:left w:type="dxa" w:w="110"/>
              <w:bottom w:type="dxa" w:w="60"/>
              <w:right w:type="dxa" w:w="110"/>
            </w:tcMar>
            <w:vAlign w:val="center"/>
          </w:tcPr>
          <w:p>
            <w:pPr>
              <w:jc w:val="right"/>
            </w:pPr>
            <w:r>
              <w:rPr>
                <w:b/>
                <w:bCs/>
                <w:sz w:val="18"/>
                <w:szCs w:val="18"/>
              </w:rPr>
              <w:t xml:space="preserve">6,640.3</w:t>
            </w:r>
          </w:p>
        </w:tc>
        <w:tc>
          <w:tcPr>
            <w:tcW w:type="dxa" w:w="1240"/>
            <w:tcMar>
              <w:top w:type="dxa" w:w="60"/>
              <w:left w:type="dxa" w:w="110"/>
              <w:bottom w:type="dxa" w:w="60"/>
              <w:right w:type="dxa" w:w="110"/>
            </w:tcMar>
            <w:vAlign w:val="center"/>
          </w:tcPr>
          <w:p>
            <w:pPr>
              <w:jc w:val="right"/>
            </w:pPr>
            <w:r>
              <w:rPr>
                <w:b/>
                <w:bCs/>
                <w:sz w:val="18"/>
                <w:szCs w:val="18"/>
              </w:rPr>
              <w:t xml:space="preserve">6,603.7</w:t>
            </w:r>
          </w:p>
        </w:tc>
        <w:tc>
          <w:tcPr>
            <w:tcW w:type="dxa" w:w="1240"/>
            <w:tcMar>
              <w:top w:type="dxa" w:w="60"/>
              <w:left w:type="dxa" w:w="110"/>
              <w:bottom w:type="dxa" w:w="60"/>
              <w:right w:type="dxa" w:w="110"/>
            </w:tcMar>
            <w:vAlign w:val="center"/>
          </w:tcPr>
          <w:p>
            <w:pPr>
              <w:jc w:val="right"/>
            </w:pPr>
            <w:r>
              <w:rPr>
                <w:b/>
                <w:bCs/>
                <w:sz w:val="18"/>
                <w:szCs w:val="18"/>
              </w:rPr>
              <w:t xml:space="preserve">6,316.0</w:t>
            </w:r>
          </w:p>
        </w:tc>
        <w:tc>
          <w:tcPr>
            <w:tcW w:type="dxa" w:w="1240"/>
            <w:tcMar>
              <w:top w:type="dxa" w:w="60"/>
              <w:left w:type="dxa" w:w="110"/>
              <w:bottom w:type="dxa" w:w="60"/>
              <w:right w:type="dxa" w:w="110"/>
            </w:tcMar>
            <w:vAlign w:val="center"/>
          </w:tcPr>
          <w:p>
            <w:pPr>
              <w:jc w:val="right"/>
            </w:pPr>
            <w:r>
              <w:rPr>
                <w:b/>
                <w:bCs/>
                <w:sz w:val="18"/>
                <w:szCs w:val="18"/>
              </w:rPr>
              <w:t xml:space="preserve">6,401</w:t>
            </w:r>
          </w:p>
        </w:tc>
        <w:tc>
          <w:tcPr>
            <w:tcW w:type="dxa" w:w="1240"/>
            <w:tcMar>
              <w:top w:type="dxa" w:w="60"/>
              <w:left w:type="dxa" w:w="110"/>
              <w:bottom w:type="dxa" w:w="60"/>
              <w:right w:type="dxa" w:w="110"/>
            </w:tcMar>
            <w:vAlign w:val="center"/>
          </w:tcPr>
          <w:p>
            <w:pPr>
              <w:jc w:val="right"/>
            </w:pPr>
            <w:r>
              <w:rPr>
                <w:b/>
                <w:bCs/>
                <w:sz w:val="18"/>
                <w:szCs w:val="18"/>
              </w:rPr>
              <w:t xml:space="preserve">7,573</w:t>
            </w:r>
          </w:p>
        </w:tc>
      </w:tr>
      <w:tr>
        <w:tc>
          <w:tcPr>
            <w:tcW w:type="dxa" w:w="3160"/>
            <w:tcMar>
              <w:top w:type="dxa" w:w="60"/>
              <w:left w:type="dxa" w:w="110"/>
              <w:bottom w:type="dxa" w:w="60"/>
              <w:right w:type="dxa" w:w="110"/>
            </w:tcMar>
            <w:vAlign w:val="center"/>
          </w:tcPr>
          <w:p>
            <w:pPr>
              <w:jc w:val="left"/>
            </w:pPr>
            <w:r>
              <w:rPr>
                <w:sz w:val="18"/>
                <w:szCs w:val="18"/>
              </w:rPr>
              <w:t xml:space="preserve">Shareholders’ equity</w:t>
            </w:r>
          </w:p>
        </w:tc>
        <w:tc>
          <w:tcPr>
            <w:tcW w:type="dxa" w:w="1240"/>
            <w:tcMar>
              <w:top w:type="dxa" w:w="60"/>
              <w:left w:type="dxa" w:w="110"/>
              <w:bottom w:type="dxa" w:w="60"/>
              <w:right w:type="dxa" w:w="110"/>
            </w:tcMar>
            <w:vAlign w:val="center"/>
          </w:tcPr>
          <w:p>
            <w:pPr>
              <w:jc w:val="right"/>
            </w:pPr>
            <w:r>
              <w:rPr>
                <w:sz w:val="18"/>
                <w:szCs w:val="18"/>
              </w:rPr>
              <w:t xml:space="preserve">2,909.8</w:t>
            </w:r>
          </w:p>
        </w:tc>
        <w:tc>
          <w:tcPr>
            <w:tcW w:type="dxa" w:w="1240"/>
            <w:tcMar>
              <w:top w:type="dxa" w:w="60"/>
              <w:left w:type="dxa" w:w="110"/>
              <w:bottom w:type="dxa" w:w="60"/>
              <w:right w:type="dxa" w:w="110"/>
            </w:tcMar>
            <w:vAlign w:val="center"/>
          </w:tcPr>
          <w:p>
            <w:pPr>
              <w:jc w:val="right"/>
            </w:pPr>
            <w:r>
              <w:rPr>
                <w:sz w:val="18"/>
                <w:szCs w:val="18"/>
              </w:rPr>
              <w:t xml:space="preserve">2,824.6</w:t>
            </w:r>
          </w:p>
        </w:tc>
        <w:tc>
          <w:tcPr>
            <w:tcW w:type="dxa" w:w="1240"/>
            <w:tcMar>
              <w:top w:type="dxa" w:w="60"/>
              <w:left w:type="dxa" w:w="110"/>
              <w:bottom w:type="dxa" w:w="60"/>
              <w:right w:type="dxa" w:w="110"/>
            </w:tcMar>
            <w:vAlign w:val="center"/>
          </w:tcPr>
          <w:p>
            <w:pPr>
              <w:jc w:val="right"/>
            </w:pPr>
            <w:r>
              <w:rPr>
                <w:sz w:val="18"/>
                <w:szCs w:val="18"/>
              </w:rPr>
              <w:t xml:space="preserve">2,628.8</w:t>
            </w:r>
          </w:p>
        </w:tc>
        <w:tc>
          <w:tcPr>
            <w:tcW w:type="dxa" w:w="1240"/>
            <w:tcMar>
              <w:top w:type="dxa" w:w="60"/>
              <w:left w:type="dxa" w:w="110"/>
              <w:bottom w:type="dxa" w:w="60"/>
              <w:right w:type="dxa" w:w="110"/>
            </w:tcMar>
            <w:vAlign w:val="center"/>
          </w:tcPr>
          <w:p>
            <w:pPr>
              <w:jc w:val="right"/>
            </w:pPr>
            <w:r>
              <w:rPr>
                <w:sz w:val="18"/>
                <w:szCs w:val="18"/>
              </w:rPr>
              <w:t xml:space="preserve">2,643</w:t>
            </w:r>
          </w:p>
        </w:tc>
        <w:tc>
          <w:tcPr>
            <w:tcW w:type="dxa" w:w="1240"/>
            <w:tcMar>
              <w:top w:type="dxa" w:w="60"/>
              <w:left w:type="dxa" w:w="110"/>
              <w:bottom w:type="dxa" w:w="60"/>
              <w:right w:type="dxa" w:w="110"/>
            </w:tcMar>
            <w:vAlign w:val="center"/>
          </w:tcPr>
          <w:p>
            <w:pPr>
              <w:jc w:val="right"/>
            </w:pPr>
            <w:r>
              <w:rPr>
                <w:sz w:val="18"/>
                <w:szCs w:val="18"/>
              </w:rPr>
              <w:t xml:space="preserve">3,349</w:t>
            </w:r>
          </w:p>
        </w:tc>
      </w:tr>
      <w:tr>
        <w:tc>
          <w:tcPr>
            <w:tcW w:type="dxa" w:w="3160"/>
            <w:tcMar>
              <w:top w:type="dxa" w:w="60"/>
              <w:left w:type="dxa" w:w="110"/>
              <w:bottom w:type="dxa" w:w="60"/>
              <w:right w:type="dxa" w:w="110"/>
            </w:tcMar>
            <w:vAlign w:val="center"/>
          </w:tcPr>
          <w:p>
            <w:pPr>
              <w:jc w:val="left"/>
            </w:pPr>
            <w:r>
              <w:rPr>
                <w:sz w:val="18"/>
                <w:szCs w:val="18"/>
              </w:rPr>
              <w:t xml:space="preserve">Borrowings &amp; leases †</w:t>
            </w:r>
          </w:p>
        </w:tc>
        <w:tc>
          <w:tcPr>
            <w:tcW w:type="dxa" w:w="1240"/>
            <w:tcMar>
              <w:top w:type="dxa" w:w="60"/>
              <w:left w:type="dxa" w:w="110"/>
              <w:bottom w:type="dxa" w:w="60"/>
              <w:right w:type="dxa" w:w="110"/>
            </w:tcMar>
            <w:vAlign w:val="center"/>
          </w:tcPr>
          <w:p>
            <w:pPr>
              <w:jc w:val="right"/>
            </w:pPr>
            <w:r>
              <w:rPr>
                <w:sz w:val="18"/>
                <w:szCs w:val="18"/>
              </w:rPr>
              <w:t xml:space="preserve">1,250</w:t>
            </w:r>
          </w:p>
        </w:tc>
        <w:tc>
          <w:tcPr>
            <w:tcW w:type="dxa" w:w="1240"/>
            <w:tcMar>
              <w:top w:type="dxa" w:w="60"/>
              <w:left w:type="dxa" w:w="110"/>
              <w:bottom w:type="dxa" w:w="60"/>
              <w:right w:type="dxa" w:w="110"/>
            </w:tcMar>
            <w:vAlign w:val="center"/>
          </w:tcPr>
          <w:p>
            <w:pPr>
              <w:jc w:val="right"/>
            </w:pPr>
            <w:r>
              <w:rPr>
                <w:sz w:val="18"/>
                <w:szCs w:val="18"/>
              </w:rPr>
              <w:t xml:space="preserve">1,438</w:t>
            </w:r>
          </w:p>
        </w:tc>
        <w:tc>
          <w:tcPr>
            <w:tcW w:type="dxa" w:w="1240"/>
            <w:tcMar>
              <w:top w:type="dxa" w:w="60"/>
              <w:left w:type="dxa" w:w="110"/>
              <w:bottom w:type="dxa" w:w="60"/>
              <w:right w:type="dxa" w:w="110"/>
            </w:tcMar>
            <w:vAlign w:val="center"/>
          </w:tcPr>
          <w:p>
            <w:pPr>
              <w:jc w:val="right"/>
            </w:pPr>
            <w:r>
              <w:rPr>
                <w:sz w:val="18"/>
                <w:szCs w:val="18"/>
              </w:rPr>
              <w:t xml:space="preserve">1,830.7</w:t>
            </w:r>
          </w:p>
        </w:tc>
        <w:tc>
          <w:tcPr>
            <w:tcW w:type="dxa" w:w="1240"/>
            <w:tcMar>
              <w:top w:type="dxa" w:w="60"/>
              <w:left w:type="dxa" w:w="110"/>
              <w:bottom w:type="dxa" w:w="60"/>
              <w:right w:type="dxa" w:w="110"/>
            </w:tcMar>
            <w:vAlign w:val="center"/>
          </w:tcPr>
          <w:p>
            <w:pPr>
              <w:jc w:val="right"/>
            </w:pPr>
            <w:r>
              <w:rPr>
                <w:sz w:val="18"/>
                <w:szCs w:val="18"/>
              </w:rPr>
              <w:t xml:space="preserve">1,831</w:t>
            </w:r>
          </w:p>
        </w:tc>
        <w:tc>
          <w:tcPr>
            <w:tcW w:type="dxa" w:w="1240"/>
            <w:tcMar>
              <w:top w:type="dxa" w:w="60"/>
              <w:left w:type="dxa" w:w="110"/>
              <w:bottom w:type="dxa" w:w="60"/>
              <w:right w:type="dxa" w:w="110"/>
            </w:tcMar>
            <w:vAlign w:val="center"/>
          </w:tcPr>
          <w:p>
            <w:pPr>
              <w:jc w:val="right"/>
            </w:pPr>
            <w:r>
              <w:rPr>
                <w:sz w:val="18"/>
                <w:szCs w:val="18"/>
              </w:rPr>
              <w:t xml:space="preserve">1,831</w:t>
            </w:r>
          </w:p>
        </w:tc>
      </w:tr>
      <w:tr>
        <w:tc>
          <w:tcPr>
            <w:tcW w:type="dxa" w:w="3160"/>
            <w:tcMar>
              <w:top w:type="dxa" w:w="60"/>
              <w:left w:type="dxa" w:w="110"/>
              <w:bottom w:type="dxa" w:w="60"/>
              <w:right w:type="dxa" w:w="110"/>
            </w:tcMar>
            <w:vAlign w:val="center"/>
          </w:tcPr>
          <w:p>
            <w:pPr>
              <w:jc w:val="left"/>
            </w:pPr>
            <w:r>
              <w:rPr>
                <w:sz w:val="18"/>
                <w:szCs w:val="18"/>
              </w:rPr>
              <w:t xml:space="preserve">Net debt</w:t>
            </w:r>
          </w:p>
        </w:tc>
        <w:tc>
          <w:tcPr>
            <w:tcW w:type="dxa" w:w="1240"/>
            <w:tcMar>
              <w:top w:type="dxa" w:w="60"/>
              <w:left w:type="dxa" w:w="110"/>
              <w:bottom w:type="dxa" w:w="60"/>
              <w:right w:type="dxa" w:w="110"/>
            </w:tcMar>
            <w:vAlign w:val="center"/>
          </w:tcPr>
          <w:p>
            <w:pPr>
              <w:jc w:val="right"/>
            </w:pPr>
            <w:r>
              <w:rPr>
                <w:sz w:val="18"/>
                <w:szCs w:val="18"/>
              </w:rPr>
              <w:t xml:space="preserve">900</w:t>
            </w:r>
          </w:p>
        </w:tc>
        <w:tc>
          <w:tcPr>
            <w:tcW w:type="dxa" w:w="1240"/>
            <w:tcMar>
              <w:top w:type="dxa" w:w="60"/>
              <w:left w:type="dxa" w:w="110"/>
              <w:bottom w:type="dxa" w:w="60"/>
              <w:right w:type="dxa" w:w="110"/>
            </w:tcMar>
            <w:vAlign w:val="center"/>
          </w:tcPr>
          <w:p>
            <w:pPr>
              <w:jc w:val="right"/>
            </w:pPr>
            <w:r>
              <w:rPr>
                <w:sz w:val="18"/>
                <w:szCs w:val="18"/>
              </w:rPr>
              <w:t xml:space="preserve">1,018</w:t>
            </w:r>
          </w:p>
        </w:tc>
        <w:tc>
          <w:tcPr>
            <w:tcW w:type="dxa" w:w="1240"/>
            <w:tcMar>
              <w:top w:type="dxa" w:w="60"/>
              <w:left w:type="dxa" w:w="110"/>
              <w:bottom w:type="dxa" w:w="60"/>
              <w:right w:type="dxa" w:w="110"/>
            </w:tcMar>
            <w:vAlign w:val="center"/>
          </w:tcPr>
          <w:p>
            <w:pPr>
              <w:jc w:val="right"/>
            </w:pPr>
            <w:r>
              <w:rPr>
                <w:sz w:val="18"/>
                <w:szCs w:val="18"/>
              </w:rPr>
              <w:t xml:space="preserve">1,300</w:t>
            </w:r>
          </w:p>
        </w:tc>
        <w:tc>
          <w:tcPr>
            <w:tcW w:type="dxa" w:w="1240"/>
            <w:tcMar>
              <w:top w:type="dxa" w:w="60"/>
              <w:left w:type="dxa" w:w="110"/>
              <w:bottom w:type="dxa" w:w="60"/>
              <w:right w:type="dxa" w:w="110"/>
            </w:tcMar>
            <w:vAlign w:val="center"/>
          </w:tcPr>
          <w:p>
            <w:pPr>
              <w:jc w:val="right"/>
            </w:pPr>
            <w:r>
              <w:rPr>
                <w:sz w:val="18"/>
                <w:szCs w:val="18"/>
              </w:rPr>
              <w:t xml:space="preserve">1,221</w:t>
            </w:r>
          </w:p>
        </w:tc>
        <w:tc>
          <w:tcPr>
            <w:tcW w:type="dxa" w:w="1240"/>
            <w:tcMar>
              <w:top w:type="dxa" w:w="60"/>
              <w:left w:type="dxa" w:w="110"/>
              <w:bottom w:type="dxa" w:w="60"/>
              <w:right w:type="dxa" w:w="110"/>
            </w:tcMar>
            <w:vAlign w:val="center"/>
          </w:tcPr>
          <w:p>
            <w:pPr>
              <w:jc w:val="right"/>
            </w:pPr>
            <w:r>
              <w:rPr>
                <w:sz w:val="18"/>
                <w:szCs w:val="18"/>
              </w:rPr>
              <w:t xml:space="preserve">467</w:t>
            </w:r>
          </w:p>
        </w:tc>
      </w:tr>
      <w:tr>
        <w:tc>
          <w:tcPr>
            <w:tcW w:type="dxa" w:w="3160"/>
            <w:tcMar>
              <w:top w:type="dxa" w:w="60"/>
              <w:left w:type="dxa" w:w="110"/>
              <w:bottom w:type="dxa" w:w="60"/>
              <w:right w:type="dxa" w:w="110"/>
            </w:tcMar>
            <w:vAlign w:val="center"/>
          </w:tcPr>
          <w:p>
            <w:pPr>
              <w:jc w:val="left"/>
            </w:pPr>
            <w:r>
              <w:rPr>
                <w:sz w:val="18"/>
                <w:szCs w:val="18"/>
              </w:rPr>
              <w:t xml:space="preserve">Net debt / EBITDA</w:t>
            </w:r>
          </w:p>
        </w:tc>
        <w:tc>
          <w:tcPr>
            <w:tcW w:type="dxa" w:w="1240"/>
            <w:tcMar>
              <w:top w:type="dxa" w:w="60"/>
              <w:left w:type="dxa" w:w="110"/>
              <w:bottom w:type="dxa" w:w="60"/>
              <w:right w:type="dxa" w:w="110"/>
            </w:tcMar>
            <w:vAlign w:val="center"/>
          </w:tcPr>
          <w:p>
            <w:pPr>
              <w:jc w:val="right"/>
            </w:pPr>
            <w:r>
              <w:rPr>
                <w:sz w:val="18"/>
                <w:szCs w:val="18"/>
              </w:rPr>
              <w:t xml:space="preserve">1.3×</w:t>
            </w:r>
          </w:p>
        </w:tc>
        <w:tc>
          <w:tcPr>
            <w:tcW w:type="dxa" w:w="1240"/>
            <w:tcMar>
              <w:top w:type="dxa" w:w="60"/>
              <w:left w:type="dxa" w:w="110"/>
              <w:bottom w:type="dxa" w:w="60"/>
              <w:right w:type="dxa" w:w="110"/>
            </w:tcMar>
            <w:vAlign w:val="center"/>
          </w:tcPr>
          <w:p>
            <w:pPr>
              <w:jc w:val="right"/>
            </w:pPr>
            <w:r>
              <w:rPr>
                <w:sz w:val="18"/>
                <w:szCs w:val="18"/>
              </w:rPr>
              <w:t xml:space="preserve">1.5×</w:t>
            </w:r>
          </w:p>
        </w:tc>
        <w:tc>
          <w:tcPr>
            <w:tcW w:type="dxa" w:w="1240"/>
            <w:tcMar>
              <w:top w:type="dxa" w:w="60"/>
              <w:left w:type="dxa" w:w="110"/>
              <w:bottom w:type="dxa" w:w="60"/>
              <w:right w:type="dxa" w:w="110"/>
            </w:tcMar>
            <w:vAlign w:val="center"/>
          </w:tcPr>
          <w:p>
            <w:pPr>
              <w:jc w:val="right"/>
            </w:pPr>
            <w:r>
              <w:rPr>
                <w:sz w:val="18"/>
                <w:szCs w:val="18"/>
              </w:rPr>
              <w:t xml:space="preserve">2.8×</w:t>
            </w:r>
          </w:p>
        </w:tc>
        <w:tc>
          <w:tcPr>
            <w:tcW w:type="dxa" w:w="1240"/>
            <w:tcMar>
              <w:top w:type="dxa" w:w="60"/>
              <w:left w:type="dxa" w:w="110"/>
              <w:bottom w:type="dxa" w:w="60"/>
              <w:right w:type="dxa" w:w="110"/>
            </w:tcMar>
            <w:vAlign w:val="center"/>
          </w:tcPr>
          <w:p>
            <w:pPr>
              <w:jc w:val="right"/>
            </w:pPr>
            <w:r>
              <w:rPr>
                <w:sz w:val="18"/>
                <w:szCs w:val="18"/>
              </w:rPr>
              <w:t xml:space="preserve">1.9×</w:t>
            </w:r>
          </w:p>
        </w:tc>
        <w:tc>
          <w:tcPr>
            <w:tcW w:type="dxa" w:w="1240"/>
            <w:tcMar>
              <w:top w:type="dxa" w:w="60"/>
              <w:left w:type="dxa" w:w="110"/>
              <w:bottom w:type="dxa" w:w="60"/>
              <w:right w:type="dxa" w:w="110"/>
            </w:tcMar>
            <w:vAlign w:val="center"/>
          </w:tcPr>
          <w:p>
            <w:pPr>
              <w:jc w:val="right"/>
            </w:pPr>
            <w:r>
              <w:rPr>
                <w:sz w:val="18"/>
                <w:szCs w:val="18"/>
              </w:rPr>
              <w:t xml:space="preserve">0.5×</w:t>
            </w:r>
          </w:p>
        </w:tc>
      </w:tr>
    </w:tbl>
    <w:p>
      <w:pPr>
        <w:spacing w:after="60"/>
      </w:pPr>
    </w:p>
    <w:p>
      <w:pPr>
        <w:pStyle w:val="Heading2"/>
      </w:pPr>
      <w:r>
        <w:rPr>
          <w:sz w:val="20"/>
          <w:szCs w:val="20"/>
        </w:rPr>
        <w:t xml:space="preserve">A.3  Cash flow</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3160"/>
        <w:gridCol w:w="1240"/>
        <w:gridCol w:w="1240"/>
        <w:gridCol w:w="1240"/>
        <w:gridCol w:w="1240"/>
        <w:gridCol w:w="1240"/>
      </w:tblGrid>
      <w:tr>
        <w:tc>
          <w:tcPr>
            <w:tcW w:type="dxa" w:w="3160"/>
            <w:shd w:fill="1C3A36" w:val="clear"/>
            <w:tcMar>
              <w:top w:type="dxa" w:w="60"/>
              <w:left w:type="dxa" w:w="110"/>
              <w:bottom w:type="dxa" w:w="60"/>
              <w:right w:type="dxa" w:w="110"/>
            </w:tcMar>
            <w:vAlign w:val="center"/>
          </w:tcPr>
          <w:p>
            <w:pPr>
              <w:jc w:val="left"/>
            </w:pPr>
            <w:r>
              <w:rPr>
                <w:b/>
                <w:bCs/>
                <w:color w:val="FFFFFF"/>
                <w:sz w:val="18"/>
                <w:szCs w:val="18"/>
              </w:rPr>
              <w:t xml:space="preserve">AED mn</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FY24</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FY25</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FY26E</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FY27E</w:t>
            </w:r>
          </w:p>
        </w:tc>
        <w:tc>
          <w:tcPr>
            <w:tcW w:type="dxa" w:w="1240"/>
            <w:shd w:fill="1C3A36" w:val="clear"/>
            <w:tcMar>
              <w:top w:type="dxa" w:w="60"/>
              <w:left w:type="dxa" w:w="110"/>
              <w:bottom w:type="dxa" w:w="60"/>
              <w:right w:type="dxa" w:w="110"/>
            </w:tcMar>
            <w:vAlign w:val="center"/>
          </w:tcPr>
          <w:p>
            <w:pPr>
              <w:jc w:val="center"/>
            </w:pPr>
            <w:r>
              <w:rPr>
                <w:b/>
                <w:bCs/>
                <w:color w:val="FFFFFF"/>
                <w:sz w:val="18"/>
                <w:szCs w:val="18"/>
              </w:rPr>
              <w:t xml:space="preserve">FY28E</w:t>
            </w:r>
          </w:p>
        </w:tc>
      </w:tr>
      <w:tr>
        <w:tc>
          <w:tcPr>
            <w:tcW w:type="dxa" w:w="3160"/>
            <w:tcMar>
              <w:top w:type="dxa" w:w="60"/>
              <w:left w:type="dxa" w:w="110"/>
              <w:bottom w:type="dxa" w:w="60"/>
              <w:right w:type="dxa" w:w="110"/>
            </w:tcMar>
            <w:vAlign w:val="center"/>
          </w:tcPr>
          <w:p>
            <w:pPr>
              <w:jc w:val="left"/>
            </w:pPr>
            <w:r>
              <w:rPr>
                <w:sz w:val="18"/>
                <w:szCs w:val="18"/>
              </w:rPr>
              <w:t xml:space="preserve">Operating cash flow</w:t>
            </w:r>
          </w:p>
        </w:tc>
        <w:tc>
          <w:tcPr>
            <w:tcW w:type="dxa" w:w="1240"/>
            <w:tcMar>
              <w:top w:type="dxa" w:w="60"/>
              <w:left w:type="dxa" w:w="110"/>
              <w:bottom w:type="dxa" w:w="60"/>
              <w:right w:type="dxa" w:w="110"/>
            </w:tcMar>
            <w:vAlign w:val="center"/>
          </w:tcPr>
          <w:p>
            <w:pPr>
              <w:jc w:val="right"/>
            </w:pPr>
            <w:r>
              <w:rPr>
                <w:sz w:val="18"/>
                <w:szCs w:val="18"/>
              </w:rPr>
              <w:t xml:space="preserve">656.0</w:t>
            </w:r>
          </w:p>
        </w:tc>
        <w:tc>
          <w:tcPr>
            <w:tcW w:type="dxa" w:w="1240"/>
            <w:tcMar>
              <w:top w:type="dxa" w:w="60"/>
              <w:left w:type="dxa" w:w="110"/>
              <w:bottom w:type="dxa" w:w="60"/>
              <w:right w:type="dxa" w:w="110"/>
            </w:tcMar>
            <w:vAlign w:val="center"/>
          </w:tcPr>
          <w:p>
            <w:pPr>
              <w:jc w:val="right"/>
            </w:pPr>
            <w:r>
              <w:rPr>
                <w:sz w:val="18"/>
                <w:szCs w:val="18"/>
              </w:rPr>
              <w:t xml:space="preserve">434.7</w:t>
            </w:r>
          </w:p>
        </w:tc>
        <w:tc>
          <w:tcPr>
            <w:tcW w:type="dxa" w:w="1240"/>
            <w:tcMar>
              <w:top w:type="dxa" w:w="60"/>
              <w:left w:type="dxa" w:w="110"/>
              <w:bottom w:type="dxa" w:w="60"/>
              <w:right w:type="dxa" w:w="110"/>
            </w:tcMar>
            <w:vAlign w:val="center"/>
          </w:tcPr>
          <w:p>
            <w:pPr>
              <w:jc w:val="right"/>
            </w:pPr>
            <w:r>
              <w:rPr>
                <w:sz w:val="18"/>
                <w:szCs w:val="18"/>
              </w:rPr>
              <w:t xml:space="preserve">469</w:t>
            </w:r>
          </w:p>
        </w:tc>
        <w:tc>
          <w:tcPr>
            <w:tcW w:type="dxa" w:w="1240"/>
            <w:tcMar>
              <w:top w:type="dxa" w:w="60"/>
              <w:left w:type="dxa" w:w="110"/>
              <w:bottom w:type="dxa" w:w="60"/>
              <w:right w:type="dxa" w:w="110"/>
            </w:tcMar>
            <w:vAlign w:val="center"/>
          </w:tcPr>
          <w:p>
            <w:pPr>
              <w:jc w:val="right"/>
            </w:pPr>
            <w:r>
              <w:rPr>
                <w:sz w:val="18"/>
                <w:szCs w:val="18"/>
              </w:rPr>
              <w:t xml:space="preserve">516</w:t>
            </w:r>
          </w:p>
        </w:tc>
        <w:tc>
          <w:tcPr>
            <w:tcW w:type="dxa" w:w="1240"/>
            <w:tcMar>
              <w:top w:type="dxa" w:w="60"/>
              <w:left w:type="dxa" w:w="110"/>
              <w:bottom w:type="dxa" w:w="60"/>
              <w:right w:type="dxa" w:w="110"/>
            </w:tcMar>
            <w:vAlign w:val="center"/>
          </w:tcPr>
          <w:p>
            <w:pPr>
              <w:jc w:val="right"/>
            </w:pPr>
            <w:r>
              <w:rPr>
                <w:sz w:val="18"/>
                <w:szCs w:val="18"/>
              </w:rPr>
              <w:t xml:space="preserve">561</w:t>
            </w:r>
          </w:p>
        </w:tc>
      </w:tr>
      <w:tr>
        <w:tc>
          <w:tcPr>
            <w:tcW w:type="dxa" w:w="3160"/>
            <w:tcMar>
              <w:top w:type="dxa" w:w="60"/>
              <w:left w:type="dxa" w:w="110"/>
              <w:bottom w:type="dxa" w:w="60"/>
              <w:right w:type="dxa" w:w="110"/>
            </w:tcMar>
            <w:vAlign w:val="center"/>
          </w:tcPr>
          <w:p>
            <w:pPr>
              <w:jc w:val="left"/>
            </w:pPr>
            <w:r>
              <w:rPr>
                <w:sz w:val="18"/>
                <w:szCs w:val="18"/>
              </w:rPr>
              <w:t xml:space="preserve">Capex</w:t>
            </w:r>
          </w:p>
        </w:tc>
        <w:tc>
          <w:tcPr>
            <w:tcW w:type="dxa" w:w="1240"/>
            <w:tcMar>
              <w:top w:type="dxa" w:w="60"/>
              <w:left w:type="dxa" w:w="110"/>
              <w:bottom w:type="dxa" w:w="60"/>
              <w:right w:type="dxa" w:w="110"/>
            </w:tcMar>
            <w:vAlign w:val="center"/>
          </w:tcPr>
          <w:p>
            <w:pPr>
              <w:jc w:val="right"/>
            </w:pPr>
            <w:r>
              <w:rPr>
                <w:sz w:val="18"/>
                <w:szCs w:val="18"/>
              </w:rPr>
              <w:t xml:space="preserve">(160.4)</w:t>
            </w:r>
          </w:p>
        </w:tc>
        <w:tc>
          <w:tcPr>
            <w:tcW w:type="dxa" w:w="1240"/>
            <w:tcMar>
              <w:top w:type="dxa" w:w="60"/>
              <w:left w:type="dxa" w:w="110"/>
              <w:bottom w:type="dxa" w:w="60"/>
              <w:right w:type="dxa" w:w="110"/>
            </w:tcMar>
            <w:vAlign w:val="center"/>
          </w:tcPr>
          <w:p>
            <w:pPr>
              <w:jc w:val="right"/>
            </w:pPr>
            <w:r>
              <w:rPr>
                <w:sz w:val="18"/>
                <w:szCs w:val="18"/>
              </w:rPr>
              <w:t xml:space="preserve">(143.5)</w:t>
            </w:r>
          </w:p>
        </w:tc>
        <w:tc>
          <w:tcPr>
            <w:tcW w:type="dxa" w:w="1240"/>
            <w:tcMar>
              <w:top w:type="dxa" w:w="60"/>
              <w:left w:type="dxa" w:w="110"/>
              <w:bottom w:type="dxa" w:w="60"/>
              <w:right w:type="dxa" w:w="110"/>
            </w:tcMar>
            <w:vAlign w:val="center"/>
          </w:tcPr>
          <w:p>
            <w:pPr>
              <w:jc w:val="right"/>
            </w:pPr>
            <w:r>
              <w:rPr>
                <w:sz w:val="18"/>
                <w:szCs w:val="18"/>
              </w:rPr>
              <w:t xml:space="preserve">(172)</w:t>
            </w:r>
          </w:p>
        </w:tc>
        <w:tc>
          <w:tcPr>
            <w:tcW w:type="dxa" w:w="1240"/>
            <w:tcMar>
              <w:top w:type="dxa" w:w="60"/>
              <w:left w:type="dxa" w:w="110"/>
              <w:bottom w:type="dxa" w:w="60"/>
              <w:right w:type="dxa" w:w="110"/>
            </w:tcMar>
            <w:vAlign w:val="center"/>
          </w:tcPr>
          <w:p>
            <w:pPr>
              <w:jc w:val="right"/>
            </w:pPr>
            <w:r>
              <w:rPr>
                <w:sz w:val="18"/>
                <w:szCs w:val="18"/>
              </w:rPr>
              <w:t xml:space="preserve">(172)</w:t>
            </w:r>
          </w:p>
        </w:tc>
        <w:tc>
          <w:tcPr>
            <w:tcW w:type="dxa" w:w="1240"/>
            <w:tcMar>
              <w:top w:type="dxa" w:w="60"/>
              <w:left w:type="dxa" w:w="110"/>
              <w:bottom w:type="dxa" w:w="60"/>
              <w:right w:type="dxa" w:w="110"/>
            </w:tcMar>
            <w:vAlign w:val="center"/>
          </w:tcPr>
          <w:p>
            <w:pPr>
              <w:jc w:val="right"/>
            </w:pPr>
            <w:r>
              <w:rPr>
                <w:sz w:val="18"/>
                <w:szCs w:val="18"/>
              </w:rPr>
              <w:t xml:space="preserve">(164)</w:t>
            </w:r>
          </w:p>
        </w:tc>
      </w:tr>
      <w:tr>
        <w:tc>
          <w:tcPr>
            <w:tcW w:type="dxa" w:w="3160"/>
            <w:tcMar>
              <w:top w:type="dxa" w:w="60"/>
              <w:left w:type="dxa" w:w="110"/>
              <w:bottom w:type="dxa" w:w="60"/>
              <w:right w:type="dxa" w:w="110"/>
            </w:tcMar>
            <w:vAlign w:val="center"/>
          </w:tcPr>
          <w:p>
            <w:pPr>
              <w:jc w:val="left"/>
            </w:pPr>
            <w:r>
              <w:rPr>
                <w:b/>
                <w:bCs/>
                <w:sz w:val="18"/>
                <w:szCs w:val="18"/>
              </w:rPr>
              <w:t xml:space="preserve">Free cash flow</w:t>
            </w:r>
          </w:p>
        </w:tc>
        <w:tc>
          <w:tcPr>
            <w:tcW w:type="dxa" w:w="1240"/>
            <w:tcMar>
              <w:top w:type="dxa" w:w="60"/>
              <w:left w:type="dxa" w:w="110"/>
              <w:bottom w:type="dxa" w:w="60"/>
              <w:right w:type="dxa" w:w="110"/>
            </w:tcMar>
            <w:vAlign w:val="center"/>
          </w:tcPr>
          <w:p>
            <w:pPr>
              <w:jc w:val="right"/>
            </w:pPr>
            <w:r>
              <w:rPr>
                <w:b/>
                <w:bCs/>
                <w:sz w:val="18"/>
                <w:szCs w:val="18"/>
              </w:rPr>
              <w:t xml:space="preserve">495.6</w:t>
            </w:r>
          </w:p>
        </w:tc>
        <w:tc>
          <w:tcPr>
            <w:tcW w:type="dxa" w:w="1240"/>
            <w:tcMar>
              <w:top w:type="dxa" w:w="60"/>
              <w:left w:type="dxa" w:w="110"/>
              <w:bottom w:type="dxa" w:w="60"/>
              <w:right w:type="dxa" w:w="110"/>
            </w:tcMar>
            <w:vAlign w:val="center"/>
          </w:tcPr>
          <w:p>
            <w:pPr>
              <w:jc w:val="right"/>
            </w:pPr>
            <w:r>
              <w:rPr>
                <w:b/>
                <w:bCs/>
                <w:sz w:val="18"/>
                <w:szCs w:val="18"/>
              </w:rPr>
              <w:t xml:space="preserve">317.8</w:t>
            </w:r>
          </w:p>
        </w:tc>
        <w:tc>
          <w:tcPr>
            <w:tcW w:type="dxa" w:w="1240"/>
            <w:tcMar>
              <w:top w:type="dxa" w:w="60"/>
              <w:left w:type="dxa" w:w="110"/>
              <w:bottom w:type="dxa" w:w="60"/>
              <w:right w:type="dxa" w:w="110"/>
            </w:tcMar>
            <w:vAlign w:val="center"/>
          </w:tcPr>
          <w:p>
            <w:pPr>
              <w:jc w:val="right"/>
            </w:pPr>
            <w:r>
              <w:rPr>
                <w:b/>
                <w:bCs/>
                <w:sz w:val="18"/>
                <w:szCs w:val="18"/>
              </w:rPr>
              <w:t xml:space="preserve">297</w:t>
            </w:r>
          </w:p>
        </w:tc>
        <w:tc>
          <w:tcPr>
            <w:tcW w:type="dxa" w:w="1240"/>
            <w:tcMar>
              <w:top w:type="dxa" w:w="60"/>
              <w:left w:type="dxa" w:w="110"/>
              <w:bottom w:type="dxa" w:w="60"/>
              <w:right w:type="dxa" w:w="110"/>
            </w:tcMar>
            <w:vAlign w:val="center"/>
          </w:tcPr>
          <w:p>
            <w:pPr>
              <w:jc w:val="right"/>
            </w:pPr>
            <w:r>
              <w:rPr>
                <w:b/>
                <w:bCs/>
                <w:sz w:val="18"/>
                <w:szCs w:val="18"/>
              </w:rPr>
              <w:t xml:space="preserve">344</w:t>
            </w:r>
          </w:p>
        </w:tc>
        <w:tc>
          <w:tcPr>
            <w:tcW w:type="dxa" w:w="1240"/>
            <w:tcMar>
              <w:top w:type="dxa" w:w="60"/>
              <w:left w:type="dxa" w:w="110"/>
              <w:bottom w:type="dxa" w:w="60"/>
              <w:right w:type="dxa" w:w="110"/>
            </w:tcMar>
            <w:vAlign w:val="center"/>
          </w:tcPr>
          <w:p>
            <w:pPr>
              <w:jc w:val="right"/>
            </w:pPr>
            <w:r>
              <w:rPr>
                <w:b/>
                <w:bCs/>
                <w:sz w:val="18"/>
                <w:szCs w:val="18"/>
              </w:rPr>
              <w:t xml:space="preserve">397</w:t>
            </w:r>
          </w:p>
        </w:tc>
      </w:tr>
      <w:tr>
        <w:tc>
          <w:tcPr>
            <w:tcW w:type="dxa" w:w="3160"/>
            <w:tcMar>
              <w:top w:type="dxa" w:w="60"/>
              <w:left w:type="dxa" w:w="110"/>
              <w:bottom w:type="dxa" w:w="60"/>
              <w:right w:type="dxa" w:w="110"/>
            </w:tcMar>
            <w:vAlign w:val="center"/>
          </w:tcPr>
          <w:p>
            <w:pPr>
              <w:jc w:val="left"/>
            </w:pPr>
            <w:r>
              <w:rPr>
                <w:sz w:val="18"/>
                <w:szCs w:val="18"/>
              </w:rPr>
              <w:t xml:space="preserve">Dividends paid (common)</w:t>
            </w:r>
          </w:p>
        </w:tc>
        <w:tc>
          <w:tcPr>
            <w:tcW w:type="dxa" w:w="1240"/>
            <w:tcMar>
              <w:top w:type="dxa" w:w="60"/>
              <w:left w:type="dxa" w:w="110"/>
              <w:bottom w:type="dxa" w:w="60"/>
              <w:right w:type="dxa" w:w="110"/>
            </w:tcMar>
            <w:vAlign w:val="center"/>
          </w:tcPr>
          <w:p>
            <w:pPr>
              <w:jc w:val="right"/>
            </w:pPr>
            <w:r>
              <w:rPr>
                <w:sz w:val="18"/>
                <w:szCs w:val="18"/>
              </w:rPr>
              <w:t xml:space="preserve">(167)</w:t>
            </w:r>
          </w:p>
        </w:tc>
        <w:tc>
          <w:tcPr>
            <w:tcW w:type="dxa" w:w="1240"/>
            <w:tcMar>
              <w:top w:type="dxa" w:w="60"/>
              <w:left w:type="dxa" w:w="110"/>
              <w:bottom w:type="dxa" w:w="60"/>
              <w:right w:type="dxa" w:w="110"/>
            </w:tcMar>
            <w:vAlign w:val="center"/>
          </w:tcPr>
          <w:p>
            <w:pPr>
              <w:jc w:val="right"/>
            </w:pPr>
            <w:r>
              <w:rPr>
                <w:sz w:val="18"/>
                <w:szCs w:val="18"/>
              </w:rPr>
              <w:t xml:space="preserve">(184)</w:t>
            </w:r>
          </w:p>
        </w:tc>
        <w:tc>
          <w:tcPr>
            <w:tcW w:type="dxa" w:w="1240"/>
            <w:tcMar>
              <w:top w:type="dxa" w:w="60"/>
              <w:left w:type="dxa" w:w="110"/>
              <w:bottom w:type="dxa" w:w="60"/>
              <w:right w:type="dxa" w:w="110"/>
            </w:tcMar>
            <w:vAlign w:val="center"/>
          </w:tcPr>
          <w:p>
            <w:pPr>
              <w:jc w:val="right"/>
            </w:pPr>
            <w:r>
              <w:rPr>
                <w:sz w:val="18"/>
                <w:szCs w:val="18"/>
              </w:rPr>
              <w:t xml:space="preserve">(202)</w:t>
            </w:r>
          </w:p>
        </w:tc>
        <w:tc>
          <w:tcPr>
            <w:tcW w:type="dxa" w:w="1240"/>
            <w:tcMar>
              <w:top w:type="dxa" w:w="60"/>
              <w:left w:type="dxa" w:w="110"/>
              <w:bottom w:type="dxa" w:w="60"/>
              <w:right w:type="dxa" w:w="110"/>
            </w:tcMar>
            <w:vAlign w:val="center"/>
          </w:tcPr>
          <w:p>
            <w:pPr>
              <w:jc w:val="right"/>
            </w:pPr>
            <w:r>
              <w:rPr>
                <w:sz w:val="18"/>
                <w:szCs w:val="18"/>
              </w:rPr>
              <w:t xml:space="preserve">(222)</w:t>
            </w:r>
          </w:p>
        </w:tc>
        <w:tc>
          <w:tcPr>
            <w:tcW w:type="dxa" w:w="1240"/>
            <w:tcMar>
              <w:top w:type="dxa" w:w="60"/>
              <w:left w:type="dxa" w:w="110"/>
              <w:bottom w:type="dxa" w:w="60"/>
              <w:right w:type="dxa" w:w="110"/>
            </w:tcMar>
            <w:vAlign w:val="center"/>
          </w:tcPr>
          <w:p>
            <w:pPr>
              <w:jc w:val="right"/>
            </w:pPr>
            <w:r>
              <w:rPr>
                <w:sz w:val="18"/>
                <w:szCs w:val="18"/>
              </w:rPr>
              <w:t xml:space="preserve">(244)</w:t>
            </w:r>
          </w:p>
        </w:tc>
      </w:tr>
      <w:tr>
        <w:tc>
          <w:tcPr>
            <w:tcW w:type="dxa" w:w="3160"/>
            <w:tcMar>
              <w:top w:type="dxa" w:w="60"/>
              <w:left w:type="dxa" w:w="110"/>
              <w:bottom w:type="dxa" w:w="60"/>
              <w:right w:type="dxa" w:w="110"/>
            </w:tcMar>
            <w:vAlign w:val="center"/>
          </w:tcPr>
          <w:p>
            <w:pPr>
              <w:jc w:val="left"/>
            </w:pPr>
            <w:r>
              <w:rPr>
                <w:sz w:val="18"/>
                <w:szCs w:val="18"/>
              </w:rPr>
              <w:t xml:space="preserve">Net change in cash (model)</w:t>
            </w:r>
          </w:p>
        </w:tc>
        <w:tc>
          <w:tcPr>
            <w:tcW w:type="dxa" w:w="1240"/>
            <w:tcMar>
              <w:top w:type="dxa" w:w="60"/>
              <w:left w:type="dxa" w:w="110"/>
              <w:bottom w:type="dxa" w:w="60"/>
              <w:right w:type="dxa" w:w="110"/>
            </w:tcMar>
            <w:vAlign w:val="center"/>
          </w:tcPr>
          <w:p>
            <w:pPr>
              <w:jc w:val="right"/>
            </w:pPr>
            <w:r>
              <w:rPr>
                <w:sz w:val="18"/>
                <w:szCs w:val="18"/>
              </w:rPr>
              <w:t xml:space="preserve">–</w:t>
            </w:r>
          </w:p>
        </w:tc>
        <w:tc>
          <w:tcPr>
            <w:tcW w:type="dxa" w:w="1240"/>
            <w:tcMar>
              <w:top w:type="dxa" w:w="60"/>
              <w:left w:type="dxa" w:w="110"/>
              <w:bottom w:type="dxa" w:w="60"/>
              <w:right w:type="dxa" w:w="110"/>
            </w:tcMar>
            <w:vAlign w:val="center"/>
          </w:tcPr>
          <w:p>
            <w:pPr>
              <w:jc w:val="right"/>
            </w:pPr>
            <w:r>
              <w:rPr>
                <w:sz w:val="18"/>
                <w:szCs w:val="18"/>
              </w:rPr>
              <w:t xml:space="preserve">–</w:t>
            </w:r>
          </w:p>
        </w:tc>
        <w:tc>
          <w:tcPr>
            <w:tcW w:type="dxa" w:w="1240"/>
            <w:tcMar>
              <w:top w:type="dxa" w:w="60"/>
              <w:left w:type="dxa" w:w="110"/>
              <w:bottom w:type="dxa" w:w="60"/>
              <w:right w:type="dxa" w:w="110"/>
            </w:tcMar>
            <w:vAlign w:val="center"/>
          </w:tcPr>
          <w:p>
            <w:pPr>
              <w:jc w:val="right"/>
            </w:pPr>
            <w:r>
              <w:rPr>
                <w:sz w:val="18"/>
                <w:szCs w:val="18"/>
              </w:rPr>
              <w:t xml:space="preserve">79</w:t>
            </w:r>
          </w:p>
        </w:tc>
        <w:tc>
          <w:tcPr>
            <w:tcW w:type="dxa" w:w="1240"/>
            <w:tcMar>
              <w:top w:type="dxa" w:w="60"/>
              <w:left w:type="dxa" w:w="110"/>
              <w:bottom w:type="dxa" w:w="60"/>
              <w:right w:type="dxa" w:w="110"/>
            </w:tcMar>
            <w:vAlign w:val="center"/>
          </w:tcPr>
          <w:p>
            <w:pPr>
              <w:jc w:val="right"/>
            </w:pPr>
            <w:r>
              <w:rPr>
                <w:sz w:val="18"/>
                <w:szCs w:val="18"/>
              </w:rPr>
              <w:t xml:space="preserve">101</w:t>
            </w:r>
          </w:p>
        </w:tc>
        <w:tc>
          <w:tcPr>
            <w:tcW w:type="dxa" w:w="1240"/>
            <w:tcMar>
              <w:top w:type="dxa" w:w="60"/>
              <w:left w:type="dxa" w:w="110"/>
              <w:bottom w:type="dxa" w:w="60"/>
              <w:right w:type="dxa" w:w="110"/>
            </w:tcMar>
            <w:vAlign w:val="center"/>
          </w:tcPr>
          <w:p>
            <w:pPr>
              <w:jc w:val="right"/>
            </w:pPr>
            <w:r>
              <w:rPr>
                <w:sz w:val="18"/>
                <w:szCs w:val="18"/>
              </w:rPr>
              <w:t xml:space="preserve">131</w:t>
            </w:r>
          </w:p>
        </w:tc>
      </w:tr>
      <w:tr>
        <w:tc>
          <w:tcPr>
            <w:tcW w:type="dxa" w:w="3160"/>
            <w:tcMar>
              <w:top w:type="dxa" w:w="60"/>
              <w:left w:type="dxa" w:w="110"/>
              <w:bottom w:type="dxa" w:w="60"/>
              <w:right w:type="dxa" w:w="110"/>
            </w:tcMar>
            <w:vAlign w:val="center"/>
          </w:tcPr>
          <w:p>
            <w:pPr>
              <w:jc w:val="left"/>
            </w:pPr>
            <w:r>
              <w:rPr>
                <w:sz w:val="18"/>
                <w:szCs w:val="18"/>
              </w:rPr>
              <w:t xml:space="preserve">FCF / dividend cover</w:t>
            </w:r>
          </w:p>
        </w:tc>
        <w:tc>
          <w:tcPr>
            <w:tcW w:type="dxa" w:w="1240"/>
            <w:tcMar>
              <w:top w:type="dxa" w:w="60"/>
              <w:left w:type="dxa" w:w="110"/>
              <w:bottom w:type="dxa" w:w="60"/>
              <w:right w:type="dxa" w:w="110"/>
            </w:tcMar>
            <w:vAlign w:val="center"/>
          </w:tcPr>
          <w:p>
            <w:pPr>
              <w:jc w:val="right"/>
            </w:pPr>
            <w:r>
              <w:rPr>
                <w:sz w:val="18"/>
                <w:szCs w:val="18"/>
              </w:rPr>
              <w:t xml:space="preserve">3.0×</w:t>
            </w:r>
          </w:p>
        </w:tc>
        <w:tc>
          <w:tcPr>
            <w:tcW w:type="dxa" w:w="1240"/>
            <w:tcMar>
              <w:top w:type="dxa" w:w="60"/>
              <w:left w:type="dxa" w:w="110"/>
              <w:bottom w:type="dxa" w:w="60"/>
              <w:right w:type="dxa" w:w="110"/>
            </w:tcMar>
            <w:vAlign w:val="center"/>
          </w:tcPr>
          <w:p>
            <w:pPr>
              <w:jc w:val="right"/>
            </w:pPr>
            <w:r>
              <w:rPr>
                <w:sz w:val="18"/>
                <w:szCs w:val="18"/>
              </w:rPr>
              <w:t xml:space="preserve">1.7×</w:t>
            </w:r>
          </w:p>
        </w:tc>
        <w:tc>
          <w:tcPr>
            <w:tcW w:type="dxa" w:w="1240"/>
            <w:tcMar>
              <w:top w:type="dxa" w:w="60"/>
              <w:left w:type="dxa" w:w="110"/>
              <w:bottom w:type="dxa" w:w="60"/>
              <w:right w:type="dxa" w:w="110"/>
            </w:tcMar>
            <w:vAlign w:val="center"/>
          </w:tcPr>
          <w:p>
            <w:pPr>
              <w:jc w:val="right"/>
            </w:pPr>
            <w:r>
              <w:rPr>
                <w:sz w:val="18"/>
                <w:szCs w:val="18"/>
              </w:rPr>
              <w:t xml:space="preserve">1.5×</w:t>
            </w:r>
          </w:p>
        </w:tc>
        <w:tc>
          <w:tcPr>
            <w:tcW w:type="dxa" w:w="1240"/>
            <w:tcMar>
              <w:top w:type="dxa" w:w="60"/>
              <w:left w:type="dxa" w:w="110"/>
              <w:bottom w:type="dxa" w:w="60"/>
              <w:right w:type="dxa" w:w="110"/>
            </w:tcMar>
            <w:vAlign w:val="center"/>
          </w:tcPr>
          <w:p>
            <w:pPr>
              <w:jc w:val="right"/>
            </w:pPr>
            <w:r>
              <w:rPr>
                <w:sz w:val="18"/>
                <w:szCs w:val="18"/>
              </w:rPr>
              <w:t xml:space="preserve">1.5×</w:t>
            </w:r>
          </w:p>
        </w:tc>
        <w:tc>
          <w:tcPr>
            <w:tcW w:type="dxa" w:w="1240"/>
            <w:tcMar>
              <w:top w:type="dxa" w:w="60"/>
              <w:left w:type="dxa" w:w="110"/>
              <w:bottom w:type="dxa" w:w="60"/>
              <w:right w:type="dxa" w:w="110"/>
            </w:tcMar>
            <w:vAlign w:val="center"/>
          </w:tcPr>
          <w:p>
            <w:pPr>
              <w:jc w:val="right"/>
            </w:pPr>
            <w:r>
              <w:rPr>
                <w:sz w:val="18"/>
                <w:szCs w:val="18"/>
              </w:rPr>
              <w:t xml:space="preserve">1.6×</w:t>
            </w:r>
          </w:p>
        </w:tc>
      </w:tr>
    </w:tbl>
    <w:p>
      <w:pPr>
        <w:spacing w:after="60"/>
      </w:pPr>
    </w:p>
    <w:p>
      <w:pPr/>
      <w:r>
        <w:rPr>
          <w:i/>
          <w:iCs/>
          <w:color w:val="6E7B77"/>
          <w:sz w:val="16"/>
          <w:szCs w:val="16"/>
        </w:rPr>
        <w:t xml:space="preserve">FY24–25 OCF, capex and FCF are disclosed; forecast rows link IS + Assumptions in the companion model. FY25’s OCF drop mirrors the provision build and a working-capital normalisation, not a collections failure.</w:t>
      </w:r>
    </w:p>
    <w:p>
      <w:pPr>
        <w:pStyle w:val="Heading1"/>
      </w:pPr>
      <w:r>
        <w:rPr>
          <w:sz w:val="20"/>
          <w:szCs w:val="20"/>
        </w:rPr>
        <w:t xml:space="preserve">Appendix B — Peer set, sector structure, and risks</w:t>
      </w:r>
    </w:p>
    <w:p>
      <w:pPr/>
      <w:r>
        <w:rPr>
          <w:sz w:val="20"/>
          <w:szCs w:val="20"/>
        </w:rPr>
        <w:t xml:space="preserve">Agthia sits in the GCC food &amp; beverage staples complex — a sector of policy-backed champions (food security is sovereign strategy in the UAE and KSA), where multiples reward scale, brand share and dividend reliability, and punish EM-currency exposure. Ranges below are indicative context from public data, not a comp model.</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760"/>
        <w:gridCol w:w="3600"/>
        <w:gridCol w:w="3000"/>
      </w:tblGrid>
      <w:tr>
        <w:tc>
          <w:tcPr>
            <w:tcW w:type="dxa" w:w="2760"/>
            <w:shd w:fill="1C3A36" w:val="clear"/>
            <w:tcMar>
              <w:top w:type="dxa" w:w="60"/>
              <w:left w:type="dxa" w:w="110"/>
              <w:bottom w:type="dxa" w:w="60"/>
              <w:right w:type="dxa" w:w="110"/>
            </w:tcMar>
            <w:vAlign w:val="center"/>
          </w:tcPr>
          <w:p>
            <w:pPr>
              <w:jc w:val="left"/>
            </w:pPr>
            <w:r>
              <w:rPr>
                <w:b/>
                <w:bCs/>
                <w:color w:val="FFFFFF"/>
                <w:sz w:val="18"/>
                <w:szCs w:val="18"/>
              </w:rPr>
              <w:t xml:space="preserve">Peer</w:t>
            </w:r>
          </w:p>
        </w:tc>
        <w:tc>
          <w:tcPr>
            <w:tcW w:type="dxa" w:w="3600"/>
            <w:shd w:fill="1C3A36" w:val="clear"/>
            <w:tcMar>
              <w:top w:type="dxa" w:w="60"/>
              <w:left w:type="dxa" w:w="110"/>
              <w:bottom w:type="dxa" w:w="60"/>
              <w:right w:type="dxa" w:w="110"/>
            </w:tcMar>
            <w:vAlign w:val="center"/>
          </w:tcPr>
          <w:p>
            <w:pPr>
              <w:jc w:val="center"/>
            </w:pPr>
            <w:r>
              <w:rPr>
                <w:b/>
                <w:bCs/>
                <w:color w:val="FFFFFF"/>
                <w:sz w:val="18"/>
                <w:szCs w:val="18"/>
              </w:rPr>
              <w:t xml:space="preserve">What it is</w:t>
            </w:r>
          </w:p>
        </w:tc>
        <w:tc>
          <w:tcPr>
            <w:tcW w:type="dxa" w:w="3000"/>
            <w:shd w:fill="1C3A36" w:val="clear"/>
            <w:tcMar>
              <w:top w:type="dxa" w:w="60"/>
              <w:left w:type="dxa" w:w="110"/>
              <w:bottom w:type="dxa" w:w="60"/>
              <w:right w:type="dxa" w:w="110"/>
            </w:tcMar>
            <w:vAlign w:val="center"/>
          </w:tcPr>
          <w:p>
            <w:pPr>
              <w:jc w:val="center"/>
            </w:pPr>
            <w:r>
              <w:rPr>
                <w:b/>
                <w:bCs/>
                <w:color w:val="FFFFFF"/>
                <w:sz w:val="18"/>
                <w:szCs w:val="18"/>
              </w:rPr>
              <w:t xml:space="preserve">Indicative valuation</w:t>
            </w:r>
          </w:p>
        </w:tc>
      </w:tr>
      <w:tr>
        <w:tc>
          <w:tcPr>
            <w:tcW w:type="dxa" w:w="2760"/>
            <w:tcMar>
              <w:top w:type="dxa" w:w="60"/>
              <w:left w:type="dxa" w:w="110"/>
              <w:bottom w:type="dxa" w:w="60"/>
              <w:right w:type="dxa" w:w="110"/>
            </w:tcMar>
            <w:vAlign w:val="center"/>
          </w:tcPr>
          <w:p>
            <w:pPr>
              <w:jc w:val="left"/>
            </w:pPr>
            <w:r>
              <w:rPr>
                <w:sz w:val="18"/>
                <w:szCs w:val="18"/>
              </w:rPr>
              <w:t xml:space="preserve">Almarai (Tadawul: 2280)</w:t>
            </w:r>
          </w:p>
        </w:tc>
        <w:tc>
          <w:tcPr>
            <w:tcW w:type="dxa" w:w="3600"/>
            <w:tcMar>
              <w:top w:type="dxa" w:w="60"/>
              <w:left w:type="dxa" w:w="110"/>
              <w:bottom w:type="dxa" w:w="60"/>
              <w:right w:type="dxa" w:w="110"/>
            </w:tcMar>
            <w:vAlign w:val="center"/>
          </w:tcPr>
          <w:p>
            <w:pPr>
              <w:jc w:val="right"/>
            </w:pPr>
            <w:r>
              <w:rPr>
                <w:sz w:val="18"/>
                <w:szCs w:val="18"/>
              </w:rPr>
              <w:t xml:space="preserve">GCC dairy &amp; food champion, KSA</w:t>
            </w:r>
          </w:p>
        </w:tc>
        <w:tc>
          <w:tcPr>
            <w:tcW w:type="dxa" w:w="3000"/>
            <w:tcMar>
              <w:top w:type="dxa" w:w="60"/>
              <w:left w:type="dxa" w:w="110"/>
              <w:bottom w:type="dxa" w:w="60"/>
              <w:right w:type="dxa" w:w="110"/>
            </w:tcMar>
            <w:vAlign w:val="center"/>
          </w:tcPr>
          <w:p>
            <w:pPr>
              <w:jc w:val="right"/>
            </w:pPr>
            <w:r>
              <w:rPr>
                <w:sz w:val="18"/>
                <w:szCs w:val="18"/>
              </w:rPr>
              <w:t xml:space="preserve">EV/EBITDA ~9–11× · P/E ~16–20×</w:t>
            </w:r>
          </w:p>
        </w:tc>
      </w:tr>
      <w:tr>
        <w:tc>
          <w:tcPr>
            <w:tcW w:type="dxa" w:w="2760"/>
            <w:tcMar>
              <w:top w:type="dxa" w:w="60"/>
              <w:left w:type="dxa" w:w="110"/>
              <w:bottom w:type="dxa" w:w="60"/>
              <w:right w:type="dxa" w:w="110"/>
            </w:tcMar>
            <w:vAlign w:val="center"/>
          </w:tcPr>
          <w:p>
            <w:pPr>
              <w:jc w:val="left"/>
            </w:pPr>
            <w:r>
              <w:rPr>
                <w:sz w:val="18"/>
                <w:szCs w:val="18"/>
              </w:rPr>
              <w:t xml:space="preserve">Savola Group (Tadawul: 2050)</w:t>
            </w:r>
          </w:p>
        </w:tc>
        <w:tc>
          <w:tcPr>
            <w:tcW w:type="dxa" w:w="3600"/>
            <w:tcMar>
              <w:top w:type="dxa" w:w="60"/>
              <w:left w:type="dxa" w:w="110"/>
              <w:bottom w:type="dxa" w:w="60"/>
              <w:right w:type="dxa" w:w="110"/>
            </w:tcMar>
            <w:vAlign w:val="center"/>
          </w:tcPr>
          <w:p>
            <w:pPr>
              <w:jc w:val="right"/>
            </w:pPr>
            <w:r>
              <w:rPr>
                <w:sz w:val="18"/>
                <w:szCs w:val="18"/>
              </w:rPr>
              <w:t xml:space="preserve">KSA food holdco (retail, oils, sugar)</w:t>
            </w:r>
          </w:p>
        </w:tc>
        <w:tc>
          <w:tcPr>
            <w:tcW w:type="dxa" w:w="3000"/>
            <w:tcMar>
              <w:top w:type="dxa" w:w="60"/>
              <w:left w:type="dxa" w:w="110"/>
              <w:bottom w:type="dxa" w:w="60"/>
              <w:right w:type="dxa" w:w="110"/>
            </w:tcMar>
            <w:vAlign w:val="center"/>
          </w:tcPr>
          <w:p>
            <w:pPr>
              <w:jc w:val="right"/>
            </w:pPr>
            <w:r>
              <w:rPr>
                <w:sz w:val="18"/>
                <w:szCs w:val="18"/>
              </w:rPr>
              <w:t xml:space="preserve">SOTP name; holdco discount</w:t>
            </w:r>
          </w:p>
        </w:tc>
      </w:tr>
      <w:tr>
        <w:tc>
          <w:tcPr>
            <w:tcW w:type="dxa" w:w="2760"/>
            <w:tcMar>
              <w:top w:type="dxa" w:w="60"/>
              <w:left w:type="dxa" w:w="110"/>
              <w:bottom w:type="dxa" w:w="60"/>
              <w:right w:type="dxa" w:w="110"/>
            </w:tcMar>
            <w:vAlign w:val="center"/>
          </w:tcPr>
          <w:p>
            <w:pPr>
              <w:jc w:val="left"/>
            </w:pPr>
            <w:r>
              <w:rPr>
                <w:sz w:val="18"/>
                <w:szCs w:val="18"/>
              </w:rPr>
              <w:t xml:space="preserve">Americana Restaurants (ADX/Tadawul)</w:t>
            </w:r>
          </w:p>
        </w:tc>
        <w:tc>
          <w:tcPr>
            <w:tcW w:type="dxa" w:w="3600"/>
            <w:tcMar>
              <w:top w:type="dxa" w:w="60"/>
              <w:left w:type="dxa" w:w="110"/>
              <w:bottom w:type="dxa" w:w="60"/>
              <w:right w:type="dxa" w:w="110"/>
            </w:tcMar>
            <w:vAlign w:val="center"/>
          </w:tcPr>
          <w:p>
            <w:pPr>
              <w:jc w:val="right"/>
            </w:pPr>
            <w:r>
              <w:rPr>
                <w:sz w:val="18"/>
                <w:szCs w:val="18"/>
              </w:rPr>
              <w:t xml:space="preserve">MENA QSR platform</w:t>
            </w:r>
          </w:p>
        </w:tc>
        <w:tc>
          <w:tcPr>
            <w:tcW w:type="dxa" w:w="3000"/>
            <w:tcMar>
              <w:top w:type="dxa" w:w="60"/>
              <w:left w:type="dxa" w:w="110"/>
              <w:bottom w:type="dxa" w:w="60"/>
              <w:right w:type="dxa" w:w="110"/>
            </w:tcMar>
            <w:vAlign w:val="center"/>
          </w:tcPr>
          <w:p>
            <w:pPr>
              <w:jc w:val="right"/>
            </w:pPr>
            <w:r>
              <w:rPr>
                <w:sz w:val="18"/>
                <w:szCs w:val="18"/>
              </w:rPr>
              <w:t xml:space="preserve">P/E ~14–18× · growth premium</w:t>
            </w:r>
          </w:p>
        </w:tc>
      </w:tr>
      <w:tr>
        <w:tc>
          <w:tcPr>
            <w:tcW w:type="dxa" w:w="2760"/>
            <w:tcMar>
              <w:top w:type="dxa" w:w="60"/>
              <w:left w:type="dxa" w:w="110"/>
              <w:bottom w:type="dxa" w:w="60"/>
              <w:right w:type="dxa" w:w="110"/>
            </w:tcMar>
            <w:vAlign w:val="center"/>
          </w:tcPr>
          <w:p>
            <w:pPr>
              <w:jc w:val="left"/>
            </w:pPr>
            <w:r>
              <w:rPr>
                <w:sz w:val="18"/>
                <w:szCs w:val="18"/>
              </w:rPr>
              <w:t xml:space="preserve">Juhayna (EGX: JUFO)</w:t>
            </w:r>
          </w:p>
        </w:tc>
        <w:tc>
          <w:tcPr>
            <w:tcW w:type="dxa" w:w="3600"/>
            <w:tcMar>
              <w:top w:type="dxa" w:w="60"/>
              <w:left w:type="dxa" w:w="110"/>
              <w:bottom w:type="dxa" w:w="60"/>
              <w:right w:type="dxa" w:w="110"/>
            </w:tcMar>
            <w:vAlign w:val="center"/>
          </w:tcPr>
          <w:p>
            <w:pPr>
              <w:jc w:val="right"/>
            </w:pPr>
            <w:r>
              <w:rPr>
                <w:sz w:val="18"/>
                <w:szCs w:val="18"/>
              </w:rPr>
              <w:t xml:space="preserve">Egypt dairy &amp; juice</w:t>
            </w:r>
          </w:p>
        </w:tc>
        <w:tc>
          <w:tcPr>
            <w:tcW w:type="dxa" w:w="3000"/>
            <w:tcMar>
              <w:top w:type="dxa" w:w="60"/>
              <w:left w:type="dxa" w:w="110"/>
              <w:bottom w:type="dxa" w:w="60"/>
              <w:right w:type="dxa" w:w="110"/>
            </w:tcMar>
            <w:vAlign w:val="center"/>
          </w:tcPr>
          <w:p>
            <w:pPr>
              <w:jc w:val="right"/>
            </w:pPr>
            <w:r>
              <w:rPr>
                <w:sz w:val="18"/>
                <w:szCs w:val="18"/>
              </w:rPr>
              <w:t xml:space="preserve">EV/EBITDA ~5–7× · EGP discount</w:t>
            </w:r>
          </w:p>
        </w:tc>
      </w:tr>
      <w:tr>
        <w:tc>
          <w:tcPr>
            <w:tcW w:type="dxa" w:w="2760"/>
            <w:tcMar>
              <w:top w:type="dxa" w:w="60"/>
              <w:left w:type="dxa" w:w="110"/>
              <w:bottom w:type="dxa" w:w="60"/>
              <w:right w:type="dxa" w:w="110"/>
            </w:tcMar>
            <w:vAlign w:val="center"/>
          </w:tcPr>
          <w:p>
            <w:pPr>
              <w:jc w:val="left"/>
            </w:pPr>
            <w:r>
              <w:rPr>
                <w:sz w:val="18"/>
                <w:szCs w:val="18"/>
              </w:rPr>
              <w:t xml:space="preserve">NADEC (Tadawul: 6010)</w:t>
            </w:r>
          </w:p>
        </w:tc>
        <w:tc>
          <w:tcPr>
            <w:tcW w:type="dxa" w:w="3600"/>
            <w:tcMar>
              <w:top w:type="dxa" w:w="60"/>
              <w:left w:type="dxa" w:w="110"/>
              <w:bottom w:type="dxa" w:w="60"/>
              <w:right w:type="dxa" w:w="110"/>
            </w:tcMar>
            <w:vAlign w:val="center"/>
          </w:tcPr>
          <w:p>
            <w:pPr>
              <w:jc w:val="right"/>
            </w:pPr>
            <w:r>
              <w:rPr>
                <w:sz w:val="18"/>
                <w:szCs w:val="18"/>
              </w:rPr>
              <w:t xml:space="preserve">KSA dairy &amp; agriculture</w:t>
            </w:r>
          </w:p>
        </w:tc>
        <w:tc>
          <w:tcPr>
            <w:tcW w:type="dxa" w:w="3000"/>
            <w:tcMar>
              <w:top w:type="dxa" w:w="60"/>
              <w:left w:type="dxa" w:w="110"/>
              <w:bottom w:type="dxa" w:w="60"/>
              <w:right w:type="dxa" w:w="110"/>
            </w:tcMar>
            <w:vAlign w:val="center"/>
          </w:tcPr>
          <w:p>
            <w:pPr>
              <w:jc w:val="right"/>
            </w:pPr>
            <w:r>
              <w:rPr>
                <w:sz w:val="18"/>
                <w:szCs w:val="18"/>
              </w:rPr>
              <w:t xml:space="preserve">EV/EBITDA ~7–9×</w:t>
            </w:r>
          </w:p>
        </w:tc>
      </w:tr>
      <w:tr>
        <w:tc>
          <w:tcPr>
            <w:tcW w:type="dxa" w:w="2760"/>
            <w:tcMar>
              <w:top w:type="dxa" w:w="60"/>
              <w:left w:type="dxa" w:w="110"/>
              <w:bottom w:type="dxa" w:w="60"/>
              <w:right w:type="dxa" w:w="110"/>
            </w:tcMar>
            <w:vAlign w:val="center"/>
          </w:tcPr>
          <w:p>
            <w:pPr>
              <w:jc w:val="left"/>
            </w:pPr>
            <w:r>
              <w:rPr>
                <w:b/>
                <w:bCs/>
                <w:sz w:val="18"/>
                <w:szCs w:val="18"/>
              </w:rPr>
              <w:t xml:space="preserve">Agthia (ADX: AGTHIA) — at spot</w:t>
            </w:r>
          </w:p>
        </w:tc>
        <w:tc>
          <w:tcPr>
            <w:tcW w:type="dxa" w:w="3600"/>
            <w:tcMar>
              <w:top w:type="dxa" w:w="60"/>
              <w:left w:type="dxa" w:w="110"/>
              <w:bottom w:type="dxa" w:w="60"/>
              <w:right w:type="dxa" w:w="110"/>
            </w:tcMar>
            <w:vAlign w:val="center"/>
          </w:tcPr>
          <w:p>
            <w:pPr>
              <w:jc w:val="right"/>
            </w:pPr>
            <w:r>
              <w:rPr>
                <w:sz w:val="18"/>
                <w:szCs w:val="18"/>
              </w:rPr>
              <w:t xml:space="preserve">UAE multi-category F&amp;B (this study)</w:t>
            </w:r>
          </w:p>
        </w:tc>
        <w:tc>
          <w:tcPr>
            <w:tcW w:type="dxa" w:w="3000"/>
            <w:tcMar>
              <w:top w:type="dxa" w:w="60"/>
              <w:left w:type="dxa" w:w="110"/>
              <w:bottom w:type="dxa" w:w="60"/>
              <w:right w:type="dxa" w:w="110"/>
            </w:tcMar>
            <w:vAlign w:val="center"/>
          </w:tcPr>
          <w:p>
            <w:pPr>
              <w:jc w:val="right"/>
            </w:pPr>
            <w:r>
              <w:rPr>
                <w:b/>
                <w:bCs/>
                <w:sz w:val="18"/>
                <w:szCs w:val="18"/>
              </w:rPr>
              <w:t xml:space="preserve">EV/underlying EBITDA ~7.0× · yield ~6.3%</w:t>
            </w:r>
          </w:p>
        </w:tc>
      </w:tr>
    </w:tbl>
    <w:p>
      <w:pPr>
        <w:spacing w:after="60"/>
      </w:pPr>
    </w:p>
    <w:p>
      <w:pPr/>
      <w:r>
        <w:rPr>
          <w:sz w:val="20"/>
          <w:szCs w:val="20"/>
        </w:rPr>
        <w:t xml:space="preserve">The structural read: Agthia trades at Egypt-adjacent multiples on a balance sheet and ownership that are UAE-sovereign-adjacent. Sector risks: input-commodity cycles (wheat, corn, coffee, resin), EGP/JOD translation, regulated flour &amp; feed tariff resets, water-category price competition, regional geopolitics and logistics (Red Sea/Suez), and the Pillar-II tax floor now embedded across the GCC.</w:t>
      </w:r>
    </w:p>
    <w:p>
      <w:pPr>
        <w:pStyle w:val="Heading1"/>
      </w:pPr>
      <w:r>
        <w:rPr>
          <w:sz w:val="20"/>
          <w:szCs w:val="20"/>
        </w:rPr>
        <w:t xml:space="preserve">Appendix C — Three experts, three methods, one stock</w:t>
      </w:r>
    </w:p>
    <w:p>
      <w:pPr/>
      <w:r>
        <w:rPr>
          <w:sz w:val="20"/>
          <w:szCs w:val="20"/>
        </w:rPr>
        <w:t xml:space="preserve">Per the house protocol, three experts cast from the persona library by method — industrial/general casting: earnings-power, accountant, macro-policy — each runs a genuinely different valuation on the same disclosed numbers, states where the method fails, shows full workings, sensitizes the swing input, cross-examines the other two, and names the condition that would falsify their view. Labels are Expert 1/2/3 per house rule.</w:t>
      </w:r>
    </w:p>
    <w:p>
      <w:pPr>
        <w:pStyle w:val="Heading2"/>
      </w:pPr>
      <w:r>
        <w:rPr>
          <w:sz w:val="20"/>
          <w:szCs w:val="20"/>
        </w:rPr>
        <w:t xml:space="preserve">C.1  Expert 1 — normalized earnings power</w:t>
      </w:r>
    </w:p>
    <w:p>
      <w:pPr/>
      <w:r>
        <w:rPr>
          <w:b/>
          <w:bCs/>
          <w:sz w:val="20"/>
          <w:szCs w:val="20"/>
        </w:rPr>
        <w:t xml:space="preserve">Worldview.</w:t>
      </w:r>
      <w:r>
        <w:rPr>
          <w:sz w:val="20"/>
          <w:szCs w:val="20"/>
        </w:rPr>
        <w:t xml:space="preserve"> A consumer staple is a stream of mid-cycle earnings wearing this year’s costume; the analyst’s job is to price the stream, not the costume. In the Graham-and-Dodd earnings-power tradition, one-offs are removed with a scalpel and the residual is capitalized at a justified multiple. </w:t>
      </w:r>
      <w:r>
        <w:rPr>
          <w:b/>
          <w:bCs/>
          <w:sz w:val="20"/>
          <w:szCs w:val="20"/>
        </w:rPr>
        <w:t xml:space="preserve">Works</w:t>
      </w:r>
      <w:r>
        <w:rPr>
          <w:sz w:val="20"/>
          <w:szCs w:val="20"/>
        </w:rPr>
        <w:t xml:space="preserve"> when accounting noise is large relative to operating change — precisely FY2025 here. </w:t>
      </w:r>
      <w:r>
        <w:rPr>
          <w:b/>
          <w:bCs/>
          <w:sz w:val="20"/>
          <w:szCs w:val="20"/>
        </w:rPr>
        <w:t xml:space="preserve">Fails</w:t>
      </w:r>
      <w:r>
        <w:rPr>
          <w:sz w:val="20"/>
          <w:szCs w:val="20"/>
        </w:rPr>
        <w:t xml:space="preserve"> when “one-offs” are secretly recurring, or when a structural break (tax, currency) makes history a bad guide.</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5560"/>
        <w:gridCol w:w="3800"/>
      </w:tblGrid>
      <w:tr>
        <w:tc>
          <w:tcPr>
            <w:tcW w:type="dxa" w:w="5560"/>
            <w:shd w:fill="1C3A36" w:val="clear"/>
            <w:tcMar>
              <w:top w:type="dxa" w:w="60"/>
              <w:left w:type="dxa" w:w="110"/>
              <w:bottom w:type="dxa" w:w="60"/>
              <w:right w:type="dxa" w:w="110"/>
            </w:tcMar>
            <w:vAlign w:val="center"/>
          </w:tcPr>
          <w:p>
            <w:pPr>
              <w:jc w:val="left"/>
            </w:pPr>
            <w:r>
              <w:rPr>
                <w:b/>
                <w:bCs/>
                <w:color w:val="FFFFFF"/>
                <w:sz w:val="18"/>
                <w:szCs w:val="18"/>
              </w:rPr>
              <w:t xml:space="preserve">Workings</w:t>
            </w:r>
          </w:p>
        </w:tc>
        <w:tc>
          <w:tcPr>
            <w:tcW w:type="dxa" w:w="3800"/>
            <w:shd w:fill="1C3A36" w:val="clear"/>
            <w:tcMar>
              <w:top w:type="dxa" w:w="60"/>
              <w:left w:type="dxa" w:w="110"/>
              <w:bottom w:type="dxa" w:w="60"/>
              <w:right w:type="dxa" w:w="110"/>
            </w:tcMar>
            <w:vAlign w:val="center"/>
          </w:tcPr>
          <w:p>
            <w:pPr>
              <w:jc w:val="center"/>
            </w:pPr>
            <w:r>
              <w:rPr>
                <w:b/>
                <w:bCs/>
                <w:color w:val="FFFFFF"/>
                <w:sz w:val="18"/>
                <w:szCs w:val="18"/>
              </w:rPr>
              <w:t xml:space="preserve">Value</w:t>
            </w:r>
          </w:p>
        </w:tc>
      </w:tr>
      <w:tr>
        <w:tc>
          <w:tcPr>
            <w:tcW w:type="dxa" w:w="5560"/>
            <w:tcMar>
              <w:top w:type="dxa" w:w="60"/>
              <w:left w:type="dxa" w:w="110"/>
              <w:bottom w:type="dxa" w:w="60"/>
              <w:right w:type="dxa" w:w="110"/>
            </w:tcMar>
            <w:vAlign w:val="center"/>
          </w:tcPr>
          <w:p>
            <w:pPr>
              <w:jc w:val="left"/>
            </w:pPr>
            <w:r>
              <w:rPr>
                <w:sz w:val="18"/>
                <w:szCs w:val="18"/>
              </w:rPr>
              <w:t xml:space="preserve">Underlying group NP: FY23 / FY24 / FY25 (AED mn)</w:t>
            </w:r>
          </w:p>
        </w:tc>
        <w:tc>
          <w:tcPr>
            <w:tcW w:type="dxa" w:w="3800"/>
            <w:tcMar>
              <w:top w:type="dxa" w:w="60"/>
              <w:left w:type="dxa" w:w="110"/>
              <w:bottom w:type="dxa" w:w="60"/>
              <w:right w:type="dxa" w:w="110"/>
            </w:tcMar>
            <w:vAlign w:val="center"/>
          </w:tcPr>
          <w:p>
            <w:pPr>
              <w:jc w:val="right"/>
            </w:pPr>
            <w:r>
              <w:rPr>
                <w:sz w:val="18"/>
                <w:szCs w:val="18"/>
              </w:rPr>
              <w:t xml:space="preserve">342.2 / 330.9 / 239.8</w:t>
            </w:r>
          </w:p>
        </w:tc>
      </w:tr>
      <w:tr>
        <w:tc>
          <w:tcPr>
            <w:tcW w:type="dxa" w:w="5560"/>
            <w:tcMar>
              <w:top w:type="dxa" w:w="60"/>
              <w:left w:type="dxa" w:w="110"/>
              <w:bottom w:type="dxa" w:w="60"/>
              <w:right w:type="dxa" w:w="110"/>
            </w:tcMar>
            <w:vAlign w:val="center"/>
          </w:tcPr>
          <w:p>
            <w:pPr>
              <w:jc w:val="left"/>
            </w:pPr>
            <w:r>
              <w:rPr>
                <w:sz w:val="18"/>
                <w:szCs w:val="18"/>
              </w:rPr>
              <w:t xml:space="preserve">Cycle read</w:t>
            </w:r>
          </w:p>
        </w:tc>
        <w:tc>
          <w:tcPr>
            <w:tcW w:type="dxa" w:w="3800"/>
            <w:tcMar>
              <w:top w:type="dxa" w:w="60"/>
              <w:left w:type="dxa" w:w="110"/>
              <w:bottom w:type="dxa" w:w="60"/>
              <w:right w:type="dxa" w:w="110"/>
            </w:tcMar>
            <w:vAlign w:val="center"/>
          </w:tcPr>
          <w:p>
            <w:pPr>
              <w:jc w:val="right"/>
            </w:pPr>
            <w:r>
              <w:rPr>
                <w:sz w:val="18"/>
                <w:szCs w:val="18"/>
              </w:rPr>
              <w:t xml:space="preserve">FY25 = trough (provisions + coffee spike + first full Pillar-II year); FY23–24 = upper-mid</w:t>
            </w:r>
          </w:p>
        </w:tc>
      </w:tr>
      <w:tr>
        <w:tc>
          <w:tcPr>
            <w:tcW w:type="dxa" w:w="5560"/>
            <w:tcMar>
              <w:top w:type="dxa" w:w="60"/>
              <w:left w:type="dxa" w:w="110"/>
              <w:bottom w:type="dxa" w:w="60"/>
              <w:right w:type="dxa" w:w="110"/>
            </w:tcMar>
            <w:vAlign w:val="center"/>
          </w:tcPr>
          <w:p>
            <w:pPr>
              <w:jc w:val="left"/>
            </w:pPr>
            <w:r>
              <w:rPr>
                <w:sz w:val="18"/>
                <w:szCs w:val="18"/>
              </w:rPr>
              <w:t xml:space="preserve">Mid-cycle attributable NP (post-tax-step, post-minorities)</w:t>
            </w:r>
          </w:p>
        </w:tc>
        <w:tc>
          <w:tcPr>
            <w:tcW w:type="dxa" w:w="3800"/>
            <w:tcMar>
              <w:top w:type="dxa" w:w="60"/>
              <w:left w:type="dxa" w:w="110"/>
              <w:bottom w:type="dxa" w:w="60"/>
              <w:right w:type="dxa" w:w="110"/>
            </w:tcMar>
            <w:vAlign w:val="center"/>
          </w:tcPr>
          <w:p>
            <w:pPr>
              <w:jc w:val="right"/>
            </w:pPr>
            <w:r>
              <w:rPr>
                <w:sz w:val="18"/>
                <w:szCs w:val="18"/>
              </w:rPr>
              <w:t xml:space="preserve">AED 300mn</w:t>
            </w:r>
          </w:p>
        </w:tc>
      </w:tr>
      <w:tr>
        <w:tc>
          <w:tcPr>
            <w:tcW w:type="dxa" w:w="5560"/>
            <w:tcMar>
              <w:top w:type="dxa" w:w="60"/>
              <w:left w:type="dxa" w:w="110"/>
              <w:bottom w:type="dxa" w:w="60"/>
              <w:right w:type="dxa" w:w="110"/>
            </w:tcMar>
            <w:vAlign w:val="center"/>
          </w:tcPr>
          <w:p>
            <w:pPr>
              <w:jc w:val="left"/>
            </w:pPr>
            <w:r>
              <w:rPr>
                <w:sz w:val="18"/>
                <w:szCs w:val="18"/>
              </w:rPr>
              <w:t xml:space="preserve">Normalized EPS</w:t>
            </w:r>
          </w:p>
        </w:tc>
        <w:tc>
          <w:tcPr>
            <w:tcW w:type="dxa" w:w="3800"/>
            <w:tcMar>
              <w:top w:type="dxa" w:w="60"/>
              <w:left w:type="dxa" w:w="110"/>
              <w:bottom w:type="dxa" w:w="60"/>
              <w:right w:type="dxa" w:w="110"/>
            </w:tcMar>
            <w:vAlign w:val="center"/>
          </w:tcPr>
          <w:p>
            <w:pPr>
              <w:jc w:val="right"/>
            </w:pPr>
            <w:r>
              <w:rPr>
                <w:sz w:val="18"/>
                <w:szCs w:val="18"/>
              </w:rPr>
              <w:t xml:space="preserve">AED 0.361</w:t>
            </w:r>
          </w:p>
        </w:tc>
      </w:tr>
      <w:tr>
        <w:tc>
          <w:tcPr>
            <w:tcW w:type="dxa" w:w="5560"/>
            <w:tcMar>
              <w:top w:type="dxa" w:w="60"/>
              <w:left w:type="dxa" w:w="110"/>
              <w:bottom w:type="dxa" w:w="60"/>
              <w:right w:type="dxa" w:w="110"/>
            </w:tcMar>
            <w:vAlign w:val="center"/>
          </w:tcPr>
          <w:p>
            <w:pPr>
              <w:jc w:val="left"/>
            </w:pPr>
            <w:r>
              <w:rPr>
                <w:sz w:val="18"/>
                <w:szCs w:val="18"/>
              </w:rPr>
              <w:t xml:space="preserve">Justified P/E (GCC staples, discount to Almarai for Egypt mix)</w:t>
            </w:r>
          </w:p>
        </w:tc>
        <w:tc>
          <w:tcPr>
            <w:tcW w:type="dxa" w:w="3800"/>
            <w:tcMar>
              <w:top w:type="dxa" w:w="60"/>
              <w:left w:type="dxa" w:w="110"/>
              <w:bottom w:type="dxa" w:w="60"/>
              <w:right w:type="dxa" w:w="110"/>
            </w:tcMar>
            <w:vAlign w:val="center"/>
          </w:tcPr>
          <w:p>
            <w:pPr>
              <w:jc w:val="right"/>
            </w:pPr>
            <w:r>
              <w:rPr>
                <w:sz w:val="18"/>
                <w:szCs w:val="18"/>
              </w:rPr>
              <w:t xml:space="preserve">12.5×</w:t>
            </w:r>
          </w:p>
        </w:tc>
      </w:tr>
      <w:tr>
        <w:tc>
          <w:tcPr>
            <w:tcW w:type="dxa" w:w="5560"/>
            <w:tcMar>
              <w:top w:type="dxa" w:w="60"/>
              <w:left w:type="dxa" w:w="110"/>
              <w:bottom w:type="dxa" w:w="60"/>
              <w:right w:type="dxa" w:w="110"/>
            </w:tcMar>
            <w:vAlign w:val="center"/>
          </w:tcPr>
          <w:p>
            <w:pPr>
              <w:jc w:val="left"/>
            </w:pPr>
            <w:r>
              <w:rPr>
                <w:b/>
                <w:bCs/>
                <w:sz w:val="18"/>
                <w:szCs w:val="18"/>
              </w:rPr>
              <w:t xml:space="preserve">Fair value</w:t>
            </w:r>
          </w:p>
        </w:tc>
        <w:tc>
          <w:tcPr>
            <w:tcW w:type="dxa" w:w="3800"/>
            <w:tcMar>
              <w:top w:type="dxa" w:w="60"/>
              <w:left w:type="dxa" w:w="110"/>
              <w:bottom w:type="dxa" w:w="60"/>
              <w:right w:type="dxa" w:w="110"/>
            </w:tcMar>
            <w:vAlign w:val="center"/>
          </w:tcPr>
          <w:p>
            <w:pPr>
              <w:jc w:val="right"/>
            </w:pPr>
            <w:r>
              <w:rPr>
                <w:b/>
                <w:bCs/>
                <w:sz w:val="18"/>
                <w:szCs w:val="18"/>
              </w:rPr>
              <w:t xml:space="preserve">AED 4.51</w:t>
            </w:r>
            <w:r>
              <w:rPr>
                <w:sz w:val="18"/>
                <w:szCs w:val="18"/>
              </w:rPr>
              <w:t xml:space="preserve"> (range 3.40–5.80)</w:t>
            </w:r>
          </w:p>
        </w:tc>
      </w:tr>
    </w:tbl>
    <w:p>
      <w:pPr>
        <w:spacing w:after="60"/>
      </w:pPr>
    </w:p>
    <w:p>
      <w:pPr/>
      <w:r>
        <w:rPr>
          <w:b/>
          <w:bCs/>
          <w:sz w:val="20"/>
          <w:szCs w:val="20"/>
        </w:rPr>
        <w:t xml:space="preserve">Sensitivity (the multiple is the swing).</w:t>
      </w:r>
      <w:r>
        <w:rPr>
          <w:sz w:val="20"/>
          <w:szCs w:val="20"/>
        </w:rPr>
        <w:t xml:space="preserve"> At 10.5× → 3.79; at 14.5× → 5.23. On the earnings leg, NP of 270–330 spans 4.06–4.96 at the base multiple. </w:t>
      </w:r>
      <w:r>
        <w:rPr>
          <w:b/>
          <w:bCs/>
          <w:sz w:val="20"/>
          <w:szCs w:val="20"/>
        </w:rPr>
        <w:t xml:space="preserve">Cross-examination.</w:t>
      </w:r>
      <w:r>
        <w:rPr>
          <w:sz w:val="20"/>
          <w:szCs w:val="20"/>
        </w:rPr>
        <w:t xml:space="preserve"> To Expert 2: your capitalized-cash number treats a two-year M&amp;A digestion as the permanent state — cash conversion mean-reverts in staples. To Expert 3: your war tail is real but you double-count it; the 17% Egypt sleeve Ke already prices most of it. </w:t>
      </w:r>
      <w:r>
        <w:rPr>
          <w:b/>
          <w:bCs/>
          <w:sz w:val="20"/>
          <w:szCs w:val="20"/>
        </w:rPr>
        <w:t xml:space="preserve">Falsification.</w:t>
      </w:r>
      <w:r>
        <w:rPr>
          <w:sz w:val="20"/>
          <w:szCs w:val="20"/>
        </w:rPr>
        <w:t xml:space="preserve"> A third consecutive year of provisions, or Snacking failing to clear a 6% EBITDA margin by FY2027 — either converts my “trough” into “trend” and voids the normalization. Market at 3.51 implies ~9.7× on my mid-cycle EPS — a distressed multiple on an undistressed franchise.</w:t>
      </w:r>
    </w:p>
    <w:p>
      <w:pPr>
        <w:pStyle w:val="Heading2"/>
      </w:pPr>
      <w:r>
        <w:rPr>
          <w:sz w:val="20"/>
          <w:szCs w:val="20"/>
        </w:rPr>
        <w:t xml:space="preserve">C.2  Expert 2 — the cash &amp; balance-sheet audit</w:t>
      </w:r>
    </w:p>
    <w:p>
      <w:pPr/>
      <w:r>
        <w:rPr>
          <w:b/>
          <w:bCs/>
          <w:sz w:val="20"/>
          <w:szCs w:val="20"/>
        </w:rPr>
        <w:t xml:space="preserve">Worldview.</w:t>
      </w:r>
      <w:r>
        <w:rPr>
          <w:sz w:val="20"/>
          <w:szCs w:val="20"/>
        </w:rPr>
        <w:t xml:space="preserve"> Earnings are an opinion; cash and the balance sheet are facts. Value only the free cash flow to equity a company demonstrably generates, and interrogate the balance sheet for where past “earnings” went. </w:t>
      </w:r>
      <w:r>
        <w:rPr>
          <w:b/>
          <w:bCs/>
          <w:sz w:val="20"/>
          <w:szCs w:val="20"/>
        </w:rPr>
        <w:t xml:space="preserve">Works</w:t>
      </w:r>
      <w:r>
        <w:rPr>
          <w:sz w:val="20"/>
          <w:szCs w:val="20"/>
        </w:rPr>
        <w:t xml:space="preserve"> when reported profits and cash diverge — the exact FY25 pattern. </w:t>
      </w:r>
      <w:r>
        <w:rPr>
          <w:b/>
          <w:bCs/>
          <w:sz w:val="20"/>
          <w:szCs w:val="20"/>
        </w:rPr>
        <w:t xml:space="preserve">Fails</w:t>
      </w:r>
      <w:r>
        <w:rPr>
          <w:sz w:val="20"/>
          <w:szCs w:val="20"/>
        </w:rPr>
        <w:t xml:space="preserve"> when a genuine step-change (a new plant ramping) makes trailing cash a floor, not a level.</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5560"/>
        <w:gridCol w:w="3800"/>
      </w:tblGrid>
      <w:tr>
        <w:tc>
          <w:tcPr>
            <w:tcW w:type="dxa" w:w="5560"/>
            <w:shd w:fill="1C3A36" w:val="clear"/>
            <w:tcMar>
              <w:top w:type="dxa" w:w="60"/>
              <w:left w:type="dxa" w:w="110"/>
              <w:bottom w:type="dxa" w:w="60"/>
              <w:right w:type="dxa" w:w="110"/>
            </w:tcMar>
            <w:vAlign w:val="center"/>
          </w:tcPr>
          <w:p>
            <w:pPr>
              <w:jc w:val="left"/>
            </w:pPr>
            <w:r>
              <w:rPr>
                <w:b/>
                <w:bCs/>
                <w:color w:val="FFFFFF"/>
                <w:sz w:val="18"/>
                <w:szCs w:val="18"/>
              </w:rPr>
              <w:t xml:space="preserve">Workings</w:t>
            </w:r>
          </w:p>
        </w:tc>
        <w:tc>
          <w:tcPr>
            <w:tcW w:type="dxa" w:w="3800"/>
            <w:shd w:fill="1C3A36" w:val="clear"/>
            <w:tcMar>
              <w:top w:type="dxa" w:w="60"/>
              <w:left w:type="dxa" w:w="110"/>
              <w:bottom w:type="dxa" w:w="60"/>
              <w:right w:type="dxa" w:w="110"/>
            </w:tcMar>
            <w:vAlign w:val="center"/>
          </w:tcPr>
          <w:p>
            <w:pPr>
              <w:jc w:val="center"/>
            </w:pPr>
            <w:r>
              <w:rPr>
                <w:b/>
                <w:bCs/>
                <w:color w:val="FFFFFF"/>
                <w:sz w:val="18"/>
                <w:szCs w:val="18"/>
              </w:rPr>
              <w:t xml:space="preserve">Value</w:t>
            </w:r>
          </w:p>
        </w:tc>
      </w:tr>
      <w:tr>
        <w:tc>
          <w:tcPr>
            <w:tcW w:type="dxa" w:w="5560"/>
            <w:tcMar>
              <w:top w:type="dxa" w:w="60"/>
              <w:left w:type="dxa" w:w="110"/>
              <w:bottom w:type="dxa" w:w="60"/>
              <w:right w:type="dxa" w:w="110"/>
            </w:tcMar>
            <w:vAlign w:val="center"/>
          </w:tcPr>
          <w:p>
            <w:pPr>
              <w:jc w:val="left"/>
            </w:pPr>
            <w:r>
              <w:rPr>
                <w:sz w:val="18"/>
                <w:szCs w:val="18"/>
              </w:rPr>
              <w:t xml:space="preserve">Operating cash flow FY24 / FY25 (disclosed)</w:t>
            </w:r>
          </w:p>
        </w:tc>
        <w:tc>
          <w:tcPr>
            <w:tcW w:type="dxa" w:w="3800"/>
            <w:tcMar>
              <w:top w:type="dxa" w:w="60"/>
              <w:left w:type="dxa" w:w="110"/>
              <w:bottom w:type="dxa" w:w="60"/>
              <w:right w:type="dxa" w:w="110"/>
            </w:tcMar>
            <w:vAlign w:val="center"/>
          </w:tcPr>
          <w:p>
            <w:pPr>
              <w:jc w:val="right"/>
            </w:pPr>
            <w:r>
              <w:rPr>
                <w:sz w:val="18"/>
                <w:szCs w:val="18"/>
              </w:rPr>
              <w:t xml:space="preserve">AED 656.0mn / 434.7mn</w:t>
            </w:r>
          </w:p>
        </w:tc>
      </w:tr>
      <w:tr>
        <w:tc>
          <w:tcPr>
            <w:tcW w:type="dxa" w:w="5560"/>
            <w:tcMar>
              <w:top w:type="dxa" w:w="60"/>
              <w:left w:type="dxa" w:w="110"/>
              <w:bottom w:type="dxa" w:w="60"/>
              <w:right w:type="dxa" w:w="110"/>
            </w:tcMar>
            <w:vAlign w:val="center"/>
          </w:tcPr>
          <w:p>
            <w:pPr>
              <w:jc w:val="left"/>
            </w:pPr>
            <w:r>
              <w:rPr>
                <w:sz w:val="18"/>
                <w:szCs w:val="18"/>
              </w:rPr>
              <w:t xml:space="preserve">Normalized OCF (provision build stripped, WC normal)</w:t>
            </w:r>
          </w:p>
        </w:tc>
        <w:tc>
          <w:tcPr>
            <w:tcW w:type="dxa" w:w="3800"/>
            <w:tcMar>
              <w:top w:type="dxa" w:w="60"/>
              <w:left w:type="dxa" w:w="110"/>
              <w:bottom w:type="dxa" w:w="60"/>
              <w:right w:type="dxa" w:w="110"/>
            </w:tcMar>
            <w:vAlign w:val="center"/>
          </w:tcPr>
          <w:p>
            <w:pPr>
              <w:jc w:val="right"/>
            </w:pPr>
            <w:r>
              <w:rPr>
                <w:sz w:val="18"/>
                <w:szCs w:val="18"/>
              </w:rPr>
              <w:t xml:space="preserve">~AED 560mn</w:t>
            </w:r>
          </w:p>
        </w:tc>
      </w:tr>
      <w:tr>
        <w:tc>
          <w:tcPr>
            <w:tcW w:type="dxa" w:w="5560"/>
            <w:tcMar>
              <w:top w:type="dxa" w:w="60"/>
              <w:left w:type="dxa" w:w="110"/>
              <w:bottom w:type="dxa" w:w="60"/>
              <w:right w:type="dxa" w:w="110"/>
            </w:tcMar>
            <w:vAlign w:val="center"/>
          </w:tcPr>
          <w:p>
            <w:pPr>
              <w:jc w:val="left"/>
            </w:pPr>
            <w:r>
              <w:rPr>
                <w:sz w:val="18"/>
                <w:szCs w:val="18"/>
              </w:rPr>
              <w:t xml:space="preserve">less: maintenance + growth capex</w:t>
            </w:r>
          </w:p>
        </w:tc>
        <w:tc>
          <w:tcPr>
            <w:tcW w:type="dxa" w:w="3800"/>
            <w:tcMar>
              <w:top w:type="dxa" w:w="60"/>
              <w:left w:type="dxa" w:w="110"/>
              <w:bottom w:type="dxa" w:w="60"/>
              <w:right w:type="dxa" w:w="110"/>
            </w:tcMar>
            <w:vAlign w:val="center"/>
          </w:tcPr>
          <w:p>
            <w:pPr>
              <w:jc w:val="right"/>
            </w:pPr>
            <w:r>
              <w:rPr>
                <w:sz w:val="18"/>
                <w:szCs w:val="18"/>
              </w:rPr>
              <w:t xml:space="preserve">~AED 200mn</w:t>
            </w:r>
          </w:p>
        </w:tc>
      </w:tr>
      <w:tr>
        <w:tc>
          <w:tcPr>
            <w:tcW w:type="dxa" w:w="5560"/>
            <w:tcMar>
              <w:top w:type="dxa" w:w="60"/>
              <w:left w:type="dxa" w:w="110"/>
              <w:bottom w:type="dxa" w:w="60"/>
              <w:right w:type="dxa" w:w="110"/>
            </w:tcMar>
            <w:vAlign w:val="center"/>
          </w:tcPr>
          <w:p>
            <w:pPr>
              <w:jc w:val="left"/>
            </w:pPr>
            <w:r>
              <w:rPr>
                <w:sz w:val="18"/>
                <w:szCs w:val="18"/>
              </w:rPr>
              <w:t xml:space="preserve">less: minority leakage</w:t>
            </w:r>
          </w:p>
        </w:tc>
        <w:tc>
          <w:tcPr>
            <w:tcW w:type="dxa" w:w="3800"/>
            <w:tcMar>
              <w:top w:type="dxa" w:w="60"/>
              <w:left w:type="dxa" w:w="110"/>
              <w:bottom w:type="dxa" w:w="60"/>
              <w:right w:type="dxa" w:w="110"/>
            </w:tcMar>
            <w:vAlign w:val="center"/>
          </w:tcPr>
          <w:p>
            <w:pPr>
              <w:jc w:val="right"/>
            </w:pPr>
            <w:r>
              <w:rPr>
                <w:sz w:val="18"/>
                <w:szCs w:val="18"/>
              </w:rPr>
              <w:t xml:space="preserve">~AED 35mn</w:t>
            </w:r>
          </w:p>
        </w:tc>
      </w:tr>
      <w:tr>
        <w:tc>
          <w:tcPr>
            <w:tcW w:type="dxa" w:w="5560"/>
            <w:tcMar>
              <w:top w:type="dxa" w:w="60"/>
              <w:left w:type="dxa" w:w="110"/>
              <w:bottom w:type="dxa" w:w="60"/>
              <w:right w:type="dxa" w:w="110"/>
            </w:tcMar>
            <w:vAlign w:val="center"/>
          </w:tcPr>
          <w:p>
            <w:pPr>
              <w:jc w:val="left"/>
            </w:pPr>
            <w:r>
              <w:rPr>
                <w:sz w:val="18"/>
                <w:szCs w:val="18"/>
              </w:rPr>
              <w:t xml:space="preserve">Sustainable FCFE → per share</w:t>
            </w:r>
          </w:p>
        </w:tc>
        <w:tc>
          <w:tcPr>
            <w:tcW w:type="dxa" w:w="3800"/>
            <w:tcMar>
              <w:top w:type="dxa" w:w="60"/>
              <w:left w:type="dxa" w:w="110"/>
              <w:bottom w:type="dxa" w:w="60"/>
              <w:right w:type="dxa" w:w="110"/>
            </w:tcMar>
            <w:vAlign w:val="center"/>
          </w:tcPr>
          <w:p>
            <w:pPr>
              <w:jc w:val="right"/>
            </w:pPr>
            <w:r>
              <w:rPr>
                <w:sz w:val="18"/>
                <w:szCs w:val="18"/>
              </w:rPr>
              <w:t xml:space="preserve">~AED 325mn → 0.391</w:t>
            </w:r>
          </w:p>
        </w:tc>
      </w:tr>
      <w:tr>
        <w:tc>
          <w:tcPr>
            <w:tcW w:type="dxa" w:w="5560"/>
            <w:tcMar>
              <w:top w:type="dxa" w:w="60"/>
              <w:left w:type="dxa" w:w="110"/>
              <w:bottom w:type="dxa" w:w="60"/>
              <w:right w:type="dxa" w:w="110"/>
            </w:tcMar>
            <w:vAlign w:val="center"/>
          </w:tcPr>
          <w:p>
            <w:pPr>
              <w:jc w:val="left"/>
            </w:pPr>
            <w:r>
              <w:rPr>
                <w:sz w:val="18"/>
                <w:szCs w:val="18"/>
              </w:rPr>
              <w:t xml:space="preserve">Capitalized at Ke 13.3% − g 2.5%</w:t>
            </w:r>
          </w:p>
        </w:tc>
        <w:tc>
          <w:tcPr>
            <w:tcW w:type="dxa" w:w="3800"/>
            <w:tcMar>
              <w:top w:type="dxa" w:w="60"/>
              <w:left w:type="dxa" w:w="110"/>
              <w:bottom w:type="dxa" w:w="60"/>
              <w:right w:type="dxa" w:w="110"/>
            </w:tcMar>
            <w:vAlign w:val="center"/>
          </w:tcPr>
          <w:p>
            <w:pPr>
              <w:jc w:val="right"/>
            </w:pPr>
            <w:r>
              <w:rPr>
                <w:sz w:val="18"/>
                <w:szCs w:val="18"/>
              </w:rPr>
              <w:t xml:space="preserve">0.391 / 0.108</w:t>
            </w:r>
          </w:p>
        </w:tc>
      </w:tr>
      <w:tr>
        <w:tc>
          <w:tcPr>
            <w:tcW w:type="dxa" w:w="5560"/>
            <w:tcMar>
              <w:top w:type="dxa" w:w="60"/>
              <w:left w:type="dxa" w:w="110"/>
              <w:bottom w:type="dxa" w:w="60"/>
              <w:right w:type="dxa" w:w="110"/>
            </w:tcMar>
            <w:vAlign w:val="center"/>
          </w:tcPr>
          <w:p>
            <w:pPr>
              <w:jc w:val="left"/>
            </w:pPr>
            <w:r>
              <w:rPr>
                <w:b/>
                <w:bCs/>
                <w:sz w:val="18"/>
                <w:szCs w:val="18"/>
              </w:rPr>
              <w:t xml:space="preserve">Fair value</w:t>
            </w:r>
          </w:p>
        </w:tc>
        <w:tc>
          <w:tcPr>
            <w:tcW w:type="dxa" w:w="3800"/>
            <w:tcMar>
              <w:top w:type="dxa" w:w="60"/>
              <w:left w:type="dxa" w:w="110"/>
              <w:bottom w:type="dxa" w:w="60"/>
              <w:right w:type="dxa" w:w="110"/>
            </w:tcMar>
            <w:vAlign w:val="center"/>
          </w:tcPr>
          <w:p>
            <w:pPr>
              <w:jc w:val="right"/>
            </w:pPr>
            <w:r>
              <w:rPr>
                <w:b/>
                <w:bCs/>
                <w:sz w:val="18"/>
                <w:szCs w:val="18"/>
              </w:rPr>
              <w:t xml:space="preserve">AED 3.62</w:t>
            </w:r>
            <w:r>
              <w:rPr>
                <w:sz w:val="18"/>
                <w:szCs w:val="18"/>
              </w:rPr>
              <w:t xml:space="preserve"> (range 2.90–4.40)</w:t>
            </w:r>
          </w:p>
        </w:tc>
      </w:tr>
    </w:tbl>
    <w:p>
      <w:pPr>
        <w:spacing w:after="60"/>
      </w:pPr>
    </w:p>
    <w:p>
      <w:pPr/>
      <w:r>
        <w:rPr>
          <w:b/>
          <w:bCs/>
          <w:sz w:val="20"/>
          <w:szCs w:val="20"/>
        </w:rPr>
        <w:t xml:space="preserve">Sensitivity.</w:t>
      </w:r>
      <w:r>
        <w:rPr>
          <w:sz w:val="20"/>
          <w:szCs w:val="20"/>
        </w:rPr>
        <w:t xml:space="preserve"> Ke 12.3% → 3.99; Ke 14.3% → 3.31; FCFE 290–360 spans 3.23–4.01. </w:t>
      </w:r>
      <w:r>
        <w:rPr>
          <w:b/>
          <w:bCs/>
          <w:sz w:val="20"/>
          <w:szCs w:val="20"/>
        </w:rPr>
        <w:t xml:space="preserve">The audit flags:</w:t>
      </w:r>
      <w:r>
        <w:rPr>
          <w:sz w:val="20"/>
          <w:szCs w:val="20"/>
        </w:rPr>
        <w:t xml:space="preserve"> goodwill and intangibles of roughly AED 2.3bn sit against AED 2.63bn of book equity — the balance sheet is mostly purchased hope; provisions have now hit two vintages of the same M&amp;A book; and FY25 cash conversion (OCF/EBITDA ~94% underlying) is decent but flattered by payables. </w:t>
      </w:r>
      <w:r>
        <w:rPr>
          <w:b/>
          <w:bCs/>
          <w:sz w:val="20"/>
          <w:szCs w:val="20"/>
        </w:rPr>
        <w:t xml:space="preserve">Cross-examination.</w:t>
      </w:r>
      <w:r>
        <w:rPr>
          <w:sz w:val="20"/>
          <w:szCs w:val="20"/>
        </w:rPr>
        <w:t xml:space="preserve"> To Expert 1: you normalize the P&amp;L but not the acquisition machine that keeps producing the “one-offs”. To Expert 3: policy ownership cuts both ways — ADQ’s balance sheet is a floor under solvency, not under your equity multiple. </w:t>
      </w:r>
      <w:r>
        <w:rPr>
          <w:b/>
          <w:bCs/>
          <w:sz w:val="20"/>
          <w:szCs w:val="20"/>
        </w:rPr>
        <w:t xml:space="preserve">Falsification.</w:t>
      </w:r>
      <w:r>
        <w:rPr>
          <w:sz w:val="20"/>
          <w:szCs w:val="20"/>
        </w:rPr>
        <w:t xml:space="preserve"> Two consecutive clean years with OCF above AED 550mn and zero new provision lines — then my normalized cash is proven too low and I move to the Expert-1 camp. Market at 3.51 sits 3% below my 3.62: the market is roughly pricing my audit, which is precisely why any good news re-rates.</w:t>
      </w:r>
    </w:p>
    <w:p>
      <w:pPr>
        <w:pStyle w:val="Heading2"/>
      </w:pPr>
      <w:r>
        <w:rPr>
          <w:sz w:val="20"/>
          <w:szCs w:val="20"/>
        </w:rPr>
        <w:t xml:space="preserve">C.3  Expert 3 — macro-policy sleeves</w:t>
      </w:r>
    </w:p>
    <w:p>
      <w:pPr/>
      <w:r>
        <w:rPr>
          <w:b/>
          <w:bCs/>
          <w:sz w:val="20"/>
          <w:szCs w:val="20"/>
        </w:rPr>
        <w:t xml:space="preserve">Worldview.</w:t>
      </w:r>
      <w:r>
        <w:rPr>
          <w:sz w:val="20"/>
          <w:szCs w:val="20"/>
        </w:rPr>
        <w:t xml:space="preserve"> Agthia is not one company; it is a UAE food-security policy asset stapled to an Egyptian consumer business. Value the two sleeves in their own currencies at their own costs of capital, then weight the currency-and-conflict scenarios explicitly — the probability weights ARE the valuation. </w:t>
      </w:r>
      <w:r>
        <w:rPr>
          <w:b/>
          <w:bCs/>
          <w:sz w:val="20"/>
          <w:szCs w:val="20"/>
        </w:rPr>
        <w:t xml:space="preserve">Works</w:t>
      </w:r>
      <w:r>
        <w:rPr>
          <w:sz w:val="20"/>
          <w:szCs w:val="20"/>
        </w:rPr>
        <w:t xml:space="preserve"> for split-exposure names where averages lie. </w:t>
      </w:r>
      <w:r>
        <w:rPr>
          <w:b/>
          <w:bCs/>
          <w:sz w:val="20"/>
          <w:szCs w:val="20"/>
        </w:rPr>
        <w:t xml:space="preserve">Fails</w:t>
      </w:r>
      <w:r>
        <w:rPr>
          <w:sz w:val="20"/>
          <w:szCs w:val="20"/>
        </w:rPr>
        <w:t xml:space="preserve"> if the sleeves’ operations are more integrated than the currencies suggest (shared procurement, cross-supply).</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5560"/>
        <w:gridCol w:w="3800"/>
      </w:tblGrid>
      <w:tr>
        <w:tc>
          <w:tcPr>
            <w:tcW w:type="dxa" w:w="5560"/>
            <w:shd w:fill="1C3A36" w:val="clear"/>
            <w:tcMar>
              <w:top w:type="dxa" w:w="60"/>
              <w:left w:type="dxa" w:w="110"/>
              <w:bottom w:type="dxa" w:w="60"/>
              <w:right w:type="dxa" w:w="110"/>
            </w:tcMar>
            <w:vAlign w:val="center"/>
          </w:tcPr>
          <w:p>
            <w:pPr>
              <w:jc w:val="left"/>
            </w:pPr>
            <w:r>
              <w:rPr>
                <w:b/>
                <w:bCs/>
                <w:color w:val="FFFFFF"/>
                <w:sz w:val="18"/>
                <w:szCs w:val="18"/>
              </w:rPr>
              <w:t xml:space="preserve">Workings</w:t>
            </w:r>
          </w:p>
        </w:tc>
        <w:tc>
          <w:tcPr>
            <w:tcW w:type="dxa" w:w="3800"/>
            <w:shd w:fill="1C3A36" w:val="clear"/>
            <w:tcMar>
              <w:top w:type="dxa" w:w="60"/>
              <w:left w:type="dxa" w:w="110"/>
              <w:bottom w:type="dxa" w:w="60"/>
              <w:right w:type="dxa" w:w="110"/>
            </w:tcMar>
            <w:vAlign w:val="center"/>
          </w:tcPr>
          <w:p>
            <w:pPr>
              <w:jc w:val="center"/>
            </w:pPr>
            <w:r>
              <w:rPr>
                <w:b/>
                <w:bCs/>
                <w:color w:val="FFFFFF"/>
                <w:sz w:val="18"/>
                <w:szCs w:val="18"/>
              </w:rPr>
              <w:t xml:space="preserve">Value</w:t>
            </w:r>
          </w:p>
        </w:tc>
      </w:tr>
      <w:tr>
        <w:tc>
          <w:tcPr>
            <w:tcW w:type="dxa" w:w="5560"/>
            <w:tcMar>
              <w:top w:type="dxa" w:w="60"/>
              <w:left w:type="dxa" w:w="110"/>
              <w:bottom w:type="dxa" w:w="60"/>
              <w:right w:type="dxa" w:w="110"/>
            </w:tcMar>
            <w:vAlign w:val="center"/>
          </w:tcPr>
          <w:p>
            <w:pPr>
              <w:jc w:val="left"/>
            </w:pPr>
            <w:r>
              <w:rPr>
                <w:sz w:val="18"/>
                <w:szCs w:val="18"/>
              </w:rPr>
              <w:t xml:space="preserve">UAE sleeve EV (W&amp;F + Agri + UAE protein; Ke 9.6%)</w:t>
            </w:r>
          </w:p>
        </w:tc>
        <w:tc>
          <w:tcPr>
            <w:tcW w:type="dxa" w:w="3800"/>
            <w:tcMar>
              <w:top w:type="dxa" w:w="60"/>
              <w:left w:type="dxa" w:w="110"/>
              <w:bottom w:type="dxa" w:w="60"/>
              <w:right w:type="dxa" w:w="110"/>
            </w:tcMar>
            <w:vAlign w:val="center"/>
          </w:tcPr>
          <w:p>
            <w:pPr>
              <w:jc w:val="right"/>
            </w:pPr>
            <w:r>
              <w:rPr>
                <w:sz w:val="18"/>
                <w:szCs w:val="18"/>
              </w:rPr>
              <w:t xml:space="preserve">~AED 3,650mn</w:t>
            </w:r>
          </w:p>
        </w:tc>
      </w:tr>
      <w:tr>
        <w:tc>
          <w:tcPr>
            <w:tcW w:type="dxa" w:w="5560"/>
            <w:tcMar>
              <w:top w:type="dxa" w:w="60"/>
              <w:left w:type="dxa" w:w="110"/>
              <w:bottom w:type="dxa" w:w="60"/>
              <w:right w:type="dxa" w:w="110"/>
            </w:tcMar>
            <w:vAlign w:val="center"/>
          </w:tcPr>
          <w:p>
            <w:pPr>
              <w:jc w:val="left"/>
            </w:pPr>
            <w:r>
              <w:rPr>
                <w:sz w:val="18"/>
                <w:szCs w:val="18"/>
              </w:rPr>
              <w:t xml:space="preserve">Egypt/Jordan sleeve EV at EGP 48 / 52 / 58 (Ke 17%)</w:t>
            </w:r>
          </w:p>
        </w:tc>
        <w:tc>
          <w:tcPr>
            <w:tcW w:type="dxa" w:w="3800"/>
            <w:tcMar>
              <w:top w:type="dxa" w:w="60"/>
              <w:left w:type="dxa" w:w="110"/>
              <w:bottom w:type="dxa" w:w="60"/>
              <w:right w:type="dxa" w:w="110"/>
            </w:tcMar>
            <w:vAlign w:val="center"/>
          </w:tcPr>
          <w:p>
            <w:pPr>
              <w:jc w:val="right"/>
            </w:pPr>
            <w:r>
              <w:rPr>
                <w:sz w:val="18"/>
                <w:szCs w:val="18"/>
              </w:rPr>
              <w:t xml:space="preserve">AED 1,900 / 1,750 / 1,520mn</w:t>
            </w:r>
          </w:p>
        </w:tc>
      </w:tr>
      <w:tr>
        <w:tc>
          <w:tcPr>
            <w:tcW w:type="dxa" w:w="5560"/>
            <w:tcMar>
              <w:top w:type="dxa" w:w="60"/>
              <w:left w:type="dxa" w:w="110"/>
              <w:bottom w:type="dxa" w:w="60"/>
              <w:right w:type="dxa" w:w="110"/>
            </w:tcMar>
            <w:vAlign w:val="center"/>
          </w:tcPr>
          <w:p>
            <w:pPr>
              <w:jc w:val="left"/>
            </w:pPr>
            <w:r>
              <w:rPr>
                <w:sz w:val="18"/>
                <w:szCs w:val="18"/>
              </w:rPr>
              <w:t xml:space="preserve">Currency-scenario weights</w:t>
            </w:r>
          </w:p>
        </w:tc>
        <w:tc>
          <w:tcPr>
            <w:tcW w:type="dxa" w:w="3800"/>
            <w:tcMar>
              <w:top w:type="dxa" w:w="60"/>
              <w:left w:type="dxa" w:w="110"/>
              <w:bottom w:type="dxa" w:w="60"/>
              <w:right w:type="dxa" w:w="110"/>
            </w:tcMar>
            <w:vAlign w:val="center"/>
          </w:tcPr>
          <w:p>
            <w:pPr>
              <w:jc w:val="right"/>
            </w:pPr>
            <w:r>
              <w:rPr>
                <w:sz w:val="18"/>
                <w:szCs w:val="18"/>
              </w:rPr>
              <w:t xml:space="preserve">25% / 50% / 25%</w:t>
            </w:r>
          </w:p>
        </w:tc>
      </w:tr>
      <w:tr>
        <w:tc>
          <w:tcPr>
            <w:tcW w:type="dxa" w:w="5560"/>
            <w:tcMar>
              <w:top w:type="dxa" w:w="60"/>
              <w:left w:type="dxa" w:w="110"/>
              <w:bottom w:type="dxa" w:w="60"/>
              <w:right w:type="dxa" w:w="110"/>
            </w:tcMar>
            <w:vAlign w:val="center"/>
          </w:tcPr>
          <w:p>
            <w:pPr>
              <w:jc w:val="left"/>
            </w:pPr>
            <w:r>
              <w:rPr>
                <w:sz w:val="18"/>
                <w:szCs w:val="18"/>
              </w:rPr>
              <w:t xml:space="preserve">Weighted EV − net debt 1,300 − minorities 260</w:t>
            </w:r>
          </w:p>
        </w:tc>
        <w:tc>
          <w:tcPr>
            <w:tcW w:type="dxa" w:w="3800"/>
            <w:tcMar>
              <w:top w:type="dxa" w:w="60"/>
              <w:left w:type="dxa" w:w="110"/>
              <w:bottom w:type="dxa" w:w="60"/>
              <w:right w:type="dxa" w:w="110"/>
            </w:tcMar>
            <w:vAlign w:val="center"/>
          </w:tcPr>
          <w:p>
            <w:pPr>
              <w:jc w:val="right"/>
            </w:pPr>
            <w:r>
              <w:rPr>
                <w:sz w:val="18"/>
                <w:szCs w:val="18"/>
              </w:rPr>
              <w:t xml:space="preserve">→ AED 4.60/share pre-tail</w:t>
            </w:r>
          </w:p>
        </w:tc>
      </w:tr>
      <w:tr>
        <w:tc>
          <w:tcPr>
            <w:tcW w:type="dxa" w:w="5560"/>
            <w:tcMar>
              <w:top w:type="dxa" w:w="60"/>
              <w:left w:type="dxa" w:w="110"/>
              <w:bottom w:type="dxa" w:w="60"/>
              <w:right w:type="dxa" w:w="110"/>
            </w:tcMar>
            <w:vAlign w:val="center"/>
          </w:tcPr>
          <w:p>
            <w:pPr>
              <w:jc w:val="left"/>
            </w:pPr>
            <w:r>
              <w:rPr>
                <w:sz w:val="18"/>
                <w:szCs w:val="18"/>
              </w:rPr>
              <w:t xml:space="preserve">Geopolitical tail: p = 20% regional escalation, −25% value</w:t>
            </w:r>
          </w:p>
        </w:tc>
        <w:tc>
          <w:tcPr>
            <w:tcW w:type="dxa" w:w="3800"/>
            <w:tcMar>
              <w:top w:type="dxa" w:w="60"/>
              <w:left w:type="dxa" w:w="110"/>
              <w:bottom w:type="dxa" w:w="60"/>
              <w:right w:type="dxa" w:w="110"/>
            </w:tcMar>
            <w:vAlign w:val="center"/>
          </w:tcPr>
          <w:p>
            <w:pPr>
              <w:jc w:val="right"/>
            </w:pPr>
            <w:r>
              <w:rPr>
                <w:sz w:val="18"/>
                <w:szCs w:val="18"/>
              </w:rPr>
              <w:t xml:space="preserve">0.8 × 4.60 + 0.2 × 2.90</w:t>
            </w:r>
          </w:p>
        </w:tc>
      </w:tr>
      <w:tr>
        <w:tc>
          <w:tcPr>
            <w:tcW w:type="dxa" w:w="5560"/>
            <w:tcMar>
              <w:top w:type="dxa" w:w="60"/>
              <w:left w:type="dxa" w:w="110"/>
              <w:bottom w:type="dxa" w:w="60"/>
              <w:right w:type="dxa" w:w="110"/>
            </w:tcMar>
            <w:vAlign w:val="center"/>
          </w:tcPr>
          <w:p>
            <w:pPr>
              <w:jc w:val="left"/>
            </w:pPr>
            <w:r>
              <w:rPr>
                <w:b/>
                <w:bCs/>
                <w:sz w:val="18"/>
                <w:szCs w:val="18"/>
              </w:rPr>
              <w:t xml:space="preserve">Fair value</w:t>
            </w:r>
          </w:p>
        </w:tc>
        <w:tc>
          <w:tcPr>
            <w:tcW w:type="dxa" w:w="3800"/>
            <w:tcMar>
              <w:top w:type="dxa" w:w="60"/>
              <w:left w:type="dxa" w:w="110"/>
              <w:bottom w:type="dxa" w:w="60"/>
              <w:right w:type="dxa" w:w="110"/>
            </w:tcMar>
            <w:vAlign w:val="center"/>
          </w:tcPr>
          <w:p>
            <w:pPr>
              <w:jc w:val="right"/>
            </w:pPr>
            <w:r>
              <w:rPr>
                <w:b/>
                <w:bCs/>
                <w:sz w:val="18"/>
                <w:szCs w:val="18"/>
              </w:rPr>
              <w:t xml:space="preserve">AED 4.15</w:t>
            </w:r>
            <w:r>
              <w:rPr>
                <w:sz w:val="18"/>
                <w:szCs w:val="18"/>
              </w:rPr>
              <w:t xml:space="preserve"> (range 3.10–5.20)</w:t>
            </w:r>
          </w:p>
        </w:tc>
      </w:tr>
    </w:tbl>
    <w:p>
      <w:pPr>
        <w:spacing w:after="60"/>
      </w:pPr>
    </w:p>
    <w:p>
      <w:pPr/>
      <w:r>
        <w:rPr>
          <w:b/>
          <w:bCs/>
          <w:sz w:val="20"/>
          <w:szCs w:val="20"/>
        </w:rPr>
        <w:t xml:space="preserve">Sensitivity (the tail weight is the swing).</w:t>
      </w:r>
      <w:r>
        <w:rPr>
          <w:sz w:val="20"/>
          <w:szCs w:val="20"/>
        </w:rPr>
        <w:t xml:space="preserve"> Tail p = 10% → 4.43; p = 30% → 3.92; EGP-58 weighted at 50% → 4.36 pre-tail. </w:t>
      </w:r>
      <w:r>
        <w:rPr>
          <w:b/>
          <w:bCs/>
          <w:sz w:val="20"/>
          <w:szCs w:val="20"/>
        </w:rPr>
        <w:t xml:space="preserve">Cross-examination.</w:t>
      </w:r>
      <w:r>
        <w:rPr>
          <w:sz w:val="20"/>
          <w:szCs w:val="20"/>
        </w:rPr>
        <w:t xml:space="preserve"> To Expert 1: your multiple imports GCC stability into Egyptian cash flows — split them and see what survives. To Expert 2: you capitalize last year’s fear at a blended Ke; my sleeves show the UAE half alone nearly covers the current price. </w:t>
      </w:r>
      <w:r>
        <w:rPr>
          <w:b/>
          <w:bCs/>
          <w:sz w:val="20"/>
          <w:szCs w:val="20"/>
        </w:rPr>
        <w:t xml:space="preserve">Falsification.</w:t>
      </w:r>
      <w:r>
        <w:rPr>
          <w:sz w:val="20"/>
          <w:szCs w:val="20"/>
        </w:rPr>
        <w:t xml:space="preserve"> EGP through 65 without demonstrated pass-through pricing, or the UAE food-security framework materially de-emphasising Agthia mandates — either breaks the sleeve arithmetic. The market’s 3.51 equals my no-tail UAE sleeve plus Egypt at roughly zero: the tape is pricing the Egyptian business as an option premium, free.</w:t>
      </w:r>
    </w:p>
    <w:p>
      <w:pPr>
        <w:pStyle w:val="Heading2"/>
      </w:pPr>
      <w:r>
        <w:rPr>
          <w:sz w:val="20"/>
          <w:szCs w:val="20"/>
        </w:rPr>
        <w:t xml:space="preserve">C.4  The three in one room</w:t>
      </w:r>
    </w:p>
    <w:p>
      <w:pPr/>
      <w:r>
        <w:rPr>
          <w:b/>
          <w:bCs/>
          <w:sz w:val="20"/>
          <w:szCs w:val="20"/>
        </w:rPr>
        <w:t xml:space="preserve">Expert 1:</w:t>
      </w:r>
      <w:r>
        <w:rPr>
          <w:sz w:val="20"/>
          <w:szCs w:val="20"/>
        </w:rPr>
        <w:t xml:space="preserve"> “FY25 was written down, not earned down. Strip the provisions and this group earned within 3% of its FY23–24 run-rate; the market pays under ten times mid-cycle with a 6% coupon attached.”  </w:t>
      </w:r>
      <w:r>
        <w:rPr>
          <w:b/>
          <w:bCs/>
          <w:sz w:val="20"/>
          <w:szCs w:val="20"/>
        </w:rPr>
        <w:t xml:space="preserve">Expert 2:</w:t>
      </w:r>
      <w:r>
        <w:rPr>
          <w:sz w:val="20"/>
          <w:szCs w:val="20"/>
        </w:rPr>
        <w:t xml:space="preserve"> “Half your ‘one-offs’ are the recurring cost of the M&amp;A machine that built this — the goodwill is nearly the whole book. Show me two clean years of cash and I will capitalize your number, not mine.”  </w:t>
      </w:r>
      <w:r>
        <w:rPr>
          <w:b/>
          <w:bCs/>
          <w:sz w:val="20"/>
          <w:szCs w:val="20"/>
        </w:rPr>
        <w:t xml:space="preserve">Expert 3:</w:t>
      </w:r>
      <w:r>
        <w:rPr>
          <w:sz w:val="20"/>
          <w:szCs w:val="20"/>
        </w:rPr>
        <w:t xml:space="preserve"> “You are both valuing the P&amp;L of a company whose real identity is a two-currency policy asset. Abu Dhabi’s food-security balance sheet stands under one half; the Egyptian pound stands under the other. Price the sleeves and the war tail honestly and the answer lands between you — which is exactly where the market is not.”</w:t>
      </w:r>
    </w:p>
    <w:p>
      <w:pPr>
        <w:pStyle w:val="Heading2"/>
      </w:pPr>
      <w:r>
        <w:rPr>
          <w:sz w:val="20"/>
          <w:szCs w:val="20"/>
        </w:rPr>
        <w:t xml:space="preserve">C.5  Reading the divergence</w:t>
      </w:r>
    </w:p>
    <w:p>
      <w:pPr>
        <w:spacing w:before="60" w:after="40"/>
        <w:jc w:val="center"/>
      </w:pPr>
      <w:r>
        <w:drawing>
          <wp:inline distT="0" distB="0" distL="0" distR="0">
            <wp:extent cx="5532120" cy="1934491"/>
            <wp:effectExtent t="0" r="0" b="0" l="0"/>
            <wp:docPr id="107" name="figD1_exp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D1_experts.png"/>
                    <pic:cNvPicPr/>
                  </pic:nvPicPr>
                  <pic:blipFill>
                    <a:blip r:embed="rId16"/>
                    <a:stretch>
                      <a:fillRect/>
                    </a:stretch>
                  </pic:blipFill>
                  <pic:spPr>
                    <a:xfrm>
                      <a:off x="0" y="0"/>
                      <a:ext cx="5532120" cy="1934491"/>
                    </a:xfrm>
                    <a:prstGeom prst="rect">
                      <a:avLst/>
                    </a:prstGeom>
                  </pic:spPr>
                </pic:pic>
              </a:graphicData>
            </a:graphic>
          </wp:inline>
        </w:drawing>
      </w:r>
    </w:p>
    <w:p>
      <w:pPr>
        <w:spacing w:after="140"/>
        <w:jc w:val="center"/>
      </w:pPr>
      <w:r>
        <w:rPr>
          <w:i/>
          <w:iCs/>
          <w:color w:val="6E7B77"/>
          <w:sz w:val="16"/>
          <w:szCs w:val="16"/>
        </w:rPr>
        <w:t xml:space="preserve">Figure C-1 — The three experts’ fair-value ranges. The gold band is the §1 blended central; the dark line is spot. The spread is the reset question priced three ways.</w:t>
      </w:r>
    </w:p>
    <w:tbl>
      <w:tblPr>
        <w:tblW w:type="dxa" w:w="9360"/>
        <w:tblBorders>
          <w:top w:val="single" w:color="CBD6D2" w:sz="1"/>
          <w:left w:val="single" w:color="CBD6D2" w:sz="1"/>
          <w:bottom w:val="single" w:color="CBD6D2" w:sz="1"/>
          <w:right w:val="single" w:color="CBD6D2" w:sz="1"/>
          <w:insideH w:val="single" w:color="CBD6D2" w:sz="1"/>
          <w:insideV w:val="single" w:color="CBD6D2" w:sz="1"/>
        </w:tblBorders>
      </w:tblPr>
      <w:tblGrid>
        <w:gridCol w:w="2960"/>
        <w:gridCol w:w="1700"/>
        <w:gridCol w:w="4700"/>
      </w:tblGrid>
      <w:tr>
        <w:tc>
          <w:tcPr>
            <w:tcW w:type="dxa" w:w="2960"/>
            <w:shd w:fill="1C3A36" w:val="clear"/>
            <w:tcMar>
              <w:top w:type="dxa" w:w="60"/>
              <w:left w:type="dxa" w:w="110"/>
              <w:bottom w:type="dxa" w:w="60"/>
              <w:right w:type="dxa" w:w="110"/>
            </w:tcMar>
            <w:vAlign w:val="center"/>
          </w:tcPr>
          <w:p>
            <w:pPr>
              <w:jc w:val="left"/>
            </w:pPr>
            <w:r>
              <w:rPr>
                <w:b/>
                <w:bCs/>
                <w:color w:val="FFFFFF"/>
                <w:sz w:val="18"/>
                <w:szCs w:val="18"/>
              </w:rPr>
              <w:t xml:space="preserve">Expert</w:t>
            </w:r>
          </w:p>
        </w:tc>
        <w:tc>
          <w:tcPr>
            <w:tcW w:type="dxa" w:w="1700"/>
            <w:shd w:fill="1C3A36" w:val="clear"/>
            <w:tcMar>
              <w:top w:type="dxa" w:w="60"/>
              <w:left w:type="dxa" w:w="110"/>
              <w:bottom w:type="dxa" w:w="60"/>
              <w:right w:type="dxa" w:w="110"/>
            </w:tcMar>
            <w:vAlign w:val="center"/>
          </w:tcPr>
          <w:p>
            <w:pPr>
              <w:jc w:val="center"/>
            </w:pPr>
            <w:r>
              <w:rPr>
                <w:b/>
                <w:bCs/>
                <w:color w:val="FFFFFF"/>
                <w:sz w:val="18"/>
                <w:szCs w:val="18"/>
              </w:rPr>
              <w:t xml:space="preserve">Fair value</w:t>
            </w:r>
          </w:p>
        </w:tc>
        <w:tc>
          <w:tcPr>
            <w:tcW w:type="dxa" w:w="4700"/>
            <w:shd w:fill="1C3A36" w:val="clear"/>
            <w:tcMar>
              <w:top w:type="dxa" w:w="60"/>
              <w:left w:type="dxa" w:w="110"/>
              <w:bottom w:type="dxa" w:w="60"/>
              <w:right w:type="dxa" w:w="110"/>
            </w:tcMar>
            <w:vAlign w:val="center"/>
          </w:tcPr>
          <w:p>
            <w:pPr>
              <w:jc w:val="center"/>
            </w:pPr>
            <w:r>
              <w:rPr>
                <w:b/>
                <w:bCs/>
                <w:color w:val="FFFFFF"/>
                <w:sz w:val="18"/>
                <w:szCs w:val="18"/>
              </w:rPr>
              <w:t xml:space="preserve">The one assumption doing the work</w:t>
            </w:r>
          </w:p>
        </w:tc>
      </w:tr>
      <w:tr>
        <w:tc>
          <w:tcPr>
            <w:tcW w:type="dxa" w:w="2960"/>
            <w:tcMar>
              <w:top w:type="dxa" w:w="60"/>
              <w:left w:type="dxa" w:w="110"/>
              <w:bottom w:type="dxa" w:w="60"/>
              <w:right w:type="dxa" w:w="110"/>
            </w:tcMar>
            <w:vAlign w:val="center"/>
          </w:tcPr>
          <w:p>
            <w:pPr>
              <w:jc w:val="left"/>
            </w:pPr>
            <w:r>
              <w:rPr>
                <w:sz w:val="18"/>
                <w:szCs w:val="18"/>
              </w:rPr>
              <w:t xml:space="preserve">Expert 1 — normalized earnings</w:t>
            </w:r>
          </w:p>
        </w:tc>
        <w:tc>
          <w:tcPr>
            <w:tcW w:type="dxa" w:w="1700"/>
            <w:tcMar>
              <w:top w:type="dxa" w:w="60"/>
              <w:left w:type="dxa" w:w="110"/>
              <w:bottom w:type="dxa" w:w="60"/>
              <w:right w:type="dxa" w:w="110"/>
            </w:tcMar>
            <w:vAlign w:val="center"/>
          </w:tcPr>
          <w:p>
            <w:pPr>
              <w:jc w:val="right"/>
            </w:pPr>
            <w:r>
              <w:rPr>
                <w:sz w:val="18"/>
                <w:szCs w:val="18"/>
              </w:rPr>
              <w:t xml:space="preserve">AED 4.51</w:t>
            </w:r>
          </w:p>
        </w:tc>
        <w:tc>
          <w:tcPr>
            <w:tcW w:type="dxa" w:w="4700"/>
            <w:tcMar>
              <w:top w:type="dxa" w:w="60"/>
              <w:left w:type="dxa" w:w="110"/>
              <w:bottom w:type="dxa" w:w="60"/>
              <w:right w:type="dxa" w:w="110"/>
            </w:tcMar>
            <w:vAlign w:val="center"/>
          </w:tcPr>
          <w:p>
            <w:pPr>
              <w:jc w:val="right"/>
            </w:pPr>
            <w:r>
              <w:rPr>
                <w:sz w:val="18"/>
                <w:szCs w:val="18"/>
              </w:rPr>
              <w:t xml:space="preserve">FY25 provisions are non-recurring; mid-cycle NP = 300</w:t>
            </w:r>
          </w:p>
        </w:tc>
      </w:tr>
      <w:tr>
        <w:tc>
          <w:tcPr>
            <w:tcW w:type="dxa" w:w="2960"/>
            <w:tcMar>
              <w:top w:type="dxa" w:w="60"/>
              <w:left w:type="dxa" w:w="110"/>
              <w:bottom w:type="dxa" w:w="60"/>
              <w:right w:type="dxa" w:w="110"/>
            </w:tcMar>
            <w:vAlign w:val="center"/>
          </w:tcPr>
          <w:p>
            <w:pPr>
              <w:jc w:val="left"/>
            </w:pPr>
            <w:r>
              <w:rPr>
                <w:sz w:val="18"/>
                <w:szCs w:val="18"/>
              </w:rPr>
              <w:t xml:space="preserve">Expert 2 — cash &amp; balance-sheet</w:t>
            </w:r>
          </w:p>
        </w:tc>
        <w:tc>
          <w:tcPr>
            <w:tcW w:type="dxa" w:w="1700"/>
            <w:tcMar>
              <w:top w:type="dxa" w:w="60"/>
              <w:left w:type="dxa" w:w="110"/>
              <w:bottom w:type="dxa" w:w="60"/>
              <w:right w:type="dxa" w:w="110"/>
            </w:tcMar>
            <w:vAlign w:val="center"/>
          </w:tcPr>
          <w:p>
            <w:pPr>
              <w:jc w:val="right"/>
            </w:pPr>
            <w:r>
              <w:rPr>
                <w:sz w:val="18"/>
                <w:szCs w:val="18"/>
              </w:rPr>
              <w:t xml:space="preserve">AED 3.62</w:t>
            </w:r>
          </w:p>
        </w:tc>
        <w:tc>
          <w:tcPr>
            <w:tcW w:type="dxa" w:w="4700"/>
            <w:tcMar>
              <w:top w:type="dxa" w:w="60"/>
              <w:left w:type="dxa" w:w="110"/>
              <w:bottom w:type="dxa" w:w="60"/>
              <w:right w:type="dxa" w:w="110"/>
            </w:tcMar>
            <w:vAlign w:val="center"/>
          </w:tcPr>
          <w:p>
            <w:pPr>
              <w:jc w:val="right"/>
            </w:pPr>
            <w:r>
              <w:rPr>
                <w:sz w:val="18"/>
                <w:szCs w:val="18"/>
              </w:rPr>
              <w:t xml:space="preserve">Only demonstrated cash counts; the M&amp;A book keeps taxing it</w:t>
            </w:r>
          </w:p>
        </w:tc>
      </w:tr>
      <w:tr>
        <w:tc>
          <w:tcPr>
            <w:tcW w:type="dxa" w:w="2960"/>
            <w:tcMar>
              <w:top w:type="dxa" w:w="60"/>
              <w:left w:type="dxa" w:w="110"/>
              <w:bottom w:type="dxa" w:w="60"/>
              <w:right w:type="dxa" w:w="110"/>
            </w:tcMar>
            <w:vAlign w:val="center"/>
          </w:tcPr>
          <w:p>
            <w:pPr>
              <w:jc w:val="left"/>
            </w:pPr>
            <w:r>
              <w:rPr>
                <w:sz w:val="18"/>
                <w:szCs w:val="18"/>
              </w:rPr>
              <w:t xml:space="preserve">Expert 3 — macro-policy sleeves</w:t>
            </w:r>
          </w:p>
        </w:tc>
        <w:tc>
          <w:tcPr>
            <w:tcW w:type="dxa" w:w="1700"/>
            <w:tcMar>
              <w:top w:type="dxa" w:w="60"/>
              <w:left w:type="dxa" w:w="110"/>
              <w:bottom w:type="dxa" w:w="60"/>
              <w:right w:type="dxa" w:w="110"/>
            </w:tcMar>
            <w:vAlign w:val="center"/>
          </w:tcPr>
          <w:p>
            <w:pPr>
              <w:jc w:val="right"/>
            </w:pPr>
            <w:r>
              <w:rPr>
                <w:sz w:val="18"/>
                <w:szCs w:val="18"/>
              </w:rPr>
              <w:t xml:space="preserve">AED 4.15</w:t>
            </w:r>
          </w:p>
        </w:tc>
        <w:tc>
          <w:tcPr>
            <w:tcW w:type="dxa" w:w="4700"/>
            <w:tcMar>
              <w:top w:type="dxa" w:w="60"/>
              <w:left w:type="dxa" w:w="110"/>
              <w:bottom w:type="dxa" w:w="60"/>
              <w:right w:type="dxa" w:w="110"/>
            </w:tcMar>
            <w:vAlign w:val="center"/>
          </w:tcPr>
          <w:p>
            <w:pPr>
              <w:jc w:val="right"/>
            </w:pPr>
            <w:r>
              <w:rPr>
                <w:sz w:val="18"/>
                <w:szCs w:val="18"/>
              </w:rPr>
              <w:t xml:space="preserve">Currency scenarios 25/50/25 and a 20% escalation tail</w:t>
            </w:r>
          </w:p>
        </w:tc>
      </w:tr>
    </w:tbl>
    <w:p>
      <w:pPr>
        <w:spacing w:after="60"/>
      </w:pPr>
    </w:p>
    <w:p>
      <w:pPr/>
      <w:r>
        <w:rPr>
          <w:sz w:val="20"/>
          <w:szCs w:val="20"/>
        </w:rPr>
        <w:t xml:space="preserve">The 3.62–4.51 spread measures exactly one thing: </w:t>
      </w:r>
      <w:r>
        <w:rPr>
          <w:b/>
          <w:bCs/>
          <w:sz w:val="20"/>
          <w:szCs w:val="20"/>
        </w:rPr>
        <w:t xml:space="preserve">how much of FY2025 was cost, and how much was character.</w:t>
      </w:r>
      <w:r>
        <w:rPr>
          <w:sz w:val="20"/>
          <w:szCs w:val="20"/>
        </w:rPr>
        <w:t xml:space="preserve"> Expert 2’s floor is the market’s current answer; Expert 1’s ceiling is the answer if Q2–Q4 2026 print clean; Expert 3 prices the path between them with the currency and conflict risk stated out loud rather than hidden in a discount rate. Logged for the per-expert calibration layer: study date 6 Jul 2026, spot AED 3.51, E1 4.51 (3.40–5.80), E2 3.62 (2.90–4.40), E3 4.15 (3.10–5.20).</w:t>
      </w:r>
    </w:p>
    <w:p>
      <w:pPr>
        <w:pStyle w:val="Heading1"/>
      </w:pPr>
      <w:r>
        <w:rPr>
          <w:sz w:val="20"/>
          <w:szCs w:val="20"/>
        </w:rPr>
        <w:t xml:space="preserve">About this series</w:t>
      </w:r>
    </w:p>
    <w:p>
      <w:pPr/>
      <w:r>
        <w:rPr>
          <w:sz w:val="20"/>
          <w:szCs w:val="20"/>
        </w:rPr>
        <w:t xml:space="preserve">Testahil publishes independent, educational valuation studies of EGX, GCC and international names under one discipline: </w:t>
      </w:r>
      <w:r>
        <w:rPr>
          <w:b/>
          <w:bCs/>
          <w:sz w:val="20"/>
          <w:szCs w:val="20"/>
        </w:rPr>
        <w:t xml:space="preserve">distributions, not tips.</w:t>
      </w:r>
      <w:r>
        <w:rPr>
          <w:sz w:val="20"/>
          <w:szCs w:val="20"/>
        </w:rPr>
        <w:t xml:space="preserve"> Every study triangulates fundamental value, technical structure and a Monte-Carlo price simulation; every probabilistic claim is backtested (Step 0) before publication and scored after the fact on a public calibration ledger — including the failures, of which this study’s §3 is one — flagged in the study and carried on the ledger rather than hidden. First edition on AGTHIA: the forecast-vs-actual scorecard and new-vs-old estimate reconciliation (house devices A-3/A-4) begin at the first 3-month update. The standing per-share ratio dashboard (device A-5) lives in the companion Excel. Studies are published under the Testahil brand only; testahil.com carries the full coverage, ledger and methodology.</w:t>
      </w:r>
    </w:p>
    <w:p>
      <w:pPr>
        <w:pStyle w:val="Heading1"/>
      </w:pPr>
      <w:r>
        <w:rPr>
          <w:sz w:val="20"/>
          <w:szCs w:val="20"/>
        </w:rPr>
        <w:t xml:space="preserve">Disclosure &amp; Disclaimer</w:t>
      </w:r>
    </w:p>
    <w:p>
      <w:pPr>
        <w:pStyle w:val="ListParagraph"/>
        <w:numPr>
          <w:ilvl w:val="0"/>
          <w:numId w:val="2"/>
        </w:numPr>
        <w:spacing w:after="60"/>
      </w:pPr>
      <w:r>
        <w:rPr>
          <w:b/>
          <w:bCs/>
          <w:sz w:val="20"/>
          <w:szCs w:val="20"/>
        </w:rPr>
        <w:t xml:space="preserve">1. Not investment advice.</w:t>
      </w:r>
      <w:r>
        <w:rPr>
          <w:sz w:val="20"/>
          <w:szCs w:val="20"/>
        </w:rPr>
        <w:t xml:space="preserve"> This study is educational analysis and personal opinion. It is not investment advice, a recommendation, an offer, or a solicitation to buy or sell any security, and it does not consider any reader’s objectives or circumstances.</w:t>
      </w:r>
    </w:p>
    <w:p>
      <w:pPr>
        <w:pStyle w:val="ListParagraph"/>
        <w:numPr>
          <w:ilvl w:val="0"/>
          <w:numId w:val="2"/>
        </w:numPr>
        <w:spacing w:after="60"/>
      </w:pPr>
      <w:r>
        <w:rPr>
          <w:b/>
          <w:bCs/>
          <w:sz w:val="20"/>
          <w:szCs w:val="20"/>
        </w:rPr>
        <w:t xml:space="preserve">2. No licence.</w:t>
      </w:r>
      <w:r>
        <w:rPr>
          <w:sz w:val="20"/>
          <w:szCs w:val="20"/>
        </w:rPr>
        <w:t xml:space="preserve"> The preparer is not licensed or authorised by the UAE Securities and Commodities Authority, the Egyptian Financial Regulatory Authority, or any other securities regulator, and provides no regulated financial service.</w:t>
      </w:r>
    </w:p>
    <w:p>
      <w:pPr>
        <w:pStyle w:val="ListParagraph"/>
        <w:numPr>
          <w:ilvl w:val="0"/>
          <w:numId w:val="2"/>
        </w:numPr>
        <w:spacing w:after="60"/>
      </w:pPr>
      <w:r>
        <w:rPr>
          <w:b/>
          <w:bCs/>
          <w:sz w:val="20"/>
          <w:szCs w:val="20"/>
        </w:rPr>
        <w:t xml:space="preserve">3. No client relationship.</w:t>
      </w:r>
      <w:r>
        <w:rPr>
          <w:sz w:val="20"/>
          <w:szCs w:val="20"/>
        </w:rPr>
        <w:t xml:space="preserve"> Publication creates no advisory, fiduciary or client relationship. The preparer manages no money and accepts no fees, funds or mandates from readers.</w:t>
      </w:r>
    </w:p>
    <w:p>
      <w:pPr>
        <w:pStyle w:val="ListParagraph"/>
        <w:numPr>
          <w:ilvl w:val="0"/>
          <w:numId w:val="2"/>
        </w:numPr>
        <w:spacing w:after="60"/>
      </w:pPr>
      <w:r>
        <w:rPr>
          <w:b/>
          <w:bCs/>
          <w:sz w:val="20"/>
          <w:szCs w:val="20"/>
        </w:rPr>
        <w:t xml:space="preserve">4. Accuracy &amp; sources.</w:t>
      </w:r>
      <w:r>
        <w:rPr>
          <w:sz w:val="20"/>
          <w:szCs w:val="20"/>
        </w:rPr>
        <w:t xml:space="preserve"> Figures are drawn from company disclosure and public sources believed reliable as of 6 July 2026 but not guaranteed; historical lines not separately disclosed are estimated to balance and are marked. Forward-looking statements are judgments that may prove wrong. Currency: AED millions; per-share values in AED; dividends in fils (1/100 AED); USD/AED at the 3.6725 peg; EGP references ~52/USD.</w:t>
      </w:r>
    </w:p>
    <w:p>
      <w:pPr>
        <w:pStyle w:val="ListParagraph"/>
        <w:numPr>
          <w:ilvl w:val="0"/>
          <w:numId w:val="2"/>
        </w:numPr>
        <w:spacing w:after="60"/>
      </w:pPr>
      <w:r>
        <w:rPr>
          <w:b/>
          <w:bCs/>
          <w:sz w:val="20"/>
          <w:szCs w:val="20"/>
        </w:rPr>
        <w:t xml:space="preserve">5. Risk.</w:t>
      </w:r>
      <w:r>
        <w:rPr>
          <w:sz w:val="20"/>
          <w:szCs w:val="20"/>
        </w:rPr>
        <w:t xml:space="preserve"> All investment involves risk, including loss of principal. Past performance and backtests — including the failed calibration test disclosed in §3 and on the ledger — do not predict future results. Consult a licensed financial advisor before any investment decision.</w:t>
      </w:r>
    </w:p>
    <w:p>
      <w:pPr>
        <w:pStyle w:val="ListParagraph"/>
        <w:numPr>
          <w:ilvl w:val="0"/>
          <w:numId w:val="2"/>
        </w:numPr>
        <w:spacing w:after="60"/>
      </w:pPr>
      <w:r>
        <w:rPr>
          <w:b/>
          <w:bCs/>
          <w:sz w:val="20"/>
          <w:szCs w:val="20"/>
        </w:rPr>
        <w:t xml:space="preserve">6. Positions.</w:t>
      </w:r>
      <w:r>
        <w:rPr>
          <w:sz w:val="20"/>
          <w:szCs w:val="20"/>
        </w:rPr>
        <w:t xml:space="preserve"> The preparer may hold, and may in the future take or dispose of, a position in the security discussed in this report.</w:t>
      </w:r>
    </w:p>
    <w:p>
      <w:pPr>
        <w:spacing w:before="240"/>
        <w:jc w:val="center"/>
      </w:pPr>
      <w:r>
        <w:rPr>
          <w:i/>
          <w:iCs/>
          <w:color w:val="6E7B77"/>
          <w:sz w:val="16"/>
          <w:szCs w:val="16"/>
        </w:rPr>
        <w:t xml:space="preserve">TESTAHIL · Independent Valuation Study · Educational Analysis · Agthia Group PJSC (ADX: AGTHIA) · edition 06-07-2026 · reporting currency AED · testahil.com</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2" w:sz="4" w:space="2"/>
      </w:pBdr>
      <w:tabs>
        <w:tab w:val="center" w:pos="4680"/>
        <w:tab w:val="right" w:pos="9360"/>
      </w:tabs>
      <w:spacing w:before="0"/>
    </w:pPr>
    <w:r>
      <w:rPr>
        <w:color w:val="8A9692"/>
        <w:sz w:val="15"/>
        <w:szCs w:val="15"/>
      </w:rPr>
      <w:t xml:space="preserve">testahil.com</w:t>
    </w:r>
    <w:r>
      <w:rPr>
        <w:color w:val="8A9692"/>
        <w:sz w:val="15"/>
        <w:szCs w:val="15"/>
      </w:rPr>
      <w:t xml:space="preserve">	Educational analysis · Not investment advice	</w:t>
    </w:r>
    <w:r>
      <w:rPr>
        <w:color w:val="8A9692"/>
        <w:sz w:val="15"/>
        <w:szCs w:val="15"/>
      </w:rPr>
      <w:t xml:space="preserve">Page </w:t>
    </w:r>
    <w:r>
      <w:rPr>
        <w:color w:val="8A969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2" w:sz="4" w:space="2"/>
      </w:pBdr>
      <w:tabs>
        <w:tab w:val="right" w:pos="9360"/>
      </w:tabs>
      <w:spacing w:after="0"/>
    </w:pPr>
    <w:r>
      <w:rPr>
        <w:color w:val="8A9692"/>
        <w:sz w:val="15"/>
        <w:szCs w:val="15"/>
      </w:rPr>
      <w:t xml:space="preserve">Testahil · Independent Valuation Study</w:t>
    </w:r>
    <w:r>
      <w:rPr>
        <w:color w:val="8A9692"/>
        <w:sz w:val="15"/>
        <w:szCs w:val="15"/>
      </w:rPr>
      <w:t xml:space="preserve">	Agthia Group PJSC (ADX: AGTHIA)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A45F" w:sz="6" w:space="4"/>
      </w:pBdr>
      <w:spacing w:after="140" w:before="300"/>
      <w:outlineLvl w:val="0"/>
    </w:pPr>
    <w:rPr>
      <w:rFonts w:ascii="Calibri" w:cs="Calibri" w:eastAsia="Calibri" w:hAnsi="Calibri"/>
      <w:b/>
      <w:bCs/>
      <w:color w:val="1C3A36"/>
      <w:sz w:val="30"/>
      <w:szCs w:val="30"/>
    </w:rPr>
  </w:style>
  <w:style w:type="paragraph" w:styleId="Heading2">
    <w:name w:val="Heading 2"/>
    <w:basedOn w:val="Normal"/>
    <w:next w:val="Normal"/>
    <w:qFormat/>
    <w:pPr>
      <w:spacing w:after="90" w:before="200"/>
      <w:outlineLvl w:val="1"/>
    </w:pPr>
    <w:rPr>
      <w:rFonts w:ascii="Calibri" w:cs="Calibri" w:eastAsia="Calibri" w:hAnsi="Calibri"/>
      <w:b/>
      <w:bCs/>
      <w:color w:val="896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6a88286511c6284da9a11e1aa90364e16e7d2f.png"/><Relationship Id="rId10" Type="http://schemas.openxmlformats.org/officeDocument/2006/relationships/image" Target="media/476f9b952d3d04f3b7bd496ddc48510f8bac7ec8.png"/><Relationship Id="rId11" Type="http://schemas.openxmlformats.org/officeDocument/2006/relationships/image" Target="media/eb2aa6468efb44c50b47bc752c519ac8a1252f7a.png"/><Relationship Id="rId12" Type="http://schemas.openxmlformats.org/officeDocument/2006/relationships/image" Target="media/4a369d0fa877f25342ea0737c7d6798a862ac356.png"/><Relationship Id="rId13" Type="http://schemas.openxmlformats.org/officeDocument/2006/relationships/image" Target="media/a3b315cde17aae2b64f128feb1c0ac6bdcb8067a.png"/><Relationship Id="rId14" Type="http://schemas.openxmlformats.org/officeDocument/2006/relationships/image" Target="media/92d3ebed8e5fd8872a89574a1e7bfd32d0a931ea.png"/><Relationship Id="rId15" Type="http://schemas.openxmlformats.org/officeDocument/2006/relationships/image" Target="media/0835c9ccffa26c9eed7da22f2ef7f3743409eaa0.png"/><Relationship Id="rId16" Type="http://schemas.openxmlformats.org/officeDocument/2006/relationships/image" Target="media/e0274902b16131ae84479ff36f0ade5349a36d6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Motors PV (NSE: TMPV) — Independent Valuation Study</dc:title>
  <dc:creator>Testahil</dc:creator>
  <cp:lastModifiedBy>Un-named</cp:lastModifiedBy>
  <cp:revision>1</cp:revision>
  <dcterms:created xsi:type="dcterms:W3CDTF">2026-06-30T19:26:38.814Z</dcterms:created>
  <dcterms:modified xsi:type="dcterms:W3CDTF">2026-06-30T19:26:38.827Z</dcterms:modified>
</cp:coreProperties>
</file>

<file path=docProps/custom.xml><?xml version="1.0" encoding="utf-8"?>
<Properties xmlns="http://schemas.openxmlformats.org/officeDocument/2006/custom-properties" xmlns:vt="http://schemas.openxmlformats.org/officeDocument/2006/docPropsVTypes"/>
</file>