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50" w:type="dxa"/>
          <w:bottom w:w="80"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40"/>
      </w:pPr>
      <w:r>
        <w:rPr>
          <w:b/>
          <w:i w:val="0"/>
          <w:color w:val="1C3A36"/>
          <w:sz w:val="26"/>
        </w:rPr>
        <w:t>Alexandria Mineral Oils Company S.A.E. (EGX: AMOC) — Bibliography and Source Register</w:t>
      </w:r>
    </w:p>
    <w:p>
      <w:pPr>
        <w:spacing w:after="100" w:before="0"/>
      </w:pPr>
      <w:r>
        <w:rPr>
          <w:b w:val="0"/>
          <w:i w:val="0"/>
          <w:color w:val="6E7B77"/>
          <w:sz w:val="19"/>
        </w:rPr>
        <w:t>Companion document to the valuation study dated 10 September 2026. It records where every number in that study came from.</w:t>
      </w:r>
    </w:p>
    <w:p>
      <w:pPr>
        <w:spacing w:after="60" w:before="160"/>
      </w:pPr>
      <w:r>
        <w:rPr>
          <w:b/>
          <w:i w:val="0"/>
          <w:color w:val="1C3A36"/>
          <w:sz w:val="22"/>
        </w:rPr>
        <w:t>READ FIRST</w:t>
      </w:r>
    </w:p>
    <w:p>
      <w:pPr>
        <w:spacing w:after="100" w:before="0"/>
      </w:pPr>
      <w:r>
        <w:rPr>
          <w:b w:val="0"/>
          <w:i w:val="0"/>
          <w:color w:val="1C3A36"/>
          <w:sz w:val="20"/>
        </w:rPr>
        <w:t>This document exists so that a reader can check the study rather than trust it. It lists every input the valuation model uses, together with the value, the source, the date of that source and the research layer it belongs to. Nothing in the study is computed from a figure that does not appear here.</w:t>
      </w:r>
    </w:p>
    <w:p>
      <w:pPr>
        <w:spacing w:after="100" w:before="0"/>
      </w:pPr>
      <w:r>
        <w:rPr>
          <w:b w:val="0"/>
          <w:i w:val="0"/>
          <w:color w:val="1C3A36"/>
          <w:sz w:val="20"/>
        </w:rPr>
        <w:t>Three things are worth knowing before reading the tables. First, inputs marked "House" are judgements or derivations made by the analyst, not disclosures by the company; each carries the reasoning that produced it, and a reader is free to disagree and re-run the model. Second, several figures are TRIANGULATED — derived independently by more than one route and averaged, with all the routes shown, because the underlying figure was disclosed only through a growth rate. Third, where a source could not be reached, that is recorded as a negative result at the end of this document rather than quietly filled in.</w:t>
      </w:r>
    </w:p>
    <w:p>
      <w:pPr>
        <w:spacing w:after="60" w:before="160"/>
      </w:pPr>
      <w:r>
        <w:rPr>
          <w:b/>
          <w:i w:val="0"/>
          <w:color w:val="1C3A36"/>
          <w:sz w:val="22"/>
        </w:rPr>
        <w:t>The research layers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8568"/>
      </w:tblGrid>
      <w:tr>
        <w:tc>
          <w:tcPr>
            <w:tcW w:type="dxa" w:w="1512"/>
            <w:shd w:val="clear" w:color="auto" w:fill="EAF0EE"/>
          </w:tcPr>
          <w:p>
            <w:pPr>
              <w:spacing w:after="20"/>
            </w:pPr>
            <w:r>
              <w:rPr>
                <w:b/>
                <w:color w:val="1C3A36"/>
                <w:sz w:val="17"/>
              </w:rPr>
              <w:t>Layer</w:t>
            </w:r>
          </w:p>
        </w:tc>
        <w:tc>
          <w:tcPr>
            <w:tcW w:type="dxa" w:w="8568"/>
            <w:shd w:val="clear" w:color="auto" w:fill="EAF0EE"/>
          </w:tcPr>
          <w:p>
            <w:pPr>
              <w:spacing w:after="20"/>
            </w:pPr>
            <w:r>
              <w:rPr>
                <w:b/>
                <w:color w:val="1C3A36"/>
                <w:sz w:val="17"/>
              </w:rPr>
              <w:t>What it covers</w:t>
            </w:r>
          </w:p>
        </w:tc>
      </w:tr>
      <w:tr>
        <w:tc>
          <w:tcPr>
            <w:tcW w:type="dxa" w:w="1512"/>
          </w:tcPr>
          <w:p>
            <w:pPr>
              <w:spacing w:after="20"/>
            </w:pPr>
            <w:r>
              <w:rPr>
                <w:color w:val="1C3A36"/>
                <w:sz w:val="17"/>
              </w:rPr>
              <w:t>Company</w:t>
            </w:r>
          </w:p>
        </w:tc>
        <w:tc>
          <w:tcPr>
            <w:tcW w:type="dxa" w:w="8568"/>
          </w:tcPr>
          <w:p>
            <w:pPr>
              <w:spacing w:after="20"/>
            </w:pPr>
            <w:r>
              <w:rPr>
                <w:color w:val="1C3A36"/>
                <w:sz w:val="17"/>
              </w:rPr>
              <w:t>Alexandria Mineral Oils' own results releases, general-assembly resolutions and disclosed operating statistics, as reported by the trade and financial press</w:t>
            </w:r>
          </w:p>
        </w:tc>
      </w:tr>
      <w:tr>
        <w:tc>
          <w:tcPr>
            <w:tcW w:type="dxa" w:w="1512"/>
          </w:tcPr>
          <w:p>
            <w:pPr>
              <w:spacing w:after="20"/>
            </w:pPr>
            <w:r>
              <w:rPr>
                <w:color w:val="1C3A36"/>
                <w:sz w:val="17"/>
              </w:rPr>
              <w:t>Country</w:t>
            </w:r>
          </w:p>
        </w:tc>
        <w:tc>
          <w:tcPr>
            <w:tcW w:type="dxa" w:w="8568"/>
          </w:tcPr>
          <w:p>
            <w:pPr>
              <w:spacing w:after="20"/>
            </w:pPr>
            <w:r>
              <w:rPr>
                <w:color w:val="1C3A36"/>
                <w:sz w:val="17"/>
              </w:rPr>
              <w:t>Egyptian macroeconomic and sovereign data: policy rates, government bond yields, sovereign spreads, the exchange rate, the tax regime, the country equity risk premium</w:t>
            </w:r>
          </w:p>
        </w:tc>
      </w:tr>
      <w:tr>
        <w:tc>
          <w:tcPr>
            <w:tcW w:type="dxa" w:w="1512"/>
          </w:tcPr>
          <w:p>
            <w:pPr>
              <w:spacing w:after="20"/>
            </w:pPr>
            <w:r>
              <w:rPr>
                <w:color w:val="1C3A36"/>
                <w:sz w:val="17"/>
              </w:rPr>
              <w:t>Industry</w:t>
            </w:r>
          </w:p>
        </w:tc>
        <w:tc>
          <w:tcPr>
            <w:tcW w:type="dxa" w:w="8568"/>
          </w:tcPr>
          <w:p>
            <w:pPr>
              <w:spacing w:after="20"/>
            </w:pPr>
            <w:r>
              <w:rPr>
                <w:color w:val="1C3A36"/>
                <w:sz w:val="17"/>
              </w:rPr>
              <w:t>Lubricant base oils, paraffin wax and refined-product markets; the crude and product price deck</w:t>
            </w:r>
          </w:p>
        </w:tc>
      </w:tr>
      <w:tr>
        <w:tc>
          <w:tcPr>
            <w:tcW w:type="dxa" w:w="1512"/>
          </w:tcPr>
          <w:p>
            <w:pPr>
              <w:spacing w:after="20"/>
            </w:pPr>
            <w:r>
              <w:rPr>
                <w:color w:val="1C3A36"/>
                <w:sz w:val="17"/>
              </w:rPr>
              <w:t>Global</w:t>
            </w:r>
          </w:p>
        </w:tc>
        <w:tc>
          <w:tcPr>
            <w:tcW w:type="dxa" w:w="8568"/>
          </w:tcPr>
          <w:p>
            <w:pPr>
              <w:spacing w:after="20"/>
            </w:pPr>
            <w:r>
              <w:rPr>
                <w:color w:val="1C3A36"/>
                <w:sz w:val="17"/>
              </w:rPr>
              <w:t>World interest rates and growth used in the currency-of-discounting alternative and the terminal ceiling</w:t>
            </w:r>
          </w:p>
        </w:tc>
      </w:tr>
      <w:tr>
        <w:tc>
          <w:tcPr>
            <w:tcW w:type="dxa" w:w="1512"/>
          </w:tcPr>
          <w:p>
            <w:pPr>
              <w:spacing w:after="20"/>
            </w:pPr>
            <w:r>
              <w:rPr>
                <w:color w:val="1C3A36"/>
                <w:sz w:val="17"/>
              </w:rPr>
              <w:t>House</w:t>
            </w:r>
          </w:p>
        </w:tc>
        <w:tc>
          <w:tcPr>
            <w:tcW w:type="dxa" w:w="8568"/>
          </w:tcPr>
          <w:p>
            <w:pPr>
              <w:spacing w:after="20"/>
            </w:pPr>
            <w:r>
              <w:rPr>
                <w:color w:val="1C3A36"/>
                <w:sz w:val="17"/>
              </w:rPr>
              <w:t>Analyst judgement — forecast drivers, normalisation choices and cost-of-capital construction. Each is argued in place rather than asserted</w:t>
            </w:r>
          </w:p>
        </w:tc>
      </w:tr>
    </w:tbl>
    <w:p>
      <w:pPr>
        <w:spacing w:after="40"/>
      </w:pPr>
    </w:p>
    <w:p>
      <w:pPr>
        <w:spacing w:after="60" w:before="160"/>
      </w:pPr>
      <w:r>
        <w:rPr>
          <w:b/>
          <w:i w:val="0"/>
          <w:color w:val="1C3A36"/>
          <w:sz w:val="22"/>
        </w:rPr>
        <w:t>Primary sources relied upon</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477"/>
        <w:gridCol w:w="1152"/>
        <w:gridCol w:w="3859"/>
      </w:tblGrid>
      <w:tr>
        <w:tc>
          <w:tcPr>
            <w:tcW w:type="dxa" w:w="2664"/>
            <w:shd w:val="clear" w:color="auto" w:fill="EAF0EE"/>
          </w:tcPr>
          <w:p>
            <w:pPr>
              <w:spacing w:after="20"/>
            </w:pPr>
            <w:r>
              <w:rPr>
                <w:b/>
                <w:color w:val="1C3A36"/>
                <w:sz w:val="15"/>
              </w:rPr>
              <w:t>Source</w:t>
            </w:r>
          </w:p>
        </w:tc>
        <w:tc>
          <w:tcPr>
            <w:tcW w:type="dxa" w:w="2477"/>
            <w:shd w:val="clear" w:color="auto" w:fill="EAF0EE"/>
          </w:tcPr>
          <w:p>
            <w:pPr>
              <w:spacing w:after="20"/>
            </w:pPr>
            <w:r>
              <w:rPr>
                <w:b/>
                <w:color w:val="1C3A36"/>
                <w:sz w:val="15"/>
              </w:rPr>
              <w:t>Publisher</w:t>
            </w:r>
          </w:p>
        </w:tc>
        <w:tc>
          <w:tcPr>
            <w:tcW w:type="dxa" w:w="1152"/>
            <w:shd w:val="clear" w:color="auto" w:fill="EAF0EE"/>
          </w:tcPr>
          <w:p>
            <w:pPr>
              <w:spacing w:after="20"/>
            </w:pPr>
            <w:r>
              <w:rPr>
                <w:b/>
                <w:color w:val="1C3A36"/>
                <w:sz w:val="15"/>
              </w:rPr>
              <w:t>Date</w:t>
            </w:r>
          </w:p>
        </w:tc>
        <w:tc>
          <w:tcPr>
            <w:tcW w:type="dxa" w:w="3859"/>
            <w:shd w:val="clear" w:color="auto" w:fill="EAF0EE"/>
          </w:tcPr>
          <w:p>
            <w:pPr>
              <w:spacing w:after="20"/>
            </w:pPr>
            <w:r>
              <w:rPr>
                <w:b/>
                <w:color w:val="1C3A36"/>
                <w:sz w:val="15"/>
              </w:rPr>
              <w:t>What was taken from it</w:t>
            </w:r>
          </w:p>
        </w:tc>
      </w:tr>
      <w:tr>
        <w:tc>
          <w:tcPr>
            <w:tcW w:type="dxa" w:w="2664"/>
          </w:tcPr>
          <w:p>
            <w:pPr>
              <w:spacing w:after="20"/>
            </w:pPr>
            <w:r>
              <w:rPr>
                <w:color w:val="1C3A36"/>
                <w:sz w:val="15"/>
              </w:rPr>
              <w:t>"AMOC Doubles FY 2025/26 Profit as Revenue Expands 35%"</w:t>
            </w:r>
          </w:p>
        </w:tc>
        <w:tc>
          <w:tcPr>
            <w:tcW w:type="dxa" w:w="2477"/>
          </w:tcPr>
          <w:p>
            <w:pPr>
              <w:spacing w:after="20"/>
            </w:pPr>
            <w:r>
              <w:rPr>
                <w:color w:val="1C3A36"/>
                <w:sz w:val="15"/>
              </w:rPr>
              <w:t>Egypt Oil &amp; Gas</w:t>
            </w:r>
          </w:p>
        </w:tc>
        <w:tc>
          <w:tcPr>
            <w:tcW w:type="dxa" w:w="1152"/>
          </w:tcPr>
          <w:p>
            <w:pPr>
              <w:spacing w:after="20"/>
            </w:pPr>
            <w:r>
              <w:rPr>
                <w:color w:val="1C3A36"/>
                <w:sz w:val="15"/>
              </w:rPr>
              <w:t>Aug 2026</w:t>
            </w:r>
          </w:p>
        </w:tc>
        <w:tc>
          <w:tcPr>
            <w:tcW w:type="dxa" w:w="3859"/>
          </w:tcPr>
          <w:p>
            <w:pPr>
              <w:spacing w:after="20"/>
            </w:pPr>
            <w:r>
              <w:rPr>
                <w:color w:val="1C3A36"/>
                <w:sz w:val="15"/>
              </w:rPr>
              <w:t>Revenue and profit after tax for the six months to 30 June 2026, on both a consolidated and a standalone basis, together with operating cash flow. Carried as corroboration only; the period it covers was IDENTIFIED by reconciling its two reported growth rates against the constructed comparative</w:t>
            </w:r>
          </w:p>
        </w:tc>
      </w:tr>
      <w:tr>
        <w:tc>
          <w:tcPr>
            <w:tcW w:type="dxa" w:w="2664"/>
          </w:tcPr>
          <w:p>
            <w:pPr>
              <w:spacing w:after="20"/>
            </w:pPr>
            <w:r>
              <w:rPr>
                <w:color w:val="1C3A36"/>
                <w:sz w:val="15"/>
              </w:rPr>
              <w:t>"AMOC Net Profit Rises 37% in Q1 2026"</w:t>
            </w:r>
          </w:p>
        </w:tc>
        <w:tc>
          <w:tcPr>
            <w:tcW w:type="dxa" w:w="2477"/>
          </w:tcPr>
          <w:p>
            <w:pPr>
              <w:spacing w:after="20"/>
            </w:pPr>
            <w:r>
              <w:rPr>
                <w:color w:val="1C3A36"/>
                <w:sz w:val="15"/>
              </w:rPr>
              <w:t>Egypt Oil &amp; Gas</w:t>
            </w:r>
          </w:p>
        </w:tc>
        <w:tc>
          <w:tcPr>
            <w:tcW w:type="dxa" w:w="1152"/>
          </w:tcPr>
          <w:p>
            <w:pPr>
              <w:spacing w:after="20"/>
            </w:pPr>
            <w:r>
              <w:rPr>
                <w:color w:val="1C3A36"/>
                <w:sz w:val="15"/>
              </w:rPr>
              <w:t>Apr–May 2026</w:t>
            </w:r>
          </w:p>
        </w:tc>
        <w:tc>
          <w:tcPr>
            <w:tcW w:type="dxa" w:w="3859"/>
          </w:tcPr>
          <w:p>
            <w:pPr>
              <w:spacing w:after="20"/>
            </w:pPr>
            <w:r>
              <w:rPr>
                <w:color w:val="1C3A36"/>
                <w:sz w:val="15"/>
              </w:rPr>
              <w:t>Consolidated net sales of EGP 10.51bn and consolidated net profit of EGP 635.12mn for the quarter to 31 March 2026, with the prior-year comparative. Also the confirmation that the company now reports on CALENDAR quarters</w:t>
            </w:r>
          </w:p>
        </w:tc>
      </w:tr>
      <w:tr>
        <w:tc>
          <w:tcPr>
            <w:tcW w:type="dxa" w:w="2664"/>
          </w:tcPr>
          <w:p>
            <w:pPr>
              <w:spacing w:after="20"/>
            </w:pPr>
            <w:r>
              <w:rPr>
                <w:color w:val="1C3A36"/>
                <w:sz w:val="15"/>
              </w:rPr>
              <w:t>"AMOC Reports Sales of EGP 20 Bn in H2 2025" and the general-assembly report</w:t>
            </w:r>
          </w:p>
        </w:tc>
        <w:tc>
          <w:tcPr>
            <w:tcW w:type="dxa" w:w="2477"/>
          </w:tcPr>
          <w:p>
            <w:pPr>
              <w:spacing w:after="20"/>
            </w:pPr>
            <w:r>
              <w:rPr>
                <w:color w:val="1C3A36"/>
                <w:sz w:val="15"/>
              </w:rPr>
              <w:t>Egypt Oil &amp; Gas; Egyptian Ministry of Petroleum</w:t>
            </w:r>
          </w:p>
        </w:tc>
        <w:tc>
          <w:tcPr>
            <w:tcW w:type="dxa" w:w="1152"/>
          </w:tcPr>
          <w:p>
            <w:pPr>
              <w:spacing w:after="20"/>
            </w:pPr>
            <w:r>
              <w:rPr>
                <w:color w:val="1C3A36"/>
                <w:sz w:val="15"/>
              </w:rPr>
              <w:t>Mar 2026</w:t>
            </w:r>
          </w:p>
        </w:tc>
        <w:tc>
          <w:tcPr>
            <w:tcW w:type="dxa" w:w="3859"/>
          </w:tcPr>
          <w:p>
            <w:pPr>
              <w:spacing w:after="20"/>
            </w:pPr>
            <w:r>
              <w:rPr>
                <w:color w:val="1C3A36"/>
                <w:sz w:val="15"/>
              </w:rPr>
              <w:t>The July–December 2025 transition period: 808,000 tonnes sold, sales of about EGP 20bn, a 14.5% growth rate, exports of about 42,000 tonnes up 40%, the EGP 0.40 per share dividend approved on 28 March 2026, and the four new storage tanks</w:t>
            </w:r>
          </w:p>
        </w:tc>
      </w:tr>
      <w:tr>
        <w:tc>
          <w:tcPr>
            <w:tcW w:type="dxa" w:w="2664"/>
          </w:tcPr>
          <w:p>
            <w:pPr>
              <w:spacing w:after="20"/>
            </w:pPr>
            <w:r>
              <w:rPr>
                <w:color w:val="1C3A36"/>
                <w:sz w:val="15"/>
              </w:rPr>
              <w:t>"AMOC's consolidated profits rise 2% YoY in H1 FY 2025/26"</w:t>
            </w:r>
          </w:p>
        </w:tc>
        <w:tc>
          <w:tcPr>
            <w:tcW w:type="dxa" w:w="2477"/>
          </w:tcPr>
          <w:p>
            <w:pPr>
              <w:spacing w:after="20"/>
            </w:pPr>
            <w:r>
              <w:rPr>
                <w:color w:val="1C3A36"/>
                <w:sz w:val="15"/>
              </w:rPr>
              <w:t>Arab Finance</w:t>
            </w:r>
          </w:p>
        </w:tc>
        <w:tc>
          <w:tcPr>
            <w:tcW w:type="dxa" w:w="1152"/>
          </w:tcPr>
          <w:p>
            <w:pPr>
              <w:spacing w:after="20"/>
            </w:pPr>
            <w:r>
              <w:rPr>
                <w:color w:val="1C3A36"/>
                <w:sz w:val="15"/>
              </w:rPr>
              <w:t>Feb 2026</w:t>
            </w:r>
          </w:p>
        </w:tc>
        <w:tc>
          <w:tcPr>
            <w:tcW w:type="dxa" w:w="3859"/>
          </w:tcPr>
          <w:p>
            <w:pPr>
              <w:spacing w:after="20"/>
            </w:pPr>
            <w:r>
              <w:rPr>
                <w:color w:val="1C3A36"/>
                <w:sz w:val="15"/>
              </w:rPr>
              <w:t>Consolidated sales of EGP 20.735bn against EGP 18.246bn, and consolidated profit after tax of EGP 656.428mn, +2%. The prior-year comparative half is what makes the base-year construction possible</w:t>
            </w:r>
          </w:p>
        </w:tc>
      </w:tr>
      <w:tr>
        <w:tc>
          <w:tcPr>
            <w:tcW w:type="dxa" w:w="2664"/>
          </w:tcPr>
          <w:p>
            <w:pPr>
              <w:spacing w:after="20"/>
            </w:pPr>
            <w:r>
              <w:rPr>
                <w:color w:val="1C3A36"/>
                <w:sz w:val="15"/>
              </w:rPr>
              <w:t>"AMOC Reports 27% Sales Growth for Q1 FY2025/26"</w:t>
            </w:r>
          </w:p>
        </w:tc>
        <w:tc>
          <w:tcPr>
            <w:tcW w:type="dxa" w:w="2477"/>
          </w:tcPr>
          <w:p>
            <w:pPr>
              <w:spacing w:after="20"/>
            </w:pPr>
            <w:r>
              <w:rPr>
                <w:color w:val="1C3A36"/>
                <w:sz w:val="15"/>
              </w:rPr>
              <w:t>Egypt Oil &amp; Gas</w:t>
            </w:r>
          </w:p>
        </w:tc>
        <w:tc>
          <w:tcPr>
            <w:tcW w:type="dxa" w:w="1152"/>
          </w:tcPr>
          <w:p>
            <w:pPr>
              <w:spacing w:after="20"/>
            </w:pPr>
            <w:r>
              <w:rPr>
                <w:color w:val="1C3A36"/>
                <w:sz w:val="15"/>
              </w:rPr>
              <w:t>Nov 2025</w:t>
            </w:r>
          </w:p>
        </w:tc>
        <w:tc>
          <w:tcPr>
            <w:tcW w:type="dxa" w:w="3859"/>
          </w:tcPr>
          <w:p>
            <w:pPr>
              <w:spacing w:after="20"/>
            </w:pPr>
            <w:r>
              <w:rPr>
                <w:color w:val="1C3A36"/>
                <w:sz w:val="15"/>
              </w:rPr>
              <w:t>Standalone and consolidated net sales and profit for the quarter to 30 September 2025</w:t>
            </w:r>
          </w:p>
        </w:tc>
      </w:tr>
      <w:tr>
        <w:tc>
          <w:tcPr>
            <w:tcW w:type="dxa" w:w="2664"/>
          </w:tcPr>
          <w:p>
            <w:pPr>
              <w:spacing w:after="20"/>
            </w:pPr>
            <w:r>
              <w:rPr>
                <w:color w:val="1C3A36"/>
                <w:sz w:val="15"/>
              </w:rPr>
              <w:t>"AMOC Reports 17.3% Increase in Standalone Net Profit for FY 2024/25" and the FY2024/25 results commentary</w:t>
            </w:r>
          </w:p>
        </w:tc>
        <w:tc>
          <w:tcPr>
            <w:tcW w:type="dxa" w:w="2477"/>
          </w:tcPr>
          <w:p>
            <w:pPr>
              <w:spacing w:after="20"/>
            </w:pPr>
            <w:r>
              <w:rPr>
                <w:color w:val="1C3A36"/>
                <w:sz w:val="15"/>
              </w:rPr>
              <w:t>Egypt Oil &amp; Gas; MarketScreener</w:t>
            </w:r>
          </w:p>
        </w:tc>
        <w:tc>
          <w:tcPr>
            <w:tcW w:type="dxa" w:w="1152"/>
          </w:tcPr>
          <w:p>
            <w:pPr>
              <w:spacing w:after="20"/>
            </w:pPr>
            <w:r>
              <w:rPr>
                <w:color w:val="1C3A36"/>
                <w:sz w:val="15"/>
              </w:rPr>
              <w:t>Sep–Oct 2025</w:t>
            </w:r>
          </w:p>
        </w:tc>
        <w:tc>
          <w:tcPr>
            <w:tcW w:type="dxa" w:w="3859"/>
          </w:tcPr>
          <w:p>
            <w:pPr>
              <w:spacing w:after="20"/>
            </w:pPr>
            <w:r>
              <w:rPr>
                <w:color w:val="1C3A36"/>
                <w:sz w:val="15"/>
              </w:rPr>
              <w:t>Standalone profit of EGP 1.49bn (+17.3%) and consolidated profit of EGP 1.55bn (+3%) for the year to 30 June 2025; sales of 1.26mn tonnes valued at EGP 36.9bn, +10.8% on 2023/24; output of oils and waxes of 172,000 tonnes at 108% of target</w:t>
            </w:r>
          </w:p>
        </w:tc>
      </w:tr>
      <w:tr>
        <w:tc>
          <w:tcPr>
            <w:tcW w:type="dxa" w:w="2664"/>
          </w:tcPr>
          <w:p>
            <w:pPr>
              <w:spacing w:after="20"/>
            </w:pPr>
            <w:r>
              <w:rPr>
                <w:color w:val="1C3A36"/>
                <w:sz w:val="15"/>
              </w:rPr>
              <w:t>"AMOC approves FY2025/26 planning budget"; "AMOC Approves EGP 580mm Capital Budget"</w:t>
            </w:r>
          </w:p>
        </w:tc>
        <w:tc>
          <w:tcPr>
            <w:tcW w:type="dxa" w:w="2477"/>
          </w:tcPr>
          <w:p>
            <w:pPr>
              <w:spacing w:after="20"/>
            </w:pPr>
            <w:r>
              <w:rPr>
                <w:color w:val="1C3A36"/>
                <w:sz w:val="15"/>
              </w:rPr>
              <w:t>Zawya / Reuters; Egypt Oil &amp; Gas</w:t>
            </w:r>
          </w:p>
        </w:tc>
        <w:tc>
          <w:tcPr>
            <w:tcW w:type="dxa" w:w="1152"/>
          </w:tcPr>
          <w:p>
            <w:pPr>
              <w:spacing w:after="20"/>
            </w:pPr>
            <w:r>
              <w:rPr>
                <w:color w:val="1C3A36"/>
                <w:sz w:val="15"/>
              </w:rPr>
              <w:t>Jun–Jul 2025</w:t>
            </w:r>
          </w:p>
        </w:tc>
        <w:tc>
          <w:tcPr>
            <w:tcW w:type="dxa" w:w="3859"/>
          </w:tcPr>
          <w:p>
            <w:pPr>
              <w:spacing w:after="20"/>
            </w:pPr>
            <w:r>
              <w:rPr>
                <w:color w:val="1C3A36"/>
                <w:sz w:val="15"/>
              </w:rPr>
              <w:t>The approved capital budget of EGP 580.19mn and the planning-budget net sales of EGP 37.332bn — the anchor for the capital-expenditure driver</w:t>
            </w:r>
          </w:p>
        </w:tc>
      </w:tr>
      <w:tr>
        <w:tc>
          <w:tcPr>
            <w:tcW w:type="dxa" w:w="2664"/>
          </w:tcPr>
          <w:p>
            <w:pPr>
              <w:spacing w:after="20"/>
            </w:pPr>
            <w:r>
              <w:rPr>
                <w:color w:val="1C3A36"/>
                <w:sz w:val="15"/>
              </w:rPr>
              <w:t>"AMOC's Exceptional Fiscal Year 22/23 Results Gain Approval at the Annual General Assembly"</w:t>
            </w:r>
          </w:p>
        </w:tc>
        <w:tc>
          <w:tcPr>
            <w:tcW w:type="dxa" w:w="2477"/>
          </w:tcPr>
          <w:p>
            <w:pPr>
              <w:spacing w:after="20"/>
            </w:pPr>
            <w:r>
              <w:rPr>
                <w:color w:val="1C3A36"/>
                <w:sz w:val="15"/>
              </w:rPr>
              <w:t>MoneyController</w:t>
            </w:r>
          </w:p>
        </w:tc>
        <w:tc>
          <w:tcPr>
            <w:tcW w:type="dxa" w:w="1152"/>
          </w:tcPr>
          <w:p>
            <w:pPr>
              <w:spacing w:after="20"/>
            </w:pPr>
            <w:r>
              <w:rPr>
                <w:color w:val="1C3A36"/>
                <w:sz w:val="15"/>
              </w:rPr>
              <w:t>2023</w:t>
            </w:r>
          </w:p>
        </w:tc>
        <w:tc>
          <w:tcPr>
            <w:tcW w:type="dxa" w:w="3859"/>
          </w:tcPr>
          <w:p>
            <w:pPr>
              <w:spacing w:after="20"/>
            </w:pPr>
            <w:r>
              <w:rPr>
                <w:color w:val="1C3A36"/>
                <w:sz w:val="15"/>
              </w:rPr>
              <w:t>Cost of sales of EGP 21,218.64mn and gross profit of EGP 1,297.01mn for the year to 30 June 2023 — the ONLY period for which both the cost line and the margin line are separately available, and therefore the anchor for the whole margin discussion</w:t>
            </w:r>
          </w:p>
        </w:tc>
      </w:tr>
      <w:tr>
        <w:tc>
          <w:tcPr>
            <w:tcW w:type="dxa" w:w="2664"/>
          </w:tcPr>
          <w:p>
            <w:pPr>
              <w:spacing w:after="20"/>
            </w:pPr>
            <w:r>
              <w:rPr>
                <w:color w:val="1C3A36"/>
                <w:sz w:val="15"/>
              </w:rPr>
              <w:t>Company financial summary pages</w:t>
            </w:r>
          </w:p>
        </w:tc>
        <w:tc>
          <w:tcPr>
            <w:tcW w:type="dxa" w:w="2477"/>
          </w:tcPr>
          <w:p>
            <w:pPr>
              <w:spacing w:after="20"/>
            </w:pPr>
            <w:r>
              <w:rPr>
                <w:color w:val="1C3A36"/>
                <w:sz w:val="15"/>
              </w:rPr>
              <w:t>stockanalysis.com; Investing.com; TradingView</w:t>
            </w:r>
          </w:p>
        </w:tc>
        <w:tc>
          <w:tcPr>
            <w:tcW w:type="dxa" w:w="1152"/>
          </w:tcPr>
          <w:p>
            <w:pPr>
              <w:spacing w:after="20"/>
            </w:pPr>
            <w:r>
              <w:rPr>
                <w:color w:val="1C3A36"/>
                <w:sz w:val="15"/>
              </w:rPr>
              <w:t>Aug 2026</w:t>
            </w:r>
          </w:p>
        </w:tc>
        <w:tc>
          <w:tcPr>
            <w:tcW w:type="dxa" w:w="3859"/>
          </w:tcPr>
          <w:p>
            <w:pPr>
              <w:spacing w:after="20"/>
            </w:pPr>
            <w:r>
              <w:rPr>
                <w:color w:val="1C3A36"/>
                <w:sz w:val="15"/>
              </w:rPr>
              <w:t>Shares outstanding, market capitalisation, total assets, total liabilities, cash and equivalents, total debt, dividend per share and payout ratio</w:t>
            </w:r>
          </w:p>
        </w:tc>
      </w:tr>
      <w:tr>
        <w:tc>
          <w:tcPr>
            <w:tcW w:type="dxa" w:w="2664"/>
          </w:tcPr>
          <w:p>
            <w:pPr>
              <w:spacing w:after="20"/>
            </w:pPr>
            <w:r>
              <w:rPr>
                <w:color w:val="1C3A36"/>
                <w:sz w:val="15"/>
              </w:rPr>
              <w:t>Monetary Policy Report Q1 2026 and the August 2026 rate decision</w:t>
            </w:r>
          </w:p>
        </w:tc>
        <w:tc>
          <w:tcPr>
            <w:tcW w:type="dxa" w:w="2477"/>
          </w:tcPr>
          <w:p>
            <w:pPr>
              <w:spacing w:after="20"/>
            </w:pPr>
            <w:r>
              <w:rPr>
                <w:color w:val="1C3A36"/>
                <w:sz w:val="15"/>
              </w:rPr>
              <w:t>Central Bank of Egypt</w:t>
            </w:r>
          </w:p>
        </w:tc>
        <w:tc>
          <w:tcPr>
            <w:tcW w:type="dxa" w:w="1152"/>
          </w:tcPr>
          <w:p>
            <w:pPr>
              <w:spacing w:after="20"/>
            </w:pPr>
            <w:r>
              <w:rPr>
                <w:color w:val="1C3A36"/>
                <w:sz w:val="15"/>
              </w:rPr>
              <w:t>2026</w:t>
            </w:r>
          </w:p>
        </w:tc>
        <w:tc>
          <w:tcPr>
            <w:tcW w:type="dxa" w:w="3859"/>
          </w:tcPr>
          <w:p>
            <w:pPr>
              <w:spacing w:after="20"/>
            </w:pPr>
            <w:r>
              <w:rPr>
                <w:color w:val="1C3A36"/>
                <w:sz w:val="15"/>
              </w:rPr>
              <w:t>Main operation rate 19.50% (corridor 19.00/20.00), held for a second consecutive meeting; annual headline inflation of 14.30% in June 2026; the 7% (±2pp) fourth-quarter 2026 and 5% (±2pp) fourth-quarter 2028 inflation targets used to build the terminal risk-free rate</w:t>
            </w:r>
          </w:p>
        </w:tc>
      </w:tr>
      <w:tr>
        <w:tc>
          <w:tcPr>
            <w:tcW w:type="dxa" w:w="2664"/>
          </w:tcPr>
          <w:p>
            <w:pPr>
              <w:spacing w:after="20"/>
            </w:pPr>
            <w:r>
              <w:rPr>
                <w:color w:val="1C3A36"/>
                <w:sz w:val="15"/>
              </w:rPr>
              <w:t>Country default spreads and risk premiums, Egypt row</w:t>
            </w:r>
          </w:p>
        </w:tc>
        <w:tc>
          <w:tcPr>
            <w:tcW w:type="dxa" w:w="2477"/>
          </w:tcPr>
          <w:p>
            <w:pPr>
              <w:spacing w:after="20"/>
            </w:pPr>
            <w:r>
              <w:rPr>
                <w:color w:val="1C3A36"/>
                <w:sz w:val="15"/>
              </w:rPr>
              <w:t>A. Damodaran, Stern School of Business, New York University</w:t>
            </w:r>
          </w:p>
        </w:tc>
        <w:tc>
          <w:tcPr>
            <w:tcW w:type="dxa" w:w="1152"/>
          </w:tcPr>
          <w:p>
            <w:pPr>
              <w:spacing w:after="20"/>
            </w:pPr>
            <w:r>
              <w:rPr>
                <w:color w:val="1C3A36"/>
                <w:sz w:val="15"/>
              </w:rPr>
              <w:t>January 2026</w:t>
            </w:r>
          </w:p>
        </w:tc>
        <w:tc>
          <w:tcPr>
            <w:tcW w:type="dxa" w:w="3859"/>
          </w:tcPr>
          <w:p>
            <w:pPr>
              <w:spacing w:after="20"/>
            </w:pPr>
            <w:r>
              <w:rPr>
                <w:color w:val="1C3A36"/>
                <w:sz w:val="15"/>
              </w:rPr>
              <w:t>The credit-default-swap-basis equity risk premium and sovereign default spread used as primary, and the rating-basis pair disclosed as the computed alternative</w:t>
            </w:r>
          </w:p>
        </w:tc>
      </w:tr>
      <w:tr>
        <w:tc>
          <w:tcPr>
            <w:tcW w:type="dxa" w:w="2664"/>
          </w:tcPr>
          <w:p>
            <w:pPr>
              <w:spacing w:after="20"/>
            </w:pPr>
            <w:r>
              <w:rPr>
                <w:color w:val="1C3A36"/>
                <w:sz w:val="15"/>
              </w:rPr>
              <w:t>Egyptian pound closing rates and the 10-year government bond yield</w:t>
            </w:r>
          </w:p>
        </w:tc>
        <w:tc>
          <w:tcPr>
            <w:tcW w:type="dxa" w:w="2477"/>
          </w:tcPr>
          <w:p>
            <w:pPr>
              <w:spacing w:after="20"/>
            </w:pPr>
            <w:r>
              <w:rPr>
                <w:color w:val="1C3A36"/>
                <w:sz w:val="15"/>
              </w:rPr>
              <w:t>Amwal Al Ghad; house cost-of-capital reference</w:t>
            </w:r>
          </w:p>
        </w:tc>
        <w:tc>
          <w:tcPr>
            <w:tcW w:type="dxa" w:w="1152"/>
          </w:tcPr>
          <w:p>
            <w:pPr>
              <w:spacing w:after="20"/>
            </w:pPr>
            <w:r>
              <w:rPr>
                <w:color w:val="1C3A36"/>
                <w:sz w:val="15"/>
              </w:rPr>
              <w:t>Jul–Aug 2026</w:t>
            </w:r>
          </w:p>
        </w:tc>
        <w:tc>
          <w:tcPr>
            <w:tcW w:type="dxa" w:w="3859"/>
          </w:tcPr>
          <w:p>
            <w:pPr>
              <w:spacing w:after="20"/>
            </w:pPr>
            <w:r>
              <w:rPr>
                <w:color w:val="1C3A36"/>
                <w:sz w:val="15"/>
              </w:rPr>
              <w:t>USD/EGP at 50.25 (close of 50.30/50.40 on 4 August 2026) and the 10-year local-currency yield of 22.31%</w:t>
            </w:r>
          </w:p>
        </w:tc>
      </w:tr>
      <w:tr>
        <w:tc>
          <w:tcPr>
            <w:tcW w:type="dxa" w:w="2664"/>
          </w:tcPr>
          <w:p>
            <w:pPr>
              <w:spacing w:after="20"/>
            </w:pPr>
            <w:r>
              <w:rPr>
                <w:color w:val="1C3A36"/>
                <w:sz w:val="15"/>
              </w:rPr>
              <w:t>AMOC daily price history — open, high, low, close and volume</w:t>
            </w:r>
          </w:p>
        </w:tc>
        <w:tc>
          <w:tcPr>
            <w:tcW w:type="dxa" w:w="2477"/>
          </w:tcPr>
          <w:p>
            <w:pPr>
              <w:spacing w:after="20"/>
            </w:pPr>
            <w:r>
              <w:rPr>
                <w:color w:val="1C3A36"/>
                <w:sz w:val="15"/>
              </w:rPr>
              <w:t>Vendor export, screened through the house data-quality gate</w:t>
            </w:r>
          </w:p>
        </w:tc>
        <w:tc>
          <w:tcPr>
            <w:tcW w:type="dxa" w:w="1152"/>
          </w:tcPr>
          <w:p>
            <w:pPr>
              <w:spacing w:after="20"/>
            </w:pPr>
            <w:r>
              <w:rPr>
                <w:color w:val="1C3A36"/>
                <w:sz w:val="15"/>
              </w:rPr>
              <w:t>2 Jan 2011 – 6 Aug 2026</w:t>
            </w:r>
          </w:p>
        </w:tc>
        <w:tc>
          <w:tcPr>
            <w:tcW w:type="dxa" w:w="3859"/>
          </w:tcPr>
          <w:p>
            <w:pPr>
              <w:spacing w:after="20"/>
            </w:pPr>
            <w:r>
              <w:rPr>
                <w:color w:val="1C3A36"/>
                <w:sz w:val="15"/>
              </w:rPr>
              <w:t>The full price history: the closing price the study is anchored on, the beta regression, the volatility estimate and the simulated price distribution</w:t>
            </w:r>
          </w:p>
        </w:tc>
      </w:tr>
    </w:tbl>
    <w:p>
      <w:pPr>
        <w:spacing w:after="40"/>
      </w:pPr>
    </w:p>
    <w:p>
      <w:pPr>
        <w:spacing w:after="80" w:before="240"/>
      </w:pPr>
      <w:r>
        <w:rPr>
          <w:b/>
          <w:i w:val="0"/>
          <w:color w:val="1C3A36"/>
          <w:sz w:val="26"/>
        </w:rPr>
        <w:t>Triangulated figures — RETIRED</w:t>
      </w:r>
    </w:p>
    <w:p>
      <w:pPr>
        <w:spacing w:after="100" w:before="0"/>
      </w:pPr>
      <w:r>
        <w:rPr>
          <w:b w:val="0"/>
          <w:i w:val="0"/>
          <w:color w:val="1C3A36"/>
          <w:sz w:val="20"/>
        </w:rPr>
        <w:t>The first edition carried a table here of figures disclosed only through growth rates, each derived by two or three independent routes and averaged, with every route shown. That table is REMOVED rather than updated: the figures it triangulated are now read straight off the audited statements. Keeping it would imply a corroboration exercise that no longer has anything to corroborate.</w:t>
      </w:r>
    </w:p>
    <w:p>
      <w:pPr>
        <w:spacing w:after="100" w:before="0"/>
      </w:pPr>
      <w:r>
        <w:rPr>
          <w:b w:val="0"/>
          <w:i w:val="0"/>
          <w:color w:val="1C3A36"/>
          <w:sz w:val="20"/>
        </w:rPr>
        <w:t>Two derivations remain, and the study states both on its face. FIRST, the base year: the twelve contiguous months to 30 June 2026 — the audited transition half plus the half disclosed to the exchange on 29-30 July 2026 — with no annualisation scalar; the audited nine months annualised by four thirds is published beside it as the fully-audited alternative. SECOND, the gross profit of the reported half: the released figure of EGP 3,258mn, run through the company's own first-quarter expense run rates, implies a profit after tax +0.0% above the profit printed in the same release, so it is rejected and the figure used, EGP 3,259mn, is SOLVED from the release's own profit line. Two coherence tests support the profit line it is solved from: the reported majority profit ties to the AUDITED statement of changes in equity within 0.9%, and the reported revenue ties to an independent triangulation within 0.0%.</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92"/>
        <w:gridCol w:w="5760"/>
      </w:tblGrid>
      <w:tr>
        <w:tc>
          <w:tcPr>
            <w:tcW w:type="dxa" w:w="4392"/>
            <w:shd w:val="clear" w:color="auto" w:fill="EAF0EE"/>
          </w:tcPr>
          <w:p>
            <w:pPr>
              <w:spacing w:after="20"/>
            </w:pPr>
            <w:r>
              <w:rPr>
                <w:b/>
                <w:color w:val="1C3A36"/>
                <w:sz w:val="15"/>
              </w:rPr>
              <w:t>What the first edition triangulated</w:t>
            </w:r>
          </w:p>
        </w:tc>
        <w:tc>
          <w:tcPr>
            <w:tcW w:type="dxa" w:w="5760"/>
            <w:shd w:val="clear" w:color="auto" w:fill="EAF0EE"/>
          </w:tcPr>
          <w:p>
            <w:pPr>
              <w:spacing w:after="20"/>
            </w:pPr>
            <w:r>
              <w:rPr>
                <w:b/>
                <w:color w:val="1C3A36"/>
                <w:sz w:val="15"/>
              </w:rPr>
              <w:t>What the filing says</w:t>
            </w:r>
          </w:p>
        </w:tc>
      </w:tr>
      <w:tr>
        <w:tc>
          <w:tcPr>
            <w:tcW w:type="dxa" w:w="4392"/>
          </w:tcPr>
          <w:p>
            <w:pPr>
              <w:spacing w:after="20"/>
            </w:pPr>
            <w:r>
              <w:rPr>
                <w:color w:val="1C3A36"/>
                <w:sz w:val="15"/>
              </w:rPr>
              <w:t>Base-year revenue, reconstructed from two reported halves at EGP 39,996mn</w:t>
            </w:r>
          </w:p>
        </w:tc>
        <w:tc>
          <w:tcPr>
            <w:tcW w:type="dxa" w:w="5760"/>
          </w:tcPr>
          <w:p>
            <w:pPr>
              <w:spacing w:after="20"/>
            </w:pPr>
            <w:r>
              <w:rPr>
                <w:color w:val="1C3A36"/>
                <w:sz w:val="15"/>
              </w:rPr>
              <w:t>Twelve months to 30-Jun-2026, no scalar: EGP 46,959mn (audited nine months annualised: 46,959mn)</w:t>
            </w:r>
          </w:p>
        </w:tc>
      </w:tr>
      <w:tr>
        <w:tc>
          <w:tcPr>
            <w:tcW w:type="dxa" w:w="4392"/>
          </w:tcPr>
          <w:p>
            <w:pPr>
              <w:spacing w:after="20"/>
            </w:pPr>
            <w:r>
              <w:rPr>
                <w:color w:val="1C3A36"/>
                <w:sz w:val="15"/>
              </w:rPr>
              <w:t>Gross margin, built from a per-tonne cost stack at 6.06%</w:t>
            </w:r>
          </w:p>
        </w:tc>
        <w:tc>
          <w:tcPr>
            <w:tcW w:type="dxa" w:w="5760"/>
          </w:tcPr>
          <w:p>
            <w:pPr>
              <w:spacing w:after="20"/>
            </w:pPr>
            <w:r>
              <w:rPr>
                <w:color w:val="1C3A36"/>
                <w:sz w:val="15"/>
              </w:rPr>
              <w:t>Twelve months to 30-Jun-2026: 9.65% (nine audited months: 9.65%)</w:t>
            </w:r>
          </w:p>
        </w:tc>
      </w:tr>
      <w:tr>
        <w:tc>
          <w:tcPr>
            <w:tcW w:type="dxa" w:w="4392"/>
          </w:tcPr>
          <w:p>
            <w:pPr>
              <w:spacing w:after="20"/>
            </w:pPr>
            <w:r>
              <w:rPr>
                <w:color w:val="1C3A36"/>
                <w:sz w:val="15"/>
              </w:rPr>
              <w:t>Cost of sales, built from house yields, energy intensity and a solved feedstock differential</w:t>
            </w:r>
          </w:p>
        </w:tc>
        <w:tc>
          <w:tcPr>
            <w:tcW w:type="dxa" w:w="5760"/>
          </w:tcPr>
          <w:p>
            <w:pPr>
              <w:spacing w:after="20"/>
            </w:pPr>
            <w:r>
              <w:rPr>
                <w:color w:val="1C3A36"/>
                <w:sz w:val="15"/>
              </w:rPr>
              <w:t>Note 15-A as filed: raw materials 91.2%, salaries 4.4%, other 3.9%, supporting materials 0.3%, depreciation 0.3%</w:t>
            </w:r>
          </w:p>
        </w:tc>
      </w:tr>
      <w:tr>
        <w:tc>
          <w:tcPr>
            <w:tcW w:type="dxa" w:w="4392"/>
          </w:tcPr>
          <w:p>
            <w:pPr>
              <w:spacing w:after="20"/>
            </w:pPr>
            <w:r>
              <w:rPr>
                <w:color w:val="1C3A36"/>
                <w:sz w:val="15"/>
              </w:rPr>
              <w:t>Three product lines from a reviewer-sourced table</w:t>
            </w:r>
          </w:p>
        </w:tc>
        <w:tc>
          <w:tcPr>
            <w:tcW w:type="dxa" w:w="5760"/>
          </w:tcPr>
          <w:p>
            <w:pPr>
              <w:spacing w:after="20"/>
            </w:pPr>
            <w:r>
              <w:rPr>
                <w:color w:val="1C3A36"/>
                <w:sz w:val="15"/>
              </w:rPr>
              <w:t>Note 14-A: eight lines, 1,502,325 tonnes and EGP 46,959mn, tonnage and value both disclosed</w:t>
            </w:r>
          </w:p>
        </w:tc>
      </w:tr>
      <w:tr>
        <w:tc>
          <w:tcPr>
            <w:tcW w:type="dxa" w:w="4392"/>
          </w:tcPr>
          <w:p>
            <w:pPr>
              <w:spacing w:after="20"/>
            </w:pPr>
            <w:r>
              <w:rPr>
                <w:color w:val="1C3A36"/>
                <w:sz w:val="15"/>
              </w:rPr>
              <w:t>Property, plant and equipment reconstructed as a residual at EGP 2,403mn</w:t>
            </w:r>
          </w:p>
        </w:tc>
        <w:tc>
          <w:tcPr>
            <w:tcW w:type="dxa" w:w="5760"/>
          </w:tcPr>
          <w:p>
            <w:pPr>
              <w:spacing w:after="20"/>
            </w:pPr>
            <w:r>
              <w:rPr>
                <w:color w:val="1C3A36"/>
                <w:sz w:val="15"/>
              </w:rPr>
              <w:t>Note 6 as filed: EGP 1,288mn including projects under construction</w:t>
            </w:r>
          </w:p>
        </w:tc>
      </w:tr>
      <w:tr>
        <w:tc>
          <w:tcPr>
            <w:tcW w:type="dxa" w:w="4392"/>
          </w:tcPr>
          <w:p>
            <w:pPr>
              <w:spacing w:after="20"/>
            </w:pPr>
            <w:r>
              <w:rPr>
                <w:color w:val="1C3A36"/>
                <w:sz w:val="15"/>
              </w:rPr>
              <w:t>Depreciation modelled at 1.1% of revenue</w:t>
            </w:r>
          </w:p>
        </w:tc>
        <w:tc>
          <w:tcPr>
            <w:tcW w:type="dxa" w:w="5760"/>
          </w:tcPr>
          <w:p>
            <w:pPr>
              <w:spacing w:after="20"/>
            </w:pPr>
            <w:r>
              <w:rPr>
                <w:color w:val="1C3A36"/>
                <w:sz w:val="15"/>
              </w:rPr>
              <w:t>Actual, annualised from two filings: EGP 157mn</w:t>
            </w:r>
          </w:p>
        </w:tc>
      </w:tr>
      <w:tr>
        <w:tc>
          <w:tcPr>
            <w:tcW w:type="dxa" w:w="4392"/>
          </w:tcPr>
          <w:p>
            <w:pPr>
              <w:spacing w:after="20"/>
            </w:pPr>
            <w:r>
              <w:rPr>
                <w:color w:val="1C3A36"/>
                <w:sz w:val="15"/>
              </w:rPr>
              <w:t>Capital expenditure modelled at 1.45% of revenue</w:t>
            </w:r>
          </w:p>
        </w:tc>
        <w:tc>
          <w:tcPr>
            <w:tcW w:type="dxa" w:w="5760"/>
          </w:tcPr>
          <w:p>
            <w:pPr>
              <w:spacing w:after="20"/>
            </w:pPr>
            <w:r>
              <w:rPr>
                <w:color w:val="1C3A36"/>
                <w:sz w:val="15"/>
              </w:rPr>
              <w:t>Actual cash paid, annualised: EGP 169mn</w:t>
            </w:r>
          </w:p>
        </w:tc>
      </w:tr>
      <w:tr>
        <w:tc>
          <w:tcPr>
            <w:tcW w:type="dxa" w:w="4392"/>
          </w:tcPr>
          <w:p>
            <w:pPr>
              <w:spacing w:after="20"/>
            </w:pPr>
            <w:r>
              <w:rPr>
                <w:color w:val="1C3A36"/>
                <w:sz w:val="15"/>
              </w:rPr>
              <w:t>Operating expense modelled at 1.25% of revenue</w:t>
            </w:r>
          </w:p>
        </w:tc>
        <w:tc>
          <w:tcPr>
            <w:tcW w:type="dxa" w:w="5760"/>
          </w:tcPr>
          <w:p>
            <w:pPr>
              <w:spacing w:after="20"/>
            </w:pPr>
            <w:r>
              <w:rPr>
                <w:color w:val="1C3A36"/>
                <w:sz w:val="15"/>
              </w:rPr>
              <w:t>Actual, annualised: EGP 1,739mn, 3.70% of revenue</w:t>
            </w:r>
          </w:p>
        </w:tc>
      </w:tr>
      <w:tr>
        <w:tc>
          <w:tcPr>
            <w:tcW w:type="dxa" w:w="4392"/>
          </w:tcPr>
          <w:p>
            <w:pPr>
              <w:spacing w:after="20"/>
            </w:pPr>
            <w:r>
              <w:rPr>
                <w:color w:val="1C3A36"/>
                <w:sz w:val="15"/>
              </w:rPr>
              <w:t>Minority interest inferred at 3.0% of group profit</w:t>
            </w:r>
          </w:p>
        </w:tc>
        <w:tc>
          <w:tcPr>
            <w:tcW w:type="dxa" w:w="5760"/>
          </w:tcPr>
          <w:p>
            <w:pPr>
              <w:spacing w:after="20"/>
            </w:pPr>
            <w:r>
              <w:rPr>
                <w:color w:val="1C3A36"/>
                <w:sz w:val="15"/>
              </w:rPr>
              <w:t>Disclosed: 4.645%; AMOC owns 86.45% of Alexandria Wax Products</w:t>
            </w:r>
          </w:p>
        </w:tc>
      </w:tr>
      <w:tr>
        <w:tc>
          <w:tcPr>
            <w:tcW w:type="dxa" w:w="4392"/>
          </w:tcPr>
          <w:p>
            <w:pPr>
              <w:spacing w:after="20"/>
            </w:pPr>
            <w:r>
              <w:rPr>
                <w:color w:val="1C3A36"/>
                <w:sz w:val="15"/>
              </w:rPr>
              <w:t>Effective tax rate assumed at 23.5%</w:t>
            </w:r>
          </w:p>
        </w:tc>
        <w:tc>
          <w:tcPr>
            <w:tcW w:type="dxa" w:w="5760"/>
          </w:tcPr>
          <w:p>
            <w:pPr>
              <w:spacing w:after="20"/>
            </w:pPr>
            <w:r>
              <w:rPr>
                <w:color w:val="1C3A36"/>
                <w:sz w:val="15"/>
              </w:rPr>
              <w:t>Computed from both filed periods: 22.12%</w:t>
            </w:r>
          </w:p>
        </w:tc>
      </w:tr>
      <w:tr>
        <w:tc>
          <w:tcPr>
            <w:tcW w:type="dxa" w:w="4392"/>
          </w:tcPr>
          <w:p>
            <w:pPr>
              <w:spacing w:after="20"/>
            </w:pPr>
            <w:r>
              <w:rPr>
                <w:color w:val="1C3A36"/>
                <w:sz w:val="15"/>
              </w:rPr>
              <w:t>No tax-disputes provision carried</w:t>
            </w:r>
          </w:p>
        </w:tc>
        <w:tc>
          <w:tcPr>
            <w:tcW w:type="dxa" w:w="5760"/>
          </w:tcPr>
          <w:p>
            <w:pPr>
              <w:spacing w:after="20"/>
            </w:pPr>
            <w:r>
              <w:rPr>
                <w:color w:val="1C3A36"/>
                <w:sz w:val="15"/>
              </w:rPr>
              <w:t>Note 10-1: EGP 997mn</w:t>
            </w:r>
          </w:p>
        </w:tc>
      </w:tr>
    </w:tbl>
    <w:p>
      <w:pPr>
        <w:spacing w:after="40"/>
      </w:pPr>
    </w:p>
    <w:p>
      <w:pPr>
        <w:spacing w:after="80" w:before="240"/>
      </w:pPr>
      <w:r>
        <w:rPr>
          <w:b/>
          <w:i w:val="0"/>
          <w:color w:val="1C3A36"/>
          <w:sz w:val="26"/>
        </w:rPr>
        <w:t>Triangulated figures — every route shown</w:t>
      </w:r>
    </w:p>
    <w:p>
      <w:pPr>
        <w:spacing w:after="100" w:before="0"/>
      </w:pPr>
      <w:r>
        <w:rPr>
          <w:b w:val="0"/>
          <w:i w:val="0"/>
          <w:color w:val="1C3A36"/>
          <w:sz w:val="20"/>
        </w:rPr>
        <w:t>Where a figure was disclosed only through a growth rate, it is derived by more than one independent route and the AVERAGE is carried. The routes are on the face of the companion model as live formulas, not asserted here.</w:t>
      </w:r>
    </w:p>
    <w:p>
      <w:pPr>
        <w:spacing w:after="100" w:before="0"/>
      </w:pPr>
      <w:r>
        <w:rPr>
          <w:b w:val="0"/>
          <w:i w:val="0"/>
          <w:color w:val="1C3A36"/>
          <w:sz w:val="20"/>
        </w:rPr>
        <w:t>The residual triangulation table and the period-identification check that followed it have both been removed. The first edition had to identify which period a press release covered by matching two reported growth rates against a constructed comparative; the filings state the period on their face, so the exercise is redundant. The audited transition period runs 1 July 2025 to 31 December 2025 and says so in the auditor's report.</w:t>
      </w:r>
    </w:p>
    <w:p>
      <w:pPr>
        <w:spacing w:after="80" w:before="240"/>
      </w:pPr>
      <w:r>
        <w:rPr>
          <w:b/>
          <w:i w:val="0"/>
          <w:color w:val="1C3A36"/>
          <w:sz w:val="26"/>
        </w:rPr>
        <w:t>The full input register</w:t>
      </w:r>
    </w:p>
    <w:p>
      <w:pPr>
        <w:spacing w:after="100" w:before="0"/>
      </w:pPr>
      <w:r>
        <w:rPr>
          <w:b w:val="0"/>
          <w:i w:val="0"/>
          <w:color w:val="1C3A36"/>
          <w:sz w:val="20"/>
        </w:rPr>
        <w:t>Every hardcoded figure the compute script consumes, in the order it is declared. A bare numeral anywhere in the inputs block fails the build, so this table is complete by construction.</w:t>
      </w:r>
    </w:p>
    <w:p>
      <w:pPr>
        <w:spacing w:after="60" w:before="160"/>
      </w:pPr>
      <w:r>
        <w:rPr>
          <w:b/>
          <w:i w:val="0"/>
          <w:color w:val="1C3A36"/>
          <w:sz w:val="22"/>
        </w:rPr>
        <w:t>Company layer — 131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232"/>
        <w:gridCol w:w="1368"/>
        <w:gridCol w:w="3845"/>
      </w:tblGrid>
      <w:tr>
        <w:tc>
          <w:tcPr>
            <w:tcW w:type="dxa" w:w="2736"/>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368"/>
            <w:shd w:val="clear" w:color="auto" w:fill="EAF0EE"/>
          </w:tcPr>
          <w:p>
            <w:pPr>
              <w:spacing w:after="20"/>
            </w:pPr>
            <w:r>
              <w:rPr>
                <w:b/>
                <w:color w:val="1C3A36"/>
                <w:sz w:val="15"/>
              </w:rPr>
              <w:t>Date</w:t>
            </w:r>
          </w:p>
        </w:tc>
        <w:tc>
          <w:tcPr>
            <w:tcW w:type="dxa" w:w="3845"/>
            <w:shd w:val="clear" w:color="auto" w:fill="EAF0EE"/>
          </w:tcPr>
          <w:p>
            <w:pPr>
              <w:spacing w:after="20"/>
            </w:pPr>
            <w:r>
              <w:rPr>
                <w:b/>
                <w:color w:val="1C3A36"/>
                <w:sz w:val="15"/>
              </w:rPr>
              <w:t>Source and reasoning</w:t>
            </w:r>
          </w:p>
        </w:tc>
      </w:tr>
      <w:tr>
        <w:tc>
          <w:tcPr>
            <w:tcW w:type="dxa" w:w="2736"/>
          </w:tcPr>
          <w:p>
            <w:pPr>
              <w:spacing w:after="20"/>
            </w:pPr>
            <w:r>
              <w:rPr>
                <w:color w:val="1C3A36"/>
                <w:sz w:val="15"/>
              </w:rPr>
              <w:t>spot</w:t>
            </w:r>
          </w:p>
        </w:tc>
        <w:tc>
          <w:tcPr>
            <w:tcW w:type="dxa" w:w="2232"/>
          </w:tcPr>
          <w:p>
            <w:pPr>
              <w:spacing w:after="20"/>
            </w:pPr>
            <w:r>
              <w:rPr>
                <w:color w:val="1C3A36"/>
                <w:sz w:val="15"/>
              </w:rPr>
              <w:t>13.5</w:t>
            </w:r>
          </w:p>
        </w:tc>
        <w:tc>
          <w:tcPr>
            <w:tcW w:type="dxa" w:w="1368"/>
          </w:tcPr>
          <w:p>
            <w:pPr>
              <w:spacing w:after="20"/>
            </w:pPr>
            <w:r>
              <w:rPr>
                <w:color w:val="1C3A36"/>
                <w:sz w:val="15"/>
              </w:rPr>
              <w:t>2026-09-03</w:t>
            </w:r>
          </w:p>
        </w:tc>
        <w:tc>
          <w:tcPr>
            <w:tcW w:type="dxa" w:w="3845"/>
          </w:tcPr>
          <w:p>
            <w:pPr>
              <w:spacing w:after="20"/>
            </w:pPr>
            <w:r>
              <w:rPr>
                <w:color w:val="1C3A36"/>
                <w:sz w:val="15"/>
              </w:rPr>
              <w:t>AMOC closing price on the Egyptian Exchange, 3 September 2026</w:t>
            </w:r>
          </w:p>
        </w:tc>
      </w:tr>
      <w:tr>
        <w:tc>
          <w:tcPr>
            <w:tcW w:type="dxa" w:w="2736"/>
          </w:tcPr>
          <w:p>
            <w:pPr>
              <w:spacing w:after="20"/>
            </w:pPr>
            <w:r>
              <w:rPr>
                <w:color w:val="1C3A36"/>
                <w:sz w:val="15"/>
              </w:rPr>
              <w:t>shares_mn</w:t>
            </w:r>
          </w:p>
        </w:tc>
        <w:tc>
          <w:tcPr>
            <w:tcW w:type="dxa" w:w="2232"/>
          </w:tcPr>
          <w:p>
            <w:pPr>
              <w:spacing w:after="20"/>
            </w:pPr>
            <w:r>
              <w:rPr>
                <w:color w:val="1C3A36"/>
                <w:sz w:val="15"/>
              </w:rPr>
              <w:t>1,291.5</w:t>
            </w:r>
          </w:p>
        </w:tc>
        <w:tc>
          <w:tcPr>
            <w:tcW w:type="dxa" w:w="1368"/>
          </w:tcPr>
          <w:p>
            <w:pPr>
              <w:spacing w:after="20"/>
            </w:pPr>
            <w:r>
              <w:rPr>
                <w:color w:val="1C3A36"/>
                <w:sz w:val="15"/>
              </w:rPr>
              <w:t>2025-12-31</w:t>
            </w:r>
          </w:p>
        </w:tc>
        <w:tc>
          <w:tcPr>
            <w:tcW w:type="dxa" w:w="3845"/>
          </w:tcPr>
          <w:p>
            <w:pPr>
              <w:spacing w:after="20"/>
            </w:pPr>
            <w:r>
              <w:rPr>
                <w:color w:val="1C3A36"/>
                <w:sz w:val="15"/>
              </w:rPr>
              <w:t>Issued and paid-up capital EGP 1,291,500,000 at EGP 1 par = 1,291,500,000 shares (note 18-L, share split to EGP 1 par recorded in the Commercial Register 24-Jan-2018)</w:t>
            </w:r>
          </w:p>
        </w:tc>
      </w:tr>
      <w:tr>
        <w:tc>
          <w:tcPr>
            <w:tcW w:type="dxa" w:w="2736"/>
          </w:tcPr>
          <w:p>
            <w:pPr>
              <w:spacing w:after="20"/>
            </w:pPr>
            <w:r>
              <w:rPr>
                <w:color w:val="1C3A36"/>
                <w:sz w:val="15"/>
              </w:rPr>
              <w:t>rev_h2_25</w:t>
            </w:r>
          </w:p>
        </w:tc>
        <w:tc>
          <w:tcPr>
            <w:tcW w:type="dxa" w:w="2232"/>
          </w:tcPr>
          <w:p>
            <w:pPr>
              <w:spacing w:after="20"/>
            </w:pPr>
            <w:r>
              <w:rPr>
                <w:color w:val="1C3A36"/>
                <w:sz w:val="15"/>
              </w:rPr>
              <w:t>20,735,725,812.0</w:t>
            </w:r>
          </w:p>
        </w:tc>
        <w:tc>
          <w:tcPr>
            <w:tcW w:type="dxa" w:w="1368"/>
          </w:tcPr>
          <w:p>
            <w:pPr>
              <w:spacing w:after="20"/>
            </w:pPr>
            <w:r>
              <w:rPr>
                <w:color w:val="1C3A36"/>
                <w:sz w:val="15"/>
              </w:rPr>
              <w:t>2025-12-31</w:t>
            </w:r>
          </w:p>
        </w:tc>
        <w:tc>
          <w:tcPr>
            <w:tcW w:type="dxa" w:w="3845"/>
          </w:tcPr>
          <w:p>
            <w:pPr>
              <w:spacing w:after="20"/>
            </w:pPr>
            <w:r>
              <w:rPr>
                <w:color w:val="1C3A36"/>
                <w:sz w:val="15"/>
              </w:rPr>
              <w:t>Net sales, six months to 31-Dec-2025. Audited consolidated FS, transition period 1-Jul-2025 to 31-Dec-2025, Crowe unqualified, 18-Feb-2026</w:t>
            </w:r>
          </w:p>
        </w:tc>
      </w:tr>
      <w:tr>
        <w:tc>
          <w:tcPr>
            <w:tcW w:type="dxa" w:w="2736"/>
          </w:tcPr>
          <w:p>
            <w:pPr>
              <w:spacing w:after="20"/>
            </w:pPr>
            <w:r>
              <w:rPr>
                <w:color w:val="1C3A36"/>
                <w:sz w:val="15"/>
              </w:rPr>
              <w:t>cogs_h2_25</w:t>
            </w:r>
          </w:p>
        </w:tc>
        <w:tc>
          <w:tcPr>
            <w:tcW w:type="dxa" w:w="2232"/>
          </w:tcPr>
          <w:p>
            <w:pPr>
              <w:spacing w:after="20"/>
            </w:pPr>
            <w:r>
              <w:rPr>
                <w:color w:val="1C3A36"/>
                <w:sz w:val="15"/>
              </w:rPr>
              <w:t>19,461,550,746.0</w:t>
            </w:r>
          </w:p>
        </w:tc>
        <w:tc>
          <w:tcPr>
            <w:tcW w:type="dxa" w:w="1368"/>
          </w:tcPr>
          <w:p>
            <w:pPr>
              <w:spacing w:after="20"/>
            </w:pPr>
            <w:r>
              <w:rPr>
                <w:color w:val="1C3A36"/>
                <w:sz w:val="15"/>
              </w:rPr>
              <w:t>2025-12-31</w:t>
            </w:r>
          </w:p>
        </w:tc>
        <w:tc>
          <w:tcPr>
            <w:tcW w:type="dxa" w:w="3845"/>
          </w:tcPr>
          <w:p>
            <w:pPr>
              <w:spacing w:after="20"/>
            </w:pPr>
            <w:r>
              <w:rPr>
                <w:color w:val="1C3A36"/>
                <w:sz w:val="15"/>
              </w:rPr>
              <w:t>Cost of sales, six months to 31-Dec-2025. Audited consolidated FS, transition period 1-Jul-2025 to 31-Dec-2025, Crowe unqualified, 18-Feb-2026</w:t>
            </w:r>
          </w:p>
        </w:tc>
      </w:tr>
      <w:tr>
        <w:tc>
          <w:tcPr>
            <w:tcW w:type="dxa" w:w="2736"/>
          </w:tcPr>
          <w:p>
            <w:pPr>
              <w:spacing w:after="20"/>
            </w:pPr>
            <w:r>
              <w:rPr>
                <w:color w:val="1C3A36"/>
                <w:sz w:val="15"/>
              </w:rPr>
              <w:t>ga_h2_25</w:t>
            </w:r>
          </w:p>
        </w:tc>
        <w:tc>
          <w:tcPr>
            <w:tcW w:type="dxa" w:w="2232"/>
          </w:tcPr>
          <w:p>
            <w:pPr>
              <w:spacing w:after="20"/>
            </w:pPr>
            <w:r>
              <w:rPr>
                <w:color w:val="1C3A36"/>
                <w:sz w:val="15"/>
              </w:rPr>
              <w:t>585,636,101.0</w:t>
            </w:r>
          </w:p>
        </w:tc>
        <w:tc>
          <w:tcPr>
            <w:tcW w:type="dxa" w:w="1368"/>
          </w:tcPr>
          <w:p>
            <w:pPr>
              <w:spacing w:after="20"/>
            </w:pPr>
            <w:r>
              <w:rPr>
                <w:color w:val="1C3A36"/>
                <w:sz w:val="15"/>
              </w:rPr>
              <w:t>2025-12-31</w:t>
            </w:r>
          </w:p>
        </w:tc>
        <w:tc>
          <w:tcPr>
            <w:tcW w:type="dxa" w:w="3845"/>
          </w:tcPr>
          <w:p>
            <w:pPr>
              <w:spacing w:after="20"/>
            </w:pPr>
            <w:r>
              <w:rPr>
                <w:color w:val="1C3A36"/>
                <w:sz w:val="15"/>
              </w:rPr>
              <w:t>General and administrative expenses, six months to 31-Dec-2025 (note 15-B). Audited consolidated FS, transition period 1-Jul-2025 to 31-Dec-2025, Crowe unqualified, 18-Feb-2026</w:t>
            </w:r>
          </w:p>
        </w:tc>
      </w:tr>
      <w:tr>
        <w:tc>
          <w:tcPr>
            <w:tcW w:type="dxa" w:w="2736"/>
          </w:tcPr>
          <w:p>
            <w:pPr>
              <w:spacing w:after="20"/>
            </w:pPr>
            <w:r>
              <w:rPr>
                <w:color w:val="1C3A36"/>
                <w:sz w:val="15"/>
              </w:rPr>
              <w:t>mkt_h2_25</w:t>
            </w:r>
          </w:p>
        </w:tc>
        <w:tc>
          <w:tcPr>
            <w:tcW w:type="dxa" w:w="2232"/>
          </w:tcPr>
          <w:p>
            <w:pPr>
              <w:spacing w:after="20"/>
            </w:pPr>
            <w:r>
              <w:rPr>
                <w:color w:val="1C3A36"/>
                <w:sz w:val="15"/>
              </w:rPr>
              <w:t>93,729,199.0</w:t>
            </w:r>
          </w:p>
        </w:tc>
        <w:tc>
          <w:tcPr>
            <w:tcW w:type="dxa" w:w="1368"/>
          </w:tcPr>
          <w:p>
            <w:pPr>
              <w:spacing w:after="20"/>
            </w:pPr>
            <w:r>
              <w:rPr>
                <w:color w:val="1C3A36"/>
                <w:sz w:val="15"/>
              </w:rPr>
              <w:t>2025-12-31</w:t>
            </w:r>
          </w:p>
        </w:tc>
        <w:tc>
          <w:tcPr>
            <w:tcW w:type="dxa" w:w="3845"/>
          </w:tcPr>
          <w:p>
            <w:pPr>
              <w:spacing w:after="20"/>
            </w:pPr>
            <w:r>
              <w:rPr>
                <w:color w:val="1C3A36"/>
                <w:sz w:val="15"/>
              </w:rPr>
              <w:t>Marketing and selling expenses, six months to 31-Dec-2025 (note 15-C). Audited consolidated FS, transition period 1-Jul-2025 to 31-Dec-2025, Crowe unqualified, 18-Feb-2026</w:t>
            </w:r>
          </w:p>
        </w:tc>
      </w:tr>
      <w:tr>
        <w:tc>
          <w:tcPr>
            <w:tcW w:type="dxa" w:w="2736"/>
          </w:tcPr>
          <w:p>
            <w:pPr>
              <w:spacing w:after="20"/>
            </w:pPr>
            <w:r>
              <w:rPr>
                <w:color w:val="1C3A36"/>
                <w:sz w:val="15"/>
              </w:rPr>
              <w:t>othexp_h2_25</w:t>
            </w:r>
          </w:p>
        </w:tc>
        <w:tc>
          <w:tcPr>
            <w:tcW w:type="dxa" w:w="2232"/>
          </w:tcPr>
          <w:p>
            <w:pPr>
              <w:spacing w:after="20"/>
            </w:pPr>
            <w:r>
              <w:rPr>
                <w:color w:val="1C3A36"/>
                <w:sz w:val="15"/>
              </w:rPr>
              <w:t>108,781,309.0</w:t>
            </w:r>
          </w:p>
        </w:tc>
        <w:tc>
          <w:tcPr>
            <w:tcW w:type="dxa" w:w="1368"/>
          </w:tcPr>
          <w:p>
            <w:pPr>
              <w:spacing w:after="20"/>
            </w:pPr>
            <w:r>
              <w:rPr>
                <w:color w:val="1C3A36"/>
                <w:sz w:val="15"/>
              </w:rPr>
              <w:t>2025-12-25</w:t>
            </w:r>
          </w:p>
        </w:tc>
        <w:tc>
          <w:tcPr>
            <w:tcW w:type="dxa" w:w="3845"/>
          </w:tcPr>
          <w:p>
            <w:pPr>
              <w:spacing w:after="20"/>
            </w:pPr>
            <w:r>
              <w:rPr>
                <w:color w:val="1C3A36"/>
                <w:sz w:val="15"/>
              </w:rPr>
              <w:t>Other operating expenses, six months to 31-Dec-2025 (note 15-D): compensation and fines 101,393,395, donations 5,162,500, board transport and attendance 2,225,414. Audited consolidated FS, transition period 1-Jul-2025 to 31-Dec-2025, Crowe unqualified, 18-Feb-2026</w:t>
            </w:r>
          </w:p>
        </w:tc>
      </w:tr>
      <w:tr>
        <w:tc>
          <w:tcPr>
            <w:tcW w:type="dxa" w:w="2736"/>
          </w:tcPr>
          <w:p>
            <w:pPr>
              <w:spacing w:after="20"/>
            </w:pPr>
            <w:r>
              <w:rPr>
                <w:color w:val="1C3A36"/>
                <w:sz w:val="15"/>
              </w:rPr>
              <w:t>othrev_h2_25</w:t>
            </w:r>
          </w:p>
        </w:tc>
        <w:tc>
          <w:tcPr>
            <w:tcW w:type="dxa" w:w="2232"/>
          </w:tcPr>
          <w:p>
            <w:pPr>
              <w:spacing w:after="20"/>
            </w:pPr>
            <w:r>
              <w:rPr>
                <w:color w:val="1C3A36"/>
                <w:sz w:val="15"/>
              </w:rPr>
              <w:t>345,744,052.0</w:t>
            </w:r>
          </w:p>
        </w:tc>
        <w:tc>
          <w:tcPr>
            <w:tcW w:type="dxa" w:w="1368"/>
          </w:tcPr>
          <w:p>
            <w:pPr>
              <w:spacing w:after="20"/>
            </w:pPr>
            <w:r>
              <w:rPr>
                <w:color w:val="1C3A36"/>
                <w:sz w:val="15"/>
              </w:rPr>
              <w:t>2025-12-31</w:t>
            </w:r>
          </w:p>
        </w:tc>
        <w:tc>
          <w:tcPr>
            <w:tcW w:type="dxa" w:w="3845"/>
          </w:tcPr>
          <w:p>
            <w:pPr>
              <w:spacing w:after="20"/>
            </w:pPr>
            <w:r>
              <w:rPr>
                <w:color w:val="1C3A36"/>
                <w:sz w:val="15"/>
              </w:rPr>
              <w:t>Other revenue, six months to 31-Dec-2025 (note 14-B): credit interest 173,216,413, provision no longer required 154,301,640, reversed expected credit loss 1,870,481, compensations and fines 1,241,123, capital gains 326,000, miscellaneous 14,788,395. NOTE the foreign-exchange gain line is ZERO in this period, against 104,572,235 in the comparative half. Audited consolidated FS, transition period 1-Jul-2025 to 31-Dec-2025, Crowe unqualified, 18-Feb-2026</w:t>
            </w:r>
          </w:p>
        </w:tc>
      </w:tr>
      <w:tr>
        <w:tc>
          <w:tcPr>
            <w:tcW w:type="dxa" w:w="2736"/>
          </w:tcPr>
          <w:p>
            <w:pPr>
              <w:spacing w:after="20"/>
            </w:pPr>
            <w:r>
              <w:rPr>
                <w:color w:val="1C3A36"/>
                <w:sz w:val="15"/>
              </w:rPr>
              <w:t>invinc_h2_25</w:t>
            </w:r>
          </w:p>
        </w:tc>
        <w:tc>
          <w:tcPr>
            <w:tcW w:type="dxa" w:w="2232"/>
          </w:tcPr>
          <w:p>
            <w:pPr>
              <w:spacing w:after="20"/>
            </w:pPr>
            <w:r>
              <w:rPr>
                <w:color w:val="1C3A36"/>
                <w:sz w:val="15"/>
              </w:rPr>
              <w:t>13,520,000.0</w:t>
            </w:r>
          </w:p>
        </w:tc>
        <w:tc>
          <w:tcPr>
            <w:tcW w:type="dxa" w:w="1368"/>
          </w:tcPr>
          <w:p>
            <w:pPr>
              <w:spacing w:after="20"/>
            </w:pPr>
            <w:r>
              <w:rPr>
                <w:color w:val="1C3A36"/>
                <w:sz w:val="15"/>
              </w:rPr>
              <w:t>2025-12-31</w:t>
            </w:r>
          </w:p>
        </w:tc>
        <w:tc>
          <w:tcPr>
            <w:tcW w:type="dxa" w:w="3845"/>
          </w:tcPr>
          <w:p>
            <w:pPr>
              <w:spacing w:after="20"/>
            </w:pPr>
            <w:r>
              <w:rPr>
                <w:color w:val="1C3A36"/>
                <w:sz w:val="15"/>
              </w:rPr>
              <w:t>Revenue from investments — dividend from Alexandria Specialized Petroleum Products Co (note 14-C). Audited consolidated FS, transition period 1-Jul-2025 to 31-Dec-2025, Crowe unqualified, 18-Feb-2026</w:t>
            </w:r>
          </w:p>
        </w:tc>
      </w:tr>
      <w:tr>
        <w:tc>
          <w:tcPr>
            <w:tcW w:type="dxa" w:w="2736"/>
          </w:tcPr>
          <w:p>
            <w:pPr>
              <w:spacing w:after="20"/>
            </w:pPr>
            <w:r>
              <w:rPr>
                <w:color w:val="1C3A36"/>
                <w:sz w:val="15"/>
              </w:rPr>
              <w:t>prov_h2_25</w:t>
            </w:r>
          </w:p>
        </w:tc>
        <w:tc>
          <w:tcPr>
            <w:tcW w:type="dxa" w:w="2232"/>
          </w:tcPr>
          <w:p>
            <w:pPr>
              <w:spacing w:after="20"/>
            </w:pPr>
            <w:r>
              <w:rPr>
                <w:color w:val="1C3A36"/>
                <w:sz w:val="15"/>
              </w:rPr>
              <w:t>2,467,769.0</w:t>
            </w:r>
          </w:p>
        </w:tc>
        <w:tc>
          <w:tcPr>
            <w:tcW w:type="dxa" w:w="1368"/>
          </w:tcPr>
          <w:p>
            <w:pPr>
              <w:spacing w:after="20"/>
            </w:pPr>
            <w:r>
              <w:rPr>
                <w:color w:val="1C3A36"/>
                <w:sz w:val="15"/>
              </w:rPr>
              <w:t>2025-12-31</w:t>
            </w:r>
          </w:p>
        </w:tc>
        <w:tc>
          <w:tcPr>
            <w:tcW w:type="dxa" w:w="3845"/>
          </w:tcPr>
          <w:p>
            <w:pPr>
              <w:spacing w:after="20"/>
            </w:pPr>
            <w:r>
              <w:rPr>
                <w:color w:val="1C3A36"/>
                <w:sz w:val="15"/>
              </w:rPr>
              <w:t>Formed provisions charged in the six months to 31-Dec-2025. Audited consolidated FS, transition period 1-Jul-2025 to 31-Dec-2025, Crowe unqualified, 18-Feb-2026</w:t>
            </w:r>
          </w:p>
        </w:tc>
      </w:tr>
      <w:tr>
        <w:tc>
          <w:tcPr>
            <w:tcW w:type="dxa" w:w="2736"/>
          </w:tcPr>
          <w:p>
            <w:pPr>
              <w:spacing w:after="20"/>
            </w:pPr>
            <w:r>
              <w:rPr>
                <w:color w:val="1C3A36"/>
                <w:sz w:val="15"/>
              </w:rPr>
              <w:t>fin_h2_25</w:t>
            </w:r>
          </w:p>
        </w:tc>
        <w:tc>
          <w:tcPr>
            <w:tcW w:type="dxa" w:w="2232"/>
          </w:tcPr>
          <w:p>
            <w:pPr>
              <w:spacing w:after="20"/>
            </w:pPr>
            <w:r>
              <w:rPr>
                <w:color w:val="1C3A36"/>
                <w:sz w:val="15"/>
              </w:rPr>
              <w:t>1,892,108.0</w:t>
            </w:r>
          </w:p>
        </w:tc>
        <w:tc>
          <w:tcPr>
            <w:tcW w:type="dxa" w:w="1368"/>
          </w:tcPr>
          <w:p>
            <w:pPr>
              <w:spacing w:after="20"/>
            </w:pPr>
            <w:r>
              <w:rPr>
                <w:color w:val="1C3A36"/>
                <w:sz w:val="15"/>
              </w:rPr>
              <w:t>2025-12-31</w:t>
            </w:r>
          </w:p>
        </w:tc>
        <w:tc>
          <w:tcPr>
            <w:tcW w:type="dxa" w:w="3845"/>
          </w:tcPr>
          <w:p>
            <w:pPr>
              <w:spacing w:after="20"/>
            </w:pPr>
            <w:r>
              <w:rPr>
                <w:color w:val="1C3A36"/>
                <w:sz w:val="15"/>
              </w:rPr>
              <w:t>Finance expenses, six months to 31-Dec-2025 (note 15-E): loan interest and charges 1,130,556, lease interest 761,552. Audited consolidated FS, transition period 1-Jul-2025 to 31-Dec-2025, Crowe unqualified, 18-Feb-2026</w:t>
            </w:r>
          </w:p>
        </w:tc>
      </w:tr>
      <w:tr>
        <w:tc>
          <w:tcPr>
            <w:tcW w:type="dxa" w:w="2736"/>
          </w:tcPr>
          <w:p>
            <w:pPr>
              <w:spacing w:after="20"/>
            </w:pPr>
            <w:r>
              <w:rPr>
                <w:color w:val="1C3A36"/>
                <w:sz w:val="15"/>
              </w:rPr>
              <w:t>tax_h2_25</w:t>
            </w:r>
          </w:p>
        </w:tc>
        <w:tc>
          <w:tcPr>
            <w:tcW w:type="dxa" w:w="2232"/>
          </w:tcPr>
          <w:p>
            <w:pPr>
              <w:spacing w:after="20"/>
            </w:pPr>
            <w:r>
              <w:rPr>
                <w:color w:val="1C3A36"/>
                <w:sz w:val="15"/>
              </w:rPr>
              <w:t>203,945,433.0</w:t>
            </w:r>
          </w:p>
        </w:tc>
        <w:tc>
          <w:tcPr>
            <w:tcW w:type="dxa" w:w="1368"/>
          </w:tcPr>
          <w:p>
            <w:pPr>
              <w:spacing w:after="20"/>
            </w:pPr>
            <w:r>
              <w:rPr>
                <w:color w:val="1C3A36"/>
                <w:sz w:val="15"/>
              </w:rPr>
              <w:t>2025-12-31</w:t>
            </w:r>
          </w:p>
        </w:tc>
        <w:tc>
          <w:tcPr>
            <w:tcW w:type="dxa" w:w="3845"/>
          </w:tcPr>
          <w:p>
            <w:pPr>
              <w:spacing w:after="20"/>
            </w:pPr>
            <w:r>
              <w:rPr>
                <w:color w:val="1C3A36"/>
                <w:sz w:val="15"/>
              </w:rPr>
              <w:t>Current income tax, six months to 31-Dec-2025. Audited consolidated FS, transition period 1-Jul-2025 to 31-Dec-2025, Crowe unqualified, 18-Feb-2026</w:t>
            </w:r>
          </w:p>
        </w:tc>
      </w:tr>
      <w:tr>
        <w:tc>
          <w:tcPr>
            <w:tcW w:type="dxa" w:w="2736"/>
          </w:tcPr>
          <w:p>
            <w:pPr>
              <w:spacing w:after="20"/>
            </w:pPr>
            <w:r>
              <w:rPr>
                <w:color w:val="1C3A36"/>
                <w:sz w:val="15"/>
              </w:rPr>
              <w:t>dtax_h2_25</w:t>
            </w:r>
          </w:p>
        </w:tc>
        <w:tc>
          <w:tcPr>
            <w:tcW w:type="dxa" w:w="2232"/>
          </w:tcPr>
          <w:p>
            <w:pPr>
              <w:spacing w:after="20"/>
            </w:pPr>
            <w:r>
              <w:rPr>
                <w:color w:val="1C3A36"/>
                <w:sz w:val="15"/>
              </w:rPr>
              <w:t>19,441,512.0</w:t>
            </w:r>
          </w:p>
        </w:tc>
        <w:tc>
          <w:tcPr>
            <w:tcW w:type="dxa" w:w="1368"/>
          </w:tcPr>
          <w:p>
            <w:pPr>
              <w:spacing w:after="20"/>
            </w:pPr>
            <w:r>
              <w:rPr>
                <w:color w:val="1C3A36"/>
                <w:sz w:val="15"/>
              </w:rPr>
              <w:t>2025-12-31</w:t>
            </w:r>
          </w:p>
        </w:tc>
        <w:tc>
          <w:tcPr>
            <w:tcW w:type="dxa" w:w="3845"/>
          </w:tcPr>
          <w:p>
            <w:pPr>
              <w:spacing w:after="20"/>
            </w:pPr>
            <w:r>
              <w:rPr>
                <w:color w:val="1C3A36"/>
                <w:sz w:val="15"/>
              </w:rPr>
              <w:t>Deferred tax CREDIT, six months to 31-Dec-2025. Audited consolidated FS, transition period 1-Jul-2025 to 31-Dec-2025, Crowe unqualified, 18-Feb-2026</w:t>
            </w:r>
          </w:p>
        </w:tc>
      </w:tr>
      <w:tr>
        <w:tc>
          <w:tcPr>
            <w:tcW w:type="dxa" w:w="2736"/>
          </w:tcPr>
          <w:p>
            <w:pPr>
              <w:spacing w:after="20"/>
            </w:pPr>
            <w:r>
              <w:rPr>
                <w:color w:val="1C3A36"/>
                <w:sz w:val="15"/>
              </w:rPr>
              <w:t>pat_h2_25</w:t>
            </w:r>
          </w:p>
        </w:tc>
        <w:tc>
          <w:tcPr>
            <w:tcW w:type="dxa" w:w="2232"/>
          </w:tcPr>
          <w:p>
            <w:pPr>
              <w:spacing w:after="20"/>
            </w:pPr>
            <w:r>
              <w:rPr>
                <w:color w:val="1C3A36"/>
                <w:sz w:val="15"/>
              </w:rPr>
              <w:t>656,428,711.0</w:t>
            </w:r>
          </w:p>
        </w:tc>
        <w:tc>
          <w:tcPr>
            <w:tcW w:type="dxa" w:w="1368"/>
          </w:tcPr>
          <w:p>
            <w:pPr>
              <w:spacing w:after="20"/>
            </w:pPr>
            <w:r>
              <w:rPr>
                <w:color w:val="1C3A36"/>
                <w:sz w:val="15"/>
              </w:rPr>
              <w:t>2025-12-31</w:t>
            </w:r>
          </w:p>
        </w:tc>
        <w:tc>
          <w:tcPr>
            <w:tcW w:type="dxa" w:w="3845"/>
          </w:tcPr>
          <w:p>
            <w:pPr>
              <w:spacing w:after="20"/>
            </w:pPr>
            <w:r>
              <w:rPr>
                <w:color w:val="1C3A36"/>
                <w:sz w:val="15"/>
              </w:rPr>
              <w:t>Net profit after tax, six months to 31-Dec-2025. Audited consolidated FS, transition period 1-Jul-2025 to 31-Dec-2025, Crowe unqualified, 18-Feb-2026</w:t>
            </w:r>
          </w:p>
        </w:tc>
      </w:tr>
      <w:tr>
        <w:tc>
          <w:tcPr>
            <w:tcW w:type="dxa" w:w="2736"/>
          </w:tcPr>
          <w:p>
            <w:pPr>
              <w:spacing w:after="20"/>
            </w:pPr>
            <w:r>
              <w:rPr>
                <w:color w:val="1C3A36"/>
                <w:sz w:val="15"/>
              </w:rPr>
              <w:t>nci_h2_25</w:t>
            </w:r>
          </w:p>
        </w:tc>
        <w:tc>
          <w:tcPr>
            <w:tcW w:type="dxa" w:w="2232"/>
          </w:tcPr>
          <w:p>
            <w:pPr>
              <w:spacing w:after="20"/>
            </w:pPr>
            <w:r>
              <w:rPr>
                <w:color w:val="1C3A36"/>
                <w:sz w:val="15"/>
              </w:rPr>
              <w:t>30,488,250.0</w:t>
            </w:r>
          </w:p>
        </w:tc>
        <w:tc>
          <w:tcPr>
            <w:tcW w:type="dxa" w:w="1368"/>
          </w:tcPr>
          <w:p>
            <w:pPr>
              <w:spacing w:after="20"/>
            </w:pPr>
            <w:r>
              <w:rPr>
                <w:color w:val="1C3A36"/>
                <w:sz w:val="15"/>
              </w:rPr>
              <w:t>2025-12-31</w:t>
            </w:r>
          </w:p>
        </w:tc>
        <w:tc>
          <w:tcPr>
            <w:tcW w:type="dxa" w:w="3845"/>
          </w:tcPr>
          <w:p>
            <w:pPr>
              <w:spacing w:after="20"/>
            </w:pPr>
            <w:r>
              <w:rPr>
                <w:color w:val="1C3A36"/>
                <w:sz w:val="15"/>
              </w:rPr>
              <w:t>Non-controlling interest share of profit, six months to 31-Dec-2025. Audited consolidated FS, transition period 1-Jul-2025 to 31-Dec-2025, Crowe unqualified, 18-Feb-2026</w:t>
            </w:r>
          </w:p>
        </w:tc>
      </w:tr>
      <w:tr>
        <w:tc>
          <w:tcPr>
            <w:tcW w:type="dxa" w:w="2736"/>
          </w:tcPr>
          <w:p>
            <w:pPr>
              <w:spacing w:after="20"/>
            </w:pPr>
            <w:r>
              <w:rPr>
                <w:color w:val="1C3A36"/>
                <w:sz w:val="15"/>
              </w:rPr>
              <w:t>emp_h2_25</w:t>
            </w:r>
          </w:p>
        </w:tc>
        <w:tc>
          <w:tcPr>
            <w:tcW w:type="dxa" w:w="2232"/>
          </w:tcPr>
          <w:p>
            <w:pPr>
              <w:spacing w:after="20"/>
            </w:pPr>
            <w:r>
              <w:rPr>
                <w:color w:val="1C3A36"/>
                <w:sz w:val="15"/>
              </w:rPr>
              <w:t>67,467,871.0</w:t>
            </w:r>
          </w:p>
        </w:tc>
        <w:tc>
          <w:tcPr>
            <w:tcW w:type="dxa" w:w="1368"/>
          </w:tcPr>
          <w:p>
            <w:pPr>
              <w:spacing w:after="20"/>
            </w:pPr>
            <w:r>
              <w:rPr>
                <w:color w:val="1C3A36"/>
                <w:sz w:val="15"/>
              </w:rPr>
              <w:t>2025-12-31</w:t>
            </w:r>
          </w:p>
        </w:tc>
        <w:tc>
          <w:tcPr>
            <w:tcW w:type="dxa" w:w="3845"/>
          </w:tcPr>
          <w:p>
            <w:pPr>
              <w:spacing w:after="20"/>
            </w:pPr>
            <w:r>
              <w:rPr>
                <w:color w:val="1C3A36"/>
                <w:sz w:val="15"/>
              </w:rPr>
              <w:t>Employees' profit share and board bonuses deducted in arriving at earnings per share (note 16). A real distribution out of profit that the previous edition of this study did not model at all. Audited consolidated FS, transition period 1-Jul-2025 to 31-Dec-2025, Crowe unqualified, 18-Feb-2026</w:t>
            </w:r>
          </w:p>
        </w:tc>
      </w:tr>
      <w:tr>
        <w:tc>
          <w:tcPr>
            <w:tcW w:type="dxa" w:w="2736"/>
          </w:tcPr>
          <w:p>
            <w:pPr>
              <w:spacing w:after="20"/>
            </w:pPr>
            <w:r>
              <w:rPr>
                <w:color w:val="1C3A36"/>
                <w:sz w:val="15"/>
              </w:rPr>
              <w:t>rev_q1_26</w:t>
            </w:r>
          </w:p>
        </w:tc>
        <w:tc>
          <w:tcPr>
            <w:tcW w:type="dxa" w:w="2232"/>
          </w:tcPr>
          <w:p>
            <w:pPr>
              <w:spacing w:after="20"/>
            </w:pPr>
            <w:r>
              <w:rPr>
                <w:color w:val="1C3A36"/>
                <w:sz w:val="15"/>
              </w:rPr>
              <w:t>10,510,779,160.0</w:t>
            </w:r>
          </w:p>
        </w:tc>
        <w:tc>
          <w:tcPr>
            <w:tcW w:type="dxa" w:w="1368"/>
          </w:tcPr>
          <w:p>
            <w:pPr>
              <w:spacing w:after="20"/>
            </w:pPr>
            <w:r>
              <w:rPr>
                <w:color w:val="1C3A36"/>
                <w:sz w:val="15"/>
              </w:rPr>
              <w:t>2026-03-31</w:t>
            </w:r>
          </w:p>
        </w:tc>
        <w:tc>
          <w:tcPr>
            <w:tcW w:type="dxa" w:w="3845"/>
          </w:tcPr>
          <w:p>
            <w:pPr>
              <w:spacing w:after="20"/>
            </w:pPr>
            <w:r>
              <w:rPr>
                <w:color w:val="1C3A36"/>
                <w:sz w:val="15"/>
              </w:rPr>
              <w:t>Net sales, three months to 31-Mar-2026. Reviewed consolidated FS, three months to 31-Mar-2026</w:t>
            </w:r>
          </w:p>
        </w:tc>
      </w:tr>
      <w:tr>
        <w:tc>
          <w:tcPr>
            <w:tcW w:type="dxa" w:w="2736"/>
          </w:tcPr>
          <w:p>
            <w:pPr>
              <w:spacing w:after="20"/>
            </w:pPr>
            <w:r>
              <w:rPr>
                <w:color w:val="1C3A36"/>
                <w:sz w:val="15"/>
              </w:rPr>
              <w:t>cogs_q1_26</w:t>
            </w:r>
          </w:p>
        </w:tc>
        <w:tc>
          <w:tcPr>
            <w:tcW w:type="dxa" w:w="2232"/>
          </w:tcPr>
          <w:p>
            <w:pPr>
              <w:spacing w:after="20"/>
            </w:pPr>
            <w:r>
              <w:rPr>
                <w:color w:val="1C3A36"/>
                <w:sz w:val="15"/>
              </w:rPr>
              <w:t>9,439,744,195.0</w:t>
            </w:r>
          </w:p>
        </w:tc>
        <w:tc>
          <w:tcPr>
            <w:tcW w:type="dxa" w:w="1368"/>
          </w:tcPr>
          <w:p>
            <w:pPr>
              <w:spacing w:after="20"/>
            </w:pPr>
            <w:r>
              <w:rPr>
                <w:color w:val="1C3A36"/>
                <w:sz w:val="15"/>
              </w:rPr>
              <w:t>2026-03-31</w:t>
            </w:r>
          </w:p>
        </w:tc>
        <w:tc>
          <w:tcPr>
            <w:tcW w:type="dxa" w:w="3845"/>
          </w:tcPr>
          <w:p>
            <w:pPr>
              <w:spacing w:after="20"/>
            </w:pPr>
            <w:r>
              <w:rPr>
                <w:color w:val="1C3A36"/>
                <w:sz w:val="15"/>
              </w:rPr>
              <w:t>Cost of sales, three months to 31-Mar-2026. Reviewed consolidated FS, three months to 31-Mar-2026</w:t>
            </w:r>
          </w:p>
        </w:tc>
      </w:tr>
      <w:tr>
        <w:tc>
          <w:tcPr>
            <w:tcW w:type="dxa" w:w="2736"/>
          </w:tcPr>
          <w:p>
            <w:pPr>
              <w:spacing w:after="20"/>
            </w:pPr>
            <w:r>
              <w:rPr>
                <w:color w:val="1C3A36"/>
                <w:sz w:val="15"/>
              </w:rPr>
              <w:t>ga_q1_26</w:t>
            </w:r>
          </w:p>
        </w:tc>
        <w:tc>
          <w:tcPr>
            <w:tcW w:type="dxa" w:w="2232"/>
          </w:tcPr>
          <w:p>
            <w:pPr>
              <w:spacing w:after="20"/>
            </w:pPr>
            <w:r>
              <w:rPr>
                <w:color w:val="1C3A36"/>
                <w:sz w:val="15"/>
              </w:rPr>
              <w:t>365,952,237.0</w:t>
            </w:r>
          </w:p>
        </w:tc>
        <w:tc>
          <w:tcPr>
            <w:tcW w:type="dxa" w:w="1368"/>
          </w:tcPr>
          <w:p>
            <w:pPr>
              <w:spacing w:after="20"/>
            </w:pPr>
            <w:r>
              <w:rPr>
                <w:color w:val="1C3A36"/>
                <w:sz w:val="15"/>
              </w:rPr>
              <w:t>2026-03-31</w:t>
            </w:r>
          </w:p>
        </w:tc>
        <w:tc>
          <w:tcPr>
            <w:tcW w:type="dxa" w:w="3845"/>
          </w:tcPr>
          <w:p>
            <w:pPr>
              <w:spacing w:after="20"/>
            </w:pPr>
            <w:r>
              <w:rPr>
                <w:color w:val="1C3A36"/>
                <w:sz w:val="15"/>
              </w:rPr>
              <w:t>General and administrative expenses, three months to 31-Mar-2026. Reviewed consolidated FS, three months to 31-Mar-2026</w:t>
            </w:r>
          </w:p>
        </w:tc>
      </w:tr>
      <w:tr>
        <w:tc>
          <w:tcPr>
            <w:tcW w:type="dxa" w:w="2736"/>
          </w:tcPr>
          <w:p>
            <w:pPr>
              <w:spacing w:after="20"/>
            </w:pPr>
            <w:r>
              <w:rPr>
                <w:color w:val="1C3A36"/>
                <w:sz w:val="15"/>
              </w:rPr>
              <w:t>mkt_q1_26</w:t>
            </w:r>
          </w:p>
        </w:tc>
        <w:tc>
          <w:tcPr>
            <w:tcW w:type="dxa" w:w="2232"/>
          </w:tcPr>
          <w:p>
            <w:pPr>
              <w:spacing w:after="20"/>
            </w:pPr>
            <w:r>
              <w:rPr>
                <w:color w:val="1C3A36"/>
                <w:sz w:val="15"/>
              </w:rPr>
              <w:t>60,830,975.0</w:t>
            </w:r>
          </w:p>
        </w:tc>
        <w:tc>
          <w:tcPr>
            <w:tcW w:type="dxa" w:w="1368"/>
          </w:tcPr>
          <w:p>
            <w:pPr>
              <w:spacing w:after="20"/>
            </w:pPr>
            <w:r>
              <w:rPr>
                <w:color w:val="1C3A36"/>
                <w:sz w:val="15"/>
              </w:rPr>
              <w:t>2026-03-31</w:t>
            </w:r>
          </w:p>
        </w:tc>
        <w:tc>
          <w:tcPr>
            <w:tcW w:type="dxa" w:w="3845"/>
          </w:tcPr>
          <w:p>
            <w:pPr>
              <w:spacing w:after="20"/>
            </w:pPr>
            <w:r>
              <w:rPr>
                <w:color w:val="1C3A36"/>
                <w:sz w:val="15"/>
              </w:rPr>
              <w:t>Marketing and selling expenses, three months to 31-Mar-2026. Reviewed consolidated FS, three months to 31-Mar-2026</w:t>
            </w:r>
          </w:p>
        </w:tc>
      </w:tr>
      <w:tr>
        <w:tc>
          <w:tcPr>
            <w:tcW w:type="dxa" w:w="2736"/>
          </w:tcPr>
          <w:p>
            <w:pPr>
              <w:spacing w:after="20"/>
            </w:pPr>
            <w:r>
              <w:rPr>
                <w:color w:val="1C3A36"/>
                <w:sz w:val="15"/>
              </w:rPr>
              <w:t>othexp_q1_26</w:t>
            </w:r>
          </w:p>
        </w:tc>
        <w:tc>
          <w:tcPr>
            <w:tcW w:type="dxa" w:w="2232"/>
          </w:tcPr>
          <w:p>
            <w:pPr>
              <w:spacing w:after="20"/>
            </w:pPr>
            <w:r>
              <w:rPr>
                <w:color w:val="1C3A36"/>
                <w:sz w:val="15"/>
              </w:rPr>
              <w:t>1,080,000.0</w:t>
            </w:r>
          </w:p>
        </w:tc>
        <w:tc>
          <w:tcPr>
            <w:tcW w:type="dxa" w:w="1368"/>
          </w:tcPr>
          <w:p>
            <w:pPr>
              <w:spacing w:after="20"/>
            </w:pPr>
            <w:r>
              <w:rPr>
                <w:color w:val="1C3A36"/>
                <w:sz w:val="15"/>
              </w:rPr>
              <w:t>2026-03-31</w:t>
            </w:r>
          </w:p>
        </w:tc>
        <w:tc>
          <w:tcPr>
            <w:tcW w:type="dxa" w:w="3845"/>
          </w:tcPr>
          <w:p>
            <w:pPr>
              <w:spacing w:after="20"/>
            </w:pPr>
            <w:r>
              <w:rPr>
                <w:color w:val="1C3A36"/>
                <w:sz w:val="15"/>
              </w:rPr>
              <w:t>Other operating expenses, three months to 31-Mar-2026. Reviewed consolidated FS, three months to 31-Mar-2026</w:t>
            </w:r>
          </w:p>
        </w:tc>
      </w:tr>
      <w:tr>
        <w:tc>
          <w:tcPr>
            <w:tcW w:type="dxa" w:w="2736"/>
          </w:tcPr>
          <w:p>
            <w:pPr>
              <w:spacing w:after="20"/>
            </w:pPr>
            <w:r>
              <w:rPr>
                <w:color w:val="1C3A36"/>
                <w:sz w:val="15"/>
              </w:rPr>
              <w:t>othrev_q1_26</w:t>
            </w:r>
          </w:p>
        </w:tc>
        <w:tc>
          <w:tcPr>
            <w:tcW w:type="dxa" w:w="2232"/>
          </w:tcPr>
          <w:p>
            <w:pPr>
              <w:spacing w:after="20"/>
            </w:pPr>
            <w:r>
              <w:rPr>
                <w:color w:val="1C3A36"/>
                <w:sz w:val="15"/>
              </w:rPr>
              <w:t>225,556,509.0</w:t>
            </w:r>
          </w:p>
        </w:tc>
        <w:tc>
          <w:tcPr>
            <w:tcW w:type="dxa" w:w="1368"/>
          </w:tcPr>
          <w:p>
            <w:pPr>
              <w:spacing w:after="20"/>
            </w:pPr>
            <w:r>
              <w:rPr>
                <w:color w:val="1C3A36"/>
                <w:sz w:val="15"/>
              </w:rPr>
              <w:t>2026-03-31</w:t>
            </w:r>
          </w:p>
        </w:tc>
        <w:tc>
          <w:tcPr>
            <w:tcW w:type="dxa" w:w="3845"/>
          </w:tcPr>
          <w:p>
            <w:pPr>
              <w:spacing w:after="20"/>
            </w:pPr>
            <w:r>
              <w:rPr>
                <w:color w:val="1C3A36"/>
                <w:sz w:val="15"/>
              </w:rPr>
              <w:t>Other revenue, three months to 31-Mar-2026. Reviewed consolidated FS, three months to 31-Mar-2026</w:t>
            </w:r>
          </w:p>
        </w:tc>
      </w:tr>
      <w:tr>
        <w:tc>
          <w:tcPr>
            <w:tcW w:type="dxa" w:w="2736"/>
          </w:tcPr>
          <w:p>
            <w:pPr>
              <w:spacing w:after="20"/>
            </w:pPr>
            <w:r>
              <w:rPr>
                <w:color w:val="1C3A36"/>
                <w:sz w:val="15"/>
              </w:rPr>
              <w:t>prov_q1_26</w:t>
            </w:r>
          </w:p>
        </w:tc>
        <w:tc>
          <w:tcPr>
            <w:tcW w:type="dxa" w:w="2232"/>
          </w:tcPr>
          <w:p>
            <w:pPr>
              <w:spacing w:after="20"/>
            </w:pPr>
            <w:r>
              <w:rPr>
                <w:color w:val="1C3A36"/>
                <w:sz w:val="15"/>
              </w:rPr>
              <w:t>30,000,000.0</w:t>
            </w:r>
          </w:p>
        </w:tc>
        <w:tc>
          <w:tcPr>
            <w:tcW w:type="dxa" w:w="1368"/>
          </w:tcPr>
          <w:p>
            <w:pPr>
              <w:spacing w:after="20"/>
            </w:pPr>
            <w:r>
              <w:rPr>
                <w:color w:val="1C3A36"/>
                <w:sz w:val="15"/>
              </w:rPr>
              <w:t>2026-03-31</w:t>
            </w:r>
          </w:p>
        </w:tc>
        <w:tc>
          <w:tcPr>
            <w:tcW w:type="dxa" w:w="3845"/>
          </w:tcPr>
          <w:p>
            <w:pPr>
              <w:spacing w:after="20"/>
            </w:pPr>
            <w:r>
              <w:rPr>
                <w:color w:val="1C3A36"/>
                <w:sz w:val="15"/>
              </w:rPr>
              <w:t>Formed provisions, three months to 31-Mar-2026. Reviewed consolidated FS, three months to 31-Mar-2026</w:t>
            </w:r>
          </w:p>
        </w:tc>
      </w:tr>
      <w:tr>
        <w:tc>
          <w:tcPr>
            <w:tcW w:type="dxa" w:w="2736"/>
          </w:tcPr>
          <w:p>
            <w:pPr>
              <w:spacing w:after="20"/>
            </w:pPr>
            <w:r>
              <w:rPr>
                <w:color w:val="1C3A36"/>
                <w:sz w:val="15"/>
              </w:rPr>
              <w:t>ecl_q1_26</w:t>
            </w:r>
          </w:p>
        </w:tc>
        <w:tc>
          <w:tcPr>
            <w:tcW w:type="dxa" w:w="2232"/>
          </w:tcPr>
          <w:p>
            <w:pPr>
              <w:spacing w:after="20"/>
            </w:pPr>
            <w:r>
              <w:rPr>
                <w:color w:val="1C3A36"/>
                <w:sz w:val="15"/>
              </w:rPr>
              <w:t>20,323,123.0</w:t>
            </w:r>
          </w:p>
        </w:tc>
        <w:tc>
          <w:tcPr>
            <w:tcW w:type="dxa" w:w="1368"/>
          </w:tcPr>
          <w:p>
            <w:pPr>
              <w:spacing w:after="20"/>
            </w:pPr>
            <w:r>
              <w:rPr>
                <w:color w:val="1C3A36"/>
                <w:sz w:val="15"/>
              </w:rPr>
              <w:t>2026-03-31</w:t>
            </w:r>
          </w:p>
        </w:tc>
        <w:tc>
          <w:tcPr>
            <w:tcW w:type="dxa" w:w="3845"/>
          </w:tcPr>
          <w:p>
            <w:pPr>
              <w:spacing w:after="20"/>
            </w:pPr>
            <w:r>
              <w:rPr>
                <w:color w:val="1C3A36"/>
                <w:sz w:val="15"/>
              </w:rPr>
              <w:t>Expected credit losses formed, three months to 31-Mar-2026. Reviewed consolidated FS, three months to 31-Mar-2026</w:t>
            </w:r>
          </w:p>
        </w:tc>
      </w:tr>
      <w:tr>
        <w:tc>
          <w:tcPr>
            <w:tcW w:type="dxa" w:w="2736"/>
          </w:tcPr>
          <w:p>
            <w:pPr>
              <w:spacing w:after="20"/>
            </w:pPr>
            <w:r>
              <w:rPr>
                <w:color w:val="1C3A36"/>
                <w:sz w:val="15"/>
              </w:rPr>
              <w:t>fin_q1_26</w:t>
            </w:r>
          </w:p>
        </w:tc>
        <w:tc>
          <w:tcPr>
            <w:tcW w:type="dxa" w:w="2232"/>
          </w:tcPr>
          <w:p>
            <w:pPr>
              <w:spacing w:after="20"/>
            </w:pPr>
            <w:r>
              <w:rPr>
                <w:color w:val="1C3A36"/>
                <w:sz w:val="15"/>
              </w:rPr>
              <w:t>982,219.0</w:t>
            </w:r>
          </w:p>
        </w:tc>
        <w:tc>
          <w:tcPr>
            <w:tcW w:type="dxa" w:w="1368"/>
          </w:tcPr>
          <w:p>
            <w:pPr>
              <w:spacing w:after="20"/>
            </w:pPr>
            <w:r>
              <w:rPr>
                <w:color w:val="1C3A36"/>
                <w:sz w:val="15"/>
              </w:rPr>
              <w:t>2026-03-31</w:t>
            </w:r>
          </w:p>
        </w:tc>
        <w:tc>
          <w:tcPr>
            <w:tcW w:type="dxa" w:w="3845"/>
          </w:tcPr>
          <w:p>
            <w:pPr>
              <w:spacing w:after="20"/>
            </w:pPr>
            <w:r>
              <w:rPr>
                <w:color w:val="1C3A36"/>
                <w:sz w:val="15"/>
              </w:rPr>
              <w:t>Finance cost, three months to 31-Mar-2026. Reviewed consolidated FS, three months to 31-Mar-2026</w:t>
            </w:r>
          </w:p>
        </w:tc>
      </w:tr>
      <w:tr>
        <w:tc>
          <w:tcPr>
            <w:tcW w:type="dxa" w:w="2736"/>
          </w:tcPr>
          <w:p>
            <w:pPr>
              <w:spacing w:after="20"/>
            </w:pPr>
            <w:r>
              <w:rPr>
                <w:color w:val="1C3A36"/>
                <w:sz w:val="15"/>
              </w:rPr>
              <w:t>tax_q1_26</w:t>
            </w:r>
          </w:p>
        </w:tc>
        <w:tc>
          <w:tcPr>
            <w:tcW w:type="dxa" w:w="2232"/>
          </w:tcPr>
          <w:p>
            <w:pPr>
              <w:spacing w:after="20"/>
            </w:pPr>
            <w:r>
              <w:rPr>
                <w:color w:val="1C3A36"/>
                <w:sz w:val="15"/>
              </w:rPr>
              <w:t>175,094,101.0</w:t>
            </w:r>
          </w:p>
        </w:tc>
        <w:tc>
          <w:tcPr>
            <w:tcW w:type="dxa" w:w="1368"/>
          </w:tcPr>
          <w:p>
            <w:pPr>
              <w:spacing w:after="20"/>
            </w:pPr>
            <w:r>
              <w:rPr>
                <w:color w:val="1C3A36"/>
                <w:sz w:val="15"/>
              </w:rPr>
              <w:t>2026-03-31</w:t>
            </w:r>
          </w:p>
        </w:tc>
        <w:tc>
          <w:tcPr>
            <w:tcW w:type="dxa" w:w="3845"/>
          </w:tcPr>
          <w:p>
            <w:pPr>
              <w:spacing w:after="20"/>
            </w:pPr>
            <w:r>
              <w:rPr>
                <w:color w:val="1C3A36"/>
                <w:sz w:val="15"/>
              </w:rPr>
              <w:t>Current income tax, three months to 31-Mar-2026. Reviewed consolidated FS, three months to 31-Mar-2026</w:t>
            </w:r>
          </w:p>
        </w:tc>
      </w:tr>
      <w:tr>
        <w:tc>
          <w:tcPr>
            <w:tcW w:type="dxa" w:w="2736"/>
          </w:tcPr>
          <w:p>
            <w:pPr>
              <w:spacing w:after="20"/>
            </w:pPr>
            <w:r>
              <w:rPr>
                <w:color w:val="1C3A36"/>
                <w:sz w:val="15"/>
              </w:rPr>
              <w:t>dtax_q1_26</w:t>
            </w:r>
          </w:p>
        </w:tc>
        <w:tc>
          <w:tcPr>
            <w:tcW w:type="dxa" w:w="2232"/>
          </w:tcPr>
          <w:p>
            <w:pPr>
              <w:spacing w:after="20"/>
            </w:pPr>
            <w:r>
              <w:rPr>
                <w:color w:val="1C3A36"/>
                <w:sz w:val="15"/>
              </w:rPr>
              <w:t>-7,209,684.0</w:t>
            </w:r>
          </w:p>
        </w:tc>
        <w:tc>
          <w:tcPr>
            <w:tcW w:type="dxa" w:w="1368"/>
          </w:tcPr>
          <w:p>
            <w:pPr>
              <w:spacing w:after="20"/>
            </w:pPr>
            <w:r>
              <w:rPr>
                <w:color w:val="1C3A36"/>
                <w:sz w:val="15"/>
              </w:rPr>
              <w:t>2026-03-31</w:t>
            </w:r>
          </w:p>
        </w:tc>
        <w:tc>
          <w:tcPr>
            <w:tcW w:type="dxa" w:w="3845"/>
          </w:tcPr>
          <w:p>
            <w:pPr>
              <w:spacing w:after="20"/>
            </w:pPr>
            <w:r>
              <w:rPr>
                <w:color w:val="1C3A36"/>
                <w:sz w:val="15"/>
              </w:rPr>
              <w:t>Deferred tax EXPENSE (negative = charge), three months to 31-Mar-2026. Reviewed consolidated FS, three months to 31-Mar-2026</w:t>
            </w:r>
          </w:p>
        </w:tc>
      </w:tr>
      <w:tr>
        <w:tc>
          <w:tcPr>
            <w:tcW w:type="dxa" w:w="2736"/>
          </w:tcPr>
          <w:p>
            <w:pPr>
              <w:spacing w:after="20"/>
            </w:pPr>
            <w:r>
              <w:rPr>
                <w:color w:val="1C3A36"/>
                <w:sz w:val="15"/>
              </w:rPr>
              <w:t>pat_q1_26</w:t>
            </w:r>
          </w:p>
        </w:tc>
        <w:tc>
          <w:tcPr>
            <w:tcW w:type="dxa" w:w="2232"/>
          </w:tcPr>
          <w:p>
            <w:pPr>
              <w:spacing w:after="20"/>
            </w:pPr>
            <w:r>
              <w:rPr>
                <w:color w:val="1C3A36"/>
                <w:sz w:val="15"/>
              </w:rPr>
              <w:t>635,119,535.0</w:t>
            </w:r>
          </w:p>
        </w:tc>
        <w:tc>
          <w:tcPr>
            <w:tcW w:type="dxa" w:w="1368"/>
          </w:tcPr>
          <w:p>
            <w:pPr>
              <w:spacing w:after="20"/>
            </w:pPr>
            <w:r>
              <w:rPr>
                <w:color w:val="1C3A36"/>
                <w:sz w:val="15"/>
              </w:rPr>
              <w:t>2026-03-31</w:t>
            </w:r>
          </w:p>
        </w:tc>
        <w:tc>
          <w:tcPr>
            <w:tcW w:type="dxa" w:w="3845"/>
          </w:tcPr>
          <w:p>
            <w:pPr>
              <w:spacing w:after="20"/>
            </w:pPr>
            <w:r>
              <w:rPr>
                <w:color w:val="1C3A36"/>
                <w:sz w:val="15"/>
              </w:rPr>
              <w:t>Net profit after tax, three months to 31-Mar-2026. Reviewed consolidated FS, three months to 31-Mar-2026</w:t>
            </w:r>
          </w:p>
        </w:tc>
      </w:tr>
      <w:tr>
        <w:tc>
          <w:tcPr>
            <w:tcW w:type="dxa" w:w="2736"/>
          </w:tcPr>
          <w:p>
            <w:pPr>
              <w:spacing w:after="20"/>
            </w:pPr>
            <w:r>
              <w:rPr>
                <w:color w:val="1C3A36"/>
                <w:sz w:val="15"/>
              </w:rPr>
              <w:t>nci_q1_26</w:t>
            </w:r>
          </w:p>
        </w:tc>
        <w:tc>
          <w:tcPr>
            <w:tcW w:type="dxa" w:w="2232"/>
          </w:tcPr>
          <w:p>
            <w:pPr>
              <w:spacing w:after="20"/>
            </w:pPr>
            <w:r>
              <w:rPr>
                <w:color w:val="1C3A36"/>
                <w:sz w:val="15"/>
              </w:rPr>
              <w:t>22,627,676.0</w:t>
            </w:r>
          </w:p>
        </w:tc>
        <w:tc>
          <w:tcPr>
            <w:tcW w:type="dxa" w:w="1368"/>
          </w:tcPr>
          <w:p>
            <w:pPr>
              <w:spacing w:after="20"/>
            </w:pPr>
            <w:r>
              <w:rPr>
                <w:color w:val="1C3A36"/>
                <w:sz w:val="15"/>
              </w:rPr>
              <w:t>2026-03-31</w:t>
            </w:r>
          </w:p>
        </w:tc>
        <w:tc>
          <w:tcPr>
            <w:tcW w:type="dxa" w:w="3845"/>
          </w:tcPr>
          <w:p>
            <w:pPr>
              <w:spacing w:after="20"/>
            </w:pPr>
            <w:r>
              <w:rPr>
                <w:color w:val="1C3A36"/>
                <w:sz w:val="15"/>
              </w:rPr>
              <w:t>Non-controlling interest share of profit, three months to 31-Mar-2026. Reviewed consolidated FS, three months to 31-Mar-2026</w:t>
            </w:r>
          </w:p>
        </w:tc>
      </w:tr>
      <w:tr>
        <w:tc>
          <w:tcPr>
            <w:tcW w:type="dxa" w:w="2736"/>
          </w:tcPr>
          <w:p>
            <w:pPr>
              <w:spacing w:after="20"/>
            </w:pPr>
            <w:r>
              <w:rPr>
                <w:color w:val="1C3A36"/>
                <w:sz w:val="15"/>
              </w:rPr>
              <w:t>rev_h2_24</w:t>
            </w:r>
          </w:p>
        </w:tc>
        <w:tc>
          <w:tcPr>
            <w:tcW w:type="dxa" w:w="2232"/>
          </w:tcPr>
          <w:p>
            <w:pPr>
              <w:spacing w:after="20"/>
            </w:pPr>
            <w:r>
              <w:rPr>
                <w:color w:val="1C3A36"/>
                <w:sz w:val="15"/>
              </w:rPr>
              <w:t>18,246,078,901.0</w:t>
            </w:r>
          </w:p>
        </w:tc>
        <w:tc>
          <w:tcPr>
            <w:tcW w:type="dxa" w:w="1368"/>
          </w:tcPr>
          <w:p>
            <w:pPr>
              <w:spacing w:after="20"/>
            </w:pPr>
            <w:r>
              <w:rPr>
                <w:color w:val="1C3A36"/>
                <w:sz w:val="15"/>
              </w:rPr>
              <w:t>2024-12-31</w:t>
            </w:r>
          </w:p>
        </w:tc>
        <w:tc>
          <w:tcPr>
            <w:tcW w:type="dxa" w:w="3845"/>
          </w:tcPr>
          <w:p>
            <w:pPr>
              <w:spacing w:after="20"/>
            </w:pPr>
            <w:r>
              <w:rPr>
                <w:color w:val="1C3A36"/>
                <w:sz w:val="15"/>
              </w:rPr>
              <w:t>Net sales, six months to 31-Dec-2024 (comparative column). Audited consolidated FS, transition period 1-Jul-2025 to 31-Dec-2025, Crowe unqualified, 18-Feb-2026</w:t>
            </w:r>
          </w:p>
        </w:tc>
      </w:tr>
      <w:tr>
        <w:tc>
          <w:tcPr>
            <w:tcW w:type="dxa" w:w="2736"/>
          </w:tcPr>
          <w:p>
            <w:pPr>
              <w:spacing w:after="20"/>
            </w:pPr>
            <w:r>
              <w:rPr>
                <w:color w:val="1C3A36"/>
                <w:sz w:val="15"/>
              </w:rPr>
              <w:t>cogs_h2_24</w:t>
            </w:r>
          </w:p>
        </w:tc>
        <w:tc>
          <w:tcPr>
            <w:tcW w:type="dxa" w:w="2232"/>
          </w:tcPr>
          <w:p>
            <w:pPr>
              <w:spacing w:after="20"/>
            </w:pPr>
            <w:r>
              <w:rPr>
                <w:color w:val="1C3A36"/>
                <w:sz w:val="15"/>
              </w:rPr>
              <w:t>16,995,436,456.0</w:t>
            </w:r>
          </w:p>
        </w:tc>
        <w:tc>
          <w:tcPr>
            <w:tcW w:type="dxa" w:w="1368"/>
          </w:tcPr>
          <w:p>
            <w:pPr>
              <w:spacing w:after="20"/>
            </w:pPr>
            <w:r>
              <w:rPr>
                <w:color w:val="1C3A36"/>
                <w:sz w:val="15"/>
              </w:rPr>
              <w:t>2024-12-31</w:t>
            </w:r>
          </w:p>
        </w:tc>
        <w:tc>
          <w:tcPr>
            <w:tcW w:type="dxa" w:w="3845"/>
          </w:tcPr>
          <w:p>
            <w:pPr>
              <w:spacing w:after="20"/>
            </w:pPr>
            <w:r>
              <w:rPr>
                <w:color w:val="1C3A36"/>
                <w:sz w:val="15"/>
              </w:rPr>
              <w:t>Cost of sales, six months to 31-Dec-2024 (comparative column). Audited consolidated FS, transition period 1-Jul-2025 to 31-Dec-2025, Crowe unqualified, 18-Feb-2026</w:t>
            </w:r>
          </w:p>
        </w:tc>
      </w:tr>
      <w:tr>
        <w:tc>
          <w:tcPr>
            <w:tcW w:type="dxa" w:w="2736"/>
          </w:tcPr>
          <w:p>
            <w:pPr>
              <w:spacing w:after="20"/>
            </w:pPr>
            <w:r>
              <w:rPr>
                <w:color w:val="1C3A36"/>
                <w:sz w:val="15"/>
              </w:rPr>
              <w:t>pat_h2_24</w:t>
            </w:r>
          </w:p>
        </w:tc>
        <w:tc>
          <w:tcPr>
            <w:tcW w:type="dxa" w:w="2232"/>
          </w:tcPr>
          <w:p>
            <w:pPr>
              <w:spacing w:after="20"/>
            </w:pPr>
            <w:r>
              <w:rPr>
                <w:color w:val="1C3A36"/>
                <w:sz w:val="15"/>
              </w:rPr>
              <w:t>641,640,411.0</w:t>
            </w:r>
          </w:p>
        </w:tc>
        <w:tc>
          <w:tcPr>
            <w:tcW w:type="dxa" w:w="1368"/>
          </w:tcPr>
          <w:p>
            <w:pPr>
              <w:spacing w:after="20"/>
            </w:pPr>
            <w:r>
              <w:rPr>
                <w:color w:val="1C3A36"/>
                <w:sz w:val="15"/>
              </w:rPr>
              <w:t>2024-12-31</w:t>
            </w:r>
          </w:p>
        </w:tc>
        <w:tc>
          <w:tcPr>
            <w:tcW w:type="dxa" w:w="3845"/>
          </w:tcPr>
          <w:p>
            <w:pPr>
              <w:spacing w:after="20"/>
            </w:pPr>
            <w:r>
              <w:rPr>
                <w:color w:val="1C3A36"/>
                <w:sz w:val="15"/>
              </w:rPr>
              <w:t>Net profit after tax, six months to 31-Dec-2024. Audited consolidated FS, transition period 1-Jul-2025 to 31-Dec-2025, Crowe unqualified, 18-Feb-2026</w:t>
            </w:r>
          </w:p>
        </w:tc>
      </w:tr>
      <w:tr>
        <w:tc>
          <w:tcPr>
            <w:tcW w:type="dxa" w:w="2736"/>
          </w:tcPr>
          <w:p>
            <w:pPr>
              <w:spacing w:after="20"/>
            </w:pPr>
            <w:r>
              <w:rPr>
                <w:color w:val="1C3A36"/>
                <w:sz w:val="15"/>
              </w:rPr>
              <w:t>rev_q1_25</w:t>
            </w:r>
          </w:p>
        </w:tc>
        <w:tc>
          <w:tcPr>
            <w:tcW w:type="dxa" w:w="2232"/>
          </w:tcPr>
          <w:p>
            <w:pPr>
              <w:spacing w:after="20"/>
            </w:pPr>
            <w:r>
              <w:rPr>
                <w:color w:val="1C3A36"/>
                <w:sz w:val="15"/>
              </w:rPr>
              <w:t>10,068,471,935.0</w:t>
            </w:r>
          </w:p>
        </w:tc>
        <w:tc>
          <w:tcPr>
            <w:tcW w:type="dxa" w:w="1368"/>
          </w:tcPr>
          <w:p>
            <w:pPr>
              <w:spacing w:after="20"/>
            </w:pPr>
            <w:r>
              <w:rPr>
                <w:color w:val="1C3A36"/>
                <w:sz w:val="15"/>
              </w:rPr>
              <w:t>2025-03-31</w:t>
            </w:r>
          </w:p>
        </w:tc>
        <w:tc>
          <w:tcPr>
            <w:tcW w:type="dxa" w:w="3845"/>
          </w:tcPr>
          <w:p>
            <w:pPr>
              <w:spacing w:after="20"/>
            </w:pPr>
            <w:r>
              <w:rPr>
                <w:color w:val="1C3A36"/>
                <w:sz w:val="15"/>
              </w:rPr>
              <w:t>Net sales, three months to 31-Mar-2025 (comparative column). Reviewed consolidated FS, three months to 31-Mar-2026</w:t>
            </w:r>
          </w:p>
        </w:tc>
      </w:tr>
      <w:tr>
        <w:tc>
          <w:tcPr>
            <w:tcW w:type="dxa" w:w="2736"/>
          </w:tcPr>
          <w:p>
            <w:pPr>
              <w:spacing w:after="20"/>
            </w:pPr>
            <w:r>
              <w:rPr>
                <w:color w:val="1C3A36"/>
                <w:sz w:val="15"/>
              </w:rPr>
              <w:t>cogs_q1_25</w:t>
            </w:r>
          </w:p>
        </w:tc>
        <w:tc>
          <w:tcPr>
            <w:tcW w:type="dxa" w:w="2232"/>
          </w:tcPr>
          <w:p>
            <w:pPr>
              <w:spacing w:after="20"/>
            </w:pPr>
            <w:r>
              <w:rPr>
                <w:color w:val="1C3A36"/>
                <w:sz w:val="15"/>
              </w:rPr>
              <w:t>9,559,699,263.0</w:t>
            </w:r>
          </w:p>
        </w:tc>
        <w:tc>
          <w:tcPr>
            <w:tcW w:type="dxa" w:w="1368"/>
          </w:tcPr>
          <w:p>
            <w:pPr>
              <w:spacing w:after="20"/>
            </w:pPr>
            <w:r>
              <w:rPr>
                <w:color w:val="1C3A36"/>
                <w:sz w:val="15"/>
              </w:rPr>
              <w:t>2025-03-31</w:t>
            </w:r>
          </w:p>
        </w:tc>
        <w:tc>
          <w:tcPr>
            <w:tcW w:type="dxa" w:w="3845"/>
          </w:tcPr>
          <w:p>
            <w:pPr>
              <w:spacing w:after="20"/>
            </w:pPr>
            <w:r>
              <w:rPr>
                <w:color w:val="1C3A36"/>
                <w:sz w:val="15"/>
              </w:rPr>
              <w:t>Cost of sales, three months to 31-Mar-2025 (comparative column). Reviewed consolidated FS, three months to 31-Mar-2026</w:t>
            </w:r>
          </w:p>
        </w:tc>
      </w:tr>
      <w:tr>
        <w:tc>
          <w:tcPr>
            <w:tcW w:type="dxa" w:w="2736"/>
          </w:tcPr>
          <w:p>
            <w:pPr>
              <w:spacing w:after="20"/>
            </w:pPr>
            <w:r>
              <w:rPr>
                <w:color w:val="1C3A36"/>
                <w:sz w:val="15"/>
              </w:rPr>
              <w:t>pat_fy25_full</w:t>
            </w:r>
          </w:p>
        </w:tc>
        <w:tc>
          <w:tcPr>
            <w:tcW w:type="dxa" w:w="2232"/>
          </w:tcPr>
          <w:p>
            <w:pPr>
              <w:spacing w:after="20"/>
            </w:pPr>
            <w:r>
              <w:rPr>
                <w:color w:val="1C3A36"/>
                <w:sz w:val="15"/>
              </w:rPr>
              <w:t>1,488,520,098.0</w:t>
            </w:r>
          </w:p>
        </w:tc>
        <w:tc>
          <w:tcPr>
            <w:tcW w:type="dxa" w:w="1368"/>
          </w:tcPr>
          <w:p>
            <w:pPr>
              <w:spacing w:after="20"/>
            </w:pPr>
            <w:r>
              <w:rPr>
                <w:color w:val="1C3A36"/>
                <w:sz w:val="15"/>
              </w:rPr>
              <w:t>2025-06-30</w:t>
            </w:r>
          </w:p>
        </w:tc>
        <w:tc>
          <w:tcPr>
            <w:tcW w:type="dxa" w:w="3845"/>
          </w:tcPr>
          <w:p>
            <w:pPr>
              <w:spacing w:after="20"/>
            </w:pPr>
            <w:r>
              <w:rPr>
                <w:color w:val="1C3A36"/>
                <w:sz w:val="15"/>
              </w:rPr>
              <w:t>Majority profit for the financial year to 30-June-2025, read off the opening column of the consolidated statement of changes in equity at 1-July-2025. Audited consolidated FS, transition period 1-Jul-2025 to 31-Dec-2025, Crowe unqualified, 18-Feb-2026</w:t>
            </w:r>
          </w:p>
        </w:tc>
      </w:tr>
      <w:tr>
        <w:tc>
          <w:tcPr>
            <w:tcW w:type="dxa" w:w="2736"/>
          </w:tcPr>
          <w:p>
            <w:pPr>
              <w:spacing w:after="20"/>
            </w:pPr>
            <w:r>
              <w:rPr>
                <w:color w:val="1C3A36"/>
                <w:sz w:val="15"/>
              </w:rPr>
              <w:t>rev_h1cy26_rep</w:t>
            </w:r>
          </w:p>
        </w:tc>
        <w:tc>
          <w:tcPr>
            <w:tcW w:type="dxa" w:w="2232"/>
          </w:tcPr>
          <w:p>
            <w:pPr>
              <w:spacing w:after="20"/>
            </w:pPr>
            <w:r>
              <w:rPr>
                <w:color w:val="1C3A36"/>
                <w:sz w:val="15"/>
              </w:rPr>
              <w:t>26,223,000,000.0</w:t>
            </w:r>
          </w:p>
        </w:tc>
        <w:tc>
          <w:tcPr>
            <w:tcW w:type="dxa" w:w="1368"/>
          </w:tcPr>
          <w:p>
            <w:pPr>
              <w:spacing w:after="20"/>
            </w:pPr>
            <w:r>
              <w:rPr>
                <w:color w:val="1C3A36"/>
                <w:sz w:val="15"/>
              </w:rPr>
              <w:t>2026-06-30</w:t>
            </w:r>
          </w:p>
        </w:tc>
        <w:tc>
          <w:tcPr>
            <w:tcW w:type="dxa" w:w="3845"/>
          </w:tcPr>
          <w:p>
            <w:pPr>
              <w:spacing w:after="20"/>
            </w:pPr>
            <w:r>
              <w:rPr>
                <w:color w:val="1C3A36"/>
                <w:sz w:val="15"/>
              </w:rPr>
              <w:t>Net sales, six months to 30-Jun-2026. Half-year results for 1-Jan to 30-Jun-2026, disclosed to the Egyptian Exchange 29-30 July 2026. REPORTED, NOT AUDITED — a press release, not a filing</w:t>
            </w:r>
          </w:p>
        </w:tc>
      </w:tr>
      <w:tr>
        <w:tc>
          <w:tcPr>
            <w:tcW w:type="dxa" w:w="2736"/>
          </w:tcPr>
          <w:p>
            <w:pPr>
              <w:spacing w:after="20"/>
            </w:pPr>
            <w:r>
              <w:rPr>
                <w:color w:val="1C3A36"/>
                <w:sz w:val="15"/>
              </w:rPr>
              <w:t>pat_h1cy26_rep</w:t>
            </w:r>
          </w:p>
        </w:tc>
        <w:tc>
          <w:tcPr>
            <w:tcW w:type="dxa" w:w="2232"/>
          </w:tcPr>
          <w:p>
            <w:pPr>
              <w:spacing w:after="20"/>
            </w:pPr>
            <w:r>
              <w:rPr>
                <w:color w:val="1C3A36"/>
                <w:sz w:val="15"/>
              </w:rPr>
              <w:t>1,903,000,000.0</w:t>
            </w:r>
          </w:p>
        </w:tc>
        <w:tc>
          <w:tcPr>
            <w:tcW w:type="dxa" w:w="1368"/>
          </w:tcPr>
          <w:p>
            <w:pPr>
              <w:spacing w:after="20"/>
            </w:pPr>
            <w:r>
              <w:rPr>
                <w:color w:val="1C3A36"/>
                <w:sz w:val="15"/>
              </w:rPr>
              <w:t>2026-06-30</w:t>
            </w:r>
          </w:p>
        </w:tc>
        <w:tc>
          <w:tcPr>
            <w:tcW w:type="dxa" w:w="3845"/>
          </w:tcPr>
          <w:p>
            <w:pPr>
              <w:spacing w:after="20"/>
            </w:pPr>
            <w:r>
              <w:rPr>
                <w:color w:val="1C3A36"/>
                <w:sz w:val="15"/>
              </w:rPr>
              <w:t>Net profit after tax, six months to 30-Jun-2026. Half-year results for 1-Jan to 30-Jun-2026, disclosed to the Egyptian Exchange 29-30 July 2026. REPORTED, NOT AUDITED — a press release, not a filing</w:t>
            </w:r>
          </w:p>
        </w:tc>
      </w:tr>
      <w:tr>
        <w:tc>
          <w:tcPr>
            <w:tcW w:type="dxa" w:w="2736"/>
          </w:tcPr>
          <w:p>
            <w:pPr>
              <w:spacing w:after="20"/>
            </w:pPr>
            <w:r>
              <w:rPr>
                <w:color w:val="1C3A36"/>
                <w:sz w:val="15"/>
              </w:rPr>
              <w:t>gp_h1cy26_rep</w:t>
            </w:r>
          </w:p>
        </w:tc>
        <w:tc>
          <w:tcPr>
            <w:tcW w:type="dxa" w:w="2232"/>
          </w:tcPr>
          <w:p>
            <w:pPr>
              <w:spacing w:after="20"/>
            </w:pPr>
            <w:r>
              <w:rPr>
                <w:color w:val="1C3A36"/>
                <w:sz w:val="15"/>
              </w:rPr>
              <w:t>3,258,000,000.0</w:t>
            </w:r>
          </w:p>
        </w:tc>
        <w:tc>
          <w:tcPr>
            <w:tcW w:type="dxa" w:w="1368"/>
          </w:tcPr>
          <w:p>
            <w:pPr>
              <w:spacing w:after="20"/>
            </w:pPr>
            <w:r>
              <w:rPr>
                <w:color w:val="1C3A36"/>
                <w:sz w:val="15"/>
              </w:rPr>
              <w:t>2026-06-30</w:t>
            </w:r>
          </w:p>
        </w:tc>
        <w:tc>
          <w:tcPr>
            <w:tcW w:type="dxa" w:w="3845"/>
          </w:tcPr>
          <w:p>
            <w:pPr>
              <w:spacing w:after="20"/>
            </w:pPr>
            <w:r>
              <w:rPr>
                <w:color w:val="1C3A36"/>
                <w:sz w:val="15"/>
              </w:rPr>
              <w:t>Gross profit, six months to 30-Jun-2026, AS RELEASED. This study does NOT use this figure: run through the company's own Q1-2026 expense run rates it implies a profit after tax about 12.6% above the profit the same release reports. The gross profit actually used is SOLVED from the release's own profit line, which two independent coherence tests confirm. Half-year results for 1-Jan to 30-Jun-2026, disclosed to the Egyptian Exchange 29-30 July 2026. REPORTED, NOT AUDITED — a press release, not a filing</w:t>
            </w:r>
          </w:p>
        </w:tc>
      </w:tr>
      <w:tr>
        <w:tc>
          <w:tcPr>
            <w:tcW w:type="dxa" w:w="2736"/>
          </w:tcPr>
          <w:p>
            <w:pPr>
              <w:spacing w:after="20"/>
            </w:pPr>
            <w:r>
              <w:rPr>
                <w:color w:val="1C3A36"/>
                <w:sz w:val="15"/>
              </w:rPr>
              <w:t>pat_h1cy25</w:t>
            </w:r>
          </w:p>
        </w:tc>
        <w:tc>
          <w:tcPr>
            <w:tcW w:type="dxa" w:w="2232"/>
          </w:tcPr>
          <w:p>
            <w:pPr>
              <w:spacing w:after="20"/>
            </w:pPr>
            <w:r>
              <w:rPr>
                <w:color w:val="1C3A36"/>
                <w:sz w:val="15"/>
              </w:rPr>
              <w:t>878,800,000.0</w:t>
            </w:r>
          </w:p>
        </w:tc>
        <w:tc>
          <w:tcPr>
            <w:tcW w:type="dxa" w:w="1368"/>
          </w:tcPr>
          <w:p>
            <w:pPr>
              <w:spacing w:after="20"/>
            </w:pPr>
            <w:r>
              <w:rPr>
                <w:color w:val="1C3A36"/>
                <w:sz w:val="15"/>
              </w:rPr>
              <w:t>2025-06-30</w:t>
            </w:r>
          </w:p>
        </w:tc>
        <w:tc>
          <w:tcPr>
            <w:tcW w:type="dxa" w:w="3845"/>
          </w:tcPr>
          <w:p>
            <w:pPr>
              <w:spacing w:after="20"/>
            </w:pPr>
            <w:r>
              <w:rPr>
                <w:color w:val="1C3A36"/>
                <w:sz w:val="15"/>
              </w:rPr>
              <w:t>Majority profit, six months to 30-Jun-2025, read off the AUDITED consolidated statement of changes in equity. Used only to test the reported +109% profit growth in the half above. Audited consolidated FS, transition period 1-Jul-2025 to 31-Dec-2025, Crowe unqualified, 18-Feb-2026</w:t>
            </w:r>
          </w:p>
        </w:tc>
      </w:tr>
      <w:tr>
        <w:tc>
          <w:tcPr>
            <w:tcW w:type="dxa" w:w="2736"/>
          </w:tcPr>
          <w:p>
            <w:pPr>
              <w:spacing w:after="20"/>
            </w:pPr>
            <w:r>
              <w:rPr>
                <w:color w:val="1C3A36"/>
                <w:sz w:val="15"/>
              </w:rPr>
              <w:t>prod_t</w:t>
            </w:r>
          </w:p>
        </w:tc>
        <w:tc>
          <w:tcPr>
            <w:tcW w:type="dxa" w:w="2232"/>
          </w:tcPr>
          <w:p>
            <w:pPr>
              <w:spacing w:after="20"/>
            </w:pPr>
            <w:r>
              <w:rPr>
                <w:color w:val="1C3A36"/>
                <w:sz w:val="15"/>
              </w:rPr>
              <w:t>oils: 118,475.6; wax: 82,805.7; gasoil: 346,720.8; naphtha: 80,543.1; lpg: 47,938.8; fueloil: 799,642.3; hfo: 26,181.6; waste: 16.66</w:t>
            </w:r>
          </w:p>
        </w:tc>
        <w:tc>
          <w:tcPr>
            <w:tcW w:type="dxa" w:w="1368"/>
          </w:tcPr>
          <w:p>
            <w:pPr>
              <w:spacing w:after="20"/>
            </w:pPr>
            <w:r>
              <w:rPr>
                <w:color w:val="1C3A36"/>
                <w:sz w:val="15"/>
              </w:rPr>
              <w:t>2026-06-30</w:t>
            </w:r>
          </w:p>
        </w:tc>
        <w:tc>
          <w:tcPr>
            <w:tcW w:type="dxa" w:w="3845"/>
          </w:tcPr>
          <w:p>
            <w:pPr>
              <w:spacing w:after="20"/>
            </w:pPr>
            <w:r>
              <w:rPr>
                <w:color w:val="1C3A36"/>
                <w:sz w:val="15"/>
              </w:rPr>
              <w:t>Tonnes sold by product line, TWELVE months to 30-Jun-2026 — the audited transition half (note 14-A, Audited consolidated FS, transition period 1-Jul-2025 to 31-Dec-2025, Crowe unqualified, 18-Feb-2026) plus the reviewed half (Reviewed consolidated financial statements, six months to 30-Jun-2026, limited review report attached (note 14-A / 15-A)). Both halves are filed; nothing is annualised.</w:t>
            </w:r>
          </w:p>
        </w:tc>
      </w:tr>
      <w:tr>
        <w:tc>
          <w:tcPr>
            <w:tcW w:type="dxa" w:w="2736"/>
          </w:tcPr>
          <w:p>
            <w:pPr>
              <w:spacing w:after="20"/>
            </w:pPr>
            <w:r>
              <w:rPr>
                <w:color w:val="1C3A36"/>
                <w:sz w:val="15"/>
              </w:rPr>
              <w:t>prod_v</w:t>
            </w:r>
          </w:p>
        </w:tc>
        <w:tc>
          <w:tcPr>
            <w:tcW w:type="dxa" w:w="2232"/>
          </w:tcPr>
          <w:p>
            <w:pPr>
              <w:spacing w:after="20"/>
            </w:pPr>
            <w:r>
              <w:rPr>
                <w:color w:val="1C3A36"/>
                <w:sz w:val="15"/>
              </w:rPr>
              <w:t>oils: 6,910,344,291.0; wax: 4,652,865,956.0; gasoil: 13,032,962,579.0; naphtha: 2,237,624,310.0; lpg: 2,070,474,787.0; fueloil: 17,639,509,544.0; hfo: 414,784,599.0; waste: 192,200.0</w:t>
            </w:r>
          </w:p>
        </w:tc>
        <w:tc>
          <w:tcPr>
            <w:tcW w:type="dxa" w:w="1368"/>
          </w:tcPr>
          <w:p>
            <w:pPr>
              <w:spacing w:after="20"/>
            </w:pPr>
            <w:r>
              <w:rPr>
                <w:color w:val="1C3A36"/>
                <w:sz w:val="15"/>
              </w:rPr>
              <w:t>2026-06-30</w:t>
            </w:r>
          </w:p>
        </w:tc>
        <w:tc>
          <w:tcPr>
            <w:tcW w:type="dxa" w:w="3845"/>
          </w:tcPr>
          <w:p>
            <w:pPr>
              <w:spacing w:after="20"/>
            </w:pPr>
            <w:r>
              <w:rPr>
                <w:color w:val="1C3A36"/>
                <w:sz w:val="15"/>
              </w:rPr>
              <w:t>Sales value by product line, EGP, TWELVE months to 30-Jun-2026 — the audited transition half (note 14-A, Audited consolidated FS, transition period 1-Jul-2025 to 31-Dec-2025, Crowe unqualified, 18-Feb-2026) plus the reviewed half (Reviewed consolidated financial statements, six months to 30-Jun-2026, limited review report attached (note 14-A / 15-A)). Foots to disclosed twelve-month net sales with no scalar.</w:t>
            </w:r>
          </w:p>
        </w:tc>
      </w:tr>
      <w:tr>
        <w:tc>
          <w:tcPr>
            <w:tcW w:type="dxa" w:w="2736"/>
          </w:tcPr>
          <w:p>
            <w:pPr>
              <w:spacing w:after="20"/>
            </w:pPr>
            <w:r>
              <w:rPr>
                <w:color w:val="1C3A36"/>
                <w:sz w:val="15"/>
              </w:rPr>
              <w:t>rev_h1cy26</w:t>
            </w:r>
          </w:p>
        </w:tc>
        <w:tc>
          <w:tcPr>
            <w:tcW w:type="dxa" w:w="2232"/>
          </w:tcPr>
          <w:p>
            <w:pPr>
              <w:spacing w:after="20"/>
            </w:pPr>
            <w:r>
              <w:rPr>
                <w:color w:val="1C3A36"/>
                <w:sz w:val="15"/>
              </w:rPr>
              <w:t>26,223,032,454.0</w:t>
            </w:r>
          </w:p>
        </w:tc>
        <w:tc>
          <w:tcPr>
            <w:tcW w:type="dxa" w:w="1368"/>
          </w:tcPr>
          <w:p>
            <w:pPr>
              <w:spacing w:after="20"/>
            </w:pPr>
            <w:r>
              <w:rPr>
                <w:color w:val="1C3A36"/>
                <w:sz w:val="15"/>
              </w:rPr>
              <w:t>2026-06-30</w:t>
            </w:r>
          </w:p>
        </w:tc>
        <w:tc>
          <w:tcPr>
            <w:tcW w:type="dxa" w:w="3845"/>
          </w:tcPr>
          <w:p>
            <w:pPr>
              <w:spacing w:after="20"/>
            </w:pPr>
            <w:r>
              <w:rPr>
                <w:color w:val="1C3A36"/>
                <w:sz w:val="15"/>
              </w:rPr>
              <w:t>Net sales, six months to 30-Jun-2026. Reviewed consolidated financial statements, six months to 30-Jun-2026, limited review report attached (note 14-A / 15-A)</w:t>
            </w:r>
          </w:p>
        </w:tc>
      </w:tr>
      <w:tr>
        <w:tc>
          <w:tcPr>
            <w:tcW w:type="dxa" w:w="2736"/>
          </w:tcPr>
          <w:p>
            <w:pPr>
              <w:spacing w:after="20"/>
            </w:pPr>
            <w:r>
              <w:rPr>
                <w:color w:val="1C3A36"/>
                <w:sz w:val="15"/>
              </w:rPr>
              <w:t>cogs_h1cy26</w:t>
            </w:r>
          </w:p>
        </w:tc>
        <w:tc>
          <w:tcPr>
            <w:tcW w:type="dxa" w:w="2232"/>
          </w:tcPr>
          <w:p>
            <w:pPr>
              <w:spacing w:after="20"/>
            </w:pPr>
            <w:r>
              <w:rPr>
                <w:color w:val="1C3A36"/>
                <w:sz w:val="15"/>
              </w:rPr>
              <w:t>22,964,084,821.0</w:t>
            </w:r>
          </w:p>
        </w:tc>
        <w:tc>
          <w:tcPr>
            <w:tcW w:type="dxa" w:w="1368"/>
          </w:tcPr>
          <w:p>
            <w:pPr>
              <w:spacing w:after="20"/>
            </w:pPr>
            <w:r>
              <w:rPr>
                <w:color w:val="1C3A36"/>
                <w:sz w:val="15"/>
              </w:rPr>
              <w:t>2026-06-30</w:t>
            </w:r>
          </w:p>
        </w:tc>
        <w:tc>
          <w:tcPr>
            <w:tcW w:type="dxa" w:w="3845"/>
          </w:tcPr>
          <w:p>
            <w:pPr>
              <w:spacing w:after="20"/>
            </w:pPr>
            <w:r>
              <w:rPr>
                <w:color w:val="1C3A36"/>
                <w:sz w:val="15"/>
              </w:rPr>
              <w:t>Cost of sales, six months to 30-Jun-2026. Reviewed consolidated financial statements, six months to 30-Jun-2026, limited review report attached (note 14-A / 15-A)</w:t>
            </w:r>
          </w:p>
        </w:tc>
      </w:tr>
      <w:tr>
        <w:tc>
          <w:tcPr>
            <w:tcW w:type="dxa" w:w="2736"/>
          </w:tcPr>
          <w:p>
            <w:pPr>
              <w:spacing w:after="20"/>
            </w:pPr>
            <w:r>
              <w:rPr>
                <w:color w:val="1C3A36"/>
                <w:sz w:val="15"/>
              </w:rPr>
              <w:t>gp_h1cy26</w:t>
            </w:r>
          </w:p>
        </w:tc>
        <w:tc>
          <w:tcPr>
            <w:tcW w:type="dxa" w:w="2232"/>
          </w:tcPr>
          <w:p>
            <w:pPr>
              <w:spacing w:after="20"/>
            </w:pPr>
            <w:r>
              <w:rPr>
                <w:color w:val="1C3A36"/>
                <w:sz w:val="15"/>
              </w:rPr>
              <w:t>3,258,947,633.0</w:t>
            </w:r>
          </w:p>
        </w:tc>
        <w:tc>
          <w:tcPr>
            <w:tcW w:type="dxa" w:w="1368"/>
          </w:tcPr>
          <w:p>
            <w:pPr>
              <w:spacing w:after="20"/>
            </w:pPr>
            <w:r>
              <w:rPr>
                <w:color w:val="1C3A36"/>
                <w:sz w:val="15"/>
              </w:rPr>
              <w:t>2026-06-30</w:t>
            </w:r>
          </w:p>
        </w:tc>
        <w:tc>
          <w:tcPr>
            <w:tcW w:type="dxa" w:w="3845"/>
          </w:tcPr>
          <w:p>
            <w:pPr>
              <w:spacing w:after="20"/>
            </w:pPr>
            <w:r>
              <w:rPr>
                <w:color w:val="1C3A36"/>
                <w:sz w:val="15"/>
              </w:rPr>
              <w:t>Gross profit, six months to 30-Jun-2026 — 12.43% of net sales. Reviewed consolidated financial statements, six months to 30-Jun-2026, limited review report attached (note 14-A / 15-A)</w:t>
            </w:r>
          </w:p>
        </w:tc>
      </w:tr>
      <w:tr>
        <w:tc>
          <w:tcPr>
            <w:tcW w:type="dxa" w:w="2736"/>
          </w:tcPr>
          <w:p>
            <w:pPr>
              <w:spacing w:after="20"/>
            </w:pPr>
            <w:r>
              <w:rPr>
                <w:color w:val="1C3A36"/>
                <w:sz w:val="15"/>
              </w:rPr>
              <w:t>ga_h1cy26</w:t>
            </w:r>
          </w:p>
        </w:tc>
        <w:tc>
          <w:tcPr>
            <w:tcW w:type="dxa" w:w="2232"/>
          </w:tcPr>
          <w:p>
            <w:pPr>
              <w:spacing w:after="20"/>
            </w:pPr>
            <w:r>
              <w:rPr>
                <w:color w:val="1C3A36"/>
                <w:sz w:val="15"/>
              </w:rPr>
              <w:t>675,083,735.0</w:t>
            </w:r>
          </w:p>
        </w:tc>
        <w:tc>
          <w:tcPr>
            <w:tcW w:type="dxa" w:w="1368"/>
          </w:tcPr>
          <w:p>
            <w:pPr>
              <w:spacing w:after="20"/>
            </w:pPr>
            <w:r>
              <w:rPr>
                <w:color w:val="1C3A36"/>
                <w:sz w:val="15"/>
              </w:rPr>
              <w:t>2026-06-30</w:t>
            </w:r>
          </w:p>
        </w:tc>
        <w:tc>
          <w:tcPr>
            <w:tcW w:type="dxa" w:w="3845"/>
          </w:tcPr>
          <w:p>
            <w:pPr>
              <w:spacing w:after="20"/>
            </w:pPr>
            <w:r>
              <w:rPr>
                <w:color w:val="1C3A36"/>
                <w:sz w:val="15"/>
              </w:rPr>
              <w:t>General and administrative expenses, six months to 30-Jun-2026. Reviewed consolidated financial statements, six months to 30-Jun-2026, limited review report attached (note 14-A / 15-A)</w:t>
            </w:r>
          </w:p>
        </w:tc>
      </w:tr>
      <w:tr>
        <w:tc>
          <w:tcPr>
            <w:tcW w:type="dxa" w:w="2736"/>
          </w:tcPr>
          <w:p>
            <w:pPr>
              <w:spacing w:after="20"/>
            </w:pPr>
            <w:r>
              <w:rPr>
                <w:color w:val="1C3A36"/>
                <w:sz w:val="15"/>
              </w:rPr>
              <w:t>mkt_h1cy26</w:t>
            </w:r>
          </w:p>
        </w:tc>
        <w:tc>
          <w:tcPr>
            <w:tcW w:type="dxa" w:w="2232"/>
          </w:tcPr>
          <w:p>
            <w:pPr>
              <w:spacing w:after="20"/>
            </w:pPr>
            <w:r>
              <w:rPr>
                <w:color w:val="1C3A36"/>
                <w:sz w:val="15"/>
              </w:rPr>
              <w:t>125,019,700.0</w:t>
            </w:r>
          </w:p>
        </w:tc>
        <w:tc>
          <w:tcPr>
            <w:tcW w:type="dxa" w:w="1368"/>
          </w:tcPr>
          <w:p>
            <w:pPr>
              <w:spacing w:after="20"/>
            </w:pPr>
            <w:r>
              <w:rPr>
                <w:color w:val="1C3A36"/>
                <w:sz w:val="15"/>
              </w:rPr>
              <w:t>2026-06-30</w:t>
            </w:r>
          </w:p>
        </w:tc>
        <w:tc>
          <w:tcPr>
            <w:tcW w:type="dxa" w:w="3845"/>
          </w:tcPr>
          <w:p>
            <w:pPr>
              <w:spacing w:after="20"/>
            </w:pPr>
            <w:r>
              <w:rPr>
                <w:color w:val="1C3A36"/>
                <w:sz w:val="15"/>
              </w:rPr>
              <w:t>Marketing and selling expenses, six months to 30-Jun-2026. Reviewed consolidated financial statements, six months to 30-Jun-2026, limited review report attached (note 14-A / 15-A)</w:t>
            </w:r>
          </w:p>
        </w:tc>
      </w:tr>
      <w:tr>
        <w:tc>
          <w:tcPr>
            <w:tcW w:type="dxa" w:w="2736"/>
          </w:tcPr>
          <w:p>
            <w:pPr>
              <w:spacing w:after="20"/>
            </w:pPr>
            <w:r>
              <w:rPr>
                <w:color w:val="1C3A36"/>
                <w:sz w:val="15"/>
              </w:rPr>
              <w:t>othexp_h1cy26</w:t>
            </w:r>
          </w:p>
        </w:tc>
        <w:tc>
          <w:tcPr>
            <w:tcW w:type="dxa" w:w="2232"/>
          </w:tcPr>
          <w:p>
            <w:pPr>
              <w:spacing w:after="20"/>
            </w:pPr>
            <w:r>
              <w:rPr>
                <w:color w:val="1C3A36"/>
                <w:sz w:val="15"/>
              </w:rPr>
              <w:t>2,599,294.0</w:t>
            </w:r>
          </w:p>
        </w:tc>
        <w:tc>
          <w:tcPr>
            <w:tcW w:type="dxa" w:w="1368"/>
          </w:tcPr>
          <w:p>
            <w:pPr>
              <w:spacing w:after="20"/>
            </w:pPr>
            <w:r>
              <w:rPr>
                <w:color w:val="1C3A36"/>
                <w:sz w:val="15"/>
              </w:rPr>
              <w:t>2026-06-30</w:t>
            </w:r>
          </w:p>
        </w:tc>
        <w:tc>
          <w:tcPr>
            <w:tcW w:type="dxa" w:w="3845"/>
          </w:tcPr>
          <w:p>
            <w:pPr>
              <w:spacing w:after="20"/>
            </w:pPr>
            <w:r>
              <w:rPr>
                <w:color w:val="1C3A36"/>
                <w:sz w:val="15"/>
              </w:rPr>
              <w:t>Other expenses, six months to 30-Jun-2026. Reviewed consolidated financial statements, six months to 30-Jun-2026, limited review report attached (note 14-A / 15-A)</w:t>
            </w:r>
          </w:p>
        </w:tc>
      </w:tr>
      <w:tr>
        <w:tc>
          <w:tcPr>
            <w:tcW w:type="dxa" w:w="2736"/>
          </w:tcPr>
          <w:p>
            <w:pPr>
              <w:spacing w:after="20"/>
            </w:pPr>
            <w:r>
              <w:rPr>
                <w:color w:val="1C3A36"/>
                <w:sz w:val="15"/>
              </w:rPr>
              <w:t>prov_h1cy26</w:t>
            </w:r>
          </w:p>
        </w:tc>
        <w:tc>
          <w:tcPr>
            <w:tcW w:type="dxa" w:w="2232"/>
          </w:tcPr>
          <w:p>
            <w:pPr>
              <w:spacing w:after="20"/>
            </w:pPr>
            <w:r>
              <w:rPr>
                <w:color w:val="1C3A36"/>
                <w:sz w:val="15"/>
              </w:rPr>
              <w:t>96,672,167.0</w:t>
            </w:r>
          </w:p>
        </w:tc>
        <w:tc>
          <w:tcPr>
            <w:tcW w:type="dxa" w:w="1368"/>
          </w:tcPr>
          <w:p>
            <w:pPr>
              <w:spacing w:after="20"/>
            </w:pPr>
            <w:r>
              <w:rPr>
                <w:color w:val="1C3A36"/>
                <w:sz w:val="15"/>
              </w:rPr>
              <w:t>2026-06-30</w:t>
            </w:r>
          </w:p>
        </w:tc>
        <w:tc>
          <w:tcPr>
            <w:tcW w:type="dxa" w:w="3845"/>
          </w:tcPr>
          <w:p>
            <w:pPr>
              <w:spacing w:after="20"/>
            </w:pPr>
            <w:r>
              <w:rPr>
                <w:color w:val="1C3A36"/>
                <w:sz w:val="15"/>
              </w:rPr>
              <w:t>Formed provisions, six months to 30-Jun-2026. Reviewed consolidated financial statements, six months to 30-Jun-2026, limited review report attached (note 14-A / 15-A)</w:t>
            </w:r>
          </w:p>
        </w:tc>
      </w:tr>
      <w:tr>
        <w:tc>
          <w:tcPr>
            <w:tcW w:type="dxa" w:w="2736"/>
          </w:tcPr>
          <w:p>
            <w:pPr>
              <w:spacing w:after="20"/>
            </w:pPr>
            <w:r>
              <w:rPr>
                <w:color w:val="1C3A36"/>
                <w:sz w:val="15"/>
              </w:rPr>
              <w:t>ecl_h1cy26</w:t>
            </w:r>
          </w:p>
        </w:tc>
        <w:tc>
          <w:tcPr>
            <w:tcW w:type="dxa" w:w="2232"/>
          </w:tcPr>
          <w:p>
            <w:pPr>
              <w:spacing w:after="20"/>
            </w:pPr>
            <w:r>
              <w:rPr>
                <w:color w:val="1C3A36"/>
                <w:sz w:val="15"/>
              </w:rPr>
              <w:t>48,692,230.0</w:t>
            </w:r>
          </w:p>
        </w:tc>
        <w:tc>
          <w:tcPr>
            <w:tcW w:type="dxa" w:w="1368"/>
          </w:tcPr>
          <w:p>
            <w:pPr>
              <w:spacing w:after="20"/>
            </w:pPr>
            <w:r>
              <w:rPr>
                <w:color w:val="1C3A36"/>
                <w:sz w:val="15"/>
              </w:rPr>
              <w:t>2026-06-30</w:t>
            </w:r>
          </w:p>
        </w:tc>
        <w:tc>
          <w:tcPr>
            <w:tcW w:type="dxa" w:w="3845"/>
          </w:tcPr>
          <w:p>
            <w:pPr>
              <w:spacing w:after="20"/>
            </w:pPr>
            <w:r>
              <w:rPr>
                <w:color w:val="1C3A36"/>
                <w:sz w:val="15"/>
              </w:rPr>
              <w:t>Expected credit losses formed, six months to 30-Jun-2026. Reviewed consolidated financial statements, six months to 30-Jun-2026, limited review report attached (note 14-A / 15-A)</w:t>
            </w:r>
          </w:p>
        </w:tc>
      </w:tr>
      <w:tr>
        <w:tc>
          <w:tcPr>
            <w:tcW w:type="dxa" w:w="2736"/>
          </w:tcPr>
          <w:p>
            <w:pPr>
              <w:spacing w:after="20"/>
            </w:pPr>
            <w:r>
              <w:rPr>
                <w:color w:val="1C3A36"/>
                <w:sz w:val="15"/>
              </w:rPr>
              <w:t>fin_h1cy26</w:t>
            </w:r>
          </w:p>
        </w:tc>
        <w:tc>
          <w:tcPr>
            <w:tcW w:type="dxa" w:w="2232"/>
          </w:tcPr>
          <w:p>
            <w:pPr>
              <w:spacing w:after="20"/>
            </w:pPr>
            <w:r>
              <w:rPr>
                <w:color w:val="1C3A36"/>
                <w:sz w:val="15"/>
              </w:rPr>
              <w:t>1,938,539.0</w:t>
            </w:r>
          </w:p>
        </w:tc>
        <w:tc>
          <w:tcPr>
            <w:tcW w:type="dxa" w:w="1368"/>
          </w:tcPr>
          <w:p>
            <w:pPr>
              <w:spacing w:after="20"/>
            </w:pPr>
            <w:r>
              <w:rPr>
                <w:color w:val="1C3A36"/>
                <w:sz w:val="15"/>
              </w:rPr>
              <w:t>2026-06-30</w:t>
            </w:r>
          </w:p>
        </w:tc>
        <w:tc>
          <w:tcPr>
            <w:tcW w:type="dxa" w:w="3845"/>
          </w:tcPr>
          <w:p>
            <w:pPr>
              <w:spacing w:after="20"/>
            </w:pPr>
            <w:r>
              <w:rPr>
                <w:color w:val="1C3A36"/>
                <w:sz w:val="15"/>
              </w:rPr>
              <w:t>Finance expenses, six months to 30-Jun-2026. Reviewed consolidated financial statements, six months to 30-Jun-2026, limited review report attached (note 14-A / 15-A)</w:t>
            </w:r>
          </w:p>
        </w:tc>
      </w:tr>
      <w:tr>
        <w:tc>
          <w:tcPr>
            <w:tcW w:type="dxa" w:w="2736"/>
          </w:tcPr>
          <w:p>
            <w:pPr>
              <w:spacing w:after="20"/>
            </w:pPr>
            <w:r>
              <w:rPr>
                <w:color w:val="1C3A36"/>
                <w:sz w:val="15"/>
              </w:rPr>
              <w:t>othrev_h1cy26</w:t>
            </w:r>
          </w:p>
        </w:tc>
        <w:tc>
          <w:tcPr>
            <w:tcW w:type="dxa" w:w="2232"/>
          </w:tcPr>
          <w:p>
            <w:pPr>
              <w:spacing w:after="20"/>
            </w:pPr>
            <w:r>
              <w:rPr>
                <w:color w:val="1C3A36"/>
                <w:sz w:val="15"/>
              </w:rPr>
              <w:t>196,526,615.0</w:t>
            </w:r>
          </w:p>
        </w:tc>
        <w:tc>
          <w:tcPr>
            <w:tcW w:type="dxa" w:w="1368"/>
          </w:tcPr>
          <w:p>
            <w:pPr>
              <w:spacing w:after="20"/>
            </w:pPr>
            <w:r>
              <w:rPr>
                <w:color w:val="1C3A36"/>
                <w:sz w:val="15"/>
              </w:rPr>
              <w:t>2026-06-30</w:t>
            </w:r>
          </w:p>
        </w:tc>
        <w:tc>
          <w:tcPr>
            <w:tcW w:type="dxa" w:w="3845"/>
          </w:tcPr>
          <w:p>
            <w:pPr>
              <w:spacing w:after="20"/>
            </w:pPr>
            <w:r>
              <w:rPr>
                <w:color w:val="1C3A36"/>
                <w:sz w:val="15"/>
              </w:rPr>
              <w:t>Other operating income, six months to 30-Jun-2026, of which credit interest 134,944,385. Reviewed consolidated financial statements, six months to 30-Jun-2026, limited review report attached (note 14-A / 15-A)</w:t>
            </w:r>
          </w:p>
        </w:tc>
      </w:tr>
      <w:tr>
        <w:tc>
          <w:tcPr>
            <w:tcW w:type="dxa" w:w="2736"/>
          </w:tcPr>
          <w:p>
            <w:pPr>
              <w:spacing w:after="20"/>
            </w:pPr>
            <w:r>
              <w:rPr>
                <w:color w:val="1C3A36"/>
                <w:sz w:val="15"/>
              </w:rPr>
              <w:t>tax_h1cy26</w:t>
            </w:r>
          </w:p>
        </w:tc>
        <w:tc>
          <w:tcPr>
            <w:tcW w:type="dxa" w:w="2232"/>
          </w:tcPr>
          <w:p>
            <w:pPr>
              <w:spacing w:after="20"/>
            </w:pPr>
            <w:r>
              <w:rPr>
                <w:color w:val="1C3A36"/>
                <w:sz w:val="15"/>
              </w:rPr>
              <w:t>591,669,261.0</w:t>
            </w:r>
          </w:p>
        </w:tc>
        <w:tc>
          <w:tcPr>
            <w:tcW w:type="dxa" w:w="1368"/>
          </w:tcPr>
          <w:p>
            <w:pPr>
              <w:spacing w:after="20"/>
            </w:pPr>
            <w:r>
              <w:rPr>
                <w:color w:val="1C3A36"/>
                <w:sz w:val="15"/>
              </w:rPr>
              <w:t>2026-06-30</w:t>
            </w:r>
          </w:p>
        </w:tc>
        <w:tc>
          <w:tcPr>
            <w:tcW w:type="dxa" w:w="3845"/>
          </w:tcPr>
          <w:p>
            <w:pPr>
              <w:spacing w:after="20"/>
            </w:pPr>
            <w:r>
              <w:rPr>
                <w:color w:val="1C3A36"/>
                <w:sz w:val="15"/>
              </w:rPr>
              <w:t>Income tax, six months to 30-Jun-2026. Reviewed consolidated financial statements, six months to 30-Jun-2026, limited review report attached (note 14-A / 15-A)</w:t>
            </w:r>
          </w:p>
        </w:tc>
      </w:tr>
      <w:tr>
        <w:tc>
          <w:tcPr>
            <w:tcW w:type="dxa" w:w="2736"/>
          </w:tcPr>
          <w:p>
            <w:pPr>
              <w:spacing w:after="20"/>
            </w:pPr>
            <w:r>
              <w:rPr>
                <w:color w:val="1C3A36"/>
                <w:sz w:val="15"/>
              </w:rPr>
              <w:t>dtax_h1cy26</w:t>
            </w:r>
          </w:p>
        </w:tc>
        <w:tc>
          <w:tcPr>
            <w:tcW w:type="dxa" w:w="2232"/>
          </w:tcPr>
          <w:p>
            <w:pPr>
              <w:spacing w:after="20"/>
            </w:pPr>
            <w:r>
              <w:rPr>
                <w:color w:val="1C3A36"/>
                <w:sz w:val="15"/>
              </w:rPr>
              <w:t>6,907,221.0</w:t>
            </w:r>
          </w:p>
        </w:tc>
        <w:tc>
          <w:tcPr>
            <w:tcW w:type="dxa" w:w="1368"/>
          </w:tcPr>
          <w:p>
            <w:pPr>
              <w:spacing w:after="20"/>
            </w:pPr>
            <w:r>
              <w:rPr>
                <w:color w:val="1C3A36"/>
                <w:sz w:val="15"/>
              </w:rPr>
              <w:t>2026-06-30</w:t>
            </w:r>
          </w:p>
        </w:tc>
        <w:tc>
          <w:tcPr>
            <w:tcW w:type="dxa" w:w="3845"/>
          </w:tcPr>
          <w:p>
            <w:pPr>
              <w:spacing w:after="20"/>
            </w:pPr>
            <w:r>
              <w:rPr>
                <w:color w:val="1C3A36"/>
                <w:sz w:val="15"/>
              </w:rPr>
              <w:t>Deferred tax revenue, six months to 30-Jun-2026. Reviewed consolidated financial statements, six months to 30-Jun-2026, limited review report attached (note 14-A / 15-A)</w:t>
            </w:r>
          </w:p>
        </w:tc>
      </w:tr>
      <w:tr>
        <w:tc>
          <w:tcPr>
            <w:tcW w:type="dxa" w:w="2736"/>
          </w:tcPr>
          <w:p>
            <w:pPr>
              <w:spacing w:after="20"/>
            </w:pPr>
            <w:r>
              <w:rPr>
                <w:color w:val="1C3A36"/>
                <w:sz w:val="15"/>
              </w:rPr>
              <w:t>pat_h1cy26</w:t>
            </w:r>
          </w:p>
        </w:tc>
        <w:tc>
          <w:tcPr>
            <w:tcW w:type="dxa" w:w="2232"/>
          </w:tcPr>
          <w:p>
            <w:pPr>
              <w:spacing w:after="20"/>
            </w:pPr>
            <w:r>
              <w:rPr>
                <w:color w:val="1C3A36"/>
                <w:sz w:val="15"/>
              </w:rPr>
              <w:t>1,920,706,543.0</w:t>
            </w:r>
          </w:p>
        </w:tc>
        <w:tc>
          <w:tcPr>
            <w:tcW w:type="dxa" w:w="1368"/>
          </w:tcPr>
          <w:p>
            <w:pPr>
              <w:spacing w:after="20"/>
            </w:pPr>
            <w:r>
              <w:rPr>
                <w:color w:val="1C3A36"/>
                <w:sz w:val="15"/>
              </w:rPr>
              <w:t>2026-06-30</w:t>
            </w:r>
          </w:p>
        </w:tc>
        <w:tc>
          <w:tcPr>
            <w:tcW w:type="dxa" w:w="3845"/>
          </w:tcPr>
          <w:p>
            <w:pPr>
              <w:spacing w:after="20"/>
            </w:pPr>
            <w:r>
              <w:rPr>
                <w:color w:val="1C3A36"/>
                <w:sz w:val="15"/>
              </w:rPr>
              <w:t>Net profit after tax, six months to 30-Jun-2026. Reviewed consolidated financial statements, six months to 30-Jun-2026, limited review report attached (note 14-A / 15-A)</w:t>
            </w:r>
          </w:p>
        </w:tc>
      </w:tr>
      <w:tr>
        <w:tc>
          <w:tcPr>
            <w:tcW w:type="dxa" w:w="2736"/>
          </w:tcPr>
          <w:p>
            <w:pPr>
              <w:spacing w:after="20"/>
            </w:pPr>
            <w:r>
              <w:rPr>
                <w:color w:val="1C3A36"/>
                <w:sz w:val="15"/>
              </w:rPr>
              <w:t>nci_h1cy26</w:t>
            </w:r>
          </w:p>
        </w:tc>
        <w:tc>
          <w:tcPr>
            <w:tcW w:type="dxa" w:w="2232"/>
          </w:tcPr>
          <w:p>
            <w:pPr>
              <w:spacing w:after="20"/>
            </w:pPr>
            <w:r>
              <w:rPr>
                <w:color w:val="1C3A36"/>
                <w:sz w:val="15"/>
              </w:rPr>
              <w:t>38,756,277.0</w:t>
            </w:r>
          </w:p>
        </w:tc>
        <w:tc>
          <w:tcPr>
            <w:tcW w:type="dxa" w:w="1368"/>
          </w:tcPr>
          <w:p>
            <w:pPr>
              <w:spacing w:after="20"/>
            </w:pPr>
            <w:r>
              <w:rPr>
                <w:color w:val="1C3A36"/>
                <w:sz w:val="15"/>
              </w:rPr>
              <w:t>2026-06-30</w:t>
            </w:r>
          </w:p>
        </w:tc>
        <w:tc>
          <w:tcPr>
            <w:tcW w:type="dxa" w:w="3845"/>
          </w:tcPr>
          <w:p>
            <w:pPr>
              <w:spacing w:after="20"/>
            </w:pPr>
            <w:r>
              <w:rPr>
                <w:color w:val="1C3A36"/>
                <w:sz w:val="15"/>
              </w:rPr>
              <w:t>Non-controlling interest, six months to 30-Jun-2026. Reviewed consolidated financial statements, six months to 30-Jun-2026, limited review report attached (note 14-A / 15-A)</w:t>
            </w:r>
          </w:p>
        </w:tc>
      </w:tr>
      <w:tr>
        <w:tc>
          <w:tcPr>
            <w:tcW w:type="dxa" w:w="2736"/>
          </w:tcPr>
          <w:p>
            <w:pPr>
              <w:spacing w:after="20"/>
            </w:pPr>
            <w:r>
              <w:rPr>
                <w:color w:val="1C3A36"/>
                <w:sz w:val="15"/>
              </w:rPr>
              <w:t>maj_h1cy26</w:t>
            </w:r>
          </w:p>
        </w:tc>
        <w:tc>
          <w:tcPr>
            <w:tcW w:type="dxa" w:w="2232"/>
          </w:tcPr>
          <w:p>
            <w:pPr>
              <w:spacing w:after="20"/>
            </w:pPr>
            <w:r>
              <w:rPr>
                <w:color w:val="1C3A36"/>
                <w:sz w:val="15"/>
              </w:rPr>
              <w:t>1,881,950,266.0</w:t>
            </w:r>
          </w:p>
        </w:tc>
        <w:tc>
          <w:tcPr>
            <w:tcW w:type="dxa" w:w="1368"/>
          </w:tcPr>
          <w:p>
            <w:pPr>
              <w:spacing w:after="20"/>
            </w:pPr>
            <w:r>
              <w:rPr>
                <w:color w:val="1C3A36"/>
                <w:sz w:val="15"/>
              </w:rPr>
              <w:t>2026-06-30</w:t>
            </w:r>
          </w:p>
        </w:tc>
        <w:tc>
          <w:tcPr>
            <w:tcW w:type="dxa" w:w="3845"/>
          </w:tcPr>
          <w:p>
            <w:pPr>
              <w:spacing w:after="20"/>
            </w:pPr>
            <w:r>
              <w:rPr>
                <w:color w:val="1C3A36"/>
                <w:sz w:val="15"/>
              </w:rPr>
              <w:t>Majority's share, six months to 30-Jun-2026 — EPS 1.46, and MORE than the whole preceding fiscal year's 1,488,520,098. Reviewed consolidated financial statements, six months to 30-Jun-2026, limited review report attached (note 14-A / 15-A)</w:t>
            </w:r>
          </w:p>
        </w:tc>
      </w:tr>
      <w:tr>
        <w:tc>
          <w:tcPr>
            <w:tcW w:type="dxa" w:w="2736"/>
          </w:tcPr>
          <w:p>
            <w:pPr>
              <w:spacing w:after="20"/>
            </w:pPr>
            <w:r>
              <w:rPr>
                <w:color w:val="1C3A36"/>
                <w:sz w:val="15"/>
              </w:rPr>
              <w:t>cos_ttm_salaries</w:t>
            </w:r>
          </w:p>
        </w:tc>
        <w:tc>
          <w:tcPr>
            <w:tcW w:type="dxa" w:w="2232"/>
          </w:tcPr>
          <w:p>
            <w:pPr>
              <w:spacing w:after="20"/>
            </w:pPr>
            <w:r>
              <w:rPr>
                <w:color w:val="1C3A36"/>
                <w:sz w:val="15"/>
              </w:rPr>
              <w:t>1,869,534,265.0</w:t>
            </w:r>
          </w:p>
        </w:tc>
        <w:tc>
          <w:tcPr>
            <w:tcW w:type="dxa" w:w="1368"/>
          </w:tcPr>
          <w:p>
            <w:pPr>
              <w:spacing w:after="20"/>
            </w:pPr>
            <w:r>
              <w:rPr>
                <w:color w:val="1C3A36"/>
                <w:sz w:val="15"/>
              </w:rPr>
              <w:t>2026-06-30</w:t>
            </w:r>
          </w:p>
        </w:tc>
        <w:tc>
          <w:tcPr>
            <w:tcW w:type="dxa" w:w="3845"/>
          </w:tcPr>
          <w:p>
            <w:pPr>
              <w:spacing w:after="20"/>
            </w:pPr>
            <w:r>
              <w:rPr>
                <w:color w:val="1C3A36"/>
                <w:sz w:val="15"/>
              </w:rPr>
              <w:t>Salaries inside cost of sales, TWELVE months to 30-Jun-2026 (note 15-A, both filed halves added). Reviewed consolidated financial statements, six months to 30-Jun-2026, limited review report attached (note 14-A / 15-A)</w:t>
            </w:r>
          </w:p>
        </w:tc>
      </w:tr>
      <w:tr>
        <w:tc>
          <w:tcPr>
            <w:tcW w:type="dxa" w:w="2736"/>
          </w:tcPr>
          <w:p>
            <w:pPr>
              <w:spacing w:after="20"/>
            </w:pPr>
            <w:r>
              <w:rPr>
                <w:color w:val="1C3A36"/>
                <w:sz w:val="15"/>
              </w:rPr>
              <w:t>cos_ttm_raw</w:t>
            </w:r>
          </w:p>
        </w:tc>
        <w:tc>
          <w:tcPr>
            <w:tcW w:type="dxa" w:w="2232"/>
          </w:tcPr>
          <w:p>
            <w:pPr>
              <w:spacing w:after="20"/>
            </w:pPr>
            <w:r>
              <w:rPr>
                <w:color w:val="1C3A36"/>
                <w:sz w:val="15"/>
              </w:rPr>
              <w:t>38,674,000,341.0</w:t>
            </w:r>
          </w:p>
        </w:tc>
        <w:tc>
          <w:tcPr>
            <w:tcW w:type="dxa" w:w="1368"/>
          </w:tcPr>
          <w:p>
            <w:pPr>
              <w:spacing w:after="20"/>
            </w:pPr>
            <w:r>
              <w:rPr>
                <w:color w:val="1C3A36"/>
                <w:sz w:val="15"/>
              </w:rPr>
              <w:t>2026-06-30</w:t>
            </w:r>
          </w:p>
        </w:tc>
        <w:tc>
          <w:tcPr>
            <w:tcW w:type="dxa" w:w="3845"/>
          </w:tcPr>
          <w:p>
            <w:pPr>
              <w:spacing w:after="20"/>
            </w:pPr>
            <w:r>
              <w:rPr>
                <w:color w:val="1C3A36"/>
                <w:sz w:val="15"/>
              </w:rPr>
              <w:t>Raw materials inside cost of sales, TWELVE months to 30-Jun-2026 (note 15-A, both filed halves added). Reviewed consolidated financial statements, six months to 30-Jun-2026, limited review report attached (note 14-A / 15-A)</w:t>
            </w:r>
          </w:p>
        </w:tc>
      </w:tr>
      <w:tr>
        <w:tc>
          <w:tcPr>
            <w:tcW w:type="dxa" w:w="2736"/>
          </w:tcPr>
          <w:p>
            <w:pPr>
              <w:spacing w:after="20"/>
            </w:pPr>
            <w:r>
              <w:rPr>
                <w:color w:val="1C3A36"/>
                <w:sz w:val="15"/>
              </w:rPr>
              <w:t>cos_ttm_support</w:t>
            </w:r>
          </w:p>
        </w:tc>
        <w:tc>
          <w:tcPr>
            <w:tcW w:type="dxa" w:w="2232"/>
          </w:tcPr>
          <w:p>
            <w:pPr>
              <w:spacing w:after="20"/>
            </w:pPr>
            <w:r>
              <w:rPr>
                <w:color w:val="1C3A36"/>
                <w:sz w:val="15"/>
              </w:rPr>
              <w:t>124,155,321.0</w:t>
            </w:r>
          </w:p>
        </w:tc>
        <w:tc>
          <w:tcPr>
            <w:tcW w:type="dxa" w:w="1368"/>
          </w:tcPr>
          <w:p>
            <w:pPr>
              <w:spacing w:after="20"/>
            </w:pPr>
            <w:r>
              <w:rPr>
                <w:color w:val="1C3A36"/>
                <w:sz w:val="15"/>
              </w:rPr>
              <w:t>2026-06-30</w:t>
            </w:r>
          </w:p>
        </w:tc>
        <w:tc>
          <w:tcPr>
            <w:tcW w:type="dxa" w:w="3845"/>
          </w:tcPr>
          <w:p>
            <w:pPr>
              <w:spacing w:after="20"/>
            </w:pPr>
            <w:r>
              <w:rPr>
                <w:color w:val="1C3A36"/>
                <w:sz w:val="15"/>
              </w:rPr>
              <w:t>Supporting materials inside cost of sales, TWELVE months to 30-Jun-2026 (note 15-A, both filed halves added). Reviewed consolidated financial statements, six months to 30-Jun-2026, limited review report attached (note 14-A / 15-A)</w:t>
            </w:r>
          </w:p>
        </w:tc>
      </w:tr>
      <w:tr>
        <w:tc>
          <w:tcPr>
            <w:tcW w:type="dxa" w:w="2736"/>
          </w:tcPr>
          <w:p>
            <w:pPr>
              <w:spacing w:after="20"/>
            </w:pPr>
            <w:r>
              <w:rPr>
                <w:color w:val="1C3A36"/>
                <w:sz w:val="15"/>
              </w:rPr>
              <w:t>cos_ttm_dep</w:t>
            </w:r>
          </w:p>
        </w:tc>
        <w:tc>
          <w:tcPr>
            <w:tcW w:type="dxa" w:w="2232"/>
          </w:tcPr>
          <w:p>
            <w:pPr>
              <w:spacing w:after="20"/>
            </w:pPr>
            <w:r>
              <w:rPr>
                <w:color w:val="1C3A36"/>
                <w:sz w:val="15"/>
              </w:rPr>
              <w:t>123,206,229.0</w:t>
            </w:r>
          </w:p>
        </w:tc>
        <w:tc>
          <w:tcPr>
            <w:tcW w:type="dxa" w:w="1368"/>
          </w:tcPr>
          <w:p>
            <w:pPr>
              <w:spacing w:after="20"/>
            </w:pPr>
            <w:r>
              <w:rPr>
                <w:color w:val="1C3A36"/>
                <w:sz w:val="15"/>
              </w:rPr>
              <w:t>2026-06-30</w:t>
            </w:r>
          </w:p>
        </w:tc>
        <w:tc>
          <w:tcPr>
            <w:tcW w:type="dxa" w:w="3845"/>
          </w:tcPr>
          <w:p>
            <w:pPr>
              <w:spacing w:after="20"/>
            </w:pPr>
            <w:r>
              <w:rPr>
                <w:color w:val="1C3A36"/>
                <w:sz w:val="15"/>
              </w:rPr>
              <w:t>Depreciation inside cost of sales, TWELVE months to 30-Jun-2026 (note 15-A, both filed halves added). Reviewed consolidated financial statements, six months to 30-Jun-2026, limited review report attached (note 14-A / 15-A)</w:t>
            </w:r>
          </w:p>
        </w:tc>
      </w:tr>
      <w:tr>
        <w:tc>
          <w:tcPr>
            <w:tcW w:type="dxa" w:w="2736"/>
          </w:tcPr>
          <w:p>
            <w:pPr>
              <w:spacing w:after="20"/>
            </w:pPr>
            <w:r>
              <w:rPr>
                <w:color w:val="1C3A36"/>
                <w:sz w:val="15"/>
              </w:rPr>
              <w:t>cos_ttm_other</w:t>
            </w:r>
          </w:p>
        </w:tc>
        <w:tc>
          <w:tcPr>
            <w:tcW w:type="dxa" w:w="2232"/>
          </w:tcPr>
          <w:p>
            <w:pPr>
              <w:spacing w:after="20"/>
            </w:pPr>
            <w:r>
              <w:rPr>
                <w:color w:val="1C3A36"/>
                <w:sz w:val="15"/>
              </w:rPr>
              <w:t>1,634,739,411.0</w:t>
            </w:r>
          </w:p>
        </w:tc>
        <w:tc>
          <w:tcPr>
            <w:tcW w:type="dxa" w:w="1368"/>
          </w:tcPr>
          <w:p>
            <w:pPr>
              <w:spacing w:after="20"/>
            </w:pPr>
            <w:r>
              <w:rPr>
                <w:color w:val="1C3A36"/>
                <w:sz w:val="15"/>
              </w:rPr>
              <w:t>2026-06-30</w:t>
            </w:r>
          </w:p>
        </w:tc>
        <w:tc>
          <w:tcPr>
            <w:tcW w:type="dxa" w:w="3845"/>
          </w:tcPr>
          <w:p>
            <w:pPr>
              <w:spacing w:after="20"/>
            </w:pPr>
            <w:r>
              <w:rPr>
                <w:color w:val="1C3A36"/>
                <w:sz w:val="15"/>
              </w:rPr>
              <w:t>Other cost of sales inside cost of sales, TWELVE months to 30-Jun-2026 (note 15-A, both filed halves added). Reviewed consolidated financial statements, six months to 30-Jun-2026, limited review report attached (note 14-A / 15-A)</w:t>
            </w:r>
          </w:p>
        </w:tc>
      </w:tr>
      <w:tr>
        <w:tc>
          <w:tcPr>
            <w:tcW w:type="dxa" w:w="2736"/>
          </w:tcPr>
          <w:p>
            <w:pPr>
              <w:spacing w:after="20"/>
            </w:pPr>
            <w:r>
              <w:rPr>
                <w:color w:val="1C3A36"/>
                <w:sz w:val="15"/>
              </w:rPr>
              <w:t>dep_ttm</w:t>
            </w:r>
          </w:p>
        </w:tc>
        <w:tc>
          <w:tcPr>
            <w:tcW w:type="dxa" w:w="2232"/>
          </w:tcPr>
          <w:p>
            <w:pPr>
              <w:spacing w:after="20"/>
            </w:pPr>
            <w:r>
              <w:rPr>
                <w:color w:val="1C3A36"/>
                <w:sz w:val="15"/>
              </w:rPr>
              <w:t>156,621,007.0</w:t>
            </w:r>
          </w:p>
        </w:tc>
        <w:tc>
          <w:tcPr>
            <w:tcW w:type="dxa" w:w="1368"/>
          </w:tcPr>
          <w:p>
            <w:pPr>
              <w:spacing w:after="20"/>
            </w:pPr>
            <w:r>
              <w:rPr>
                <w:color w:val="1C3A36"/>
                <w:sz w:val="15"/>
              </w:rPr>
              <w:t>2026-06-30</w:t>
            </w:r>
          </w:p>
        </w:tc>
        <w:tc>
          <w:tcPr>
            <w:tcW w:type="dxa" w:w="3845"/>
          </w:tcPr>
          <w:p>
            <w:pPr>
              <w:spacing w:after="20"/>
            </w:pPr>
            <w:r>
              <w:rPr>
                <w:color w:val="1C3A36"/>
                <w:sz w:val="15"/>
              </w:rPr>
              <w:t>Depreciation and right-of-use amortisation, TWELVE months to 30-Jun-2026 — the audited transition half's cash-flow statement plus the reviewed half's. Reviewed consolidated financial statements, six months to 30-Jun-2026, limited review report attached (note 14-A / 15-A)</w:t>
            </w:r>
          </w:p>
        </w:tc>
      </w:tr>
      <w:tr>
        <w:tc>
          <w:tcPr>
            <w:tcW w:type="dxa" w:w="2736"/>
          </w:tcPr>
          <w:p>
            <w:pPr>
              <w:spacing w:after="20"/>
            </w:pPr>
            <w:r>
              <w:rPr>
                <w:color w:val="1C3A36"/>
                <w:sz w:val="15"/>
              </w:rPr>
              <w:t>capex_ttm</w:t>
            </w:r>
          </w:p>
        </w:tc>
        <w:tc>
          <w:tcPr>
            <w:tcW w:type="dxa" w:w="2232"/>
          </w:tcPr>
          <w:p>
            <w:pPr>
              <w:spacing w:after="20"/>
            </w:pPr>
            <w:r>
              <w:rPr>
                <w:color w:val="1C3A36"/>
                <w:sz w:val="15"/>
              </w:rPr>
              <w:t>169,466,717.0</w:t>
            </w:r>
          </w:p>
        </w:tc>
        <w:tc>
          <w:tcPr>
            <w:tcW w:type="dxa" w:w="1368"/>
          </w:tcPr>
          <w:p>
            <w:pPr>
              <w:spacing w:after="20"/>
            </w:pPr>
            <w:r>
              <w:rPr>
                <w:color w:val="1C3A36"/>
                <w:sz w:val="15"/>
              </w:rPr>
              <w:t>2026-06-30</w:t>
            </w:r>
          </w:p>
        </w:tc>
        <w:tc>
          <w:tcPr>
            <w:tcW w:type="dxa" w:w="3845"/>
          </w:tcPr>
          <w:p>
            <w:pPr>
              <w:spacing w:after="20"/>
            </w:pPr>
            <w:r>
              <w:rPr>
                <w:color w:val="1C3A36"/>
                <w:sz w:val="15"/>
              </w:rPr>
              <w:t>Payments for projects under construction and fixed assets, TWELVE months to 30-Jun-2026 — both cash-flow statements. Reviewed consolidated financial statements, six months to 30-Jun-2026, limited review report attached (note 14-A / 15-A)</w:t>
            </w:r>
          </w:p>
        </w:tc>
      </w:tr>
      <w:tr>
        <w:tc>
          <w:tcPr>
            <w:tcW w:type="dxa" w:w="2736"/>
          </w:tcPr>
          <w:p>
            <w:pPr>
              <w:spacing w:after="20"/>
            </w:pPr>
            <w:r>
              <w:rPr>
                <w:color w:val="1C3A36"/>
                <w:sz w:val="15"/>
              </w:rPr>
              <w:t>credint_h1cy26</w:t>
            </w:r>
          </w:p>
        </w:tc>
        <w:tc>
          <w:tcPr>
            <w:tcW w:type="dxa" w:w="2232"/>
          </w:tcPr>
          <w:p>
            <w:pPr>
              <w:spacing w:after="20"/>
            </w:pPr>
            <w:r>
              <w:rPr>
                <w:color w:val="1C3A36"/>
                <w:sz w:val="15"/>
              </w:rPr>
              <w:t>134,944,385.0</w:t>
            </w:r>
          </w:p>
        </w:tc>
        <w:tc>
          <w:tcPr>
            <w:tcW w:type="dxa" w:w="1368"/>
          </w:tcPr>
          <w:p>
            <w:pPr>
              <w:spacing w:after="20"/>
            </w:pPr>
            <w:r>
              <w:rPr>
                <w:color w:val="1C3A36"/>
                <w:sz w:val="15"/>
              </w:rPr>
              <w:t>2026-06-30</w:t>
            </w:r>
          </w:p>
        </w:tc>
        <w:tc>
          <w:tcPr>
            <w:tcW w:type="dxa" w:w="3845"/>
          </w:tcPr>
          <w:p>
            <w:pPr>
              <w:spacing w:after="20"/>
            </w:pPr>
            <w:r>
              <w:rPr>
                <w:color w:val="1C3A36"/>
                <w:sz w:val="15"/>
              </w:rPr>
              <w:t>Credit interest earned, six months to 30-Jun-2026 (note 14-B). Reviewed consolidated financial statements, six months to 30-Jun-2026, limited review report attached (note 14-A / 15-A)</w:t>
            </w:r>
          </w:p>
        </w:tc>
      </w:tr>
      <w:tr>
        <w:tc>
          <w:tcPr>
            <w:tcW w:type="dxa" w:w="2736"/>
          </w:tcPr>
          <w:p>
            <w:pPr>
              <w:spacing w:after="20"/>
            </w:pPr>
            <w:r>
              <w:rPr>
                <w:color w:val="1C3A36"/>
                <w:sz w:val="15"/>
              </w:rPr>
              <w:t>cos_h1cy26</w:t>
            </w:r>
          </w:p>
        </w:tc>
        <w:tc>
          <w:tcPr>
            <w:tcW w:type="dxa" w:w="2232"/>
          </w:tcPr>
          <w:p>
            <w:pPr>
              <w:spacing w:after="20"/>
            </w:pPr>
            <w:r>
              <w:rPr>
                <w:color w:val="1C3A36"/>
                <w:sz w:val="15"/>
              </w:rPr>
              <w:t>salaries: 988,514,768.0; raw: 21,023,897,616.0; support: 59,621,598.0; dep: 64,458,183.0; other: 827,592,656.0</w:t>
            </w:r>
          </w:p>
        </w:tc>
        <w:tc>
          <w:tcPr>
            <w:tcW w:type="dxa" w:w="1368"/>
          </w:tcPr>
          <w:p>
            <w:pPr>
              <w:spacing w:after="20"/>
            </w:pPr>
            <w:r>
              <w:rPr>
                <w:color w:val="1C3A36"/>
                <w:sz w:val="15"/>
              </w:rPr>
              <w:t>2026-06-30</w:t>
            </w:r>
          </w:p>
        </w:tc>
        <w:tc>
          <w:tcPr>
            <w:tcW w:type="dxa" w:w="3845"/>
          </w:tcPr>
          <w:p>
            <w:pPr>
              <w:spacing w:after="20"/>
            </w:pPr>
            <w:r>
              <w:rPr>
                <w:color w:val="1C3A36"/>
                <w:sz w:val="15"/>
              </w:rPr>
              <w:t>Cost of sales by nature, six months to 30-Jun-2026 (note 15-A); raw materials are 91.6% of the stack. Reviewed consolidated financial statements, six months to 30-Jun-2026, limited review report attached (note 14-A / 15-A)</w:t>
            </w:r>
          </w:p>
        </w:tc>
      </w:tr>
      <w:tr>
        <w:tc>
          <w:tcPr>
            <w:tcW w:type="dxa" w:w="2736"/>
          </w:tcPr>
          <w:p>
            <w:pPr>
              <w:spacing w:after="20"/>
            </w:pPr>
            <w:r>
              <w:rPr>
                <w:color w:val="1C3A36"/>
                <w:sz w:val="15"/>
              </w:rPr>
              <w:t>prod_v_prior</w:t>
            </w:r>
          </w:p>
        </w:tc>
        <w:tc>
          <w:tcPr>
            <w:tcW w:type="dxa" w:w="2232"/>
          </w:tcPr>
          <w:p>
            <w:pPr>
              <w:spacing w:after="20"/>
            </w:pPr>
            <w:r>
              <w:rPr>
                <w:color w:val="1C3A36"/>
                <w:sz w:val="15"/>
              </w:rPr>
              <w:t>oils: 2,526,857,239.0; wax: 1,683,792,907.0; gasoil: 5,219,594,878.0; naphtha: 1,034,502,087.0; lpg: 687,509,617.0; fueloil: 6,954,252,764.0; hfo: 139,454,409.0; waste: 115,000.0</w:t>
            </w:r>
          </w:p>
        </w:tc>
        <w:tc>
          <w:tcPr>
            <w:tcW w:type="dxa" w:w="1368"/>
          </w:tcPr>
          <w:p>
            <w:pPr>
              <w:spacing w:after="20"/>
            </w:pPr>
            <w:r>
              <w:rPr>
                <w:color w:val="1C3A36"/>
                <w:sz w:val="15"/>
              </w:rPr>
              <w:t>2024-12-31</w:t>
            </w:r>
          </w:p>
        </w:tc>
        <w:tc>
          <w:tcPr>
            <w:tcW w:type="dxa" w:w="3845"/>
          </w:tcPr>
          <w:p>
            <w:pPr>
              <w:spacing w:after="20"/>
            </w:pPr>
            <w:r>
              <w:rPr>
                <w:color w:val="1C3A36"/>
                <w:sz w:val="15"/>
              </w:rPr>
              <w:t>Sales value by product line, six months to 31-Dec-2024 (note 14-A comparative). Audited consolidated FS, transition period 1-Jul-2025 to 31-Dec-2025, Crowe unqualified, 18-Feb-2026</w:t>
            </w:r>
          </w:p>
        </w:tc>
      </w:tr>
      <w:tr>
        <w:tc>
          <w:tcPr>
            <w:tcW w:type="dxa" w:w="2736"/>
          </w:tcPr>
          <w:p>
            <w:pPr>
              <w:spacing w:after="20"/>
            </w:pPr>
            <w:r>
              <w:rPr>
                <w:color w:val="1C3A36"/>
                <w:sz w:val="15"/>
              </w:rPr>
              <w:t>cos_salaries</w:t>
            </w:r>
          </w:p>
        </w:tc>
        <w:tc>
          <w:tcPr>
            <w:tcW w:type="dxa" w:w="2232"/>
          </w:tcPr>
          <w:p>
            <w:pPr>
              <w:spacing w:after="20"/>
            </w:pPr>
            <w:r>
              <w:rPr>
                <w:color w:val="1C3A36"/>
                <w:sz w:val="15"/>
              </w:rPr>
              <w:t>881,019,497.0</w:t>
            </w:r>
          </w:p>
        </w:tc>
        <w:tc>
          <w:tcPr>
            <w:tcW w:type="dxa" w:w="1368"/>
          </w:tcPr>
          <w:p>
            <w:pPr>
              <w:spacing w:after="20"/>
            </w:pPr>
            <w:r>
              <w:rPr>
                <w:color w:val="1C3A36"/>
                <w:sz w:val="15"/>
              </w:rPr>
              <w:t>2025-12-31</w:t>
            </w:r>
          </w:p>
        </w:tc>
        <w:tc>
          <w:tcPr>
            <w:tcW w:type="dxa" w:w="3845"/>
          </w:tcPr>
          <w:p>
            <w:pPr>
              <w:spacing w:after="20"/>
            </w:pPr>
            <w:r>
              <w:rPr>
                <w:color w:val="1C3A36"/>
                <w:sz w:val="15"/>
              </w:rPr>
              <w:t>Cost of sales — salaries, six months to 31-Dec-2025 (note 15-A). Audited consolidated FS, transition period 1-Jul-2025 to 31-Dec-2025, Crowe unqualified, 18-Feb-2026</w:t>
            </w:r>
          </w:p>
        </w:tc>
      </w:tr>
      <w:tr>
        <w:tc>
          <w:tcPr>
            <w:tcW w:type="dxa" w:w="2736"/>
          </w:tcPr>
          <w:p>
            <w:pPr>
              <w:spacing w:after="20"/>
            </w:pPr>
            <w:r>
              <w:rPr>
                <w:color w:val="1C3A36"/>
                <w:sz w:val="15"/>
              </w:rPr>
              <w:t>cos_raw</w:t>
            </w:r>
          </w:p>
        </w:tc>
        <w:tc>
          <w:tcPr>
            <w:tcW w:type="dxa" w:w="2232"/>
          </w:tcPr>
          <w:p>
            <w:pPr>
              <w:spacing w:after="20"/>
            </w:pPr>
            <w:r>
              <w:rPr>
                <w:color w:val="1C3A36"/>
                <w:sz w:val="15"/>
              </w:rPr>
              <w:t>17,650,102,725.0</w:t>
            </w:r>
          </w:p>
        </w:tc>
        <w:tc>
          <w:tcPr>
            <w:tcW w:type="dxa" w:w="1368"/>
          </w:tcPr>
          <w:p>
            <w:pPr>
              <w:spacing w:after="20"/>
            </w:pPr>
            <w:r>
              <w:rPr>
                <w:color w:val="1C3A36"/>
                <w:sz w:val="15"/>
              </w:rPr>
              <w:t>2025-12-31</w:t>
            </w:r>
          </w:p>
        </w:tc>
        <w:tc>
          <w:tcPr>
            <w:tcW w:type="dxa" w:w="3845"/>
          </w:tcPr>
          <w:p>
            <w:pPr>
              <w:spacing w:after="20"/>
            </w:pPr>
            <w:r>
              <w:rPr>
                <w:color w:val="1C3A36"/>
                <w:sz w:val="15"/>
              </w:rPr>
              <w:t>Cost of sales — RAW MATERIALS, six months to 31-Dec-2025 (note 15-A). 90.7% of cost of sales and 85.1% of revenue: this single line is what the company is. Audited consolidated FS, transition period 1-Jul-2025 to 31-Dec-2025, Crowe unqualified, 18-Feb-2026</w:t>
            </w:r>
          </w:p>
        </w:tc>
      </w:tr>
      <w:tr>
        <w:tc>
          <w:tcPr>
            <w:tcW w:type="dxa" w:w="2736"/>
          </w:tcPr>
          <w:p>
            <w:pPr>
              <w:spacing w:after="20"/>
            </w:pPr>
            <w:r>
              <w:rPr>
                <w:color w:val="1C3A36"/>
                <w:sz w:val="15"/>
              </w:rPr>
              <w:t>cos_support</w:t>
            </w:r>
          </w:p>
        </w:tc>
        <w:tc>
          <w:tcPr>
            <w:tcW w:type="dxa" w:w="2232"/>
          </w:tcPr>
          <w:p>
            <w:pPr>
              <w:spacing w:after="20"/>
            </w:pPr>
            <w:r>
              <w:rPr>
                <w:color w:val="1C3A36"/>
                <w:sz w:val="15"/>
              </w:rPr>
              <w:t>64,533,723.0</w:t>
            </w:r>
          </w:p>
        </w:tc>
        <w:tc>
          <w:tcPr>
            <w:tcW w:type="dxa" w:w="1368"/>
          </w:tcPr>
          <w:p>
            <w:pPr>
              <w:spacing w:after="20"/>
            </w:pPr>
            <w:r>
              <w:rPr>
                <w:color w:val="1C3A36"/>
                <w:sz w:val="15"/>
              </w:rPr>
              <w:t>2025-12-31</w:t>
            </w:r>
          </w:p>
        </w:tc>
        <w:tc>
          <w:tcPr>
            <w:tcW w:type="dxa" w:w="3845"/>
          </w:tcPr>
          <w:p>
            <w:pPr>
              <w:spacing w:after="20"/>
            </w:pPr>
            <w:r>
              <w:rPr>
                <w:color w:val="1C3A36"/>
                <w:sz w:val="15"/>
              </w:rPr>
              <w:t>Cost of sales — supporting materials (chemicals and additives), six months to 31-Dec-2025 (note 15-A). The previous edition estimated this charge at roughly five times the disclosed figure</w:t>
            </w:r>
          </w:p>
        </w:tc>
      </w:tr>
      <w:tr>
        <w:tc>
          <w:tcPr>
            <w:tcW w:type="dxa" w:w="2736"/>
          </w:tcPr>
          <w:p>
            <w:pPr>
              <w:spacing w:after="20"/>
            </w:pPr>
            <w:r>
              <w:rPr>
                <w:color w:val="1C3A36"/>
                <w:sz w:val="15"/>
              </w:rPr>
              <w:t>cos_dep</w:t>
            </w:r>
          </w:p>
        </w:tc>
        <w:tc>
          <w:tcPr>
            <w:tcW w:type="dxa" w:w="2232"/>
          </w:tcPr>
          <w:p>
            <w:pPr>
              <w:spacing w:after="20"/>
            </w:pPr>
            <w:r>
              <w:rPr>
                <w:color w:val="1C3A36"/>
                <w:sz w:val="15"/>
              </w:rPr>
              <w:t>58,748,046.0</w:t>
            </w:r>
          </w:p>
        </w:tc>
        <w:tc>
          <w:tcPr>
            <w:tcW w:type="dxa" w:w="1368"/>
          </w:tcPr>
          <w:p>
            <w:pPr>
              <w:spacing w:after="20"/>
            </w:pPr>
            <w:r>
              <w:rPr>
                <w:color w:val="1C3A36"/>
                <w:sz w:val="15"/>
              </w:rPr>
              <w:t>2025-12-31</w:t>
            </w:r>
          </w:p>
        </w:tc>
        <w:tc>
          <w:tcPr>
            <w:tcW w:type="dxa" w:w="3845"/>
          </w:tcPr>
          <w:p>
            <w:pPr>
              <w:spacing w:after="20"/>
            </w:pPr>
            <w:r>
              <w:rPr>
                <w:color w:val="1C3A36"/>
                <w:sz w:val="15"/>
              </w:rPr>
              <w:t>Cost of sales — depreciation, six months to 31-Dec-2025 (note 15-A). Audited consolidated FS, transition period 1-Jul-2025 to 31-Dec-2025, Crowe unqualified, 18-Feb-2026</w:t>
            </w:r>
          </w:p>
        </w:tc>
      </w:tr>
      <w:tr>
        <w:tc>
          <w:tcPr>
            <w:tcW w:type="dxa" w:w="2736"/>
          </w:tcPr>
          <w:p>
            <w:pPr>
              <w:spacing w:after="20"/>
            </w:pPr>
            <w:r>
              <w:rPr>
                <w:color w:val="1C3A36"/>
                <w:sz w:val="15"/>
              </w:rPr>
              <w:t>cos_other</w:t>
            </w:r>
          </w:p>
        </w:tc>
        <w:tc>
          <w:tcPr>
            <w:tcW w:type="dxa" w:w="2232"/>
          </w:tcPr>
          <w:p>
            <w:pPr>
              <w:spacing w:after="20"/>
            </w:pPr>
            <w:r>
              <w:rPr>
                <w:color w:val="1C3A36"/>
                <w:sz w:val="15"/>
              </w:rPr>
              <w:t>807,146,755.0</w:t>
            </w:r>
          </w:p>
        </w:tc>
        <w:tc>
          <w:tcPr>
            <w:tcW w:type="dxa" w:w="1368"/>
          </w:tcPr>
          <w:p>
            <w:pPr>
              <w:spacing w:after="20"/>
            </w:pPr>
            <w:r>
              <w:rPr>
                <w:color w:val="1C3A36"/>
                <w:sz w:val="15"/>
              </w:rPr>
              <w:t>2025-12-31</w:t>
            </w:r>
          </w:p>
        </w:tc>
        <w:tc>
          <w:tcPr>
            <w:tcW w:type="dxa" w:w="3845"/>
          </w:tcPr>
          <w:p>
            <w:pPr>
              <w:spacing w:after="20"/>
            </w:pPr>
            <w:r>
              <w:rPr>
                <w:color w:val="1C3A36"/>
                <w:sz w:val="15"/>
              </w:rPr>
              <w:t>Cost of sales — other expenses, six months to 31-Dec-2025 (note 15-A): natural gas, operating electricity, operating water, spare parts, maintenance, and the operating management and technical support contract with the Egyptian Projects Operations &amp; Maintenance Company (EPROM). Audited consolidated FS, transition period 1-Jul-2025 to 31-Dec-2025, Crowe unqualified, 18-Feb-2026</w:t>
            </w:r>
          </w:p>
        </w:tc>
      </w:tr>
      <w:tr>
        <w:tc>
          <w:tcPr>
            <w:tcW w:type="dxa" w:w="2736"/>
          </w:tcPr>
          <w:p>
            <w:pPr>
              <w:spacing w:after="20"/>
            </w:pPr>
            <w:r>
              <w:rPr>
                <w:color w:val="1C3A36"/>
                <w:sz w:val="15"/>
              </w:rPr>
              <w:t>cos_salaries_24</w:t>
            </w:r>
          </w:p>
        </w:tc>
        <w:tc>
          <w:tcPr>
            <w:tcW w:type="dxa" w:w="2232"/>
          </w:tcPr>
          <w:p>
            <w:pPr>
              <w:spacing w:after="20"/>
            </w:pPr>
            <w:r>
              <w:rPr>
                <w:color w:val="1C3A36"/>
                <w:sz w:val="15"/>
              </w:rPr>
              <w:t>634,571,733.0</w:t>
            </w:r>
          </w:p>
        </w:tc>
        <w:tc>
          <w:tcPr>
            <w:tcW w:type="dxa" w:w="1368"/>
          </w:tcPr>
          <w:p>
            <w:pPr>
              <w:spacing w:after="20"/>
            </w:pPr>
            <w:r>
              <w:rPr>
                <w:color w:val="1C3A36"/>
                <w:sz w:val="15"/>
              </w:rPr>
              <w:t>2024-12-31</w:t>
            </w:r>
          </w:p>
        </w:tc>
        <w:tc>
          <w:tcPr>
            <w:tcW w:type="dxa" w:w="3845"/>
          </w:tcPr>
          <w:p>
            <w:pPr>
              <w:spacing w:after="20"/>
            </w:pPr>
            <w:r>
              <w:rPr>
                <w:color w:val="1C3A36"/>
                <w:sz w:val="15"/>
              </w:rPr>
              <w:t>Cost of sales — salaries, six months to 31-Dec-2024 (note 15-A comparative). Audited consolidated FS, transition period 1-Jul-2025 to 31-Dec-2025, Crowe unqualified, 18-Feb-2026</w:t>
            </w:r>
          </w:p>
        </w:tc>
      </w:tr>
      <w:tr>
        <w:tc>
          <w:tcPr>
            <w:tcW w:type="dxa" w:w="2736"/>
          </w:tcPr>
          <w:p>
            <w:pPr>
              <w:spacing w:after="20"/>
            </w:pPr>
            <w:r>
              <w:rPr>
                <w:color w:val="1C3A36"/>
                <w:sz w:val="15"/>
              </w:rPr>
              <w:t>cos_raw_24</w:t>
            </w:r>
          </w:p>
        </w:tc>
        <w:tc>
          <w:tcPr>
            <w:tcW w:type="dxa" w:w="2232"/>
          </w:tcPr>
          <w:p>
            <w:pPr>
              <w:spacing w:after="20"/>
            </w:pPr>
            <w:r>
              <w:rPr>
                <w:color w:val="1C3A36"/>
                <w:sz w:val="15"/>
              </w:rPr>
              <w:t>15,597,464,119.0</w:t>
            </w:r>
          </w:p>
        </w:tc>
        <w:tc>
          <w:tcPr>
            <w:tcW w:type="dxa" w:w="1368"/>
          </w:tcPr>
          <w:p>
            <w:pPr>
              <w:spacing w:after="20"/>
            </w:pPr>
            <w:r>
              <w:rPr>
                <w:color w:val="1C3A36"/>
                <w:sz w:val="15"/>
              </w:rPr>
              <w:t>2024-12-31</w:t>
            </w:r>
          </w:p>
        </w:tc>
        <w:tc>
          <w:tcPr>
            <w:tcW w:type="dxa" w:w="3845"/>
          </w:tcPr>
          <w:p>
            <w:pPr>
              <w:spacing w:after="20"/>
            </w:pPr>
            <w:r>
              <w:rPr>
                <w:color w:val="1C3A36"/>
                <w:sz w:val="15"/>
              </w:rPr>
              <w:t>Cost of sales — raw materials, six months to 31-Dec-2024 (note 15-A comparative). Audited consolidated FS, transition period 1-Jul-2025 to 31-Dec-2025, Crowe unqualified, 18-Feb-2026</w:t>
            </w:r>
          </w:p>
        </w:tc>
      </w:tr>
      <w:tr>
        <w:tc>
          <w:tcPr>
            <w:tcW w:type="dxa" w:w="2736"/>
          </w:tcPr>
          <w:p>
            <w:pPr>
              <w:spacing w:after="20"/>
            </w:pPr>
            <w:r>
              <w:rPr>
                <w:color w:val="1C3A36"/>
                <w:sz w:val="15"/>
              </w:rPr>
              <w:t>cos_support_24</w:t>
            </w:r>
          </w:p>
        </w:tc>
        <w:tc>
          <w:tcPr>
            <w:tcW w:type="dxa" w:w="2232"/>
          </w:tcPr>
          <w:p>
            <w:pPr>
              <w:spacing w:after="20"/>
            </w:pPr>
            <w:r>
              <w:rPr>
                <w:color w:val="1C3A36"/>
                <w:sz w:val="15"/>
              </w:rPr>
              <w:t>68,294,446.0</w:t>
            </w:r>
          </w:p>
        </w:tc>
        <w:tc>
          <w:tcPr>
            <w:tcW w:type="dxa" w:w="1368"/>
          </w:tcPr>
          <w:p>
            <w:pPr>
              <w:spacing w:after="20"/>
            </w:pPr>
            <w:r>
              <w:rPr>
                <w:color w:val="1C3A36"/>
                <w:sz w:val="15"/>
              </w:rPr>
              <w:t>2024-12-31</w:t>
            </w:r>
          </w:p>
        </w:tc>
        <w:tc>
          <w:tcPr>
            <w:tcW w:type="dxa" w:w="3845"/>
          </w:tcPr>
          <w:p>
            <w:pPr>
              <w:spacing w:after="20"/>
            </w:pPr>
            <w:r>
              <w:rPr>
                <w:color w:val="1C3A36"/>
                <w:sz w:val="15"/>
              </w:rPr>
              <w:t>Cost of sales — supporting materials, six months to 31-Dec-2024. Audited consolidated FS, transition period 1-Jul-2025 to 31-Dec-2025, Crowe unqualified, 18-Feb-2026</w:t>
            </w:r>
          </w:p>
        </w:tc>
      </w:tr>
      <w:tr>
        <w:tc>
          <w:tcPr>
            <w:tcW w:type="dxa" w:w="2736"/>
          </w:tcPr>
          <w:p>
            <w:pPr>
              <w:spacing w:after="20"/>
            </w:pPr>
            <w:r>
              <w:rPr>
                <w:color w:val="1C3A36"/>
                <w:sz w:val="15"/>
              </w:rPr>
              <w:t>cos_dep_24</w:t>
            </w:r>
          </w:p>
        </w:tc>
        <w:tc>
          <w:tcPr>
            <w:tcW w:type="dxa" w:w="2232"/>
          </w:tcPr>
          <w:p>
            <w:pPr>
              <w:spacing w:after="20"/>
            </w:pPr>
            <w:r>
              <w:rPr>
                <w:color w:val="1C3A36"/>
                <w:sz w:val="15"/>
              </w:rPr>
              <w:t>53,507,611.0</w:t>
            </w:r>
          </w:p>
        </w:tc>
        <w:tc>
          <w:tcPr>
            <w:tcW w:type="dxa" w:w="1368"/>
          </w:tcPr>
          <w:p>
            <w:pPr>
              <w:spacing w:after="20"/>
            </w:pPr>
            <w:r>
              <w:rPr>
                <w:color w:val="1C3A36"/>
                <w:sz w:val="15"/>
              </w:rPr>
              <w:t>2024-12-31</w:t>
            </w:r>
          </w:p>
        </w:tc>
        <w:tc>
          <w:tcPr>
            <w:tcW w:type="dxa" w:w="3845"/>
          </w:tcPr>
          <w:p>
            <w:pPr>
              <w:spacing w:after="20"/>
            </w:pPr>
            <w:r>
              <w:rPr>
                <w:color w:val="1C3A36"/>
                <w:sz w:val="15"/>
              </w:rPr>
              <w:t>Cost of sales — depreciation, six months to 31-Dec-2024. Audited consolidated FS, transition period 1-Jul-2025 to 31-Dec-2025, Crowe unqualified, 18-Feb-2026</w:t>
            </w:r>
          </w:p>
        </w:tc>
      </w:tr>
      <w:tr>
        <w:tc>
          <w:tcPr>
            <w:tcW w:type="dxa" w:w="2736"/>
          </w:tcPr>
          <w:p>
            <w:pPr>
              <w:spacing w:after="20"/>
            </w:pPr>
            <w:r>
              <w:rPr>
                <w:color w:val="1C3A36"/>
                <w:sz w:val="15"/>
              </w:rPr>
              <w:t>cos_other_24</w:t>
            </w:r>
          </w:p>
        </w:tc>
        <w:tc>
          <w:tcPr>
            <w:tcW w:type="dxa" w:w="2232"/>
          </w:tcPr>
          <w:p>
            <w:pPr>
              <w:spacing w:after="20"/>
            </w:pPr>
            <w:r>
              <w:rPr>
                <w:color w:val="1C3A36"/>
                <w:sz w:val="15"/>
              </w:rPr>
              <w:t>641,598,547.0</w:t>
            </w:r>
          </w:p>
        </w:tc>
        <w:tc>
          <w:tcPr>
            <w:tcW w:type="dxa" w:w="1368"/>
          </w:tcPr>
          <w:p>
            <w:pPr>
              <w:spacing w:after="20"/>
            </w:pPr>
            <w:r>
              <w:rPr>
                <w:color w:val="1C3A36"/>
                <w:sz w:val="15"/>
              </w:rPr>
              <w:t>2024-12-31</w:t>
            </w:r>
          </w:p>
        </w:tc>
        <w:tc>
          <w:tcPr>
            <w:tcW w:type="dxa" w:w="3845"/>
          </w:tcPr>
          <w:p>
            <w:pPr>
              <w:spacing w:after="20"/>
            </w:pPr>
            <w:r>
              <w:rPr>
                <w:color w:val="1C3A36"/>
                <w:sz w:val="15"/>
              </w:rPr>
              <w:t>Cost of sales — other expenses, six months to 31-Dec-2024. Audited consolidated FS, transition period 1-Jul-2025 to 31-Dec-2025, Crowe unqualified, 18-Feb-2026</w:t>
            </w:r>
          </w:p>
        </w:tc>
      </w:tr>
      <w:tr>
        <w:tc>
          <w:tcPr>
            <w:tcW w:type="dxa" w:w="2736"/>
          </w:tcPr>
          <w:p>
            <w:pPr>
              <w:spacing w:after="20"/>
            </w:pPr>
            <w:r>
              <w:rPr>
                <w:color w:val="1C3A36"/>
                <w:sz w:val="15"/>
              </w:rPr>
              <w:t>ppe_net</w:t>
            </w:r>
          </w:p>
        </w:tc>
        <w:tc>
          <w:tcPr>
            <w:tcW w:type="dxa" w:w="2232"/>
          </w:tcPr>
          <w:p>
            <w:pPr>
              <w:spacing w:after="20"/>
            </w:pPr>
            <w:r>
              <w:rPr>
                <w:color w:val="1C3A36"/>
                <w:sz w:val="15"/>
              </w:rPr>
              <w:t>873,010,517.0</w:t>
            </w:r>
          </w:p>
        </w:tc>
        <w:tc>
          <w:tcPr>
            <w:tcW w:type="dxa" w:w="1368"/>
          </w:tcPr>
          <w:p>
            <w:pPr>
              <w:spacing w:after="20"/>
            </w:pPr>
            <w:r>
              <w:rPr>
                <w:color w:val="1C3A36"/>
                <w:sz w:val="15"/>
              </w:rPr>
              <w:t>2026-06-30</w:t>
            </w:r>
          </w:p>
        </w:tc>
        <w:tc>
          <w:tcPr>
            <w:tcW w:type="dxa" w:w="3845"/>
          </w:tcPr>
          <w:p>
            <w:pPr>
              <w:spacing w:after="20"/>
            </w:pPr>
            <w:r>
              <w:rPr>
                <w:color w:val="1C3A36"/>
                <w:sz w:val="15"/>
              </w:rPr>
              <w:t>Fixed assets net of accumulated depreciation at 30-Jun-2026 (note 6). Reviewed consolidated FS, six months to 30-Jun-2026, limited review</w:t>
            </w:r>
          </w:p>
        </w:tc>
      </w:tr>
      <w:tr>
        <w:tc>
          <w:tcPr>
            <w:tcW w:type="dxa" w:w="2736"/>
          </w:tcPr>
          <w:p>
            <w:pPr>
              <w:spacing w:after="20"/>
            </w:pPr>
            <w:r>
              <w:rPr>
                <w:color w:val="1C3A36"/>
                <w:sz w:val="15"/>
              </w:rPr>
              <w:t>ppe_gross</w:t>
            </w:r>
          </w:p>
        </w:tc>
        <w:tc>
          <w:tcPr>
            <w:tcW w:type="dxa" w:w="2232"/>
          </w:tcPr>
          <w:p>
            <w:pPr>
              <w:spacing w:after="20"/>
            </w:pPr>
            <w:r>
              <w:rPr>
                <w:color w:val="1C3A36"/>
                <w:sz w:val="15"/>
              </w:rPr>
              <w:t>2,740,810,692.0</w:t>
            </w:r>
          </w:p>
        </w:tc>
        <w:tc>
          <w:tcPr>
            <w:tcW w:type="dxa" w:w="1368"/>
          </w:tcPr>
          <w:p>
            <w:pPr>
              <w:spacing w:after="20"/>
            </w:pPr>
            <w:r>
              <w:rPr>
                <w:color w:val="1C3A36"/>
                <w:sz w:val="15"/>
              </w:rPr>
              <w:t>2025-12-31</w:t>
            </w:r>
          </w:p>
        </w:tc>
        <w:tc>
          <w:tcPr>
            <w:tcW w:type="dxa" w:w="3845"/>
          </w:tcPr>
          <w:p>
            <w:pPr>
              <w:spacing w:after="20"/>
            </w:pPr>
            <w:r>
              <w:rPr>
                <w:color w:val="1C3A36"/>
                <w:sz w:val="15"/>
              </w:rPr>
              <w:t>Fixed assets at COST at 31-Dec-2025 (note 6), before accumulated depreciation of 1,847,794,418. The gross figure is what a replacement-capex line has to be built on; the net figure is what the terminal return is flattered by. Audited consolidated FS, transition period 1-Jul-2025 to 31-Dec-2025, Crowe unqualified, 18-Feb-2026</w:t>
            </w:r>
          </w:p>
        </w:tc>
      </w:tr>
      <w:tr>
        <w:tc>
          <w:tcPr>
            <w:tcW w:type="dxa" w:w="2736"/>
          </w:tcPr>
          <w:p>
            <w:pPr>
              <w:spacing w:after="20"/>
            </w:pPr>
            <w:r>
              <w:rPr>
                <w:color w:val="1C3A36"/>
                <w:sz w:val="15"/>
              </w:rPr>
              <w:t>ppe_accdep</w:t>
            </w:r>
          </w:p>
        </w:tc>
        <w:tc>
          <w:tcPr>
            <w:tcW w:type="dxa" w:w="2232"/>
          </w:tcPr>
          <w:p>
            <w:pPr>
              <w:spacing w:after="20"/>
            </w:pPr>
            <w:r>
              <w:rPr>
                <w:color w:val="1C3A36"/>
                <w:sz w:val="15"/>
              </w:rPr>
              <w:t>1,847,794,418.0</w:t>
            </w:r>
          </w:p>
        </w:tc>
        <w:tc>
          <w:tcPr>
            <w:tcW w:type="dxa" w:w="1368"/>
          </w:tcPr>
          <w:p>
            <w:pPr>
              <w:spacing w:after="20"/>
            </w:pPr>
            <w:r>
              <w:rPr>
                <w:color w:val="1C3A36"/>
                <w:sz w:val="15"/>
              </w:rPr>
              <w:t>2025-12-31</w:t>
            </w:r>
          </w:p>
        </w:tc>
        <w:tc>
          <w:tcPr>
            <w:tcW w:type="dxa" w:w="3845"/>
          </w:tcPr>
          <w:p>
            <w:pPr>
              <w:spacing w:after="20"/>
            </w:pPr>
            <w:r>
              <w:rPr>
                <w:color w:val="1C3A36"/>
                <w:sz w:val="15"/>
              </w:rPr>
              <w:t>Accumulated depreciation on fixed assets at 31-Dec-2025 (note 6). The plant is 67.4% written down and 273,466,121 of it is fully depreciated and still in use. Audited consolidated FS, transition period 1-Jul-2025 to 31-Dec-2025, Crowe unqualified, 18-Feb-2026</w:t>
            </w:r>
          </w:p>
        </w:tc>
      </w:tr>
      <w:tr>
        <w:tc>
          <w:tcPr>
            <w:tcW w:type="dxa" w:w="2736"/>
          </w:tcPr>
          <w:p>
            <w:pPr>
              <w:spacing w:after="20"/>
            </w:pPr>
            <w:r>
              <w:rPr>
                <w:color w:val="1C3A36"/>
                <w:sz w:val="15"/>
              </w:rPr>
              <w:t>puc</w:t>
            </w:r>
          </w:p>
        </w:tc>
        <w:tc>
          <w:tcPr>
            <w:tcW w:type="dxa" w:w="2232"/>
          </w:tcPr>
          <w:p>
            <w:pPr>
              <w:spacing w:after="20"/>
            </w:pPr>
            <w:r>
              <w:rPr>
                <w:color w:val="1C3A36"/>
                <w:sz w:val="15"/>
              </w:rPr>
              <w:t>414,641,768.0</w:t>
            </w:r>
          </w:p>
        </w:tc>
        <w:tc>
          <w:tcPr>
            <w:tcW w:type="dxa" w:w="1368"/>
          </w:tcPr>
          <w:p>
            <w:pPr>
              <w:spacing w:after="20"/>
            </w:pPr>
            <w:r>
              <w:rPr>
                <w:color w:val="1C3A36"/>
                <w:sz w:val="15"/>
              </w:rPr>
              <w:t>2026-06-30</w:t>
            </w:r>
          </w:p>
        </w:tc>
        <w:tc>
          <w:tcPr>
            <w:tcW w:type="dxa" w:w="3845"/>
          </w:tcPr>
          <w:p>
            <w:pPr>
              <w:spacing w:after="20"/>
            </w:pPr>
            <w:r>
              <w:rPr>
                <w:color w:val="1C3A36"/>
                <w:sz w:val="15"/>
              </w:rPr>
              <w:t>Projects under construction at 30-Jun-2026 (note 7). Reviewed consolidated FS, six months to 30-Jun-2026, limited review</w:t>
            </w:r>
          </w:p>
        </w:tc>
      </w:tr>
      <w:tr>
        <w:tc>
          <w:tcPr>
            <w:tcW w:type="dxa" w:w="2736"/>
          </w:tcPr>
          <w:p>
            <w:pPr>
              <w:spacing w:after="20"/>
            </w:pPr>
            <w:r>
              <w:rPr>
                <w:color w:val="1C3A36"/>
                <w:sz w:val="15"/>
              </w:rPr>
              <w:t>inventory</w:t>
            </w:r>
          </w:p>
        </w:tc>
        <w:tc>
          <w:tcPr>
            <w:tcW w:type="dxa" w:w="2232"/>
          </w:tcPr>
          <w:p>
            <w:pPr>
              <w:spacing w:after="20"/>
            </w:pPr>
            <w:r>
              <w:rPr>
                <w:color w:val="1C3A36"/>
                <w:sz w:val="15"/>
              </w:rPr>
              <w:t>3,764,066,490.0</w:t>
            </w:r>
          </w:p>
        </w:tc>
        <w:tc>
          <w:tcPr>
            <w:tcW w:type="dxa" w:w="1368"/>
          </w:tcPr>
          <w:p>
            <w:pPr>
              <w:spacing w:after="20"/>
            </w:pPr>
            <w:r>
              <w:rPr>
                <w:color w:val="1C3A36"/>
                <w:sz w:val="15"/>
              </w:rPr>
              <w:t>2026-06-30</w:t>
            </w:r>
          </w:p>
        </w:tc>
        <w:tc>
          <w:tcPr>
            <w:tcW w:type="dxa" w:w="3845"/>
          </w:tcPr>
          <w:p>
            <w:pPr>
              <w:spacing w:after="20"/>
            </w:pPr>
            <w:r>
              <w:rPr>
                <w:color w:val="1C3A36"/>
                <w:sz w:val="15"/>
              </w:rPr>
              <w:t>Inventory net of impairment at 30-Jun-2026 (note 9-A). Reviewed consolidated FS, six months to 30-Jun-2026, limited review</w:t>
            </w:r>
          </w:p>
        </w:tc>
      </w:tr>
      <w:tr>
        <w:tc>
          <w:tcPr>
            <w:tcW w:type="dxa" w:w="2736"/>
          </w:tcPr>
          <w:p>
            <w:pPr>
              <w:spacing w:after="20"/>
            </w:pPr>
            <w:r>
              <w:rPr>
                <w:color w:val="1C3A36"/>
                <w:sz w:val="15"/>
              </w:rPr>
              <w:t>recv</w:t>
            </w:r>
          </w:p>
        </w:tc>
        <w:tc>
          <w:tcPr>
            <w:tcW w:type="dxa" w:w="2232"/>
          </w:tcPr>
          <w:p>
            <w:pPr>
              <w:spacing w:after="20"/>
            </w:pPr>
            <w:r>
              <w:rPr>
                <w:color w:val="1C3A36"/>
                <w:sz w:val="15"/>
              </w:rPr>
              <w:t>2,035,100,729.0</w:t>
            </w:r>
          </w:p>
        </w:tc>
        <w:tc>
          <w:tcPr>
            <w:tcW w:type="dxa" w:w="1368"/>
          </w:tcPr>
          <w:p>
            <w:pPr>
              <w:spacing w:after="20"/>
            </w:pPr>
            <w:r>
              <w:rPr>
                <w:color w:val="1C3A36"/>
                <w:sz w:val="15"/>
              </w:rPr>
              <w:t>2026-06-30</w:t>
            </w:r>
          </w:p>
        </w:tc>
        <w:tc>
          <w:tcPr>
            <w:tcW w:type="dxa" w:w="3845"/>
          </w:tcPr>
          <w:p>
            <w:pPr>
              <w:spacing w:after="20"/>
            </w:pPr>
            <w:r>
              <w:rPr>
                <w:color w:val="1C3A36"/>
                <w:sz w:val="15"/>
              </w:rPr>
              <w:t>Accounts receivable net at 30-Jun-2026 (note 9-B). Reviewed consolidated FS, six months to 30-Jun-2026, limited review</w:t>
            </w:r>
          </w:p>
        </w:tc>
      </w:tr>
      <w:tr>
        <w:tc>
          <w:tcPr>
            <w:tcW w:type="dxa" w:w="2736"/>
          </w:tcPr>
          <w:p>
            <w:pPr>
              <w:spacing w:after="20"/>
            </w:pPr>
            <w:r>
              <w:rPr>
                <w:color w:val="1C3A36"/>
                <w:sz w:val="15"/>
              </w:rPr>
              <w:t>debtors</w:t>
            </w:r>
          </w:p>
        </w:tc>
        <w:tc>
          <w:tcPr>
            <w:tcW w:type="dxa" w:w="2232"/>
          </w:tcPr>
          <w:p>
            <w:pPr>
              <w:spacing w:after="20"/>
            </w:pPr>
            <w:r>
              <w:rPr>
                <w:color w:val="1C3A36"/>
                <w:sz w:val="15"/>
              </w:rPr>
              <w:t>632,115,619.0</w:t>
            </w:r>
          </w:p>
        </w:tc>
        <w:tc>
          <w:tcPr>
            <w:tcW w:type="dxa" w:w="1368"/>
          </w:tcPr>
          <w:p>
            <w:pPr>
              <w:spacing w:after="20"/>
            </w:pPr>
            <w:r>
              <w:rPr>
                <w:color w:val="1C3A36"/>
                <w:sz w:val="15"/>
              </w:rPr>
              <w:t>2026-06-30</w:t>
            </w:r>
          </w:p>
        </w:tc>
        <w:tc>
          <w:tcPr>
            <w:tcW w:type="dxa" w:w="3845"/>
          </w:tcPr>
          <w:p>
            <w:pPr>
              <w:spacing w:after="20"/>
            </w:pPr>
            <w:r>
              <w:rPr>
                <w:color w:val="1C3A36"/>
                <w:sz w:val="15"/>
              </w:rPr>
              <w:t>Debtors and other debit balances net at 30-Jun-2026 (notes 9-C, 9-D). Reviewed consolidated FS, six months to 30-Jun-2026, limited review</w:t>
            </w:r>
          </w:p>
        </w:tc>
      </w:tr>
      <w:tr>
        <w:tc>
          <w:tcPr>
            <w:tcW w:type="dxa" w:w="2736"/>
          </w:tcPr>
          <w:p>
            <w:pPr>
              <w:spacing w:after="20"/>
            </w:pPr>
            <w:r>
              <w:rPr>
                <w:color w:val="1C3A36"/>
                <w:sz w:val="15"/>
              </w:rPr>
              <w:t>cash</w:t>
            </w:r>
          </w:p>
        </w:tc>
        <w:tc>
          <w:tcPr>
            <w:tcW w:type="dxa" w:w="2232"/>
          </w:tcPr>
          <w:p>
            <w:pPr>
              <w:spacing w:after="20"/>
            </w:pPr>
            <w:r>
              <w:rPr>
                <w:color w:val="1C3A36"/>
                <w:sz w:val="15"/>
              </w:rPr>
              <w:t>3,018,394,920.0</w:t>
            </w:r>
          </w:p>
        </w:tc>
        <w:tc>
          <w:tcPr>
            <w:tcW w:type="dxa" w:w="1368"/>
          </w:tcPr>
          <w:p>
            <w:pPr>
              <w:spacing w:after="20"/>
            </w:pPr>
            <w:r>
              <w:rPr>
                <w:color w:val="1C3A36"/>
                <w:sz w:val="15"/>
              </w:rPr>
              <w:t>2026-06-30</w:t>
            </w:r>
          </w:p>
        </w:tc>
        <w:tc>
          <w:tcPr>
            <w:tcW w:type="dxa" w:w="3845"/>
          </w:tcPr>
          <w:p>
            <w:pPr>
              <w:spacing w:after="20"/>
            </w:pPr>
            <w:r>
              <w:rPr>
                <w:color w:val="1C3A36"/>
                <w:sz w:val="15"/>
              </w:rPr>
              <w:t>Cash and cash equivalents at 30-Jun-2026 (note 9-E). UP from 2,463,522,365 six months earlier AFTER paying 861,257,265 of dividends. Reviewed consolidated FS, six months to 30-Jun-2026, limited review</w:t>
            </w:r>
          </w:p>
        </w:tc>
      </w:tr>
      <w:tr>
        <w:tc>
          <w:tcPr>
            <w:tcW w:type="dxa" w:w="2736"/>
          </w:tcPr>
          <w:p>
            <w:pPr>
              <w:spacing w:after="20"/>
            </w:pPr>
            <w:r>
              <w:rPr>
                <w:color w:val="1C3A36"/>
                <w:sz w:val="15"/>
              </w:rPr>
              <w:t>fin_inv</w:t>
            </w:r>
          </w:p>
        </w:tc>
        <w:tc>
          <w:tcPr>
            <w:tcW w:type="dxa" w:w="2232"/>
          </w:tcPr>
          <w:p>
            <w:pPr>
              <w:spacing w:after="20"/>
            </w:pPr>
            <w:r>
              <w:rPr>
                <w:color w:val="1C3A36"/>
                <w:sz w:val="15"/>
              </w:rPr>
              <w:t>525,170,000.0</w:t>
            </w:r>
          </w:p>
        </w:tc>
        <w:tc>
          <w:tcPr>
            <w:tcW w:type="dxa" w:w="1368"/>
          </w:tcPr>
          <w:p>
            <w:pPr>
              <w:spacing w:after="20"/>
            </w:pPr>
            <w:r>
              <w:rPr>
                <w:color w:val="1C3A36"/>
                <w:sz w:val="15"/>
              </w:rPr>
              <w:t>2026-06-30</w:t>
            </w:r>
          </w:p>
        </w:tc>
        <w:tc>
          <w:tcPr>
            <w:tcW w:type="dxa" w:w="3845"/>
          </w:tcPr>
          <w:p>
            <w:pPr>
              <w:spacing w:after="20"/>
            </w:pPr>
            <w:r>
              <w:rPr>
                <w:color w:val="1C3A36"/>
                <w:sz w:val="15"/>
              </w:rPr>
              <w:t>Other financial investments at 30-Jun-2026 — deposits PLEDGED against facilities, not free cash. Reviewed consolidated FS, six months to 30-Jun-2026, limited review</w:t>
            </w:r>
          </w:p>
        </w:tc>
      </w:tr>
      <w:tr>
        <w:tc>
          <w:tcPr>
            <w:tcW w:type="dxa" w:w="2736"/>
          </w:tcPr>
          <w:p>
            <w:pPr>
              <w:spacing w:after="20"/>
            </w:pPr>
            <w:r>
              <w:rPr>
                <w:color w:val="1C3A36"/>
                <w:sz w:val="15"/>
              </w:rPr>
              <w:t>fvoci</w:t>
            </w:r>
          </w:p>
        </w:tc>
        <w:tc>
          <w:tcPr>
            <w:tcW w:type="dxa" w:w="2232"/>
          </w:tcPr>
          <w:p>
            <w:pPr>
              <w:spacing w:after="20"/>
            </w:pPr>
            <w:r>
              <w:rPr>
                <w:color w:val="1C3A36"/>
                <w:sz w:val="15"/>
              </w:rPr>
              <w:t>69,608,696.0</w:t>
            </w:r>
          </w:p>
        </w:tc>
        <w:tc>
          <w:tcPr>
            <w:tcW w:type="dxa" w:w="1368"/>
          </w:tcPr>
          <w:p>
            <w:pPr>
              <w:spacing w:after="20"/>
            </w:pPr>
            <w:r>
              <w:rPr>
                <w:color w:val="1C3A36"/>
                <w:sz w:val="15"/>
              </w:rPr>
              <w:t>2025-12-31</w:t>
            </w:r>
          </w:p>
        </w:tc>
        <w:tc>
          <w:tcPr>
            <w:tcW w:type="dxa" w:w="3845"/>
          </w:tcPr>
          <w:p>
            <w:pPr>
              <w:spacing w:after="20"/>
            </w:pPr>
            <w:r>
              <w:rPr>
                <w:color w:val="1C3A36"/>
                <w:sz w:val="15"/>
              </w:rPr>
              <w:t>Financial asset through OCI at 31-Dec-2025 — 104,000 shares, 5.20% of ASCPC, fair value 69,608,696 (note 8-1). Audited consolidated FS, transition period 1-Jul-2025 to 31-Dec-2025, Crowe unqualified, 18-Feb-2026</w:t>
            </w:r>
          </w:p>
        </w:tc>
      </w:tr>
      <w:tr>
        <w:tc>
          <w:tcPr>
            <w:tcW w:type="dxa" w:w="2736"/>
          </w:tcPr>
          <w:p>
            <w:pPr>
              <w:spacing w:after="20"/>
            </w:pPr>
            <w:r>
              <w:rPr>
                <w:color w:val="1C3A36"/>
                <w:sz w:val="15"/>
              </w:rPr>
              <w:t>assets_snap</w:t>
            </w:r>
          </w:p>
        </w:tc>
        <w:tc>
          <w:tcPr>
            <w:tcW w:type="dxa" w:w="2232"/>
          </w:tcPr>
          <w:p>
            <w:pPr>
              <w:spacing w:after="20"/>
            </w:pPr>
            <w:r>
              <w:rPr>
                <w:color w:val="1C3A36"/>
                <w:sz w:val="15"/>
              </w:rPr>
              <w:t>11,405,065,699.0</w:t>
            </w:r>
          </w:p>
        </w:tc>
        <w:tc>
          <w:tcPr>
            <w:tcW w:type="dxa" w:w="1368"/>
          </w:tcPr>
          <w:p>
            <w:pPr>
              <w:spacing w:after="20"/>
            </w:pPr>
            <w:r>
              <w:rPr>
                <w:color w:val="1C3A36"/>
                <w:sz w:val="15"/>
              </w:rPr>
              <w:t>2026-06-30</w:t>
            </w:r>
          </w:p>
        </w:tc>
        <w:tc>
          <w:tcPr>
            <w:tcW w:type="dxa" w:w="3845"/>
          </w:tcPr>
          <w:p>
            <w:pPr>
              <w:spacing w:after="20"/>
            </w:pPr>
            <w:r>
              <w:rPr>
                <w:color w:val="1C3A36"/>
                <w:sz w:val="15"/>
              </w:rPr>
              <w:t>Total assets at 30-Jun-2026. Reviewed consolidated FS, six months to 30-Jun-2026, limited review</w:t>
            </w:r>
          </w:p>
        </w:tc>
      </w:tr>
      <w:tr>
        <w:tc>
          <w:tcPr>
            <w:tcW w:type="dxa" w:w="2736"/>
          </w:tcPr>
          <w:p>
            <w:pPr>
              <w:spacing w:after="20"/>
            </w:pPr>
            <w:r>
              <w:rPr>
                <w:color w:val="1C3A36"/>
                <w:sz w:val="15"/>
              </w:rPr>
              <w:t>liab_snap</w:t>
            </w:r>
          </w:p>
        </w:tc>
        <w:tc>
          <w:tcPr>
            <w:tcW w:type="dxa" w:w="2232"/>
          </w:tcPr>
          <w:p>
            <w:pPr>
              <w:spacing w:after="20"/>
            </w:pPr>
            <w:r>
              <w:rPr>
                <w:color w:val="1C3A36"/>
                <w:sz w:val="15"/>
              </w:rPr>
              <w:t>5,261,891,473.0</w:t>
            </w:r>
          </w:p>
        </w:tc>
        <w:tc>
          <w:tcPr>
            <w:tcW w:type="dxa" w:w="1368"/>
          </w:tcPr>
          <w:p>
            <w:pPr>
              <w:spacing w:after="20"/>
            </w:pPr>
            <w:r>
              <w:rPr>
                <w:color w:val="1C3A36"/>
                <w:sz w:val="15"/>
              </w:rPr>
              <w:t>2026-06-30</w:t>
            </w:r>
          </w:p>
        </w:tc>
        <w:tc>
          <w:tcPr>
            <w:tcW w:type="dxa" w:w="3845"/>
          </w:tcPr>
          <w:p>
            <w:pPr>
              <w:spacing w:after="20"/>
            </w:pPr>
            <w:r>
              <w:rPr>
                <w:color w:val="1C3A36"/>
                <w:sz w:val="15"/>
              </w:rPr>
              <w:t>Total liabilities at 30-Jun-2026. Reviewed consolidated FS, six months to 30-Jun-2026, limited review</w:t>
            </w:r>
          </w:p>
        </w:tc>
      </w:tr>
      <w:tr>
        <w:tc>
          <w:tcPr>
            <w:tcW w:type="dxa" w:w="2736"/>
          </w:tcPr>
          <w:p>
            <w:pPr>
              <w:spacing w:after="20"/>
            </w:pPr>
            <w:r>
              <w:rPr>
                <w:color w:val="1C3A36"/>
                <w:sz w:val="15"/>
              </w:rPr>
              <w:t>eq_parent</w:t>
            </w:r>
          </w:p>
        </w:tc>
        <w:tc>
          <w:tcPr>
            <w:tcW w:type="dxa" w:w="2232"/>
          </w:tcPr>
          <w:p>
            <w:pPr>
              <w:spacing w:after="20"/>
            </w:pPr>
            <w:r>
              <w:rPr>
                <w:color w:val="1C3A36"/>
                <w:sz w:val="15"/>
              </w:rPr>
              <w:t>6,070,338,949.0</w:t>
            </w:r>
          </w:p>
        </w:tc>
        <w:tc>
          <w:tcPr>
            <w:tcW w:type="dxa" w:w="1368"/>
          </w:tcPr>
          <w:p>
            <w:pPr>
              <w:spacing w:after="20"/>
            </w:pPr>
            <w:r>
              <w:rPr>
                <w:color w:val="1C3A36"/>
                <w:sz w:val="15"/>
              </w:rPr>
              <w:t>2026-06-30</w:t>
            </w:r>
          </w:p>
        </w:tc>
        <w:tc>
          <w:tcPr>
            <w:tcW w:type="dxa" w:w="3845"/>
          </w:tcPr>
          <w:p>
            <w:pPr>
              <w:spacing w:after="20"/>
            </w:pPr>
            <w:r>
              <w:rPr>
                <w:color w:val="1C3A36"/>
                <w:sz w:val="15"/>
              </w:rPr>
              <w:t>Total AMOC (parent) equity at 30-Jun-2026 — EGP 4.70 a share, against 4,790,695,948 six months earlier. Reviewed consolidated FS, six months to 30-Jun-2026, limited review</w:t>
            </w:r>
          </w:p>
        </w:tc>
      </w:tr>
      <w:tr>
        <w:tc>
          <w:tcPr>
            <w:tcW w:type="dxa" w:w="2736"/>
          </w:tcPr>
          <w:p>
            <w:pPr>
              <w:spacing w:after="20"/>
            </w:pPr>
            <w:r>
              <w:rPr>
                <w:color w:val="1C3A36"/>
                <w:sz w:val="15"/>
              </w:rPr>
              <w:t>eq_nci</w:t>
            </w:r>
          </w:p>
        </w:tc>
        <w:tc>
          <w:tcPr>
            <w:tcW w:type="dxa" w:w="2232"/>
          </w:tcPr>
          <w:p>
            <w:pPr>
              <w:spacing w:after="20"/>
            </w:pPr>
            <w:r>
              <w:rPr>
                <w:color w:val="1C3A36"/>
                <w:sz w:val="15"/>
              </w:rPr>
              <w:t>72,835,277.0</w:t>
            </w:r>
          </w:p>
        </w:tc>
        <w:tc>
          <w:tcPr>
            <w:tcW w:type="dxa" w:w="1368"/>
          </w:tcPr>
          <w:p>
            <w:pPr>
              <w:spacing w:after="20"/>
            </w:pPr>
            <w:r>
              <w:rPr>
                <w:color w:val="1C3A36"/>
                <w:sz w:val="15"/>
              </w:rPr>
              <w:t>2026-06-30</w:t>
            </w:r>
          </w:p>
        </w:tc>
        <w:tc>
          <w:tcPr>
            <w:tcW w:type="dxa" w:w="3845"/>
          </w:tcPr>
          <w:p>
            <w:pPr>
              <w:spacing w:after="20"/>
            </w:pPr>
            <w:r>
              <w:rPr>
                <w:color w:val="1C3A36"/>
                <w:sz w:val="15"/>
              </w:rPr>
              <w:t>Non-controlling interest carrying amount at 30-Jun-2026. Reviewed consolidated FS, six months to 30-Jun-2026, limited review</w:t>
            </w:r>
          </w:p>
        </w:tc>
      </w:tr>
      <w:tr>
        <w:tc>
          <w:tcPr>
            <w:tcW w:type="dxa" w:w="2736"/>
          </w:tcPr>
          <w:p>
            <w:pPr>
              <w:spacing w:after="20"/>
            </w:pPr>
            <w:r>
              <w:rPr>
                <w:color w:val="1C3A36"/>
                <w:sz w:val="15"/>
              </w:rPr>
              <w:t>debt_lt</w:t>
            </w:r>
          </w:p>
        </w:tc>
        <w:tc>
          <w:tcPr>
            <w:tcW w:type="dxa" w:w="2232"/>
          </w:tcPr>
          <w:p>
            <w:pPr>
              <w:spacing w:after="20"/>
            </w:pPr>
            <w:r>
              <w:rPr>
                <w:color w:val="1C3A36"/>
                <w:sz w:val="15"/>
              </w:rPr>
              <w:t>12,137,451.0</w:t>
            </w:r>
          </w:p>
        </w:tc>
        <w:tc>
          <w:tcPr>
            <w:tcW w:type="dxa" w:w="1368"/>
          </w:tcPr>
          <w:p>
            <w:pPr>
              <w:spacing w:after="20"/>
            </w:pPr>
            <w:r>
              <w:rPr>
                <w:color w:val="1C3A36"/>
                <w:sz w:val="15"/>
              </w:rPr>
              <w:t>2026-06-30</w:t>
            </w:r>
          </w:p>
        </w:tc>
        <w:tc>
          <w:tcPr>
            <w:tcW w:type="dxa" w:w="3845"/>
          </w:tcPr>
          <w:p>
            <w:pPr>
              <w:spacing w:after="20"/>
            </w:pPr>
            <w:r>
              <w:rPr>
                <w:color w:val="1C3A36"/>
                <w:sz w:val="15"/>
              </w:rPr>
              <w:t>Long-term loans at 30-Jun-2026 (note 20). Reviewed consolidated FS, six months to 30-Jun-2026, limited review</w:t>
            </w:r>
          </w:p>
        </w:tc>
      </w:tr>
      <w:tr>
        <w:tc>
          <w:tcPr>
            <w:tcW w:type="dxa" w:w="2736"/>
          </w:tcPr>
          <w:p>
            <w:pPr>
              <w:spacing w:after="20"/>
            </w:pPr>
            <w:r>
              <w:rPr>
                <w:color w:val="1C3A36"/>
                <w:sz w:val="15"/>
              </w:rPr>
              <w:t>debt_st</w:t>
            </w:r>
          </w:p>
        </w:tc>
        <w:tc>
          <w:tcPr>
            <w:tcW w:type="dxa" w:w="2232"/>
          </w:tcPr>
          <w:p>
            <w:pPr>
              <w:spacing w:after="20"/>
            </w:pPr>
            <w:r>
              <w:rPr>
                <w:color w:val="1C3A36"/>
                <w:sz w:val="15"/>
              </w:rPr>
              <w:t>4,715,153.0</w:t>
            </w:r>
          </w:p>
        </w:tc>
        <w:tc>
          <w:tcPr>
            <w:tcW w:type="dxa" w:w="1368"/>
          </w:tcPr>
          <w:p>
            <w:pPr>
              <w:spacing w:after="20"/>
            </w:pPr>
            <w:r>
              <w:rPr>
                <w:color w:val="1C3A36"/>
                <w:sz w:val="15"/>
              </w:rPr>
              <w:t>2026-06-30</w:t>
            </w:r>
          </w:p>
        </w:tc>
        <w:tc>
          <w:tcPr>
            <w:tcW w:type="dxa" w:w="3845"/>
          </w:tcPr>
          <w:p>
            <w:pPr>
              <w:spacing w:after="20"/>
            </w:pPr>
            <w:r>
              <w:rPr>
                <w:color w:val="1C3A36"/>
                <w:sz w:val="15"/>
              </w:rPr>
              <w:t>Short-term loans and facilities at 30-Jun-2026 (note 20). Reviewed consolidated FS, six months to 30-Jun-2026, limited review</w:t>
            </w:r>
          </w:p>
        </w:tc>
      </w:tr>
      <w:tr>
        <w:tc>
          <w:tcPr>
            <w:tcW w:type="dxa" w:w="2736"/>
          </w:tcPr>
          <w:p>
            <w:pPr>
              <w:spacing w:after="20"/>
            </w:pPr>
            <w:r>
              <w:rPr>
                <w:color w:val="1C3A36"/>
                <w:sz w:val="15"/>
              </w:rPr>
              <w:t>leases</w:t>
            </w:r>
          </w:p>
        </w:tc>
        <w:tc>
          <w:tcPr>
            <w:tcW w:type="dxa" w:w="2232"/>
          </w:tcPr>
          <w:p>
            <w:pPr>
              <w:spacing w:after="20"/>
            </w:pPr>
            <w:r>
              <w:rPr>
                <w:color w:val="1C3A36"/>
                <w:sz w:val="15"/>
              </w:rPr>
              <w:t>2,324,893.0</w:t>
            </w:r>
          </w:p>
        </w:tc>
        <w:tc>
          <w:tcPr>
            <w:tcW w:type="dxa" w:w="1368"/>
          </w:tcPr>
          <w:p>
            <w:pPr>
              <w:spacing w:after="20"/>
            </w:pPr>
            <w:r>
              <w:rPr>
                <w:color w:val="1C3A36"/>
                <w:sz w:val="15"/>
              </w:rPr>
              <w:t>2026-06-30</w:t>
            </w:r>
          </w:p>
        </w:tc>
        <w:tc>
          <w:tcPr>
            <w:tcW w:type="dxa" w:w="3845"/>
          </w:tcPr>
          <w:p>
            <w:pPr>
              <w:spacing w:after="20"/>
            </w:pPr>
            <w:r>
              <w:rPr>
                <w:color w:val="1C3A36"/>
                <w:sz w:val="15"/>
              </w:rPr>
              <w:t>Total lease liabilities at 30-Jun-2026 (note 8-2): 463,553 long term plus 1,861,340 short term. Reviewed consolidated FS, six months to 30-Jun-2026, limited review</w:t>
            </w:r>
          </w:p>
        </w:tc>
      </w:tr>
      <w:tr>
        <w:tc>
          <w:tcPr>
            <w:tcW w:type="dxa" w:w="2736"/>
          </w:tcPr>
          <w:p>
            <w:pPr>
              <w:spacing w:after="20"/>
            </w:pPr>
            <w:r>
              <w:rPr>
                <w:color w:val="1C3A36"/>
                <w:sz w:val="15"/>
              </w:rPr>
              <w:t>payables</w:t>
            </w:r>
          </w:p>
        </w:tc>
        <w:tc>
          <w:tcPr>
            <w:tcW w:type="dxa" w:w="2232"/>
          </w:tcPr>
          <w:p>
            <w:pPr>
              <w:spacing w:after="20"/>
            </w:pPr>
            <w:r>
              <w:rPr>
                <w:color w:val="1C3A36"/>
                <w:sz w:val="15"/>
              </w:rPr>
              <w:t>14,015,841.0</w:t>
            </w:r>
          </w:p>
        </w:tc>
        <w:tc>
          <w:tcPr>
            <w:tcW w:type="dxa" w:w="1368"/>
          </w:tcPr>
          <w:p>
            <w:pPr>
              <w:spacing w:after="20"/>
            </w:pPr>
            <w:r>
              <w:rPr>
                <w:color w:val="1C3A36"/>
                <w:sz w:val="15"/>
              </w:rPr>
              <w:t>2026-06-30</w:t>
            </w:r>
          </w:p>
        </w:tc>
        <w:tc>
          <w:tcPr>
            <w:tcW w:type="dxa" w:w="3845"/>
          </w:tcPr>
          <w:p>
            <w:pPr>
              <w:spacing w:after="20"/>
            </w:pPr>
            <w:r>
              <w:rPr>
                <w:color w:val="1C3A36"/>
                <w:sz w:val="15"/>
              </w:rPr>
              <w:t>Accounts and notes payable at 30-Jun-2026 (note 10-3). Reviewed consolidated FS, six months to 30-Jun-2026, limited review</w:t>
            </w:r>
          </w:p>
        </w:tc>
      </w:tr>
      <w:tr>
        <w:tc>
          <w:tcPr>
            <w:tcW w:type="dxa" w:w="2736"/>
          </w:tcPr>
          <w:p>
            <w:pPr>
              <w:spacing w:after="20"/>
            </w:pPr>
            <w:r>
              <w:rPr>
                <w:color w:val="1C3A36"/>
                <w:sz w:val="15"/>
              </w:rPr>
              <w:t>creditors</w:t>
            </w:r>
          </w:p>
        </w:tc>
        <w:tc>
          <w:tcPr>
            <w:tcW w:type="dxa" w:w="2232"/>
          </w:tcPr>
          <w:p>
            <w:pPr>
              <w:spacing w:after="20"/>
            </w:pPr>
            <w:r>
              <w:rPr>
                <w:color w:val="1C3A36"/>
                <w:sz w:val="15"/>
              </w:rPr>
              <w:t>3,286,150,065.0</w:t>
            </w:r>
          </w:p>
        </w:tc>
        <w:tc>
          <w:tcPr>
            <w:tcW w:type="dxa" w:w="1368"/>
          </w:tcPr>
          <w:p>
            <w:pPr>
              <w:spacing w:after="20"/>
            </w:pPr>
            <w:r>
              <w:rPr>
                <w:color w:val="1C3A36"/>
                <w:sz w:val="15"/>
              </w:rPr>
              <w:t>2026-06-30</w:t>
            </w:r>
          </w:p>
        </w:tc>
        <w:tc>
          <w:tcPr>
            <w:tcW w:type="dxa" w:w="3845"/>
          </w:tcPr>
          <w:p>
            <w:pPr>
              <w:spacing w:after="20"/>
            </w:pPr>
            <w:r>
              <w:rPr>
                <w:color w:val="1C3A36"/>
                <w:sz w:val="15"/>
              </w:rPr>
              <w:t>Creditors and other credit balances at 30-Jun-2026 (note 11). Reviewed consolidated FS, six months to 30-Jun-2026, limited review</w:t>
            </w:r>
          </w:p>
        </w:tc>
      </w:tr>
      <w:tr>
        <w:tc>
          <w:tcPr>
            <w:tcW w:type="dxa" w:w="2736"/>
          </w:tcPr>
          <w:p>
            <w:pPr>
              <w:spacing w:after="20"/>
            </w:pPr>
            <w:r>
              <w:rPr>
                <w:color w:val="1C3A36"/>
                <w:sz w:val="15"/>
              </w:rPr>
              <w:t>provisions</w:t>
            </w:r>
          </w:p>
        </w:tc>
        <w:tc>
          <w:tcPr>
            <w:tcW w:type="dxa" w:w="2232"/>
          </w:tcPr>
          <w:p>
            <w:pPr>
              <w:spacing w:after="20"/>
            </w:pPr>
            <w:r>
              <w:rPr>
                <w:color w:val="1C3A36"/>
                <w:sz w:val="15"/>
              </w:rPr>
              <w:t>996,857,074.0</w:t>
            </w:r>
          </w:p>
        </w:tc>
        <w:tc>
          <w:tcPr>
            <w:tcW w:type="dxa" w:w="1368"/>
          </w:tcPr>
          <w:p>
            <w:pPr>
              <w:spacing w:after="20"/>
            </w:pPr>
            <w:r>
              <w:rPr>
                <w:color w:val="1C3A36"/>
                <w:sz w:val="15"/>
              </w:rPr>
              <w:t>2026-06-30</w:t>
            </w:r>
          </w:p>
        </w:tc>
        <w:tc>
          <w:tcPr>
            <w:tcW w:type="dxa" w:w="3845"/>
          </w:tcPr>
          <w:p>
            <w:pPr>
              <w:spacing w:after="20"/>
            </w:pPr>
            <w:r>
              <w:rPr>
                <w:color w:val="1C3A36"/>
                <w:sz w:val="15"/>
              </w:rPr>
              <w:t>Provisions at 30-Jun-2026 (note 10-1) — a recognised liability, carried in full in the bridge. Reviewed consolidated FS, six months to 30-Jun-2026, limited review</w:t>
            </w:r>
          </w:p>
        </w:tc>
      </w:tr>
      <w:tr>
        <w:tc>
          <w:tcPr>
            <w:tcW w:type="dxa" w:w="2736"/>
          </w:tcPr>
          <w:p>
            <w:pPr>
              <w:spacing w:after="20"/>
            </w:pPr>
            <w:r>
              <w:rPr>
                <w:color w:val="1C3A36"/>
                <w:sz w:val="15"/>
              </w:rPr>
              <w:t>dtax_liab</w:t>
            </w:r>
          </w:p>
        </w:tc>
        <w:tc>
          <w:tcPr>
            <w:tcW w:type="dxa" w:w="2232"/>
          </w:tcPr>
          <w:p>
            <w:pPr>
              <w:spacing w:after="20"/>
            </w:pPr>
            <w:r>
              <w:rPr>
                <w:color w:val="1C3A36"/>
                <w:sz w:val="15"/>
              </w:rPr>
              <w:t>95,721,735.0</w:t>
            </w:r>
          </w:p>
        </w:tc>
        <w:tc>
          <w:tcPr>
            <w:tcW w:type="dxa" w:w="1368"/>
          </w:tcPr>
          <w:p>
            <w:pPr>
              <w:spacing w:after="20"/>
            </w:pPr>
            <w:r>
              <w:rPr>
                <w:color w:val="1C3A36"/>
                <w:sz w:val="15"/>
              </w:rPr>
              <w:t>2026-06-30</w:t>
            </w:r>
          </w:p>
        </w:tc>
        <w:tc>
          <w:tcPr>
            <w:tcW w:type="dxa" w:w="3845"/>
          </w:tcPr>
          <w:p>
            <w:pPr>
              <w:spacing w:after="20"/>
            </w:pPr>
            <w:r>
              <w:rPr>
                <w:color w:val="1C3A36"/>
                <w:sz w:val="15"/>
              </w:rPr>
              <w:t>Deferred tax liability at 30-Jun-2026 (note 13-A). Reviewed consolidated FS, six months to 30-Jun-2026, limited review</w:t>
            </w:r>
          </w:p>
        </w:tc>
      </w:tr>
      <w:tr>
        <w:tc>
          <w:tcPr>
            <w:tcW w:type="dxa" w:w="2736"/>
          </w:tcPr>
          <w:p>
            <w:pPr>
              <w:spacing w:after="20"/>
            </w:pPr>
            <w:r>
              <w:rPr>
                <w:color w:val="1C3A36"/>
                <w:sz w:val="15"/>
              </w:rPr>
              <w:t>tax_due</w:t>
            </w:r>
          </w:p>
        </w:tc>
        <w:tc>
          <w:tcPr>
            <w:tcW w:type="dxa" w:w="2232"/>
          </w:tcPr>
          <w:p>
            <w:pPr>
              <w:spacing w:after="20"/>
            </w:pPr>
            <w:r>
              <w:rPr>
                <w:color w:val="1C3A36"/>
                <w:sz w:val="15"/>
              </w:rPr>
              <w:t>591,669,261.0</w:t>
            </w:r>
          </w:p>
        </w:tc>
        <w:tc>
          <w:tcPr>
            <w:tcW w:type="dxa" w:w="1368"/>
          </w:tcPr>
          <w:p>
            <w:pPr>
              <w:spacing w:after="20"/>
            </w:pPr>
            <w:r>
              <w:rPr>
                <w:color w:val="1C3A36"/>
                <w:sz w:val="15"/>
              </w:rPr>
              <w:t>2026-06-30</w:t>
            </w:r>
          </w:p>
        </w:tc>
        <w:tc>
          <w:tcPr>
            <w:tcW w:type="dxa" w:w="3845"/>
          </w:tcPr>
          <w:p>
            <w:pPr>
              <w:spacing w:after="20"/>
            </w:pPr>
            <w:r>
              <w:rPr>
                <w:color w:val="1C3A36"/>
                <w:sz w:val="15"/>
              </w:rPr>
              <w:t>Current income tax due at 30-Jun-2026 (note 10-2). Reviewed consolidated FS, six months to 30-Jun-2026, limited review</w:t>
            </w:r>
          </w:p>
        </w:tc>
      </w:tr>
      <w:tr>
        <w:tc>
          <w:tcPr>
            <w:tcW w:type="dxa" w:w="2736"/>
          </w:tcPr>
          <w:p>
            <w:pPr>
              <w:spacing w:after="20"/>
            </w:pPr>
            <w:r>
              <w:rPr>
                <w:color w:val="1C3A36"/>
                <w:sz w:val="15"/>
              </w:rPr>
              <w:t>assets_jun25</w:t>
            </w:r>
          </w:p>
        </w:tc>
        <w:tc>
          <w:tcPr>
            <w:tcW w:type="dxa" w:w="2232"/>
          </w:tcPr>
          <w:p>
            <w:pPr>
              <w:spacing w:after="20"/>
            </w:pPr>
            <w:r>
              <w:rPr>
                <w:color w:val="1C3A36"/>
                <w:sz w:val="15"/>
              </w:rPr>
              <w:t>10,327,865,642.0</w:t>
            </w:r>
          </w:p>
        </w:tc>
        <w:tc>
          <w:tcPr>
            <w:tcW w:type="dxa" w:w="1368"/>
          </w:tcPr>
          <w:p>
            <w:pPr>
              <w:spacing w:after="20"/>
            </w:pPr>
            <w:r>
              <w:rPr>
                <w:color w:val="1C3A36"/>
                <w:sz w:val="15"/>
              </w:rPr>
              <w:t>2025-06-30</w:t>
            </w:r>
          </w:p>
        </w:tc>
        <w:tc>
          <w:tcPr>
            <w:tcW w:type="dxa" w:w="3845"/>
          </w:tcPr>
          <w:p>
            <w:pPr>
              <w:spacing w:after="20"/>
            </w:pPr>
            <w:r>
              <w:rPr>
                <w:color w:val="1C3A36"/>
                <w:sz w:val="15"/>
              </w:rPr>
              <w:t>Total assets at 30-Jun-2025 (comparative column). Audited consolidated FS, transition period 1-Jul-2025 to 31-Dec-2025, Crowe unqualified, 18-Feb-2026</w:t>
            </w:r>
          </w:p>
        </w:tc>
      </w:tr>
      <w:tr>
        <w:tc>
          <w:tcPr>
            <w:tcW w:type="dxa" w:w="2736"/>
          </w:tcPr>
          <w:p>
            <w:pPr>
              <w:spacing w:after="20"/>
            </w:pPr>
            <w:r>
              <w:rPr>
                <w:color w:val="1C3A36"/>
                <w:sz w:val="15"/>
              </w:rPr>
              <w:t>eq_parent_jun25</w:t>
            </w:r>
          </w:p>
        </w:tc>
        <w:tc>
          <w:tcPr>
            <w:tcW w:type="dxa" w:w="2232"/>
          </w:tcPr>
          <w:p>
            <w:pPr>
              <w:spacing w:after="20"/>
            </w:pPr>
            <w:r>
              <w:rPr>
                <w:color w:val="1C3A36"/>
                <w:sz w:val="15"/>
              </w:rPr>
              <w:t>5,353,528,855.0</w:t>
            </w:r>
          </w:p>
        </w:tc>
        <w:tc>
          <w:tcPr>
            <w:tcW w:type="dxa" w:w="1368"/>
          </w:tcPr>
          <w:p>
            <w:pPr>
              <w:spacing w:after="20"/>
            </w:pPr>
            <w:r>
              <w:rPr>
                <w:color w:val="1C3A36"/>
                <w:sz w:val="15"/>
              </w:rPr>
              <w:t>2025-06-30</w:t>
            </w:r>
          </w:p>
        </w:tc>
        <w:tc>
          <w:tcPr>
            <w:tcW w:type="dxa" w:w="3845"/>
          </w:tcPr>
          <w:p>
            <w:pPr>
              <w:spacing w:after="20"/>
            </w:pPr>
            <w:r>
              <w:rPr>
                <w:color w:val="1C3A36"/>
                <w:sz w:val="15"/>
              </w:rPr>
              <w:t>Total AMOC equity at 30-Jun-2025 (comparative column). Audited consolidated FS, transition period 1-Jul-2025 to 31-Dec-2025, Crowe unqualified, 18-Feb-2026</w:t>
            </w:r>
          </w:p>
        </w:tc>
      </w:tr>
      <w:tr>
        <w:tc>
          <w:tcPr>
            <w:tcW w:type="dxa" w:w="2736"/>
          </w:tcPr>
          <w:p>
            <w:pPr>
              <w:spacing w:after="20"/>
            </w:pPr>
            <w:r>
              <w:rPr>
                <w:color w:val="1C3A36"/>
                <w:sz w:val="15"/>
              </w:rPr>
              <w:t>assets_dec24</w:t>
            </w:r>
          </w:p>
        </w:tc>
        <w:tc>
          <w:tcPr>
            <w:tcW w:type="dxa" w:w="2232"/>
          </w:tcPr>
          <w:p>
            <w:pPr>
              <w:spacing w:after="20"/>
            </w:pPr>
            <w:r>
              <w:rPr>
                <w:color w:val="1C3A36"/>
                <w:sz w:val="15"/>
              </w:rPr>
              <w:t>7,747,725,648.0</w:t>
            </w:r>
          </w:p>
        </w:tc>
        <w:tc>
          <w:tcPr>
            <w:tcW w:type="dxa" w:w="1368"/>
          </w:tcPr>
          <w:p>
            <w:pPr>
              <w:spacing w:after="20"/>
            </w:pPr>
            <w:r>
              <w:rPr>
                <w:color w:val="1C3A36"/>
                <w:sz w:val="15"/>
              </w:rPr>
              <w:t>2024-12-31</w:t>
            </w:r>
          </w:p>
        </w:tc>
        <w:tc>
          <w:tcPr>
            <w:tcW w:type="dxa" w:w="3845"/>
          </w:tcPr>
          <w:p>
            <w:pPr>
              <w:spacing w:after="20"/>
            </w:pPr>
            <w:r>
              <w:rPr>
                <w:color w:val="1C3A36"/>
                <w:sz w:val="15"/>
              </w:rPr>
              <w:t>Total assets at 31-Dec-2024. Limited-review consolidated FS, six months to 31-Dec-2024</w:t>
            </w:r>
          </w:p>
        </w:tc>
      </w:tr>
      <w:tr>
        <w:tc>
          <w:tcPr>
            <w:tcW w:type="dxa" w:w="2736"/>
          </w:tcPr>
          <w:p>
            <w:pPr>
              <w:spacing w:after="20"/>
            </w:pPr>
            <w:r>
              <w:rPr>
                <w:color w:val="1C3A36"/>
                <w:sz w:val="15"/>
              </w:rPr>
              <w:t>eq_parent_dec24</w:t>
            </w:r>
          </w:p>
        </w:tc>
        <w:tc>
          <w:tcPr>
            <w:tcW w:type="dxa" w:w="2232"/>
          </w:tcPr>
          <w:p>
            <w:pPr>
              <w:spacing w:after="20"/>
            </w:pPr>
            <w:r>
              <w:rPr>
                <w:color w:val="1C3A36"/>
                <w:sz w:val="15"/>
              </w:rPr>
              <w:t>4,430,087,458.0</w:t>
            </w:r>
          </w:p>
        </w:tc>
        <w:tc>
          <w:tcPr>
            <w:tcW w:type="dxa" w:w="1368"/>
          </w:tcPr>
          <w:p>
            <w:pPr>
              <w:spacing w:after="20"/>
            </w:pPr>
            <w:r>
              <w:rPr>
                <w:color w:val="1C3A36"/>
                <w:sz w:val="15"/>
              </w:rPr>
              <w:t>2024-12-31</w:t>
            </w:r>
          </w:p>
        </w:tc>
        <w:tc>
          <w:tcPr>
            <w:tcW w:type="dxa" w:w="3845"/>
          </w:tcPr>
          <w:p>
            <w:pPr>
              <w:spacing w:after="20"/>
            </w:pPr>
            <w:r>
              <w:rPr>
                <w:color w:val="1C3A36"/>
                <w:sz w:val="15"/>
              </w:rPr>
              <w:t>Total AMOC equity at 31-Dec-2024. Limited-review consolidated FS, six months to 31-Dec-2024</w:t>
            </w:r>
          </w:p>
        </w:tc>
      </w:tr>
      <w:tr>
        <w:tc>
          <w:tcPr>
            <w:tcW w:type="dxa" w:w="2736"/>
          </w:tcPr>
          <w:p>
            <w:pPr>
              <w:spacing w:after="20"/>
            </w:pPr>
            <w:r>
              <w:rPr>
                <w:color w:val="1C3A36"/>
                <w:sz w:val="15"/>
              </w:rPr>
              <w:t>assets_jun24</w:t>
            </w:r>
          </w:p>
        </w:tc>
        <w:tc>
          <w:tcPr>
            <w:tcW w:type="dxa" w:w="2232"/>
          </w:tcPr>
          <w:p>
            <w:pPr>
              <w:spacing w:after="20"/>
            </w:pPr>
            <w:r>
              <w:rPr>
                <w:color w:val="1C3A36"/>
                <w:sz w:val="15"/>
              </w:rPr>
              <w:t>8,386,961,675.0</w:t>
            </w:r>
          </w:p>
        </w:tc>
        <w:tc>
          <w:tcPr>
            <w:tcW w:type="dxa" w:w="1368"/>
          </w:tcPr>
          <w:p>
            <w:pPr>
              <w:spacing w:after="20"/>
            </w:pPr>
            <w:r>
              <w:rPr>
                <w:color w:val="1C3A36"/>
                <w:sz w:val="15"/>
              </w:rPr>
              <w:t>2024-06-30</w:t>
            </w:r>
          </w:p>
        </w:tc>
        <w:tc>
          <w:tcPr>
            <w:tcW w:type="dxa" w:w="3845"/>
          </w:tcPr>
          <w:p>
            <w:pPr>
              <w:spacing w:after="20"/>
            </w:pPr>
            <w:r>
              <w:rPr>
                <w:color w:val="1C3A36"/>
                <w:sz w:val="15"/>
              </w:rPr>
              <w:t>Total assets at 30-Jun-2024 (comparative column). Limited-review consolidated FS, six months to 31-Dec-2024</w:t>
            </w:r>
          </w:p>
        </w:tc>
      </w:tr>
      <w:tr>
        <w:tc>
          <w:tcPr>
            <w:tcW w:type="dxa" w:w="2736"/>
          </w:tcPr>
          <w:p>
            <w:pPr>
              <w:spacing w:after="20"/>
            </w:pPr>
            <w:r>
              <w:rPr>
                <w:color w:val="1C3A36"/>
                <w:sz w:val="15"/>
              </w:rPr>
              <w:t>eq_parent_jun24</w:t>
            </w:r>
          </w:p>
        </w:tc>
        <w:tc>
          <w:tcPr>
            <w:tcW w:type="dxa" w:w="2232"/>
          </w:tcPr>
          <w:p>
            <w:pPr>
              <w:spacing w:after="20"/>
            </w:pPr>
            <w:r>
              <w:rPr>
                <w:color w:val="1C3A36"/>
                <w:sz w:val="15"/>
              </w:rPr>
              <w:t>4,922,226,388.0</w:t>
            </w:r>
          </w:p>
        </w:tc>
        <w:tc>
          <w:tcPr>
            <w:tcW w:type="dxa" w:w="1368"/>
          </w:tcPr>
          <w:p>
            <w:pPr>
              <w:spacing w:after="20"/>
            </w:pPr>
            <w:r>
              <w:rPr>
                <w:color w:val="1C3A36"/>
                <w:sz w:val="15"/>
              </w:rPr>
              <w:t>2024-06-30</w:t>
            </w:r>
          </w:p>
        </w:tc>
        <w:tc>
          <w:tcPr>
            <w:tcW w:type="dxa" w:w="3845"/>
          </w:tcPr>
          <w:p>
            <w:pPr>
              <w:spacing w:after="20"/>
            </w:pPr>
            <w:r>
              <w:rPr>
                <w:color w:val="1C3A36"/>
                <w:sz w:val="15"/>
              </w:rPr>
              <w:t>Total AMOC equity at 30-Jun-2024 (comparative column). Limited-review consolidated FS, six months to 31-Dec-2024</w:t>
            </w:r>
          </w:p>
        </w:tc>
      </w:tr>
      <w:tr>
        <w:tc>
          <w:tcPr>
            <w:tcW w:type="dxa" w:w="2736"/>
          </w:tcPr>
          <w:p>
            <w:pPr>
              <w:spacing w:after="20"/>
            </w:pPr>
            <w:r>
              <w:rPr>
                <w:color w:val="1C3A36"/>
                <w:sz w:val="15"/>
              </w:rPr>
              <w:t>ppe_jun25</w:t>
            </w:r>
          </w:p>
        </w:tc>
        <w:tc>
          <w:tcPr>
            <w:tcW w:type="dxa" w:w="2232"/>
          </w:tcPr>
          <w:p>
            <w:pPr>
              <w:spacing w:after="20"/>
            </w:pPr>
            <w:r>
              <w:rPr>
                <w:color w:val="1C3A36"/>
                <w:sz w:val="15"/>
              </w:rPr>
              <w:t>937,851,261.0</w:t>
            </w:r>
          </w:p>
        </w:tc>
        <w:tc>
          <w:tcPr>
            <w:tcW w:type="dxa" w:w="1368"/>
          </w:tcPr>
          <w:p>
            <w:pPr>
              <w:spacing w:after="20"/>
            </w:pPr>
            <w:r>
              <w:rPr>
                <w:color w:val="1C3A36"/>
                <w:sz w:val="15"/>
              </w:rPr>
              <w:t>2025-06-30</w:t>
            </w:r>
          </w:p>
        </w:tc>
        <w:tc>
          <w:tcPr>
            <w:tcW w:type="dxa" w:w="3845"/>
          </w:tcPr>
          <w:p>
            <w:pPr>
              <w:spacing w:after="20"/>
            </w:pPr>
            <w:r>
              <w:rPr>
                <w:color w:val="1C3A36"/>
                <w:sz w:val="15"/>
              </w:rPr>
              <w:t>Fixed assets net at 30-Jun-2025. Audited consolidated FS, transition period 1-Jul-2025 to 31-Dec-2025, Crowe unqualified, 18-Feb-2026</w:t>
            </w:r>
          </w:p>
        </w:tc>
      </w:tr>
      <w:tr>
        <w:tc>
          <w:tcPr>
            <w:tcW w:type="dxa" w:w="2736"/>
          </w:tcPr>
          <w:p>
            <w:pPr>
              <w:spacing w:after="20"/>
            </w:pPr>
            <w:r>
              <w:rPr>
                <w:color w:val="1C3A36"/>
                <w:sz w:val="15"/>
              </w:rPr>
              <w:t>inv_jun25</w:t>
            </w:r>
          </w:p>
        </w:tc>
        <w:tc>
          <w:tcPr>
            <w:tcW w:type="dxa" w:w="2232"/>
          </w:tcPr>
          <w:p>
            <w:pPr>
              <w:spacing w:after="20"/>
            </w:pPr>
            <w:r>
              <w:rPr>
                <w:color w:val="1C3A36"/>
                <w:sz w:val="15"/>
              </w:rPr>
              <w:t>3,735,009,103.0</w:t>
            </w:r>
          </w:p>
        </w:tc>
        <w:tc>
          <w:tcPr>
            <w:tcW w:type="dxa" w:w="1368"/>
          </w:tcPr>
          <w:p>
            <w:pPr>
              <w:spacing w:after="20"/>
            </w:pPr>
            <w:r>
              <w:rPr>
                <w:color w:val="1C3A36"/>
                <w:sz w:val="15"/>
              </w:rPr>
              <w:t>2025-06-30</w:t>
            </w:r>
          </w:p>
        </w:tc>
        <w:tc>
          <w:tcPr>
            <w:tcW w:type="dxa" w:w="3845"/>
          </w:tcPr>
          <w:p>
            <w:pPr>
              <w:spacing w:after="20"/>
            </w:pPr>
            <w:r>
              <w:rPr>
                <w:color w:val="1C3A36"/>
                <w:sz w:val="15"/>
              </w:rPr>
              <w:t>Inventory at 30-Jun-2025. Audited consolidated FS, transition period 1-Jul-2025 to 31-Dec-2025, Crowe unqualified, 18-Feb-2026</w:t>
            </w:r>
          </w:p>
        </w:tc>
      </w:tr>
      <w:tr>
        <w:tc>
          <w:tcPr>
            <w:tcW w:type="dxa" w:w="2736"/>
          </w:tcPr>
          <w:p>
            <w:pPr>
              <w:spacing w:after="20"/>
            </w:pPr>
            <w:r>
              <w:rPr>
                <w:color w:val="1C3A36"/>
                <w:sz w:val="15"/>
              </w:rPr>
              <w:t>recv_jun25</w:t>
            </w:r>
          </w:p>
        </w:tc>
        <w:tc>
          <w:tcPr>
            <w:tcW w:type="dxa" w:w="2232"/>
          </w:tcPr>
          <w:p>
            <w:pPr>
              <w:spacing w:after="20"/>
            </w:pPr>
            <w:r>
              <w:rPr>
                <w:color w:val="1C3A36"/>
                <w:sz w:val="15"/>
              </w:rPr>
              <w:t>894,888,039.0</w:t>
            </w:r>
          </w:p>
        </w:tc>
        <w:tc>
          <w:tcPr>
            <w:tcW w:type="dxa" w:w="1368"/>
          </w:tcPr>
          <w:p>
            <w:pPr>
              <w:spacing w:after="20"/>
            </w:pPr>
            <w:r>
              <w:rPr>
                <w:color w:val="1C3A36"/>
                <w:sz w:val="15"/>
              </w:rPr>
              <w:t>2025-06-30</w:t>
            </w:r>
          </w:p>
        </w:tc>
        <w:tc>
          <w:tcPr>
            <w:tcW w:type="dxa" w:w="3845"/>
          </w:tcPr>
          <w:p>
            <w:pPr>
              <w:spacing w:after="20"/>
            </w:pPr>
            <w:r>
              <w:rPr>
                <w:color w:val="1C3A36"/>
                <w:sz w:val="15"/>
              </w:rPr>
              <w:t>Accounts receivable at 30-Jun-2025. Audited consolidated FS, transition period 1-Jul-2025 to 31-Dec-2025, Crowe unqualified, 18-Feb-2026</w:t>
            </w:r>
          </w:p>
        </w:tc>
      </w:tr>
      <w:tr>
        <w:tc>
          <w:tcPr>
            <w:tcW w:type="dxa" w:w="2736"/>
          </w:tcPr>
          <w:p>
            <w:pPr>
              <w:spacing w:after="20"/>
            </w:pPr>
            <w:r>
              <w:rPr>
                <w:color w:val="1C3A36"/>
                <w:sz w:val="15"/>
              </w:rPr>
              <w:t>debtors_jun25</w:t>
            </w:r>
          </w:p>
        </w:tc>
        <w:tc>
          <w:tcPr>
            <w:tcW w:type="dxa" w:w="2232"/>
          </w:tcPr>
          <w:p>
            <w:pPr>
              <w:spacing w:after="20"/>
            </w:pPr>
            <w:r>
              <w:rPr>
                <w:color w:val="1C3A36"/>
                <w:sz w:val="15"/>
              </w:rPr>
              <w:t>611,842,230.0</w:t>
            </w:r>
          </w:p>
        </w:tc>
        <w:tc>
          <w:tcPr>
            <w:tcW w:type="dxa" w:w="1368"/>
          </w:tcPr>
          <w:p>
            <w:pPr>
              <w:spacing w:after="20"/>
            </w:pPr>
            <w:r>
              <w:rPr>
                <w:color w:val="1C3A36"/>
                <w:sz w:val="15"/>
              </w:rPr>
              <w:t>2025-06-30</w:t>
            </w:r>
          </w:p>
        </w:tc>
        <w:tc>
          <w:tcPr>
            <w:tcW w:type="dxa" w:w="3845"/>
          </w:tcPr>
          <w:p>
            <w:pPr>
              <w:spacing w:after="20"/>
            </w:pPr>
            <w:r>
              <w:rPr>
                <w:color w:val="1C3A36"/>
                <w:sz w:val="15"/>
              </w:rPr>
              <w:t>Debtors and other debit balances at 30-Jun-2025. Audited consolidated FS, transition period 1-Jul-2025 to 31-Dec-2025, Crowe unqualified, 18-Feb-2026</w:t>
            </w:r>
          </w:p>
        </w:tc>
      </w:tr>
      <w:tr>
        <w:tc>
          <w:tcPr>
            <w:tcW w:type="dxa" w:w="2736"/>
          </w:tcPr>
          <w:p>
            <w:pPr>
              <w:spacing w:after="20"/>
            </w:pPr>
            <w:r>
              <w:rPr>
                <w:color w:val="1C3A36"/>
                <w:sz w:val="15"/>
              </w:rPr>
              <w:t>creditors_jun25</w:t>
            </w:r>
          </w:p>
        </w:tc>
        <w:tc>
          <w:tcPr>
            <w:tcW w:type="dxa" w:w="2232"/>
          </w:tcPr>
          <w:p>
            <w:pPr>
              <w:spacing w:after="20"/>
            </w:pPr>
            <w:r>
              <w:rPr>
                <w:color w:val="1C3A36"/>
                <w:sz w:val="15"/>
              </w:rPr>
              <w:t>3,102,041,816.0</w:t>
            </w:r>
          </w:p>
        </w:tc>
        <w:tc>
          <w:tcPr>
            <w:tcW w:type="dxa" w:w="1368"/>
          </w:tcPr>
          <w:p>
            <w:pPr>
              <w:spacing w:after="20"/>
            </w:pPr>
            <w:r>
              <w:rPr>
                <w:color w:val="1C3A36"/>
                <w:sz w:val="15"/>
              </w:rPr>
              <w:t>2025-06-30</w:t>
            </w:r>
          </w:p>
        </w:tc>
        <w:tc>
          <w:tcPr>
            <w:tcW w:type="dxa" w:w="3845"/>
          </w:tcPr>
          <w:p>
            <w:pPr>
              <w:spacing w:after="20"/>
            </w:pPr>
            <w:r>
              <w:rPr>
                <w:color w:val="1C3A36"/>
                <w:sz w:val="15"/>
              </w:rPr>
              <w:t>Creditors and other credit balances at 30-Jun-2025. Audited consolidated FS, transition period 1-Jul-2025 to 31-Dec-2025, Crowe unqualified, 18-Feb-2026</w:t>
            </w:r>
          </w:p>
        </w:tc>
      </w:tr>
      <w:tr>
        <w:tc>
          <w:tcPr>
            <w:tcW w:type="dxa" w:w="2736"/>
          </w:tcPr>
          <w:p>
            <w:pPr>
              <w:spacing w:after="20"/>
            </w:pPr>
            <w:r>
              <w:rPr>
                <w:color w:val="1C3A36"/>
                <w:sz w:val="15"/>
              </w:rPr>
              <w:t>payables_jun25</w:t>
            </w:r>
          </w:p>
        </w:tc>
        <w:tc>
          <w:tcPr>
            <w:tcW w:type="dxa" w:w="2232"/>
          </w:tcPr>
          <w:p>
            <w:pPr>
              <w:spacing w:after="20"/>
            </w:pPr>
            <w:r>
              <w:rPr>
                <w:color w:val="1C3A36"/>
                <w:sz w:val="15"/>
              </w:rPr>
              <w:t>15,486,636.0</w:t>
            </w:r>
          </w:p>
        </w:tc>
        <w:tc>
          <w:tcPr>
            <w:tcW w:type="dxa" w:w="1368"/>
          </w:tcPr>
          <w:p>
            <w:pPr>
              <w:spacing w:after="20"/>
            </w:pPr>
            <w:r>
              <w:rPr>
                <w:color w:val="1C3A36"/>
                <w:sz w:val="15"/>
              </w:rPr>
              <w:t>2025-06-30</w:t>
            </w:r>
          </w:p>
        </w:tc>
        <w:tc>
          <w:tcPr>
            <w:tcW w:type="dxa" w:w="3845"/>
          </w:tcPr>
          <w:p>
            <w:pPr>
              <w:spacing w:after="20"/>
            </w:pPr>
            <w:r>
              <w:rPr>
                <w:color w:val="1C3A36"/>
                <w:sz w:val="15"/>
              </w:rPr>
              <w:t>Accounts and notes payable at 30-Jun-2025. Audited consolidated FS, transition period 1-Jul-2025 to 31-Dec-2025, Crowe unqualified, 18-Feb-2026</w:t>
            </w:r>
          </w:p>
        </w:tc>
      </w:tr>
      <w:tr>
        <w:tc>
          <w:tcPr>
            <w:tcW w:type="dxa" w:w="2736"/>
          </w:tcPr>
          <w:p>
            <w:pPr>
              <w:spacing w:after="20"/>
            </w:pPr>
            <w:r>
              <w:rPr>
                <w:color w:val="1C3A36"/>
                <w:sz w:val="15"/>
              </w:rPr>
              <w:t>cash_jun25</w:t>
            </w:r>
          </w:p>
        </w:tc>
        <w:tc>
          <w:tcPr>
            <w:tcW w:type="dxa" w:w="2232"/>
          </w:tcPr>
          <w:p>
            <w:pPr>
              <w:spacing w:after="20"/>
            </w:pPr>
            <w:r>
              <w:rPr>
                <w:color w:val="1C3A36"/>
                <w:sz w:val="15"/>
              </w:rPr>
              <w:t>3,141,779,939.0</w:t>
            </w:r>
          </w:p>
        </w:tc>
        <w:tc>
          <w:tcPr>
            <w:tcW w:type="dxa" w:w="1368"/>
          </w:tcPr>
          <w:p>
            <w:pPr>
              <w:spacing w:after="20"/>
            </w:pPr>
            <w:r>
              <w:rPr>
                <w:color w:val="1C3A36"/>
                <w:sz w:val="15"/>
              </w:rPr>
              <w:t>2025-06-30</w:t>
            </w:r>
          </w:p>
        </w:tc>
        <w:tc>
          <w:tcPr>
            <w:tcW w:type="dxa" w:w="3845"/>
          </w:tcPr>
          <w:p>
            <w:pPr>
              <w:spacing w:after="20"/>
            </w:pPr>
            <w:r>
              <w:rPr>
                <w:color w:val="1C3A36"/>
                <w:sz w:val="15"/>
              </w:rPr>
              <w:t>Cash at banks and on hand at 30-Jun-2025. Audited consolidated FS, transition period 1-Jul-2025 to 31-Dec-2025, Crowe unqualified, 18-Feb-2026</w:t>
            </w:r>
          </w:p>
        </w:tc>
      </w:tr>
      <w:tr>
        <w:tc>
          <w:tcPr>
            <w:tcW w:type="dxa" w:w="2736"/>
          </w:tcPr>
          <w:p>
            <w:pPr>
              <w:spacing w:after="20"/>
            </w:pPr>
            <w:r>
              <w:rPr>
                <w:color w:val="1C3A36"/>
                <w:sz w:val="15"/>
              </w:rPr>
              <w:t>cash_mar26</w:t>
            </w:r>
          </w:p>
        </w:tc>
        <w:tc>
          <w:tcPr>
            <w:tcW w:type="dxa" w:w="2232"/>
          </w:tcPr>
          <w:p>
            <w:pPr>
              <w:spacing w:after="20"/>
            </w:pPr>
            <w:r>
              <w:rPr>
                <w:color w:val="1C3A36"/>
                <w:sz w:val="15"/>
              </w:rPr>
              <w:t>2,204,898,542.0</w:t>
            </w:r>
          </w:p>
        </w:tc>
        <w:tc>
          <w:tcPr>
            <w:tcW w:type="dxa" w:w="1368"/>
          </w:tcPr>
          <w:p>
            <w:pPr>
              <w:spacing w:after="20"/>
            </w:pPr>
            <w:r>
              <w:rPr>
                <w:color w:val="1C3A36"/>
                <w:sz w:val="15"/>
              </w:rPr>
              <w:t>2026-03-31</w:t>
            </w:r>
          </w:p>
        </w:tc>
        <w:tc>
          <w:tcPr>
            <w:tcW w:type="dxa" w:w="3845"/>
          </w:tcPr>
          <w:p>
            <w:pPr>
              <w:spacing w:after="20"/>
            </w:pPr>
            <w:r>
              <w:rPr>
                <w:color w:val="1C3A36"/>
                <w:sz w:val="15"/>
              </w:rPr>
              <w:t>Cash and cash equivalents at 31-Mar-2026. Reviewed consolidated FS, three months to 31-Mar-2026</w:t>
            </w:r>
          </w:p>
        </w:tc>
      </w:tr>
      <w:tr>
        <w:tc>
          <w:tcPr>
            <w:tcW w:type="dxa" w:w="2736"/>
          </w:tcPr>
          <w:p>
            <w:pPr>
              <w:spacing w:after="20"/>
            </w:pPr>
            <w:r>
              <w:rPr>
                <w:color w:val="1C3A36"/>
                <w:sz w:val="15"/>
              </w:rPr>
              <w:t>eq_parent_mar26</w:t>
            </w:r>
          </w:p>
        </w:tc>
        <w:tc>
          <w:tcPr>
            <w:tcW w:type="dxa" w:w="2232"/>
          </w:tcPr>
          <w:p>
            <w:pPr>
              <w:spacing w:after="20"/>
            </w:pPr>
            <w:r>
              <w:rPr>
                <w:color w:val="1C3A36"/>
                <w:sz w:val="15"/>
              </w:rPr>
              <w:t>4,800,890,542.0</w:t>
            </w:r>
          </w:p>
        </w:tc>
        <w:tc>
          <w:tcPr>
            <w:tcW w:type="dxa" w:w="1368"/>
          </w:tcPr>
          <w:p>
            <w:pPr>
              <w:spacing w:after="20"/>
            </w:pPr>
            <w:r>
              <w:rPr>
                <w:color w:val="1C3A36"/>
                <w:sz w:val="15"/>
              </w:rPr>
              <w:t>2026-03-31</w:t>
            </w:r>
          </w:p>
        </w:tc>
        <w:tc>
          <w:tcPr>
            <w:tcW w:type="dxa" w:w="3845"/>
          </w:tcPr>
          <w:p>
            <w:pPr>
              <w:spacing w:after="20"/>
            </w:pPr>
            <w:r>
              <w:rPr>
                <w:color w:val="1C3A36"/>
                <w:sz w:val="15"/>
              </w:rPr>
              <w:t>Total parent equity at 31-Mar-2026. Reviewed consolidated FS, three months to 31-Mar-2026</w:t>
            </w:r>
          </w:p>
        </w:tc>
      </w:tr>
      <w:tr>
        <w:tc>
          <w:tcPr>
            <w:tcW w:type="dxa" w:w="2736"/>
          </w:tcPr>
          <w:p>
            <w:pPr>
              <w:spacing w:after="20"/>
            </w:pPr>
            <w:r>
              <w:rPr>
                <w:color w:val="1C3A36"/>
                <w:sz w:val="15"/>
              </w:rPr>
              <w:t>dep_h2_25</w:t>
            </w:r>
          </w:p>
        </w:tc>
        <w:tc>
          <w:tcPr>
            <w:tcW w:type="dxa" w:w="2232"/>
          </w:tcPr>
          <w:p>
            <w:pPr>
              <w:spacing w:after="20"/>
            </w:pPr>
            <w:r>
              <w:rPr>
                <w:color w:val="1C3A36"/>
                <w:sz w:val="15"/>
              </w:rPr>
              <w:t>70,125,269.0</w:t>
            </w:r>
          </w:p>
        </w:tc>
        <w:tc>
          <w:tcPr>
            <w:tcW w:type="dxa" w:w="1368"/>
          </w:tcPr>
          <w:p>
            <w:pPr>
              <w:spacing w:after="20"/>
            </w:pPr>
            <w:r>
              <w:rPr>
                <w:color w:val="1C3A36"/>
                <w:sz w:val="15"/>
              </w:rPr>
              <w:t>2025-12-31</w:t>
            </w:r>
          </w:p>
        </w:tc>
        <w:tc>
          <w:tcPr>
            <w:tcW w:type="dxa" w:w="3845"/>
          </w:tcPr>
          <w:p>
            <w:pPr>
              <w:spacing w:after="20"/>
            </w:pPr>
            <w:r>
              <w:rPr>
                <w:color w:val="1C3A36"/>
                <w:sz w:val="15"/>
              </w:rPr>
              <w:t>Fixed-asset depreciation and right-of-use amortisation charged in the six months to 31-Dec-2025, per the cash-flow statement. The previous edition modelled depreciation at 1.1% of revenue, about 440mn a year against an actual near 150mn. Audited consolidated FS, transition period 1-Jul-2025 to 31-Dec-2025, Crowe unqualified, 18-Feb-2026</w:t>
            </w:r>
          </w:p>
        </w:tc>
      </w:tr>
      <w:tr>
        <w:tc>
          <w:tcPr>
            <w:tcW w:type="dxa" w:w="2736"/>
          </w:tcPr>
          <w:p>
            <w:pPr>
              <w:spacing w:after="20"/>
            </w:pPr>
            <w:r>
              <w:rPr>
                <w:color w:val="1C3A36"/>
                <w:sz w:val="15"/>
              </w:rPr>
              <w:t>dep_q1_26</w:t>
            </w:r>
          </w:p>
        </w:tc>
        <w:tc>
          <w:tcPr>
            <w:tcW w:type="dxa" w:w="2232"/>
          </w:tcPr>
          <w:p>
            <w:pPr>
              <w:spacing w:after="20"/>
            </w:pPr>
            <w:r>
              <w:rPr>
                <w:color w:val="1C3A36"/>
                <w:sz w:val="15"/>
              </w:rPr>
              <w:t>40,597,611.0</w:t>
            </w:r>
          </w:p>
        </w:tc>
        <w:tc>
          <w:tcPr>
            <w:tcW w:type="dxa" w:w="1368"/>
          </w:tcPr>
          <w:p>
            <w:pPr>
              <w:spacing w:after="20"/>
            </w:pPr>
            <w:r>
              <w:rPr>
                <w:color w:val="1C3A36"/>
                <w:sz w:val="15"/>
              </w:rPr>
              <w:t>2026-03-31</w:t>
            </w:r>
          </w:p>
        </w:tc>
        <w:tc>
          <w:tcPr>
            <w:tcW w:type="dxa" w:w="3845"/>
          </w:tcPr>
          <w:p>
            <w:pPr>
              <w:spacing w:after="20"/>
            </w:pPr>
            <w:r>
              <w:rPr>
                <w:color w:val="1C3A36"/>
                <w:sz w:val="15"/>
              </w:rPr>
              <w:t>Fixed-asset depreciation and right-of-use amortisation, Q1-2026. Reviewed consolidated FS, three months to 31-Mar-2026</w:t>
            </w:r>
          </w:p>
        </w:tc>
      </w:tr>
      <w:tr>
        <w:tc>
          <w:tcPr>
            <w:tcW w:type="dxa" w:w="2736"/>
          </w:tcPr>
          <w:p>
            <w:pPr>
              <w:spacing w:after="20"/>
            </w:pPr>
            <w:r>
              <w:rPr>
                <w:color w:val="1C3A36"/>
                <w:sz w:val="15"/>
              </w:rPr>
              <w:t>capex_h2_25</w:t>
            </w:r>
          </w:p>
        </w:tc>
        <w:tc>
          <w:tcPr>
            <w:tcW w:type="dxa" w:w="2232"/>
          </w:tcPr>
          <w:p>
            <w:pPr>
              <w:spacing w:after="20"/>
            </w:pPr>
            <w:r>
              <w:rPr>
                <w:color w:val="1C3A36"/>
                <w:sz w:val="15"/>
              </w:rPr>
              <w:t>30,357,299.0</w:t>
            </w:r>
          </w:p>
        </w:tc>
        <w:tc>
          <w:tcPr>
            <w:tcW w:type="dxa" w:w="1368"/>
          </w:tcPr>
          <w:p>
            <w:pPr>
              <w:spacing w:after="20"/>
            </w:pPr>
            <w:r>
              <w:rPr>
                <w:color w:val="1C3A36"/>
                <w:sz w:val="15"/>
              </w:rPr>
              <w:t>2025-12-31</w:t>
            </w:r>
          </w:p>
        </w:tc>
        <w:tc>
          <w:tcPr>
            <w:tcW w:type="dxa" w:w="3845"/>
          </w:tcPr>
          <w:p>
            <w:pPr>
              <w:spacing w:after="20"/>
            </w:pPr>
            <w:r>
              <w:rPr>
                <w:color w:val="1C3A36"/>
                <w:sz w:val="15"/>
              </w:rPr>
              <w:t>CASH PAID for projects under construction and fixed assets in the six months to 31-Dec-2025. The previous edition modelled capital expenditure at 1.45% of revenue — about 649mn in the first forecast year — against an actual of roughly a tenth of that. Audited consolidated FS, transition period 1-Jul-2025 to 31-Dec-2025, Crowe unqualified, 18-Feb-2026</w:t>
            </w:r>
          </w:p>
        </w:tc>
      </w:tr>
      <w:tr>
        <w:tc>
          <w:tcPr>
            <w:tcW w:type="dxa" w:w="2736"/>
          </w:tcPr>
          <w:p>
            <w:pPr>
              <w:spacing w:after="20"/>
            </w:pPr>
            <w:r>
              <w:rPr>
                <w:color w:val="1C3A36"/>
                <w:sz w:val="15"/>
              </w:rPr>
              <w:t>capex_q1_26</w:t>
            </w:r>
          </w:p>
        </w:tc>
        <w:tc>
          <w:tcPr>
            <w:tcW w:type="dxa" w:w="2232"/>
          </w:tcPr>
          <w:p>
            <w:pPr>
              <w:spacing w:after="20"/>
            </w:pPr>
            <w:r>
              <w:rPr>
                <w:color w:val="1C3A36"/>
                <w:sz w:val="15"/>
              </w:rPr>
              <w:t>64,984,482.0</w:t>
            </w:r>
          </w:p>
        </w:tc>
        <w:tc>
          <w:tcPr>
            <w:tcW w:type="dxa" w:w="1368"/>
          </w:tcPr>
          <w:p>
            <w:pPr>
              <w:spacing w:after="20"/>
            </w:pPr>
            <w:r>
              <w:rPr>
                <w:color w:val="1C3A36"/>
                <w:sz w:val="15"/>
              </w:rPr>
              <w:t>2026-03-31</w:t>
            </w:r>
          </w:p>
        </w:tc>
        <w:tc>
          <w:tcPr>
            <w:tcW w:type="dxa" w:w="3845"/>
          </w:tcPr>
          <w:p>
            <w:pPr>
              <w:spacing w:after="20"/>
            </w:pPr>
            <w:r>
              <w:rPr>
                <w:color w:val="1C3A36"/>
                <w:sz w:val="15"/>
              </w:rPr>
              <w:t>Cash paid for projects under construction and fixed assets, Q1-2026. Reviewed consolidated FS, three months to 31-Mar-2026</w:t>
            </w:r>
          </w:p>
        </w:tc>
      </w:tr>
      <w:tr>
        <w:tc>
          <w:tcPr>
            <w:tcW w:type="dxa" w:w="2736"/>
          </w:tcPr>
          <w:p>
            <w:pPr>
              <w:spacing w:after="20"/>
            </w:pPr>
            <w:r>
              <w:rPr>
                <w:color w:val="1C3A36"/>
                <w:sz w:val="15"/>
              </w:rPr>
              <w:t>div_h2_25</w:t>
            </w:r>
          </w:p>
        </w:tc>
        <w:tc>
          <w:tcPr>
            <w:tcW w:type="dxa" w:w="2232"/>
          </w:tcPr>
          <w:p>
            <w:pPr>
              <w:spacing w:after="20"/>
            </w:pPr>
            <w:r>
              <w:rPr>
                <w:color w:val="1C3A36"/>
                <w:sz w:val="15"/>
              </w:rPr>
              <w:t>736,577,469.0</w:t>
            </w:r>
          </w:p>
        </w:tc>
        <w:tc>
          <w:tcPr>
            <w:tcW w:type="dxa" w:w="1368"/>
          </w:tcPr>
          <w:p>
            <w:pPr>
              <w:spacing w:after="20"/>
            </w:pPr>
            <w:r>
              <w:rPr>
                <w:color w:val="1C3A36"/>
                <w:sz w:val="15"/>
              </w:rPr>
              <w:t>2025-12-31</w:t>
            </w:r>
          </w:p>
        </w:tc>
        <w:tc>
          <w:tcPr>
            <w:tcW w:type="dxa" w:w="3845"/>
          </w:tcPr>
          <w:p>
            <w:pPr>
              <w:spacing w:after="20"/>
            </w:pPr>
            <w:r>
              <w:rPr>
                <w:color w:val="1C3A36"/>
                <w:sz w:val="15"/>
              </w:rPr>
              <w:t>Cash dividends PAID in the six months to 31-Dec-2025. Audited consolidated FS, transition period 1-Jul-2025 to 31-Dec-2025, Crowe unqualified, 18-Feb-2026</w:t>
            </w:r>
          </w:p>
        </w:tc>
      </w:tr>
      <w:tr>
        <w:tc>
          <w:tcPr>
            <w:tcW w:type="dxa" w:w="2736"/>
          </w:tcPr>
          <w:p>
            <w:pPr>
              <w:spacing w:after="20"/>
            </w:pPr>
            <w:r>
              <w:rPr>
                <w:color w:val="1C3A36"/>
                <w:sz w:val="15"/>
              </w:rPr>
              <w:t>div_q1_26</w:t>
            </w:r>
          </w:p>
        </w:tc>
        <w:tc>
          <w:tcPr>
            <w:tcW w:type="dxa" w:w="2232"/>
          </w:tcPr>
          <w:p>
            <w:pPr>
              <w:spacing w:after="20"/>
            </w:pPr>
            <w:r>
              <w:rPr>
                <w:color w:val="1C3A36"/>
                <w:sz w:val="15"/>
              </w:rPr>
              <w:t>602,957,265.0</w:t>
            </w:r>
          </w:p>
        </w:tc>
        <w:tc>
          <w:tcPr>
            <w:tcW w:type="dxa" w:w="1368"/>
          </w:tcPr>
          <w:p>
            <w:pPr>
              <w:spacing w:after="20"/>
            </w:pPr>
            <w:r>
              <w:rPr>
                <w:color w:val="1C3A36"/>
                <w:sz w:val="15"/>
              </w:rPr>
              <w:t>2026-03-31</w:t>
            </w:r>
          </w:p>
        </w:tc>
        <w:tc>
          <w:tcPr>
            <w:tcW w:type="dxa" w:w="3845"/>
          </w:tcPr>
          <w:p>
            <w:pPr>
              <w:spacing w:after="20"/>
            </w:pPr>
            <w:r>
              <w:rPr>
                <w:color w:val="1C3A36"/>
                <w:sz w:val="15"/>
              </w:rPr>
              <w:t>Cash dividends paid in Q1-2026. Reviewed consolidated FS, three months to 31-Mar-2026</w:t>
            </w:r>
          </w:p>
        </w:tc>
      </w:tr>
      <w:tr>
        <w:tc>
          <w:tcPr>
            <w:tcW w:type="dxa" w:w="2736"/>
          </w:tcPr>
          <w:p>
            <w:pPr>
              <w:spacing w:after="20"/>
            </w:pPr>
            <w:r>
              <w:rPr>
                <w:color w:val="1C3A36"/>
                <w:sz w:val="15"/>
              </w:rPr>
              <w:t>credint_h2_25</w:t>
            </w:r>
          </w:p>
        </w:tc>
        <w:tc>
          <w:tcPr>
            <w:tcW w:type="dxa" w:w="2232"/>
          </w:tcPr>
          <w:p>
            <w:pPr>
              <w:spacing w:after="20"/>
            </w:pPr>
            <w:r>
              <w:rPr>
                <w:color w:val="1C3A36"/>
                <w:sz w:val="15"/>
              </w:rPr>
              <w:t>173,216,413.0</w:t>
            </w:r>
          </w:p>
        </w:tc>
        <w:tc>
          <w:tcPr>
            <w:tcW w:type="dxa" w:w="1368"/>
          </w:tcPr>
          <w:p>
            <w:pPr>
              <w:spacing w:after="20"/>
            </w:pPr>
            <w:r>
              <w:rPr>
                <w:color w:val="1C3A36"/>
                <w:sz w:val="15"/>
              </w:rPr>
              <w:t>2025-12-31</w:t>
            </w:r>
          </w:p>
        </w:tc>
        <w:tc>
          <w:tcPr>
            <w:tcW w:type="dxa" w:w="3845"/>
          </w:tcPr>
          <w:p>
            <w:pPr>
              <w:spacing w:after="20"/>
            </w:pPr>
            <w:r>
              <w:rPr>
                <w:color w:val="1C3A36"/>
                <w:sz w:val="15"/>
              </w:rPr>
              <w:t>Credit interest earned in the six months to 31-Dec-2025, per note 14-B and the cash-flow statement. Audited consolidated FS, transition period 1-Jul-2025 to 31-Dec-2025, Crowe unqualified, 18-Feb-2026</w:t>
            </w:r>
          </w:p>
        </w:tc>
      </w:tr>
      <w:tr>
        <w:tc>
          <w:tcPr>
            <w:tcW w:type="dxa" w:w="2736"/>
          </w:tcPr>
          <w:p>
            <w:pPr>
              <w:spacing w:after="20"/>
            </w:pPr>
            <w:r>
              <w:rPr>
                <w:color w:val="1C3A36"/>
                <w:sz w:val="15"/>
              </w:rPr>
              <w:t>credint_q1_26</w:t>
            </w:r>
          </w:p>
        </w:tc>
        <w:tc>
          <w:tcPr>
            <w:tcW w:type="dxa" w:w="2232"/>
          </w:tcPr>
          <w:p>
            <w:pPr>
              <w:spacing w:after="20"/>
            </w:pPr>
            <w:r>
              <w:rPr>
                <w:color w:val="1C3A36"/>
                <w:sz w:val="15"/>
              </w:rPr>
              <w:t>64,104,178.0</w:t>
            </w:r>
          </w:p>
        </w:tc>
        <w:tc>
          <w:tcPr>
            <w:tcW w:type="dxa" w:w="1368"/>
          </w:tcPr>
          <w:p>
            <w:pPr>
              <w:spacing w:after="20"/>
            </w:pPr>
            <w:r>
              <w:rPr>
                <w:color w:val="1C3A36"/>
                <w:sz w:val="15"/>
              </w:rPr>
              <w:t>2026-03-31</w:t>
            </w:r>
          </w:p>
        </w:tc>
        <w:tc>
          <w:tcPr>
            <w:tcW w:type="dxa" w:w="3845"/>
          </w:tcPr>
          <w:p>
            <w:pPr>
              <w:spacing w:after="20"/>
            </w:pPr>
            <w:r>
              <w:rPr>
                <w:color w:val="1C3A36"/>
                <w:sz w:val="15"/>
              </w:rPr>
              <w:t>Credit interest earned in Q1-2026. Reviewed consolidated FS, three months to 31-Mar-2026</w:t>
            </w:r>
          </w:p>
        </w:tc>
      </w:tr>
      <w:tr>
        <w:tc>
          <w:tcPr>
            <w:tcW w:type="dxa" w:w="2736"/>
          </w:tcPr>
          <w:p>
            <w:pPr>
              <w:spacing w:after="20"/>
            </w:pPr>
            <w:r>
              <w:rPr>
                <w:color w:val="1C3A36"/>
                <w:sz w:val="15"/>
              </w:rPr>
              <w:t>div_declared</w:t>
            </w:r>
          </w:p>
        </w:tc>
        <w:tc>
          <w:tcPr>
            <w:tcW w:type="dxa" w:w="2232"/>
          </w:tcPr>
          <w:p>
            <w:pPr>
              <w:spacing w:after="20"/>
            </w:pPr>
            <w:r>
              <w:rPr>
                <w:color w:val="1C3A36"/>
                <w:sz w:val="15"/>
              </w:rPr>
              <w:t>258,300,000.0</w:t>
            </w:r>
          </w:p>
        </w:tc>
        <w:tc>
          <w:tcPr>
            <w:tcW w:type="dxa" w:w="1368"/>
          </w:tcPr>
          <w:p>
            <w:pPr>
              <w:spacing w:after="20"/>
            </w:pPr>
            <w:r>
              <w:rPr>
                <w:color w:val="1C3A36"/>
                <w:sz w:val="15"/>
              </w:rPr>
              <w:t>2026-06-30</w:t>
            </w:r>
          </w:p>
        </w:tc>
        <w:tc>
          <w:tcPr>
            <w:tcW w:type="dxa" w:w="3845"/>
          </w:tcPr>
          <w:p>
            <w:pPr>
              <w:spacing w:after="20"/>
            </w:pPr>
            <w:r>
              <w:rPr>
                <w:color w:val="1C3A36"/>
                <w:sz w:val="15"/>
              </w:rPr>
              <w:t>Dividends payable at 30-Jun-2026 (note 11) — HALF the 517,250,000 standing six months earlier, because the declared dividend was largely paid. Reviewed consolidated FS, six months to 30-Jun-2026, limited review</w:t>
            </w:r>
          </w:p>
        </w:tc>
      </w:tr>
      <w:tr>
        <w:tc>
          <w:tcPr>
            <w:tcW w:type="dxa" w:w="2736"/>
          </w:tcPr>
          <w:p>
            <w:pPr>
              <w:spacing w:after="20"/>
            </w:pPr>
            <w:r>
              <w:rPr>
                <w:color w:val="1C3A36"/>
                <w:sz w:val="15"/>
              </w:rPr>
              <w:t>nci_share</w:t>
            </w:r>
          </w:p>
        </w:tc>
        <w:tc>
          <w:tcPr>
            <w:tcW w:type="dxa" w:w="2232"/>
          </w:tcPr>
          <w:p>
            <w:pPr>
              <w:spacing w:after="20"/>
            </w:pPr>
            <w:r>
              <w:rPr>
                <w:color w:val="1C3A36"/>
                <w:sz w:val="15"/>
              </w:rPr>
              <w:t>0.0464</w:t>
            </w:r>
          </w:p>
        </w:tc>
        <w:tc>
          <w:tcPr>
            <w:tcW w:type="dxa" w:w="1368"/>
          </w:tcPr>
          <w:p>
            <w:pPr>
              <w:spacing w:after="20"/>
            </w:pPr>
            <w:r>
              <w:rPr>
                <w:color w:val="1C3A36"/>
                <w:sz w:val="15"/>
              </w:rPr>
              <w:t>2025-12-31</w:t>
            </w:r>
          </w:p>
        </w:tc>
        <w:tc>
          <w:tcPr>
            <w:tcW w:type="dxa" w:w="3845"/>
          </w:tcPr>
          <w:p>
            <w:pPr>
              <w:spacing w:after="20"/>
            </w:pPr>
            <w:r>
              <w:rPr>
                <w:color w:val="1C3A36"/>
                <w:sz w:val="15"/>
              </w:rPr>
              <w:t>Non-controlling interest as a share of group profit after tax, six months to 31-Dec-2025 — DISCLOSED, not inferred. The holding in Alexandria Wax Products S.A.E. is registered separately as awp_stake. The previous edition inferred 3.0% from the gap between consolidated and standalone profit; the filing says 4.645%</w:t>
            </w:r>
          </w:p>
        </w:tc>
      </w:tr>
      <w:tr>
        <w:tc>
          <w:tcPr>
            <w:tcW w:type="dxa" w:w="2736"/>
          </w:tcPr>
          <w:p>
            <w:pPr>
              <w:spacing w:after="20"/>
            </w:pPr>
            <w:r>
              <w:rPr>
                <w:color w:val="1C3A36"/>
                <w:sz w:val="15"/>
              </w:rPr>
              <w:t>awp_stake</w:t>
            </w:r>
          </w:p>
        </w:tc>
        <w:tc>
          <w:tcPr>
            <w:tcW w:type="dxa" w:w="2232"/>
          </w:tcPr>
          <w:p>
            <w:pPr>
              <w:spacing w:after="20"/>
            </w:pPr>
            <w:r>
              <w:rPr>
                <w:color w:val="1C3A36"/>
                <w:sz w:val="15"/>
              </w:rPr>
              <w:t>0.8645</w:t>
            </w:r>
          </w:p>
        </w:tc>
        <w:tc>
          <w:tcPr>
            <w:tcW w:type="dxa" w:w="1368"/>
          </w:tcPr>
          <w:p>
            <w:pPr>
              <w:spacing w:after="20"/>
            </w:pPr>
            <w:r>
              <w:rPr>
                <w:color w:val="1C3A36"/>
                <w:sz w:val="15"/>
              </w:rPr>
              <w:t>2025-12-31</w:t>
            </w:r>
          </w:p>
        </w:tc>
        <w:tc>
          <w:tcPr>
            <w:tcW w:type="dxa" w:w="3845"/>
          </w:tcPr>
          <w:p>
            <w:pPr>
              <w:spacing w:after="20"/>
            </w:pPr>
            <w:r>
              <w:rPr>
                <w:color w:val="1C3A36"/>
                <w:sz w:val="15"/>
              </w:rPr>
              <w:t>AMOC's holding in Alexandria Wax Products S.A.E. (note 1-2). This is the counterpart of the non-controlling interest above: the 13.55% AMOC does not own is what the minority's share of profit and of the enterprise is struck on.</w:t>
            </w:r>
          </w:p>
        </w:tc>
      </w:tr>
      <w:tr>
        <w:tc>
          <w:tcPr>
            <w:tcW w:type="dxa" w:w="2736"/>
          </w:tcPr>
          <w:p>
            <w:pPr>
              <w:spacing w:after="20"/>
            </w:pPr>
            <w:r>
              <w:rPr>
                <w:color w:val="1C3A36"/>
                <w:sz w:val="15"/>
              </w:rPr>
              <w:t>alexpet_stake</w:t>
            </w:r>
          </w:p>
        </w:tc>
        <w:tc>
          <w:tcPr>
            <w:tcW w:type="dxa" w:w="2232"/>
          </w:tcPr>
          <w:p>
            <w:pPr>
              <w:spacing w:after="20"/>
            </w:pPr>
            <w:r>
              <w:rPr>
                <w:color w:val="1C3A36"/>
                <w:sz w:val="15"/>
              </w:rPr>
              <w:t>0.2077</w:t>
            </w:r>
          </w:p>
        </w:tc>
        <w:tc>
          <w:tcPr>
            <w:tcW w:type="dxa" w:w="1368"/>
          </w:tcPr>
          <w:p>
            <w:pPr>
              <w:spacing w:after="20"/>
            </w:pPr>
            <w:r>
              <w:rPr>
                <w:color w:val="1C3A36"/>
                <w:sz w:val="15"/>
              </w:rPr>
              <w:t>2025-12-31</w:t>
            </w:r>
          </w:p>
        </w:tc>
        <w:tc>
          <w:tcPr>
            <w:tcW w:type="dxa" w:w="3845"/>
          </w:tcPr>
          <w:p>
            <w:pPr>
              <w:spacing w:after="20"/>
            </w:pPr>
            <w:r>
              <w:rPr>
                <w:color w:val="1C3A36"/>
                <w:sz w:val="15"/>
              </w:rPr>
              <w:t>Alexandria Petroleum Company holds 20.77% of AMOC (note 18, capital structure). The previous edition named the Egyptian General Petroleum Corporation as the 20% shareholder; EGPC is NOT a direct shareholder. Free float (public offering, individuals and other institutions) is 28.77%</w:t>
            </w:r>
          </w:p>
        </w:tc>
      </w:tr>
      <w:tr>
        <w:tc>
          <w:tcPr>
            <w:tcW w:type="dxa" w:w="2736"/>
          </w:tcPr>
          <w:p>
            <w:pPr>
              <w:spacing w:after="20"/>
            </w:pPr>
            <w:r>
              <w:rPr>
                <w:color w:val="1C3A36"/>
                <w:sz w:val="15"/>
              </w:rPr>
              <w:t>egpc_sales</w:t>
            </w:r>
          </w:p>
        </w:tc>
        <w:tc>
          <w:tcPr>
            <w:tcW w:type="dxa" w:w="2232"/>
          </w:tcPr>
          <w:p>
            <w:pPr>
              <w:spacing w:after="20"/>
            </w:pPr>
            <w:r>
              <w:rPr>
                <w:color w:val="1C3A36"/>
                <w:sz w:val="15"/>
              </w:rPr>
              <w:t>15,872,300,000.0</w:t>
            </w:r>
          </w:p>
        </w:tc>
        <w:tc>
          <w:tcPr>
            <w:tcW w:type="dxa" w:w="1368"/>
          </w:tcPr>
          <w:p>
            <w:pPr>
              <w:spacing w:after="20"/>
            </w:pPr>
            <w:r>
              <w:rPr>
                <w:color w:val="1C3A36"/>
                <w:sz w:val="15"/>
              </w:rPr>
              <w:t>2025-12-31</w:t>
            </w:r>
          </w:p>
        </w:tc>
        <w:tc>
          <w:tcPr>
            <w:tcW w:type="dxa" w:w="3845"/>
          </w:tcPr>
          <w:p>
            <w:pPr>
              <w:spacing w:after="20"/>
            </w:pPr>
            <w:r>
              <w:rPr>
                <w:color w:val="1C3A36"/>
                <w:sz w:val="15"/>
              </w:rPr>
              <w:t>Sales of products to the Egyptian General Petroleum Corporation in the six months to 31-Dec-2025 (note 19-3-B) — 76.5% of net sales. EGPC is also the dominant supplier, with 16.3bn of purchases in the same half. That two-sided relationship is the real governance fact, and it is disclosed. Audited consolidated FS, transition period 1-Jul-2025 to 31-Dec-2025, Crowe unqualified, 18-Feb-2026</w:t>
            </w:r>
          </w:p>
        </w:tc>
      </w:tr>
      <w:tr>
        <w:tc>
          <w:tcPr>
            <w:tcW w:type="dxa" w:w="2736"/>
          </w:tcPr>
          <w:p>
            <w:pPr>
              <w:spacing w:after="20"/>
            </w:pPr>
            <w:r>
              <w:rPr>
                <w:color w:val="1C3A36"/>
                <w:sz w:val="15"/>
              </w:rPr>
              <w:t>egpc_balance</w:t>
            </w:r>
          </w:p>
        </w:tc>
        <w:tc>
          <w:tcPr>
            <w:tcW w:type="dxa" w:w="2232"/>
          </w:tcPr>
          <w:p>
            <w:pPr>
              <w:spacing w:after="20"/>
            </w:pPr>
            <w:r>
              <w:rPr>
                <w:color w:val="1C3A36"/>
                <w:sz w:val="15"/>
              </w:rPr>
              <w:t>1,132,353,505.0</w:t>
            </w:r>
          </w:p>
        </w:tc>
        <w:tc>
          <w:tcPr>
            <w:tcW w:type="dxa" w:w="1368"/>
          </w:tcPr>
          <w:p>
            <w:pPr>
              <w:spacing w:after="20"/>
            </w:pPr>
            <w:r>
              <w:rPr>
                <w:color w:val="1C3A36"/>
                <w:sz w:val="15"/>
              </w:rPr>
              <w:t>2025-12-31</w:t>
            </w:r>
          </w:p>
        </w:tc>
        <w:tc>
          <w:tcPr>
            <w:tcW w:type="dxa" w:w="3845"/>
          </w:tcPr>
          <w:p>
            <w:pPr>
              <w:spacing w:after="20"/>
            </w:pPr>
            <w:r>
              <w:rPr>
                <w:color w:val="1C3A36"/>
                <w:sz w:val="15"/>
              </w:rPr>
              <w:t>EGPC current account balance owed at 31-Dec-2025 (note 11). Audited consolidated FS, transition period 1-Jul-2025 to 31-Dec-2025, Crowe unqualified, 18-Feb-2026</w:t>
            </w:r>
          </w:p>
        </w:tc>
      </w:tr>
      <w:tr>
        <w:tc>
          <w:tcPr>
            <w:tcW w:type="dxa" w:w="2736"/>
          </w:tcPr>
          <w:p>
            <w:pPr>
              <w:spacing w:after="20"/>
            </w:pPr>
            <w:r>
              <w:rPr>
                <w:color w:val="1C3A36"/>
                <w:sz w:val="15"/>
              </w:rPr>
              <w:t>line_vol_growth</w:t>
            </w:r>
          </w:p>
        </w:tc>
        <w:tc>
          <w:tcPr>
            <w:tcW w:type="dxa" w:w="2232"/>
          </w:tcPr>
          <w:p>
            <w:pPr>
              <w:spacing w:after="20"/>
            </w:pPr>
            <w:r>
              <w:rPr>
                <w:color w:val="1C3A36"/>
                <w:sz w:val="15"/>
              </w:rPr>
              <w:t>oils: 0, 0, 0, 0, 0; wax: 0, 0, 0, 0, 0; gasoil: 0, 0, 0, 0, 0; naphtha: 0, 0, 0, 0, 0; lpg: 0, 0, 0, 0, 0; fueloil: 0, 0, 0, 0, 0; hfo: 0, 0, 0, 0, 0; waste: 0, 0, 0, 0, 0</w:t>
            </w:r>
          </w:p>
        </w:tc>
        <w:tc>
          <w:tcPr>
            <w:tcW w:type="dxa" w:w="1368"/>
          </w:tcPr>
          <w:p>
            <w:pPr>
              <w:spacing w:after="20"/>
            </w:pPr>
            <w:r>
              <w:rPr>
                <w:color w:val="1C3A36"/>
                <w:sz w:val="15"/>
              </w:rPr>
              <w:t>2026-08-18</w:t>
            </w:r>
          </w:p>
        </w:tc>
        <w:tc>
          <w:tcPr>
            <w:tcW w:type="dxa" w:w="3845"/>
          </w:tcPr>
          <w:p>
            <w:pPr>
              <w:spacing w:after="20"/>
            </w:pPr>
            <w:r>
              <w:rPr>
                <w:color w:val="1C3A36"/>
                <w:sz w:val="15"/>
              </w:rPr>
              <w:t>Volume growth by audited product line: FLAT, every line, every year. The previous edition grew every line (oils +4.5%, wax +7.0%, fuel oil +3.0% in year one) and justified the ranking from the value growth printed between two disclosed HALVES. The company's own audited annual record for FY2021-FY2025 says the opposite: total sales tonnage ran 1,492 / 1,548 / 1,449 / 1,433 / 1,262 thousand tonnes, a fall of 18.5% from the FY2022 peak, and six of the eight lines shrank over FY2022-FY2025 while wax and LPG grew. THE PER-LINE COMPOUND RATES ARE NO LONGER PRINTED [08-09-2026]. This note used to give four of them to a decimal place, and NOTHING IN THIS REPOSITORY CARRIES THE SERIES THEY COME FROM: the three committed filings are two December-2025 statements and one June-2025, note 14-A gives one half's tonnage by line with a value-only comparative, and FY2022 to FY2024 per-line tonnage is in filings this study does not hold. The prose check caught one of the four and the other three were unflagged rather than verified. A figure this desk cannot source is a figure it does not print, so the DIRECTION survives — six lines down, two up, and that is what the argument needs — and the decimals go. The five annual totals above stand on the same footing and are ESCALATED rather than removed, because the bear case is anchored to them. FLAT IS NOT A NEUTRAL ASSUMPTION HERE, IT IS ALREADY THE OPTIMISTIC ONE: the base year is the transition half annualised at 1,616 thousand tonnes, which is 12.5% ABOVE the five-year mean of 1,437 and above every full year in the record. Holding it flat assumes the rebound printed in one half persists. The bear case cuts tonnage harder than that mean requires and the lever is sensitised end to end</w:t>
            </w:r>
          </w:p>
        </w:tc>
      </w:tr>
      <w:tr>
        <w:tc>
          <w:tcPr>
            <w:tcW w:type="dxa" w:w="2736"/>
          </w:tcPr>
          <w:p>
            <w:pPr>
              <w:spacing w:after="20"/>
            </w:pPr>
            <w:r>
              <w:rPr>
                <w:color w:val="1C3A36"/>
                <w:sz w:val="15"/>
              </w:rPr>
              <w:t>payout_reported</w:t>
            </w:r>
          </w:p>
        </w:tc>
        <w:tc>
          <w:tcPr>
            <w:tcW w:type="dxa" w:w="2232"/>
          </w:tcPr>
          <w:p>
            <w:pPr>
              <w:spacing w:after="20"/>
            </w:pPr>
            <w:r>
              <w:rPr>
                <w:color w:val="1C3A36"/>
                <w:sz w:val="15"/>
              </w:rPr>
              <w:t>1.0372</w:t>
            </w:r>
          </w:p>
        </w:tc>
        <w:tc>
          <w:tcPr>
            <w:tcW w:type="dxa" w:w="1368"/>
          </w:tcPr>
          <w:p>
            <w:pPr>
              <w:spacing w:after="20"/>
            </w:pPr>
            <w:r>
              <w:rPr>
                <w:color w:val="1C3A36"/>
                <w:sz w:val="15"/>
              </w:rPr>
              <w:t>2026-03-31</w:t>
            </w:r>
          </w:p>
        </w:tc>
        <w:tc>
          <w:tcPr>
            <w:tcW w:type="dxa" w:w="3845"/>
          </w:tcPr>
          <w:p>
            <w:pPr>
              <w:spacing w:after="20"/>
            </w:pPr>
            <w:r>
              <w:rPr>
                <w:color w:val="1C3A36"/>
                <w:sz w:val="15"/>
              </w:rPr>
              <w:t>Dividend payout ratio COMPUTED from the filings: cash dividends actually PAID in the audited nine months (736,577,469 in the transition half plus 602,957,265 in Q1-2026) over group profit after tax for the same nine months. Not a reported ratio and not an assumption — the two cash-flow statements divided by the two profit lines</w:t>
            </w:r>
          </w:p>
        </w:tc>
      </w:tr>
      <w:tr>
        <w:tc>
          <w:tcPr>
            <w:tcW w:type="dxa" w:w="2736"/>
          </w:tcPr>
          <w:p>
            <w:pPr>
              <w:spacing w:after="20"/>
            </w:pPr>
            <w:r>
              <w:rPr>
                <w:color w:val="1C3A36"/>
                <w:sz w:val="15"/>
              </w:rPr>
              <w:t>dps</w:t>
            </w:r>
          </w:p>
        </w:tc>
        <w:tc>
          <w:tcPr>
            <w:tcW w:type="dxa" w:w="2232"/>
          </w:tcPr>
          <w:p>
            <w:pPr>
              <w:spacing w:after="20"/>
            </w:pPr>
            <w:r>
              <w:rPr>
                <w:color w:val="1C3A36"/>
                <w:sz w:val="15"/>
              </w:rPr>
              <w:t>1.0372</w:t>
            </w:r>
          </w:p>
        </w:tc>
        <w:tc>
          <w:tcPr>
            <w:tcW w:type="dxa" w:w="1368"/>
          </w:tcPr>
          <w:p>
            <w:pPr>
              <w:spacing w:after="20"/>
            </w:pPr>
            <w:r>
              <w:rPr>
                <w:color w:val="1C3A36"/>
                <w:sz w:val="15"/>
              </w:rPr>
              <w:t>2026-03-31</w:t>
            </w:r>
          </w:p>
        </w:tc>
        <w:tc>
          <w:tcPr>
            <w:tcW w:type="dxa" w:w="3845"/>
          </w:tcPr>
          <w:p>
            <w:pPr>
              <w:spacing w:after="20"/>
            </w:pPr>
            <w:r>
              <w:rPr>
                <w:color w:val="1C3A36"/>
                <w:sz w:val="15"/>
              </w:rPr>
              <w:t>Dividend per share, cash actually paid in the audited nine months over shares outstanding. Annualising is left to the reader; the study uses the paid figure</w:t>
            </w:r>
          </w:p>
        </w:tc>
      </w:tr>
      <w:tr>
        <w:tc>
          <w:tcPr>
            <w:tcW w:type="dxa" w:w="2736"/>
          </w:tcPr>
          <w:p>
            <w:pPr>
              <w:spacing w:after="20"/>
            </w:pPr>
            <w:r>
              <w:rPr>
                <w:color w:val="1C3A36"/>
                <w:sz w:val="15"/>
              </w:rPr>
              <w:t>beta</w:t>
            </w:r>
          </w:p>
        </w:tc>
        <w:tc>
          <w:tcPr>
            <w:tcW w:type="dxa" w:w="2232"/>
          </w:tcPr>
          <w:p>
            <w:pPr>
              <w:spacing w:after="20"/>
            </w:pPr>
            <w:r>
              <w:rPr>
                <w:color w:val="1C3A36"/>
                <w:sz w:val="15"/>
              </w:rPr>
              <w:t>0.9063</w:t>
            </w:r>
          </w:p>
        </w:tc>
        <w:tc>
          <w:tcPr>
            <w:tcW w:type="dxa" w:w="1368"/>
          </w:tcPr>
          <w:p>
            <w:pPr>
              <w:spacing w:after="20"/>
            </w:pPr>
            <w:r>
              <w:rPr>
                <w:color w:val="1C3A36"/>
                <w:sz w:val="15"/>
              </w:rPr>
              <w:t>2026-09-08</w:t>
            </w:r>
          </w:p>
        </w:tc>
        <w:tc>
          <w:tcPr>
            <w:tcW w:type="dxa" w:w="3845"/>
          </w:tcPr>
          <w:p>
            <w:pPr>
              <w:spacing w:after="20"/>
            </w:pPr>
            <w:r>
              <w:rPr>
                <w:color w:val="1C3A36"/>
                <w:sz w:val="15"/>
              </w:rPr>
              <w:t>Own-stock tier-1 regression, AMOC weekly log-returns against raw_indices/EG/EGX30.csv — the published index of the exchange AMOC is listed on, series as of 2026-09-08, resolved by beta_regression.own_stock_beta() rather than hand-rolled. R-squared 0.236, n = 256, standard error 0.175, 90% confidence interval [0.619, 1.193]. Passes the usability gate. THIS REPLACES the previous edition's 0.9405, which was regressed against a 33-name equal-weight composite of the covered Egyptian names — a coverage artefact rather than a market, and a source-integrity failure whatever number it produced. The correction is small on this name and it is made because the provenance was wrong, not because the answer was.</w:t>
            </w:r>
          </w:p>
        </w:tc>
      </w:tr>
    </w:tbl>
    <w:p>
      <w:pPr>
        <w:spacing w:after="40"/>
      </w:pPr>
    </w:p>
    <w:p>
      <w:pPr>
        <w:spacing w:after="60" w:before="160"/>
      </w:pPr>
      <w:r>
        <w:rPr>
          <w:b/>
          <w:i w:val="0"/>
          <w:color w:val="1C3A36"/>
          <w:sz w:val="22"/>
        </w:rPr>
        <w:t>Industry layer — 2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232"/>
        <w:gridCol w:w="1368"/>
        <w:gridCol w:w="3845"/>
      </w:tblGrid>
      <w:tr>
        <w:tc>
          <w:tcPr>
            <w:tcW w:type="dxa" w:w="2736"/>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368"/>
            <w:shd w:val="clear" w:color="auto" w:fill="EAF0EE"/>
          </w:tcPr>
          <w:p>
            <w:pPr>
              <w:spacing w:after="20"/>
            </w:pPr>
            <w:r>
              <w:rPr>
                <w:b/>
                <w:color w:val="1C3A36"/>
                <w:sz w:val="15"/>
              </w:rPr>
              <w:t>Date</w:t>
            </w:r>
          </w:p>
        </w:tc>
        <w:tc>
          <w:tcPr>
            <w:tcW w:type="dxa" w:w="3845"/>
            <w:shd w:val="clear" w:color="auto" w:fill="EAF0EE"/>
          </w:tcPr>
          <w:p>
            <w:pPr>
              <w:spacing w:after="20"/>
            </w:pPr>
            <w:r>
              <w:rPr>
                <w:b/>
                <w:color w:val="1C3A36"/>
                <w:sz w:val="15"/>
              </w:rPr>
              <w:t>Source and reasoning</w:t>
            </w:r>
          </w:p>
        </w:tc>
      </w:tr>
      <w:tr>
        <w:tc>
          <w:tcPr>
            <w:tcW w:type="dxa" w:w="2736"/>
          </w:tcPr>
          <w:p>
            <w:pPr>
              <w:spacing w:after="20"/>
            </w:pPr>
            <w:r>
              <w:rPr>
                <w:color w:val="1C3A36"/>
                <w:sz w:val="15"/>
              </w:rPr>
              <w:t>brent_path</w:t>
            </w:r>
          </w:p>
        </w:tc>
        <w:tc>
          <w:tcPr>
            <w:tcW w:type="dxa" w:w="2232"/>
          </w:tcPr>
          <w:p>
            <w:pPr>
              <w:spacing w:after="20"/>
            </w:pPr>
            <w:r>
              <w:rPr>
                <w:color w:val="1C3A36"/>
                <w:sz w:val="15"/>
              </w:rPr>
              <w:t>70, 71.5, 73, 74.5, 76</w:t>
            </w:r>
          </w:p>
        </w:tc>
        <w:tc>
          <w:tcPr>
            <w:tcW w:type="dxa" w:w="1368"/>
          </w:tcPr>
          <w:p>
            <w:pPr>
              <w:spacing w:after="20"/>
            </w:pPr>
            <w:r>
              <w:rPr>
                <w:color w:val="1C3A36"/>
                <w:sz w:val="15"/>
              </w:rPr>
              <w:t>2026-08-06</w:t>
            </w:r>
          </w:p>
        </w:tc>
        <w:tc>
          <w:tcPr>
            <w:tcW w:type="dxa" w:w="3845"/>
          </w:tcPr>
          <w:p>
            <w:pPr>
              <w:spacing w:after="20"/>
            </w:pPr>
            <w:r>
              <w:rPr>
                <w:color w:val="1C3A36"/>
                <w:sz w:val="15"/>
              </w:rPr>
              <w:t>Brent crude reference path, USD a barrel, 2026E-2030E. A flat-to-slowly-rising deck, CARRIED FOR CONTEXT AND DRIVING NOTHING — corrected 10-09-2026, because this entry said the opposite. It read 'it is now the spine of both sides of the margin: every product realisation is this deck times a crack multiple solved from the disclosed product table, and the feedstock charge is this deck times a differential solved from disclosed cost of sales'. THAT WAS TRUE FOR ONE REVISION AND THEN STOPPED BEING TRUE. The reviewed filing discloses the eight-line product table and the cost stack directly, so both the crack multiple and the solved differential were retired and, in the study's own words about that change, nothing is reconstructed now. The note describing the retired machinery was left behind. MEASURED RATHER THAN ARGUED: rebuilding this study on a flat deck at USD 101.21 — the Brent settlement Reuters reported for 9 September 2026, above USD 100 since the 3rd on Middle East escalation — gives a central of EGP 20.0503 against EGP 20.0503 on this deck. Identical to four decimal places, which is what a driver that drives nothing looks like. THE CONSEQUENCE IS WORTH STATING PLAINLY: this valuation carries no forecast of the oil price. Its realisations and its feedstock charge are the company's own filed figures, escalated on the house ladder, so a reader who disagrees with any crude view is not disagreeing with this study</w:t>
            </w:r>
          </w:p>
        </w:tc>
      </w:tr>
      <w:tr>
        <w:tc>
          <w:tcPr>
            <w:tcW w:type="dxa" w:w="2736"/>
          </w:tcPr>
          <w:p>
            <w:pPr>
              <w:spacing w:after="20"/>
            </w:pPr>
            <w:r>
              <w:rPr>
                <w:color w:val="1C3A36"/>
                <w:sz w:val="15"/>
              </w:rPr>
              <w:t>crude_hist</w:t>
            </w:r>
          </w:p>
        </w:tc>
        <w:tc>
          <w:tcPr>
            <w:tcW w:type="dxa" w:w="2232"/>
          </w:tcPr>
          <w:p>
            <w:pPr>
              <w:spacing w:after="20"/>
            </w:pPr>
            <w:r>
              <w:rPr>
                <w:color w:val="1C3A36"/>
                <w:sz w:val="15"/>
              </w:rPr>
              <w:t>fy23: 85; fy24: 84; fy25: 74; cy25: 70</w:t>
            </w:r>
          </w:p>
        </w:tc>
        <w:tc>
          <w:tcPr>
            <w:tcW w:type="dxa" w:w="1368"/>
          </w:tcPr>
          <w:p>
            <w:pPr>
              <w:spacing w:after="20"/>
            </w:pPr>
            <w:r>
              <w:rPr>
                <w:color w:val="1C3A36"/>
                <w:sz w:val="15"/>
              </w:rPr>
              <w:t>2026-08-06</w:t>
            </w:r>
          </w:p>
        </w:tc>
        <w:tc>
          <w:tcPr>
            <w:tcW w:type="dxa" w:w="3845"/>
          </w:tcPr>
          <w:p>
            <w:pPr>
              <w:spacing w:after="20"/>
            </w:pPr>
            <w:r>
              <w:rPr>
                <w:color w:val="1C3A36"/>
                <w:sz w:val="15"/>
              </w:rPr>
              <w:t>Brent averages for the four historical periods, USD a barrel. HOUSE ESTIMATES read off the published price record for each window, not company disclosure. They matter less than they look: the crude level enters the margin on BOTH sides and very largely cancels, which the study demonstrates rather than asserts</w:t>
            </w:r>
          </w:p>
        </w:tc>
      </w:tr>
    </w:tbl>
    <w:p>
      <w:pPr>
        <w:spacing w:after="40"/>
      </w:pPr>
    </w:p>
    <w:p>
      <w:pPr>
        <w:spacing w:after="60" w:before="160"/>
      </w:pPr>
      <w:r>
        <w:rPr>
          <w:b/>
          <w:i w:val="0"/>
          <w:color w:val="1C3A36"/>
          <w:sz w:val="22"/>
        </w:rPr>
        <w:t>Country layer — 17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232"/>
        <w:gridCol w:w="1368"/>
        <w:gridCol w:w="3845"/>
      </w:tblGrid>
      <w:tr>
        <w:tc>
          <w:tcPr>
            <w:tcW w:type="dxa" w:w="2736"/>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368"/>
            <w:shd w:val="clear" w:color="auto" w:fill="EAF0EE"/>
          </w:tcPr>
          <w:p>
            <w:pPr>
              <w:spacing w:after="20"/>
            </w:pPr>
            <w:r>
              <w:rPr>
                <w:b/>
                <w:color w:val="1C3A36"/>
                <w:sz w:val="15"/>
              </w:rPr>
              <w:t>Date</w:t>
            </w:r>
          </w:p>
        </w:tc>
        <w:tc>
          <w:tcPr>
            <w:tcW w:type="dxa" w:w="3845"/>
            <w:shd w:val="clear" w:color="auto" w:fill="EAF0EE"/>
          </w:tcPr>
          <w:p>
            <w:pPr>
              <w:spacing w:after="20"/>
            </w:pPr>
            <w:r>
              <w:rPr>
                <w:b/>
                <w:color w:val="1C3A36"/>
                <w:sz w:val="15"/>
              </w:rPr>
              <w:t>Source and reasoning</w:t>
            </w:r>
          </w:p>
        </w:tc>
      </w:tr>
      <w:tr>
        <w:tc>
          <w:tcPr>
            <w:tcW w:type="dxa" w:w="2736"/>
          </w:tcPr>
          <w:p>
            <w:pPr>
              <w:spacing w:after="20"/>
            </w:pPr>
            <w:r>
              <w:rPr>
                <w:color w:val="1C3A36"/>
                <w:sz w:val="15"/>
              </w:rPr>
              <w:t>fixed_cost_infl</w:t>
            </w:r>
          </w:p>
        </w:tc>
        <w:tc>
          <w:tcPr>
            <w:tcW w:type="dxa" w:w="2232"/>
          </w:tcPr>
          <w:p>
            <w:pPr>
              <w:spacing w:after="20"/>
            </w:pPr>
            <w:r>
              <w:rPr>
                <w:color w:val="1C3A36"/>
                <w:sz w:val="15"/>
              </w:rPr>
              <w:t>1.33, 1.28, 1.12, 1.16, 1.12, 1.09, 1.075, 1.07</w:t>
            </w:r>
          </w:p>
        </w:tc>
        <w:tc>
          <w:tcPr>
            <w:tcW w:type="dxa" w:w="1368"/>
          </w:tcPr>
          <w:p>
            <w:pPr>
              <w:spacing w:after="20"/>
            </w:pPr>
            <w:r>
              <w:rPr>
                <w:color w:val="1C3A36"/>
                <w:sz w:val="15"/>
              </w:rPr>
              <w:t>2026-09-02</w:t>
            </w:r>
          </w:p>
        </w:tc>
        <w:tc>
          <w:tcPr>
            <w:tcW w:type="dxa" w:w="3845"/>
          </w:tcPr>
          <w:p>
            <w:pPr>
              <w:spacing w:after="20"/>
            </w:pPr>
            <w:r>
              <w:rPr>
                <w:color w:val="1C3A36"/>
                <w:sz w:val="15"/>
              </w:rPr>
              <w:t>Cumulative-year Egyptian inflation factors applied to the pound-denominated cost legs — salaries inside cost of sales, the other line, administrative and marketing expense, and capital expenditure. The three HISTORICAL years are as printed. The five FORECAST years are the single Egyptian inflation path this series uses for every Egyptian company it values, read from that path rather than set for this study: no valuation here sets an inflation rate of its own, because a company cannot be valued in an economy the study beside it does not recognise. The path is the central bank's published disinflation ladder, and the years between published points are labelled as interpolated where they are</w:t>
            </w:r>
          </w:p>
        </w:tc>
      </w:tr>
      <w:tr>
        <w:tc>
          <w:tcPr>
            <w:tcW w:type="dxa" w:w="2736"/>
          </w:tcPr>
          <w:p>
            <w:pPr>
              <w:spacing w:after="20"/>
            </w:pPr>
            <w:r>
              <w:rPr>
                <w:color w:val="1C3A36"/>
                <w:sz w:val="15"/>
              </w:rPr>
              <w:t>fx_hist</w:t>
            </w:r>
          </w:p>
        </w:tc>
        <w:tc>
          <w:tcPr>
            <w:tcW w:type="dxa" w:w="2232"/>
          </w:tcPr>
          <w:p>
            <w:pPr>
              <w:spacing w:after="20"/>
            </w:pPr>
            <w:r>
              <w:rPr>
                <w:color w:val="1C3A36"/>
                <w:sz w:val="15"/>
              </w:rPr>
              <w:t>fy23: 28.5; fy24: 36.4; fy25: 48.9; cy25: 48.7</w:t>
            </w:r>
          </w:p>
        </w:tc>
        <w:tc>
          <w:tcPr>
            <w:tcW w:type="dxa" w:w="1368"/>
          </w:tcPr>
          <w:p>
            <w:pPr>
              <w:spacing w:after="20"/>
            </w:pPr>
            <w:r>
              <w:rPr>
                <w:color w:val="1C3A36"/>
                <w:sz w:val="15"/>
              </w:rPr>
              <w:t>2026-08-06</w:t>
            </w:r>
          </w:p>
        </w:tc>
        <w:tc>
          <w:tcPr>
            <w:tcW w:type="dxa" w:w="3845"/>
          </w:tcPr>
          <w:p>
            <w:pPr>
              <w:spacing w:after="20"/>
            </w:pPr>
            <w:r>
              <w:rPr>
                <w:color w:val="1C3A36"/>
                <w:sz w:val="15"/>
              </w:rPr>
              <w:t>USD/EGP averages for the four historical periods. The June-2024 figure is built month by month across the March-2024 float (eight months near 30.9, four near 47.5); the others are period averages of the published rate. HOUSE ESTIMATES</w:t>
            </w:r>
          </w:p>
        </w:tc>
      </w:tr>
      <w:tr>
        <w:tc>
          <w:tcPr>
            <w:tcW w:type="dxa" w:w="2736"/>
          </w:tcPr>
          <w:p>
            <w:pPr>
              <w:spacing w:after="20"/>
            </w:pPr>
            <w:r>
              <w:rPr>
                <w:color w:val="1C3A36"/>
                <w:sz w:val="15"/>
              </w:rPr>
              <w:t>rf</w:t>
            </w:r>
          </w:p>
        </w:tc>
        <w:tc>
          <w:tcPr>
            <w:tcW w:type="dxa" w:w="2232"/>
          </w:tcPr>
          <w:p>
            <w:pPr>
              <w:spacing w:after="20"/>
            </w:pPr>
            <w:r>
              <w:rPr>
                <w:color w:val="1C3A36"/>
                <w:sz w:val="15"/>
              </w:rPr>
              <w:t>0.2231</w:t>
            </w:r>
          </w:p>
        </w:tc>
        <w:tc>
          <w:tcPr>
            <w:tcW w:type="dxa" w:w="1368"/>
          </w:tcPr>
          <w:p>
            <w:pPr>
              <w:spacing w:after="20"/>
            </w:pPr>
            <w:r>
              <w:rPr>
                <w:color w:val="1C3A36"/>
                <w:sz w:val="15"/>
              </w:rPr>
              <w:t>2026-07-21</w:t>
            </w:r>
          </w:p>
        </w:tc>
        <w:tc>
          <w:tcPr>
            <w:tcW w:type="dxa" w:w="3845"/>
          </w:tcPr>
          <w:p>
            <w:pPr>
              <w:spacing w:after="20"/>
            </w:pPr>
            <w:r>
              <w:rPr>
                <w:color w:val="1C3A36"/>
                <w:sz w:val="15"/>
              </w:rPr>
              <w:t>Egypt 10-year local-currency government bond yield, 22.31% (house cost-of-capital reference, cached 21-Jul-2026 print, re-verified 06-Aug-2026)</w:t>
            </w:r>
          </w:p>
        </w:tc>
      </w:tr>
      <w:tr>
        <w:tc>
          <w:tcPr>
            <w:tcW w:type="dxa" w:w="2736"/>
          </w:tcPr>
          <w:p>
            <w:pPr>
              <w:spacing w:after="20"/>
            </w:pPr>
            <w:r>
              <w:rPr>
                <w:color w:val="1C3A36"/>
                <w:sz w:val="15"/>
              </w:rPr>
              <w:t>sov_spread_cds</w:t>
            </w:r>
          </w:p>
        </w:tc>
        <w:tc>
          <w:tcPr>
            <w:tcW w:type="dxa" w:w="2232"/>
          </w:tcPr>
          <w:p>
            <w:pPr>
              <w:spacing w:after="20"/>
            </w:pPr>
            <w:r>
              <w:rPr>
                <w:color w:val="1C3A36"/>
                <w:sz w:val="15"/>
              </w:rPr>
              <w:t>0.034</w:t>
            </w:r>
          </w:p>
        </w:tc>
        <w:tc>
          <w:tcPr>
            <w:tcW w:type="dxa" w:w="1368"/>
          </w:tcPr>
          <w:p>
            <w:pPr>
              <w:spacing w:after="20"/>
            </w:pPr>
            <w:r>
              <w:rPr>
                <w:color w:val="1C3A36"/>
                <w:sz w:val="15"/>
              </w:rPr>
              <w:t>2026-01-05</w:t>
            </w:r>
          </w:p>
        </w:tc>
        <w:tc>
          <w:tcPr>
            <w:tcW w:type="dxa" w:w="3845"/>
          </w:tcPr>
          <w:p>
            <w:pPr>
              <w:spacing w:after="20"/>
            </w:pPr>
            <w:r>
              <w:rPr>
                <w:color w:val="1C3A36"/>
                <w:sz w:val="15"/>
              </w:rPr>
              <w:t>Egypt credit-default-swap-implied sovereign default spread, Damodaran January-2026 country-premium file, CDS column. Netted out of the local-currency risk-free rate so sovereign default risk is not charged twice</w:t>
            </w:r>
          </w:p>
        </w:tc>
      </w:tr>
      <w:tr>
        <w:tc>
          <w:tcPr>
            <w:tcW w:type="dxa" w:w="2736"/>
          </w:tcPr>
          <w:p>
            <w:pPr>
              <w:spacing w:after="20"/>
            </w:pPr>
            <w:r>
              <w:rPr>
                <w:color w:val="1C3A36"/>
                <w:sz w:val="15"/>
              </w:rPr>
              <w:t>sov_spread_rating</w:t>
            </w:r>
          </w:p>
        </w:tc>
        <w:tc>
          <w:tcPr>
            <w:tcW w:type="dxa" w:w="2232"/>
          </w:tcPr>
          <w:p>
            <w:pPr>
              <w:spacing w:after="20"/>
            </w:pPr>
            <w:r>
              <w:rPr>
                <w:color w:val="1C3A36"/>
                <w:sz w:val="15"/>
              </w:rPr>
              <w:t>0.0637</w:t>
            </w:r>
          </w:p>
        </w:tc>
        <w:tc>
          <w:tcPr>
            <w:tcW w:type="dxa" w:w="1368"/>
          </w:tcPr>
          <w:p>
            <w:pPr>
              <w:spacing w:after="20"/>
            </w:pPr>
            <w:r>
              <w:rPr>
                <w:color w:val="1C3A36"/>
                <w:sz w:val="15"/>
              </w:rPr>
              <w:t>2026-01-05</w:t>
            </w:r>
          </w:p>
        </w:tc>
        <w:tc>
          <w:tcPr>
            <w:tcW w:type="dxa" w:w="3845"/>
          </w:tcPr>
          <w:p>
            <w:pPr>
              <w:spacing w:after="20"/>
            </w:pPr>
            <w:r>
              <w:rPr>
                <w:color w:val="1C3A36"/>
                <w:sz w:val="15"/>
              </w:rPr>
              <w:t>Damodaran adjusted default spread on the rating basis, January-2026 — the alternative construction, disclosed for the audit trail</w:t>
            </w:r>
          </w:p>
        </w:tc>
      </w:tr>
      <w:tr>
        <w:tc>
          <w:tcPr>
            <w:tcW w:type="dxa" w:w="2736"/>
          </w:tcPr>
          <w:p>
            <w:pPr>
              <w:spacing w:after="20"/>
            </w:pPr>
            <w:r>
              <w:rPr>
                <w:color w:val="1C3A36"/>
                <w:sz w:val="15"/>
              </w:rPr>
              <w:t>erp_cds</w:t>
            </w:r>
          </w:p>
        </w:tc>
        <w:tc>
          <w:tcPr>
            <w:tcW w:type="dxa" w:w="2232"/>
          </w:tcPr>
          <w:p>
            <w:pPr>
              <w:spacing w:after="20"/>
            </w:pPr>
            <w:r>
              <w:rPr>
                <w:color w:val="1C3A36"/>
                <w:sz w:val="15"/>
              </w:rPr>
              <w:t>0.0941</w:t>
            </w:r>
          </w:p>
        </w:tc>
        <w:tc>
          <w:tcPr>
            <w:tcW w:type="dxa" w:w="1368"/>
          </w:tcPr>
          <w:p>
            <w:pPr>
              <w:spacing w:after="20"/>
            </w:pPr>
            <w:r>
              <w:rPr>
                <w:color w:val="1C3A36"/>
                <w:sz w:val="15"/>
              </w:rPr>
              <w:t>2026-01-05</w:t>
            </w:r>
          </w:p>
        </w:tc>
        <w:tc>
          <w:tcPr>
            <w:tcW w:type="dxa" w:w="3845"/>
          </w:tcPr>
          <w:p>
            <w:pPr>
              <w:spacing w:after="20"/>
            </w:pPr>
            <w:r>
              <w:rPr>
                <w:color w:val="1C3A36"/>
                <w:sz w:val="15"/>
              </w:rPr>
              <w:t>Damodaran original country-premium file, Egypt row, CDS column, last updated 5 January 2026 — total equity risk premium</w:t>
            </w:r>
          </w:p>
        </w:tc>
      </w:tr>
      <w:tr>
        <w:tc>
          <w:tcPr>
            <w:tcW w:type="dxa" w:w="2736"/>
          </w:tcPr>
          <w:p>
            <w:pPr>
              <w:spacing w:after="20"/>
            </w:pPr>
            <w:r>
              <w:rPr>
                <w:color w:val="1C3A36"/>
                <w:sz w:val="15"/>
              </w:rPr>
              <w:t>erp_rating</w:t>
            </w:r>
          </w:p>
        </w:tc>
        <w:tc>
          <w:tcPr>
            <w:tcW w:type="dxa" w:w="2232"/>
          </w:tcPr>
          <w:p>
            <w:pPr>
              <w:spacing w:after="20"/>
            </w:pPr>
            <w:r>
              <w:rPr>
                <w:color w:val="1C3A36"/>
                <w:sz w:val="15"/>
              </w:rPr>
              <w:t>0.1394</w:t>
            </w:r>
          </w:p>
        </w:tc>
        <w:tc>
          <w:tcPr>
            <w:tcW w:type="dxa" w:w="1368"/>
          </w:tcPr>
          <w:p>
            <w:pPr>
              <w:spacing w:after="20"/>
            </w:pPr>
            <w:r>
              <w:rPr>
                <w:color w:val="1C3A36"/>
                <w:sz w:val="15"/>
              </w:rPr>
              <w:t>2026-01-05</w:t>
            </w:r>
          </w:p>
        </w:tc>
        <w:tc>
          <w:tcPr>
            <w:tcW w:type="dxa" w:w="3845"/>
          </w:tcPr>
          <w:p>
            <w:pPr>
              <w:spacing w:after="20"/>
            </w:pPr>
            <w:r>
              <w:rPr>
                <w:color w:val="1C3A36"/>
                <w:sz w:val="15"/>
              </w:rPr>
              <w:t>Damodaran original country-premium file, Egypt row, rating basis, January-2026 — the alternative</w:t>
            </w:r>
          </w:p>
        </w:tc>
      </w:tr>
      <w:tr>
        <w:tc>
          <w:tcPr>
            <w:tcW w:type="dxa" w:w="2736"/>
          </w:tcPr>
          <w:p>
            <w:pPr>
              <w:spacing w:after="20"/>
            </w:pPr>
            <w:r>
              <w:rPr>
                <w:color w:val="1C3A36"/>
                <w:sz w:val="15"/>
              </w:rPr>
              <w:t>policy_rate</w:t>
            </w:r>
          </w:p>
        </w:tc>
        <w:tc>
          <w:tcPr>
            <w:tcW w:type="dxa" w:w="2232"/>
          </w:tcPr>
          <w:p>
            <w:pPr>
              <w:spacing w:after="20"/>
            </w:pPr>
            <w:r>
              <w:rPr>
                <w:color w:val="1C3A36"/>
                <w:sz w:val="15"/>
              </w:rPr>
              <w:t>0.195</w:t>
            </w:r>
          </w:p>
        </w:tc>
        <w:tc>
          <w:tcPr>
            <w:tcW w:type="dxa" w:w="1368"/>
          </w:tcPr>
          <w:p>
            <w:pPr>
              <w:spacing w:after="20"/>
            </w:pPr>
            <w:r>
              <w:rPr>
                <w:color w:val="1C3A36"/>
                <w:sz w:val="15"/>
              </w:rPr>
              <w:t>2026-08-06</w:t>
            </w:r>
          </w:p>
        </w:tc>
        <w:tc>
          <w:tcPr>
            <w:tcW w:type="dxa" w:w="3845"/>
          </w:tcPr>
          <w:p>
            <w:pPr>
              <w:spacing w:after="20"/>
            </w:pPr>
            <w:r>
              <w:rPr>
                <w:color w:val="1C3A36"/>
                <w:sz w:val="15"/>
              </w:rPr>
              <w:t>Central Bank of Egypt main operation rate 19.50% (corridor 19.00/20.00), held at the third meeting of 2026 — a second consecutive hold</w:t>
            </w:r>
          </w:p>
        </w:tc>
      </w:tr>
      <w:tr>
        <w:tc>
          <w:tcPr>
            <w:tcW w:type="dxa" w:w="2736"/>
          </w:tcPr>
          <w:p>
            <w:pPr>
              <w:spacing w:after="20"/>
            </w:pPr>
            <w:r>
              <w:rPr>
                <w:color w:val="1C3A36"/>
                <w:sz w:val="15"/>
              </w:rPr>
              <w:t>cpi</w:t>
            </w:r>
          </w:p>
        </w:tc>
        <w:tc>
          <w:tcPr>
            <w:tcW w:type="dxa" w:w="2232"/>
          </w:tcPr>
          <w:p>
            <w:pPr>
              <w:spacing w:after="20"/>
            </w:pPr>
            <w:r>
              <w:rPr>
                <w:color w:val="1C3A36"/>
                <w:sz w:val="15"/>
              </w:rPr>
              <w:t>0.143</w:t>
            </w:r>
          </w:p>
        </w:tc>
        <w:tc>
          <w:tcPr>
            <w:tcW w:type="dxa" w:w="1368"/>
          </w:tcPr>
          <w:p>
            <w:pPr>
              <w:spacing w:after="20"/>
            </w:pPr>
            <w:r>
              <w:rPr>
                <w:color w:val="1C3A36"/>
                <w:sz w:val="15"/>
              </w:rPr>
              <w:t>2026-06-30</w:t>
            </w:r>
          </w:p>
        </w:tc>
        <w:tc>
          <w:tcPr>
            <w:tcW w:type="dxa" w:w="3845"/>
          </w:tcPr>
          <w:p>
            <w:pPr>
              <w:spacing w:after="20"/>
            </w:pPr>
            <w:r>
              <w:rPr>
                <w:color w:val="1C3A36"/>
                <w:sz w:val="15"/>
              </w:rPr>
              <w:t>Egypt annual headline inflation 14.30% in June 2026, down from 14.60% in May. The central bank expects inflation to accelerate through the third quarter of 2026 on base effects, supply pressures and fiscal adjustment before resuming its decline</w:t>
            </w:r>
          </w:p>
        </w:tc>
      </w:tr>
      <w:tr>
        <w:tc>
          <w:tcPr>
            <w:tcW w:type="dxa" w:w="2736"/>
          </w:tcPr>
          <w:p>
            <w:pPr>
              <w:spacing w:after="20"/>
            </w:pPr>
            <w:r>
              <w:rPr>
                <w:color w:val="1C3A36"/>
                <w:sz w:val="15"/>
              </w:rPr>
              <w:t>cbe_target</w:t>
            </w:r>
          </w:p>
        </w:tc>
        <w:tc>
          <w:tcPr>
            <w:tcW w:type="dxa" w:w="2232"/>
          </w:tcPr>
          <w:p>
            <w:pPr>
              <w:spacing w:after="20"/>
            </w:pPr>
            <w:r>
              <w:rPr>
                <w:color w:val="1C3A36"/>
                <w:sz w:val="15"/>
              </w:rPr>
              <w:t>0.07</w:t>
            </w:r>
          </w:p>
        </w:tc>
        <w:tc>
          <w:tcPr>
            <w:tcW w:type="dxa" w:w="1368"/>
          </w:tcPr>
          <w:p>
            <w:pPr>
              <w:spacing w:after="20"/>
            </w:pPr>
            <w:r>
              <w:rPr>
                <w:color w:val="1C3A36"/>
                <w:sz w:val="15"/>
              </w:rPr>
              <w:t>2026-08-06</w:t>
            </w:r>
          </w:p>
        </w:tc>
        <w:tc>
          <w:tcPr>
            <w:tcW w:type="dxa" w:w="3845"/>
          </w:tcPr>
          <w:p>
            <w:pPr>
              <w:spacing w:after="20"/>
            </w:pPr>
            <w:r>
              <w:rPr>
                <w:color w:val="1C3A36"/>
                <w:sz w:val="15"/>
              </w:rPr>
              <w:t>The central bank's own stated inflation target, 7% (+/-2pp) on average for the fourth quarter of 2026, falling to 5% (+/-2pp) for the fourth quarter of 2028</w:t>
            </w:r>
          </w:p>
        </w:tc>
      </w:tr>
      <w:tr>
        <w:tc>
          <w:tcPr>
            <w:tcW w:type="dxa" w:w="2736"/>
          </w:tcPr>
          <w:p>
            <w:pPr>
              <w:spacing w:after="20"/>
            </w:pPr>
            <w:r>
              <w:rPr>
                <w:color w:val="1C3A36"/>
                <w:sz w:val="15"/>
              </w:rPr>
              <w:t>fx</w:t>
            </w:r>
          </w:p>
        </w:tc>
        <w:tc>
          <w:tcPr>
            <w:tcW w:type="dxa" w:w="2232"/>
          </w:tcPr>
          <w:p>
            <w:pPr>
              <w:spacing w:after="20"/>
            </w:pPr>
            <w:r>
              <w:rPr>
                <w:color w:val="1C3A36"/>
                <w:sz w:val="15"/>
              </w:rPr>
              <w:t>50.25</w:t>
            </w:r>
          </w:p>
        </w:tc>
        <w:tc>
          <w:tcPr>
            <w:tcW w:type="dxa" w:w="1368"/>
          </w:tcPr>
          <w:p>
            <w:pPr>
              <w:spacing w:after="20"/>
            </w:pPr>
            <w:r>
              <w:rPr>
                <w:color w:val="1C3A36"/>
                <w:sz w:val="15"/>
              </w:rPr>
              <w:t>2026-08-06</w:t>
            </w:r>
          </w:p>
        </w:tc>
        <w:tc>
          <w:tcPr>
            <w:tcW w:type="dxa" w:w="3845"/>
          </w:tcPr>
          <w:p>
            <w:pPr>
              <w:spacing w:after="20"/>
            </w:pPr>
            <w:r>
              <w:rPr>
                <w:color w:val="1C3A36"/>
                <w:sz w:val="15"/>
              </w:rPr>
              <w:t>USD/EGP 50.25; the pound closed at 50.30/50.40 on 4 August 2026. The 52-week range is 46.64-54.86, so the currency is not range-bound</w:t>
            </w:r>
          </w:p>
        </w:tc>
      </w:tr>
      <w:tr>
        <w:tc>
          <w:tcPr>
            <w:tcW w:type="dxa" w:w="2736"/>
          </w:tcPr>
          <w:p>
            <w:pPr>
              <w:spacing w:after="20"/>
            </w:pPr>
            <w:r>
              <w:rPr>
                <w:color w:val="1C3A36"/>
                <w:sz w:val="15"/>
              </w:rPr>
              <w:t>fx_avg_cy25</w:t>
            </w:r>
          </w:p>
        </w:tc>
        <w:tc>
          <w:tcPr>
            <w:tcW w:type="dxa" w:w="2232"/>
          </w:tcPr>
          <w:p>
            <w:pPr>
              <w:spacing w:after="20"/>
            </w:pPr>
            <w:r>
              <w:rPr>
                <w:color w:val="1C3A36"/>
                <w:sz w:val="15"/>
              </w:rPr>
              <w:t>48.7</w:t>
            </w:r>
          </w:p>
        </w:tc>
        <w:tc>
          <w:tcPr>
            <w:tcW w:type="dxa" w:w="1368"/>
          </w:tcPr>
          <w:p>
            <w:pPr>
              <w:spacing w:after="20"/>
            </w:pPr>
            <w:r>
              <w:rPr>
                <w:color w:val="1C3A36"/>
                <w:sz w:val="15"/>
              </w:rPr>
              <w:t>2025-12-31</w:t>
            </w:r>
          </w:p>
        </w:tc>
        <w:tc>
          <w:tcPr>
            <w:tcW w:type="dxa" w:w="3845"/>
          </w:tcPr>
          <w:p>
            <w:pPr>
              <w:spacing w:after="20"/>
            </w:pPr>
            <w:r>
              <w:rPr>
                <w:color w:val="1C3A36"/>
                <w:sz w:val="15"/>
              </w:rPr>
              <w:t>USD/EGP average rate for calendar 2025, used to convert the dollar-denominated unit build back to the reported base year</w:t>
            </w:r>
          </w:p>
        </w:tc>
      </w:tr>
      <w:tr>
        <w:tc>
          <w:tcPr>
            <w:tcW w:type="dxa" w:w="2736"/>
          </w:tcPr>
          <w:p>
            <w:pPr>
              <w:spacing w:after="20"/>
            </w:pPr>
            <w:r>
              <w:rPr>
                <w:color w:val="1C3A36"/>
                <w:sz w:val="15"/>
              </w:rPr>
              <w:t>tax_stat</w:t>
            </w:r>
          </w:p>
        </w:tc>
        <w:tc>
          <w:tcPr>
            <w:tcW w:type="dxa" w:w="2232"/>
          </w:tcPr>
          <w:p>
            <w:pPr>
              <w:spacing w:after="20"/>
            </w:pPr>
            <w:r>
              <w:rPr>
                <w:color w:val="1C3A36"/>
                <w:sz w:val="15"/>
              </w:rPr>
              <w:t>0.225</w:t>
            </w:r>
          </w:p>
        </w:tc>
        <w:tc>
          <w:tcPr>
            <w:tcW w:type="dxa" w:w="1368"/>
          </w:tcPr>
          <w:p>
            <w:pPr>
              <w:spacing w:after="20"/>
            </w:pPr>
            <w:r>
              <w:rPr>
                <w:color w:val="1C3A36"/>
                <w:sz w:val="15"/>
              </w:rPr>
              <w:t>2026</w:t>
            </w:r>
          </w:p>
        </w:tc>
        <w:tc>
          <w:tcPr>
            <w:tcW w:type="dxa" w:w="3845"/>
          </w:tcPr>
          <w:p>
            <w:pPr>
              <w:spacing w:after="20"/>
            </w:pPr>
            <w:r>
              <w:rPr>
                <w:color w:val="1C3A36"/>
                <w:sz w:val="15"/>
              </w:rPr>
              <w:t>Egypt corporate income tax 22.5%. AMOC is a downstream processor and is taxed at the ordinary corporate rate, not the ~40.55% rate that applies to exploration and production concessions</w:t>
            </w:r>
          </w:p>
        </w:tc>
      </w:tr>
      <w:tr>
        <w:tc>
          <w:tcPr>
            <w:tcW w:type="dxa" w:w="2736"/>
          </w:tcPr>
          <w:p>
            <w:pPr>
              <w:spacing w:after="20"/>
            </w:pPr>
            <w:r>
              <w:rPr>
                <w:color w:val="1C3A36"/>
                <w:sz w:val="15"/>
              </w:rPr>
              <w:t>egypt_gdp_nominal</w:t>
            </w:r>
          </w:p>
        </w:tc>
        <w:tc>
          <w:tcPr>
            <w:tcW w:type="dxa" w:w="2232"/>
          </w:tcPr>
          <w:p>
            <w:pPr>
              <w:spacing w:after="20"/>
            </w:pPr>
            <w:r>
              <w:rPr>
                <w:color w:val="1C3A36"/>
                <w:sz w:val="15"/>
              </w:rPr>
              <w:t>20,000,000.0</w:t>
            </w:r>
          </w:p>
        </w:tc>
        <w:tc>
          <w:tcPr>
            <w:tcW w:type="dxa" w:w="1368"/>
          </w:tcPr>
          <w:p>
            <w:pPr>
              <w:spacing w:after="20"/>
            </w:pPr>
            <w:r>
              <w:rPr>
                <w:color w:val="1C3A36"/>
                <w:sz w:val="15"/>
              </w:rPr>
              <w:t>2026-08-06</w:t>
            </w:r>
          </w:p>
        </w:tc>
        <w:tc>
          <w:tcPr>
            <w:tcW w:type="dxa" w:w="3845"/>
          </w:tcPr>
          <w:p>
            <w:pPr>
              <w:spacing w:after="20"/>
            </w:pPr>
            <w:r>
              <w:rPr>
                <w:color w:val="1C3A36"/>
                <w:sz w:val="15"/>
              </w:rPr>
              <w:t>Egypt nominal gross domestic product, EGP mn, order of magnitude, used only for the terminal-growth crossover arithmetic</w:t>
            </w:r>
          </w:p>
        </w:tc>
      </w:tr>
      <w:tr>
        <w:tc>
          <w:tcPr>
            <w:tcW w:type="dxa" w:w="2736"/>
          </w:tcPr>
          <w:p>
            <w:pPr>
              <w:spacing w:after="20"/>
            </w:pPr>
            <w:r>
              <w:rPr>
                <w:color w:val="1C3A36"/>
                <w:sz w:val="15"/>
              </w:rPr>
              <w:t>g_term</w:t>
            </w:r>
          </w:p>
        </w:tc>
        <w:tc>
          <w:tcPr>
            <w:tcW w:type="dxa" w:w="2232"/>
          </w:tcPr>
          <w:p>
            <w:pPr>
              <w:spacing w:after="20"/>
            </w:pPr>
            <w:r>
              <w:rPr>
                <w:color w:val="1C3A36"/>
                <w:sz w:val="15"/>
              </w:rPr>
              <w:t>0.07</w:t>
            </w:r>
          </w:p>
        </w:tc>
        <w:tc>
          <w:tcPr>
            <w:tcW w:type="dxa" w:w="1368"/>
          </w:tcPr>
          <w:p>
            <w:pPr>
              <w:spacing w:after="20"/>
            </w:pPr>
            <w:r>
              <w:rPr>
                <w:color w:val="1C3A36"/>
                <w:sz w:val="15"/>
              </w:rPr>
              <w:t>2026-08-06</w:t>
            </w:r>
          </w:p>
        </w:tc>
        <w:tc>
          <w:tcPr>
            <w:tcW w:type="dxa" w:w="3845"/>
          </w:tcPr>
          <w:p>
            <w:pPr>
              <w:spacing w:after="20"/>
            </w:pPr>
            <w:r>
              <w:rPr>
                <w:color w:val="1C3A36"/>
                <w:sz w:val="15"/>
              </w:rPr>
              <w:t>Terminal growth, 7% — INFLATION ONLY, and no real growth at all. It is set equal to the central bank's published inflation target, which is the same 7% embedded in this study's own terminal risk-free rate. The previous edition used 5% against that identical 12.5% nominal rate, which is a business shrinking about 2% a year in real terms for ever — an assumption never stated as one, on a plant serving a population growing 1.6% a year. Zero real growth is still the conservative end: it assumes AMOC never again grows a tonne</w:t>
            </w:r>
          </w:p>
        </w:tc>
      </w:tr>
      <w:tr>
        <w:tc>
          <w:tcPr>
            <w:tcW w:type="dxa" w:w="2736"/>
          </w:tcPr>
          <w:p>
            <w:pPr>
              <w:spacing w:after="20"/>
            </w:pPr>
            <w:r>
              <w:rPr>
                <w:color w:val="1C3A36"/>
                <w:sz w:val="15"/>
              </w:rPr>
              <w:t>line_price_growth</w:t>
            </w:r>
          </w:p>
        </w:tc>
        <w:tc>
          <w:tcPr>
            <w:tcW w:type="dxa" w:w="2232"/>
          </w:tcPr>
          <w:p>
            <w:pPr>
              <w:spacing w:after="20"/>
            </w:pPr>
            <w:r>
              <w:rPr>
                <w:color w:val="1C3A36"/>
                <w:sz w:val="15"/>
              </w:rPr>
              <w:t>0.1317, 0.0927, 0.0634, 0.0488, 0.0439</w:t>
            </w:r>
          </w:p>
        </w:tc>
        <w:tc>
          <w:tcPr>
            <w:tcW w:type="dxa" w:w="1368"/>
          </w:tcPr>
          <w:p>
            <w:pPr>
              <w:spacing w:after="20"/>
            </w:pPr>
            <w:r>
              <w:rPr>
                <w:color w:val="1C3A36"/>
                <w:sz w:val="15"/>
              </w:rPr>
              <w:t>2026-08-06</w:t>
            </w:r>
          </w:p>
        </w:tc>
        <w:tc>
          <w:tcPr>
            <w:tcW w:type="dxa" w:w="3845"/>
          </w:tcPr>
          <w:p>
            <w:pPr>
              <w:spacing w:after="20"/>
            </w:pPr>
            <w:r>
              <w:rPr>
                <w:color w:val="1C3A36"/>
                <w:sz w:val="15"/>
              </w:rPr>
              <w:t>Growth in the realised price per tonne, all lines, in EGP. DERIVED, not chosen: crude is held FLAT in dollars — no forecast of it is defensible — and the pound depreciates at the inflation differential between the registered Egyptian path and United States inflation, so a dollar-priced slate fetches that many more pounds. This REPLACES a hand-set path of 9.0% falling to 5.2%, which sat two-thirds below the inflation this same model applies to the company's own costs, with no mechanism given for the gap</w:t>
            </w:r>
          </w:p>
        </w:tc>
      </w:tr>
      <w:tr>
        <w:tc>
          <w:tcPr>
            <w:tcW w:type="dxa" w:w="2736"/>
          </w:tcPr>
          <w:p>
            <w:pPr>
              <w:spacing w:after="20"/>
            </w:pPr>
            <w:r>
              <w:rPr>
                <w:color w:val="1C3A36"/>
                <w:sz w:val="15"/>
              </w:rPr>
              <w:t>fx_path</w:t>
            </w:r>
          </w:p>
        </w:tc>
        <w:tc>
          <w:tcPr>
            <w:tcW w:type="dxa" w:w="2232"/>
          </w:tcPr>
          <w:p>
            <w:pPr>
              <w:spacing w:after="20"/>
            </w:pPr>
            <w:r>
              <w:rPr>
                <w:color w:val="1C3A36"/>
                <w:sz w:val="15"/>
              </w:rPr>
              <w:t>55.11, 60.22, 64.04, 67.17, 70.11</w:t>
            </w:r>
          </w:p>
        </w:tc>
        <w:tc>
          <w:tcPr>
            <w:tcW w:type="dxa" w:w="1368"/>
          </w:tcPr>
          <w:p>
            <w:pPr>
              <w:spacing w:after="20"/>
            </w:pPr>
            <w:r>
              <w:rPr>
                <w:color w:val="1C3A36"/>
                <w:sz w:val="15"/>
              </w:rPr>
              <w:t>2026-08-06</w:t>
            </w:r>
          </w:p>
        </w:tc>
        <w:tc>
          <w:tcPr>
            <w:tcW w:type="dxa" w:w="3845"/>
          </w:tcPr>
          <w:p>
            <w:pPr>
              <w:spacing w:after="20"/>
            </w:pPr>
            <w:r>
              <w:rPr>
                <w:color w:val="1C3A36"/>
                <w:sz w:val="15"/>
              </w:rPr>
              <w:t>USD/EGP average-rate path, DERIVED from the same purchasing-power-parity relation as the price path so the two cannot disagree. It replaces a hand-set path that depreciated the pound at roughly a third of the inflation differential</w:t>
            </w:r>
          </w:p>
        </w:tc>
      </w:tr>
    </w:tbl>
    <w:p>
      <w:pPr>
        <w:spacing w:after="40"/>
      </w:pPr>
    </w:p>
    <w:p>
      <w:pPr>
        <w:spacing w:after="60" w:before="160"/>
      </w:pPr>
      <w:r>
        <w:rPr>
          <w:b/>
          <w:i w:val="0"/>
          <w:color w:val="1C3A36"/>
          <w:sz w:val="22"/>
        </w:rPr>
        <w:t>Global layer — 4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232"/>
        <w:gridCol w:w="1368"/>
        <w:gridCol w:w="3845"/>
      </w:tblGrid>
      <w:tr>
        <w:tc>
          <w:tcPr>
            <w:tcW w:type="dxa" w:w="2736"/>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368"/>
            <w:shd w:val="clear" w:color="auto" w:fill="EAF0EE"/>
          </w:tcPr>
          <w:p>
            <w:pPr>
              <w:spacing w:after="20"/>
            </w:pPr>
            <w:r>
              <w:rPr>
                <w:b/>
                <w:color w:val="1C3A36"/>
                <w:sz w:val="15"/>
              </w:rPr>
              <w:t>Date</w:t>
            </w:r>
          </w:p>
        </w:tc>
        <w:tc>
          <w:tcPr>
            <w:tcW w:type="dxa" w:w="3845"/>
            <w:shd w:val="clear" w:color="auto" w:fill="EAF0EE"/>
          </w:tcPr>
          <w:p>
            <w:pPr>
              <w:spacing w:after="20"/>
            </w:pPr>
            <w:r>
              <w:rPr>
                <w:b/>
                <w:color w:val="1C3A36"/>
                <w:sz w:val="15"/>
              </w:rPr>
              <w:t>Source and reasoning</w:t>
            </w:r>
          </w:p>
        </w:tc>
      </w:tr>
      <w:tr>
        <w:tc>
          <w:tcPr>
            <w:tcW w:type="dxa" w:w="2736"/>
          </w:tcPr>
          <w:p>
            <w:pPr>
              <w:spacing w:after="20"/>
            </w:pPr>
            <w:r>
              <w:rPr>
                <w:color w:val="1C3A36"/>
                <w:sz w:val="15"/>
              </w:rPr>
              <w:t>us_infl</w:t>
            </w:r>
          </w:p>
        </w:tc>
        <w:tc>
          <w:tcPr>
            <w:tcW w:type="dxa" w:w="2232"/>
          </w:tcPr>
          <w:p>
            <w:pPr>
              <w:spacing w:after="20"/>
            </w:pPr>
            <w:r>
              <w:rPr>
                <w:color w:val="1C3A36"/>
                <w:sz w:val="15"/>
              </w:rPr>
              <w:t>0.025</w:t>
            </w:r>
          </w:p>
        </w:tc>
        <w:tc>
          <w:tcPr>
            <w:tcW w:type="dxa" w:w="1368"/>
          </w:tcPr>
          <w:p>
            <w:pPr>
              <w:spacing w:after="20"/>
            </w:pPr>
            <w:r>
              <w:rPr>
                <w:color w:val="1C3A36"/>
                <w:sz w:val="15"/>
              </w:rPr>
              <w:t>2026-08-06</w:t>
            </w:r>
          </w:p>
        </w:tc>
        <w:tc>
          <w:tcPr>
            <w:tcW w:type="dxa" w:w="3845"/>
          </w:tcPr>
          <w:p>
            <w:pPr>
              <w:spacing w:after="20"/>
            </w:pPr>
            <w:r>
              <w:rPr>
                <w:color w:val="1C3A36"/>
                <w:sz w:val="15"/>
              </w:rPr>
              <w:t>Long-run United States consumer price inflation, the foreign leg of the purchasing-power-parity relation used to derive the currency path</w:t>
            </w:r>
          </w:p>
        </w:tc>
      </w:tr>
      <w:tr>
        <w:tc>
          <w:tcPr>
            <w:tcW w:type="dxa" w:w="2736"/>
          </w:tcPr>
          <w:p>
            <w:pPr>
              <w:spacing w:after="20"/>
            </w:pPr>
            <w:r>
              <w:rPr>
                <w:color w:val="1C3A36"/>
                <w:sz w:val="15"/>
              </w:rPr>
              <w:t>world_nominal_growth</w:t>
            </w:r>
          </w:p>
        </w:tc>
        <w:tc>
          <w:tcPr>
            <w:tcW w:type="dxa" w:w="2232"/>
          </w:tcPr>
          <w:p>
            <w:pPr>
              <w:spacing w:after="20"/>
            </w:pPr>
            <w:r>
              <w:rPr>
                <w:color w:val="1C3A36"/>
                <w:sz w:val="15"/>
              </w:rPr>
              <w:t>0.075</w:t>
            </w:r>
          </w:p>
        </w:tc>
        <w:tc>
          <w:tcPr>
            <w:tcW w:type="dxa" w:w="1368"/>
          </w:tcPr>
          <w:p>
            <w:pPr>
              <w:spacing w:after="20"/>
            </w:pPr>
            <w:r>
              <w:rPr>
                <w:color w:val="1C3A36"/>
                <w:sz w:val="15"/>
              </w:rPr>
              <w:t>2026-08-06</w:t>
            </w:r>
          </w:p>
        </w:tc>
        <w:tc>
          <w:tcPr>
            <w:tcW w:type="dxa" w:w="3845"/>
          </w:tcPr>
          <w:p>
            <w:pPr>
              <w:spacing w:after="20"/>
            </w:pPr>
            <w:r>
              <w:rPr>
                <w:color w:val="1C3A36"/>
                <w:sz w:val="15"/>
              </w:rPr>
              <w:t>Long-run world nominal growth used as the terminal ceiling for the export leg</w:t>
            </w:r>
          </w:p>
        </w:tc>
      </w:tr>
      <w:tr>
        <w:tc>
          <w:tcPr>
            <w:tcW w:type="dxa" w:w="2736"/>
          </w:tcPr>
          <w:p>
            <w:pPr>
              <w:spacing w:after="20"/>
            </w:pPr>
            <w:r>
              <w:rPr>
                <w:color w:val="1C3A36"/>
                <w:sz w:val="15"/>
              </w:rPr>
              <w:t>wacc_usd_rf</w:t>
            </w:r>
          </w:p>
        </w:tc>
        <w:tc>
          <w:tcPr>
            <w:tcW w:type="dxa" w:w="2232"/>
          </w:tcPr>
          <w:p>
            <w:pPr>
              <w:spacing w:after="20"/>
            </w:pPr>
            <w:r>
              <w:rPr>
                <w:color w:val="1C3A36"/>
                <w:sz w:val="15"/>
              </w:rPr>
              <w:t>0.043</w:t>
            </w:r>
          </w:p>
        </w:tc>
        <w:tc>
          <w:tcPr>
            <w:tcW w:type="dxa" w:w="1368"/>
          </w:tcPr>
          <w:p>
            <w:pPr>
              <w:spacing w:after="20"/>
            </w:pPr>
            <w:r>
              <w:rPr>
                <w:color w:val="1C3A36"/>
                <w:sz w:val="15"/>
              </w:rPr>
              <w:t>2026-08-06</w:t>
            </w:r>
          </w:p>
        </w:tc>
        <w:tc>
          <w:tcPr>
            <w:tcW w:type="dxa" w:w="3845"/>
          </w:tcPr>
          <w:p>
            <w:pPr>
              <w:spacing w:after="20"/>
            </w:pPr>
            <w:r>
              <w:rPr>
                <w:color w:val="1C3A36"/>
                <w:sz w:val="15"/>
              </w:rPr>
              <w:t>US 10-year Treasury yield used in the currency-of-discounting alternative</w:t>
            </w:r>
          </w:p>
        </w:tc>
      </w:tr>
      <w:tr>
        <w:tc>
          <w:tcPr>
            <w:tcW w:type="dxa" w:w="2736"/>
          </w:tcPr>
          <w:p>
            <w:pPr>
              <w:spacing w:after="20"/>
            </w:pPr>
            <w:r>
              <w:rPr>
                <w:color w:val="1C3A36"/>
                <w:sz w:val="15"/>
              </w:rPr>
              <w:t>wacc_usd_erp</w:t>
            </w:r>
          </w:p>
        </w:tc>
        <w:tc>
          <w:tcPr>
            <w:tcW w:type="dxa" w:w="2232"/>
          </w:tcPr>
          <w:p>
            <w:pPr>
              <w:spacing w:after="20"/>
            </w:pPr>
            <w:r>
              <w:rPr>
                <w:color w:val="1C3A36"/>
                <w:sz w:val="15"/>
              </w:rPr>
              <w:t>0.075</w:t>
            </w:r>
          </w:p>
        </w:tc>
        <w:tc>
          <w:tcPr>
            <w:tcW w:type="dxa" w:w="1368"/>
          </w:tcPr>
          <w:p>
            <w:pPr>
              <w:spacing w:after="20"/>
            </w:pPr>
            <w:r>
              <w:rPr>
                <w:color w:val="1C3A36"/>
                <w:sz w:val="15"/>
              </w:rPr>
              <w:t>2026-08-06</w:t>
            </w:r>
          </w:p>
        </w:tc>
        <w:tc>
          <w:tcPr>
            <w:tcW w:type="dxa" w:w="3845"/>
          </w:tcPr>
          <w:p>
            <w:pPr>
              <w:spacing w:after="20"/>
            </w:pPr>
            <w:r>
              <w:rPr>
                <w:color w:val="1C3A36"/>
                <w:sz w:val="15"/>
              </w:rPr>
              <w:t>Blended emerging-market equity risk premium applied to the dollar-denominated alternative</w:t>
            </w:r>
          </w:p>
        </w:tc>
      </w:tr>
    </w:tbl>
    <w:p>
      <w:pPr>
        <w:spacing w:after="40"/>
      </w:pPr>
    </w:p>
    <w:p>
      <w:pPr>
        <w:spacing w:after="60" w:before="160"/>
      </w:pPr>
      <w:r>
        <w:rPr>
          <w:b/>
          <w:i w:val="0"/>
          <w:color w:val="1C3A36"/>
          <w:sz w:val="22"/>
        </w:rPr>
        <w:t>House layer — 26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232"/>
        <w:gridCol w:w="1368"/>
        <w:gridCol w:w="3845"/>
      </w:tblGrid>
      <w:tr>
        <w:tc>
          <w:tcPr>
            <w:tcW w:type="dxa" w:w="2736"/>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368"/>
            <w:shd w:val="clear" w:color="auto" w:fill="EAF0EE"/>
          </w:tcPr>
          <w:p>
            <w:pPr>
              <w:spacing w:after="20"/>
            </w:pPr>
            <w:r>
              <w:rPr>
                <w:b/>
                <w:color w:val="1C3A36"/>
                <w:sz w:val="15"/>
              </w:rPr>
              <w:t>Date</w:t>
            </w:r>
          </w:p>
        </w:tc>
        <w:tc>
          <w:tcPr>
            <w:tcW w:type="dxa" w:w="3845"/>
            <w:shd w:val="clear" w:color="auto" w:fill="EAF0EE"/>
          </w:tcPr>
          <w:p>
            <w:pPr>
              <w:spacing w:after="20"/>
            </w:pPr>
            <w:r>
              <w:rPr>
                <w:b/>
                <w:color w:val="1C3A36"/>
                <w:sz w:val="15"/>
              </w:rPr>
              <w:t>Source and reasoning</w:t>
            </w:r>
          </w:p>
        </w:tc>
      </w:tr>
      <w:tr>
        <w:tc>
          <w:tcPr>
            <w:tcW w:type="dxa" w:w="2736"/>
          </w:tcPr>
          <w:p>
            <w:pPr>
              <w:spacing w:after="20"/>
            </w:pPr>
            <w:r>
              <w:rPr>
                <w:color w:val="1C3A36"/>
                <w:sz w:val="15"/>
              </w:rPr>
              <w:t>gm_superseded_annualised</w:t>
            </w:r>
          </w:p>
        </w:tc>
        <w:tc>
          <w:tcPr>
            <w:tcW w:type="dxa" w:w="2232"/>
          </w:tcPr>
          <w:p>
            <w:pPr>
              <w:spacing w:after="20"/>
            </w:pPr>
            <w:r>
              <w:rPr>
                <w:color w:val="1C3A36"/>
                <w:sz w:val="15"/>
              </w:rPr>
              <w:t>0.0708</w:t>
            </w:r>
          </w:p>
        </w:tc>
        <w:tc>
          <w:tcPr>
            <w:tcW w:type="dxa" w:w="1368"/>
          </w:tcPr>
          <w:p>
            <w:pPr>
              <w:spacing w:after="20"/>
            </w:pPr>
            <w:r>
              <w:rPr>
                <w:color w:val="1C3A36"/>
                <w:sz w:val="15"/>
              </w:rPr>
              <w:t>2026-08-06</w:t>
            </w:r>
          </w:p>
        </w:tc>
        <w:tc>
          <w:tcPr>
            <w:tcW w:type="dxa" w:w="3845"/>
          </w:tcPr>
          <w:p>
            <w:pPr>
              <w:spacing w:after="20"/>
            </w:pPr>
            <w:r>
              <w:rPr>
                <w:color w:val="1C3A36"/>
                <w:sz w:val="15"/>
              </w:rPr>
              <w:t>Base-year gross margin published by the 06-08-2026 edition of this study, which built revenue from the six-month product table doubled while annualising cost of sales from nine months by four thirds — so it corresponded to no filed period at all. Quoted in section 1.2 to show what changed; not an input to anything.</w:t>
            </w:r>
          </w:p>
        </w:tc>
      </w:tr>
      <w:tr>
        <w:tc>
          <w:tcPr>
            <w:tcW w:type="dxa" w:w="2736"/>
          </w:tcPr>
          <w:p>
            <w:pPr>
              <w:spacing w:after="20"/>
            </w:pPr>
            <w:r>
              <w:rPr>
                <w:color w:val="1C3A36"/>
                <w:sz w:val="15"/>
              </w:rPr>
              <w:t>tv_share_superseded</w:t>
            </w:r>
          </w:p>
        </w:tc>
        <w:tc>
          <w:tcPr>
            <w:tcW w:type="dxa" w:w="2232"/>
          </w:tcPr>
          <w:p>
            <w:pPr>
              <w:spacing w:after="20"/>
            </w:pPr>
            <w:r>
              <w:rPr>
                <w:color w:val="1C3A36"/>
                <w:sz w:val="15"/>
              </w:rPr>
              <w:t>0.587</w:t>
            </w:r>
          </w:p>
        </w:tc>
        <w:tc>
          <w:tcPr>
            <w:tcW w:type="dxa" w:w="1368"/>
          </w:tcPr>
          <w:p>
            <w:pPr>
              <w:spacing w:after="20"/>
            </w:pPr>
            <w:r>
              <w:rPr>
                <w:color w:val="1C3A36"/>
                <w:sz w:val="15"/>
              </w:rPr>
              <w:t>2026-08-06</w:t>
            </w:r>
          </w:p>
        </w:tc>
        <w:tc>
          <w:tcPr>
            <w:tcW w:type="dxa" w:w="3845"/>
          </w:tcPr>
          <w:p>
            <w:pPr>
              <w:spacing w:after="20"/>
            </w:pPr>
            <w:r>
              <w:rPr>
                <w:color w:val="1C3A36"/>
                <w:sz w:val="15"/>
              </w:rPr>
              <w:t>Terminal value as a share of enterprise value in the 06-08-2026 edition, before the terminal return was struck on invested capital at REPLACEMENT cost. Quoted in section 1.9 to show the direction of the change; not an input to anything.</w:t>
            </w:r>
          </w:p>
        </w:tc>
      </w:tr>
      <w:tr>
        <w:tc>
          <w:tcPr>
            <w:tcW w:type="dxa" w:w="2736"/>
          </w:tcPr>
          <w:p>
            <w:pPr>
              <w:spacing w:after="20"/>
            </w:pPr>
            <w:r>
              <w:rPr>
                <w:color w:val="1C3A36"/>
                <w:sz w:val="15"/>
              </w:rPr>
              <w:t>e1_pe</w:t>
            </w:r>
          </w:p>
        </w:tc>
        <w:tc>
          <w:tcPr>
            <w:tcW w:type="dxa" w:w="2232"/>
          </w:tcPr>
          <w:p>
            <w:pPr>
              <w:spacing w:after="20"/>
            </w:pPr>
            <w:r>
              <w:rPr>
                <w:color w:val="1C3A36"/>
                <w:sz w:val="15"/>
              </w:rPr>
              <w:t>7</w:t>
            </w:r>
          </w:p>
        </w:tc>
        <w:tc>
          <w:tcPr>
            <w:tcW w:type="dxa" w:w="1368"/>
          </w:tcPr>
          <w:p>
            <w:pPr>
              <w:spacing w:after="20"/>
            </w:pPr>
            <w:r>
              <w:rPr>
                <w:color w:val="1C3A36"/>
                <w:sz w:val="15"/>
              </w:rPr>
              <w:t>2026-08-06</w:t>
            </w:r>
          </w:p>
        </w:tc>
        <w:tc>
          <w:tcPr>
            <w:tcW w:type="dxa" w:w="3845"/>
          </w:tcPr>
          <w:p>
            <w:pPr>
              <w:spacing w:after="20"/>
            </w:pPr>
            <w:r>
              <w:rPr>
                <w:color w:val="1C3A36"/>
                <w:sz w:val="15"/>
              </w:rPr>
              <w:t>Expert 1's justified price/earnings multiple. Struck below the main normalised lens deliberately: it is an independent opinion, not a re-run of the house view</w:t>
            </w:r>
          </w:p>
        </w:tc>
      </w:tr>
      <w:tr>
        <w:tc>
          <w:tcPr>
            <w:tcW w:type="dxa" w:w="2736"/>
          </w:tcPr>
          <w:p>
            <w:pPr>
              <w:spacing w:after="20"/>
            </w:pPr>
            <w:r>
              <w:rPr>
                <w:color w:val="1C3A36"/>
                <w:sz w:val="15"/>
              </w:rPr>
              <w:t>proc_intensity</w:t>
            </w:r>
          </w:p>
        </w:tc>
        <w:tc>
          <w:tcPr>
            <w:tcW w:type="dxa" w:w="2232"/>
          </w:tcPr>
          <w:p>
            <w:pPr>
              <w:spacing w:after="20"/>
            </w:pPr>
            <w:r>
              <w:rPr>
                <w:color w:val="1C3A36"/>
                <w:sz w:val="15"/>
              </w:rPr>
              <w:t>oils: 1; wax: 1.15; gasoil: 0.25; naphtha: 0.2; lpg: 0.15; fueloil: 0.05; hfo: 0.05; waste: 0</w:t>
            </w:r>
          </w:p>
        </w:tc>
        <w:tc>
          <w:tcPr>
            <w:tcW w:type="dxa" w:w="1368"/>
          </w:tcPr>
          <w:p>
            <w:pPr>
              <w:spacing w:after="20"/>
            </w:pPr>
            <w:r>
              <w:rPr>
                <w:color w:val="1C3A36"/>
                <w:sz w:val="15"/>
              </w:rPr>
              <w:t>2026-08-06</w:t>
            </w:r>
          </w:p>
        </w:tc>
        <w:tc>
          <w:tcPr>
            <w:tcW w:type="dxa" w:w="3845"/>
          </w:tcPr>
          <w:p>
            <w:pPr>
              <w:spacing w:after="20"/>
            </w:pPr>
            <w:r>
              <w:rPr>
                <w:color w:val="1C3A36"/>
                <w:sz w:val="15"/>
              </w:rPr>
              <w:t>Processing intensity by product line, relative weights, used to allocate the note 15-A conversion stack (salaries, supporting materials, other, depreciation) across the eight disclosed lines. Base oils are the reference at 1.00: they pass the full lube train — vacuum distillation, solvent extraction, dewaxing, hydrofinishing. Paraffin wax carries 1.15 for the additional deoiling and sweating steps. Gas oil, naphtha and LPG are light ends drawn off the front of the process and carry 0.25/0.20/0.15. Fuel oil and heavy fuel oil are the residue, sold substantially as produced, at 0.05. THIS IS THE ONLY OPERATING INPUT IN THE MODEL THAT IS NOT READ OFF A FILING, and it exists because note 15-A discloses the cost stack for the company and not by line. It is stated here rather than hidden in a formula, and the valuation is sensitised to it</w:t>
            </w:r>
          </w:p>
        </w:tc>
      </w:tr>
      <w:tr>
        <w:tc>
          <w:tcPr>
            <w:tcW w:type="dxa" w:w="2736"/>
          </w:tcPr>
          <w:p>
            <w:pPr>
              <w:spacing w:after="20"/>
            </w:pPr>
            <w:r>
              <w:rPr>
                <w:color w:val="1C3A36"/>
                <w:sz w:val="15"/>
              </w:rPr>
              <w:t>raw_pass</w:t>
            </w:r>
          </w:p>
        </w:tc>
        <w:tc>
          <w:tcPr>
            <w:tcW w:type="dxa" w:w="2232"/>
          </w:tcPr>
          <w:p>
            <w:pPr>
              <w:spacing w:after="20"/>
            </w:pPr>
            <w:r>
              <w:rPr>
                <w:color w:val="1C3A36"/>
                <w:sz w:val="15"/>
              </w:rPr>
              <w:t>1</w:t>
            </w:r>
          </w:p>
        </w:tc>
        <w:tc>
          <w:tcPr>
            <w:tcW w:type="dxa" w:w="1368"/>
          </w:tcPr>
          <w:p>
            <w:pPr>
              <w:spacing w:after="20"/>
            </w:pPr>
            <w:r>
              <w:rPr>
                <w:color w:val="1C3A36"/>
                <w:sz w:val="15"/>
              </w:rPr>
              <w:t>2026-08-06</w:t>
            </w:r>
          </w:p>
        </w:tc>
        <w:tc>
          <w:tcPr>
            <w:tcW w:type="dxa" w:w="3845"/>
          </w:tcPr>
          <w:p>
            <w:pPr>
              <w:spacing w:after="20"/>
            </w:pPr>
            <w:r>
              <w:rPr>
                <w:color w:val="1C3A36"/>
                <w:sz w:val="15"/>
              </w:rPr>
              <w:t>Pass-through factor on the raw-material line: 1.0 means the feedstock charge moves one-for-one with realisation and volume, so the gross SPREAD per tonne is held flat in real terms and the margin neither widens nor narrows by assumption. Setting it below 1.0 is the way to express spread widening; the study leaves it at parity and sensitises it</w:t>
            </w:r>
          </w:p>
        </w:tc>
      </w:tr>
      <w:tr>
        <w:tc>
          <w:tcPr>
            <w:tcW w:type="dxa" w:w="2736"/>
          </w:tcPr>
          <w:p>
            <w:pPr>
              <w:spacing w:after="20"/>
            </w:pPr>
            <w:r>
              <w:rPr>
                <w:color w:val="1C3A36"/>
                <w:sz w:val="15"/>
              </w:rPr>
              <w:t>egypt_nominal_growth</w:t>
            </w:r>
          </w:p>
        </w:tc>
        <w:tc>
          <w:tcPr>
            <w:tcW w:type="dxa" w:w="2232"/>
          </w:tcPr>
          <w:p>
            <w:pPr>
              <w:spacing w:after="20"/>
            </w:pPr>
            <w:r>
              <w:rPr>
                <w:color w:val="1C3A36"/>
                <w:sz w:val="15"/>
              </w:rPr>
              <w:t>0.15</w:t>
            </w:r>
          </w:p>
        </w:tc>
        <w:tc>
          <w:tcPr>
            <w:tcW w:type="dxa" w:w="1368"/>
          </w:tcPr>
          <w:p>
            <w:pPr>
              <w:spacing w:after="20"/>
            </w:pPr>
            <w:r>
              <w:rPr>
                <w:color w:val="1C3A36"/>
                <w:sz w:val="15"/>
              </w:rPr>
              <w:t>2026-08-06</w:t>
            </w:r>
          </w:p>
        </w:tc>
        <w:tc>
          <w:tcPr>
            <w:tcW w:type="dxa" w:w="3845"/>
          </w:tcPr>
          <w:p>
            <w:pPr>
              <w:spacing w:after="20"/>
            </w:pPr>
            <w:r>
              <w:rPr>
                <w:color w:val="1C3A36"/>
                <w:sz w:val="15"/>
              </w:rPr>
              <w:t>Long-run Egyptian nominal growth used as the terminal ceiling for the domestic leg</w:t>
            </w:r>
          </w:p>
        </w:tc>
      </w:tr>
      <w:tr>
        <w:tc>
          <w:tcPr>
            <w:tcW w:type="dxa" w:w="2736"/>
          </w:tcPr>
          <w:p>
            <w:pPr>
              <w:spacing w:after="20"/>
            </w:pPr>
            <w:r>
              <w:rPr>
                <w:color w:val="1C3A36"/>
                <w:sz w:val="15"/>
              </w:rPr>
              <w:t>tax_eff</w:t>
            </w:r>
          </w:p>
        </w:tc>
        <w:tc>
          <w:tcPr>
            <w:tcW w:type="dxa" w:w="2232"/>
          </w:tcPr>
          <w:p>
            <w:pPr>
              <w:spacing w:after="20"/>
            </w:pPr>
            <w:r>
              <w:rPr>
                <w:color w:val="1C3A36"/>
                <w:sz w:val="15"/>
              </w:rPr>
              <w:t>0.235</w:t>
            </w:r>
          </w:p>
        </w:tc>
        <w:tc>
          <w:tcPr>
            <w:tcW w:type="dxa" w:w="1368"/>
          </w:tcPr>
          <w:p>
            <w:pPr>
              <w:spacing w:after="20"/>
            </w:pPr>
            <w:r>
              <w:rPr>
                <w:color w:val="1C3A36"/>
                <w:sz w:val="15"/>
              </w:rPr>
              <w:t>2026-08-06</w:t>
            </w:r>
          </w:p>
        </w:tc>
        <w:tc>
          <w:tcPr>
            <w:tcW w:type="dxa" w:w="3845"/>
          </w:tcPr>
          <w:p>
            <w:pPr>
              <w:spacing w:after="20"/>
            </w:pPr>
            <w:r>
              <w:rPr>
                <w:color w:val="1C3A36"/>
                <w:sz w:val="15"/>
              </w:rPr>
              <w:t>Effective tax rate used for NOPAT. Struck one percentage point above the 22.5% statutory rate for non-deductible items and the deferred-tax drag typical of Egyptian downstream filers</w:t>
            </w:r>
          </w:p>
        </w:tc>
      </w:tr>
      <w:tr>
        <w:tc>
          <w:tcPr>
            <w:tcW w:type="dxa" w:w="2736"/>
          </w:tcPr>
          <w:p>
            <w:pPr>
              <w:spacing w:after="20"/>
            </w:pPr>
            <w:r>
              <w:rPr>
                <w:color w:val="1C3A36"/>
                <w:sz w:val="15"/>
              </w:rPr>
              <w:t>recv_days</w:t>
            </w:r>
          </w:p>
        </w:tc>
        <w:tc>
          <w:tcPr>
            <w:tcW w:type="dxa" w:w="2232"/>
          </w:tcPr>
          <w:p>
            <w:pPr>
              <w:spacing w:after="20"/>
            </w:pPr>
            <w:r>
              <w:rPr>
                <w:color w:val="1C3A36"/>
                <w:sz w:val="15"/>
              </w:rPr>
              <w:t>14</w:t>
            </w:r>
          </w:p>
        </w:tc>
        <w:tc>
          <w:tcPr>
            <w:tcW w:type="dxa" w:w="1368"/>
          </w:tcPr>
          <w:p>
            <w:pPr>
              <w:spacing w:after="20"/>
            </w:pPr>
            <w:r>
              <w:rPr>
                <w:color w:val="1C3A36"/>
                <w:sz w:val="15"/>
              </w:rPr>
              <w:t>2026-08-06</w:t>
            </w:r>
          </w:p>
        </w:tc>
        <w:tc>
          <w:tcPr>
            <w:tcW w:type="dxa" w:w="3845"/>
          </w:tcPr>
          <w:p>
            <w:pPr>
              <w:spacing w:after="20"/>
            </w:pPr>
            <w:r>
              <w:rPr>
                <w:color w:val="1C3A36"/>
                <w:sz w:val="15"/>
              </w:rPr>
              <w:t>Trade receivable days. The offtake is dominated by the state petroleum complex on short settlement, which is why a company turning over EGP 40bn of revenue runs a balance sheet of only EGP 8.1bn</w:t>
            </w:r>
          </w:p>
        </w:tc>
      </w:tr>
      <w:tr>
        <w:tc>
          <w:tcPr>
            <w:tcW w:type="dxa" w:w="2736"/>
          </w:tcPr>
          <w:p>
            <w:pPr>
              <w:spacing w:after="20"/>
            </w:pPr>
            <w:r>
              <w:rPr>
                <w:color w:val="1C3A36"/>
                <w:sz w:val="15"/>
              </w:rPr>
              <w:t>inv_days</w:t>
            </w:r>
          </w:p>
        </w:tc>
        <w:tc>
          <w:tcPr>
            <w:tcW w:type="dxa" w:w="2232"/>
          </w:tcPr>
          <w:p>
            <w:pPr>
              <w:spacing w:after="20"/>
            </w:pPr>
            <w:r>
              <w:rPr>
                <w:color w:val="1C3A36"/>
                <w:sz w:val="15"/>
              </w:rPr>
              <w:t>14</w:t>
            </w:r>
          </w:p>
        </w:tc>
        <w:tc>
          <w:tcPr>
            <w:tcW w:type="dxa" w:w="1368"/>
          </w:tcPr>
          <w:p>
            <w:pPr>
              <w:spacing w:after="20"/>
            </w:pPr>
            <w:r>
              <w:rPr>
                <w:color w:val="1C3A36"/>
                <w:sz w:val="15"/>
              </w:rPr>
              <w:t>2026-08-06</w:t>
            </w:r>
          </w:p>
        </w:tc>
        <w:tc>
          <w:tcPr>
            <w:tcW w:type="dxa" w:w="3845"/>
          </w:tcPr>
          <w:p>
            <w:pPr>
              <w:spacing w:after="20"/>
            </w:pPr>
            <w:r>
              <w:rPr>
                <w:color w:val="1C3A36"/>
                <w:sz w:val="15"/>
              </w:rPr>
              <w:t>Inventory days on cost of sales. Feedstock is drawn from the adjacent refining complex rather than imported and stocked</w:t>
            </w:r>
          </w:p>
        </w:tc>
      </w:tr>
      <w:tr>
        <w:tc>
          <w:tcPr>
            <w:tcW w:type="dxa" w:w="2736"/>
          </w:tcPr>
          <w:p>
            <w:pPr>
              <w:spacing w:after="20"/>
            </w:pPr>
            <w:r>
              <w:rPr>
                <w:color w:val="1C3A36"/>
                <w:sz w:val="15"/>
              </w:rPr>
              <w:t>pay_days</w:t>
            </w:r>
          </w:p>
        </w:tc>
        <w:tc>
          <w:tcPr>
            <w:tcW w:type="dxa" w:w="2232"/>
          </w:tcPr>
          <w:p>
            <w:pPr>
              <w:spacing w:after="20"/>
            </w:pPr>
            <w:r>
              <w:rPr>
                <w:color w:val="1C3A36"/>
                <w:sz w:val="15"/>
              </w:rPr>
              <w:t>24</w:t>
            </w:r>
          </w:p>
        </w:tc>
        <w:tc>
          <w:tcPr>
            <w:tcW w:type="dxa" w:w="1368"/>
          </w:tcPr>
          <w:p>
            <w:pPr>
              <w:spacing w:after="20"/>
            </w:pPr>
            <w:r>
              <w:rPr>
                <w:color w:val="1C3A36"/>
                <w:sz w:val="15"/>
              </w:rPr>
              <w:t>2026-08-06</w:t>
            </w:r>
          </w:p>
        </w:tc>
        <w:tc>
          <w:tcPr>
            <w:tcW w:type="dxa" w:w="3845"/>
          </w:tcPr>
          <w:p>
            <w:pPr>
              <w:spacing w:after="20"/>
            </w:pPr>
            <w:r>
              <w:rPr>
                <w:color w:val="1C3A36"/>
                <w:sz w:val="15"/>
              </w:rPr>
              <w:t>Trade payable days on cost of sales. The feedstock payable to the state petroleum corporation is the company's principal source of working-capital funding</w:t>
            </w:r>
          </w:p>
        </w:tc>
      </w:tr>
      <w:tr>
        <w:tc>
          <w:tcPr>
            <w:tcW w:type="dxa" w:w="2736"/>
          </w:tcPr>
          <w:p>
            <w:pPr>
              <w:spacing w:after="20"/>
            </w:pPr>
            <w:r>
              <w:rPr>
                <w:color w:val="1C3A36"/>
                <w:sz w:val="15"/>
              </w:rPr>
              <w:t>other_ca</w:t>
            </w:r>
          </w:p>
        </w:tc>
        <w:tc>
          <w:tcPr>
            <w:tcW w:type="dxa" w:w="2232"/>
          </w:tcPr>
          <w:p>
            <w:pPr>
              <w:spacing w:after="20"/>
            </w:pPr>
            <w:r>
              <w:rPr>
                <w:color w:val="1C3A36"/>
                <w:sz w:val="15"/>
              </w:rPr>
              <w:t>300.0</w:t>
            </w:r>
          </w:p>
        </w:tc>
        <w:tc>
          <w:tcPr>
            <w:tcW w:type="dxa" w:w="1368"/>
          </w:tcPr>
          <w:p>
            <w:pPr>
              <w:spacing w:after="20"/>
            </w:pPr>
            <w:r>
              <w:rPr>
                <w:color w:val="1C3A36"/>
                <w:sz w:val="15"/>
              </w:rPr>
              <w:t>2026-08-06</w:t>
            </w:r>
          </w:p>
        </w:tc>
        <w:tc>
          <w:tcPr>
            <w:tcW w:type="dxa" w:w="3845"/>
          </w:tcPr>
          <w:p>
            <w:pPr>
              <w:spacing w:after="20"/>
            </w:pPr>
            <w:r>
              <w:rPr>
                <w:color w:val="1C3A36"/>
                <w:sz w:val="15"/>
              </w:rPr>
              <w:t>Other current assets, EGP mn, held flat</w:t>
            </w:r>
          </w:p>
        </w:tc>
      </w:tr>
      <w:tr>
        <w:tc>
          <w:tcPr>
            <w:tcW w:type="dxa" w:w="2736"/>
          </w:tcPr>
          <w:p>
            <w:pPr>
              <w:spacing w:after="20"/>
            </w:pPr>
            <w:r>
              <w:rPr>
                <w:color w:val="1C3A36"/>
                <w:sz w:val="15"/>
              </w:rPr>
              <w:t>dna_pct</w:t>
            </w:r>
          </w:p>
        </w:tc>
        <w:tc>
          <w:tcPr>
            <w:tcW w:type="dxa" w:w="2232"/>
          </w:tcPr>
          <w:p>
            <w:pPr>
              <w:spacing w:after="20"/>
            </w:pPr>
            <w:r>
              <w:rPr>
                <w:color w:val="1C3A36"/>
                <w:sz w:val="15"/>
              </w:rPr>
              <w:t>0.011</w:t>
            </w:r>
          </w:p>
        </w:tc>
        <w:tc>
          <w:tcPr>
            <w:tcW w:type="dxa" w:w="1368"/>
          </w:tcPr>
          <w:p>
            <w:pPr>
              <w:spacing w:after="20"/>
            </w:pPr>
            <w:r>
              <w:rPr>
                <w:color w:val="1C3A36"/>
                <w:sz w:val="15"/>
              </w:rPr>
              <w:t>2026-08-06</w:t>
            </w:r>
          </w:p>
        </w:tc>
        <w:tc>
          <w:tcPr>
            <w:tcW w:type="dxa" w:w="3845"/>
          </w:tcPr>
          <w:p>
            <w:pPr>
              <w:spacing w:after="20"/>
            </w:pPr>
            <w:r>
              <w:rPr>
                <w:color w:val="1C3A36"/>
                <w:sz w:val="15"/>
              </w:rPr>
              <w:t>Depreciation and amortisation as a share of revenue. The complex was commissioned between 1997 and 2000 and is substantially written down, which is why the charge is small against turnover</w:t>
            </w:r>
          </w:p>
        </w:tc>
      </w:tr>
      <w:tr>
        <w:tc>
          <w:tcPr>
            <w:tcW w:type="dxa" w:w="2736"/>
          </w:tcPr>
          <w:p>
            <w:pPr>
              <w:spacing w:after="20"/>
            </w:pPr>
            <w:r>
              <w:rPr>
                <w:color w:val="1C3A36"/>
                <w:sz w:val="15"/>
              </w:rPr>
              <w:t>capex_pct</w:t>
            </w:r>
          </w:p>
        </w:tc>
        <w:tc>
          <w:tcPr>
            <w:tcW w:type="dxa" w:w="2232"/>
          </w:tcPr>
          <w:p>
            <w:pPr>
              <w:spacing w:after="20"/>
            </w:pPr>
            <w:r>
              <w:rPr>
                <w:color w:val="1C3A36"/>
                <w:sz w:val="15"/>
              </w:rPr>
              <w:t>0.0145, 0.014, 0.0135, 0.013, 0.0125</w:t>
            </w:r>
          </w:p>
        </w:tc>
        <w:tc>
          <w:tcPr>
            <w:tcW w:type="dxa" w:w="1368"/>
          </w:tcPr>
          <w:p>
            <w:pPr>
              <w:spacing w:after="20"/>
            </w:pPr>
            <w:r>
              <w:rPr>
                <w:color w:val="1C3A36"/>
                <w:sz w:val="15"/>
              </w:rPr>
              <w:t>2026-08-06</w:t>
            </w:r>
          </w:p>
        </w:tc>
        <w:tc>
          <w:tcPr>
            <w:tcW w:type="dxa" w:w="3845"/>
          </w:tcPr>
          <w:p>
            <w:pPr>
              <w:spacing w:after="20"/>
            </w:pPr>
            <w:r>
              <w:rPr>
                <w:color w:val="1C3A36"/>
                <w:sz w:val="15"/>
              </w:rPr>
              <w:t>Capital expenditure as a share of revenue, tapering. Anchored on the approved EGP 580.19mn budget against the same year's budgeted net sales of EGP 37.332bn, which is 1.55%; the taper reflects the completion of the current storage-tank and environmental programme</w:t>
            </w:r>
          </w:p>
        </w:tc>
      </w:tr>
      <w:tr>
        <w:tc>
          <w:tcPr>
            <w:tcW w:type="dxa" w:w="2736"/>
          </w:tcPr>
          <w:p>
            <w:pPr>
              <w:spacing w:after="20"/>
            </w:pPr>
            <w:r>
              <w:rPr>
                <w:color w:val="1C3A36"/>
                <w:sz w:val="15"/>
              </w:rPr>
              <w:t>opex_pct</w:t>
            </w:r>
          </w:p>
        </w:tc>
        <w:tc>
          <w:tcPr>
            <w:tcW w:type="dxa" w:w="2232"/>
          </w:tcPr>
          <w:p>
            <w:pPr>
              <w:spacing w:after="20"/>
            </w:pPr>
            <w:r>
              <w:rPr>
                <w:color w:val="1C3A36"/>
                <w:sz w:val="15"/>
              </w:rPr>
              <w:t>0.0125, 0.0125, 0.0126, 0.0127, 0.0128</w:t>
            </w:r>
          </w:p>
        </w:tc>
        <w:tc>
          <w:tcPr>
            <w:tcW w:type="dxa" w:w="1368"/>
          </w:tcPr>
          <w:p>
            <w:pPr>
              <w:spacing w:after="20"/>
            </w:pPr>
            <w:r>
              <w:rPr>
                <w:color w:val="1C3A36"/>
                <w:sz w:val="15"/>
              </w:rPr>
              <w:t>2026-08-06</w:t>
            </w:r>
          </w:p>
        </w:tc>
        <w:tc>
          <w:tcPr>
            <w:tcW w:type="dxa" w:w="3845"/>
          </w:tcPr>
          <w:p>
            <w:pPr>
              <w:spacing w:after="20"/>
            </w:pPr>
            <w:r>
              <w:rPr>
                <w:color w:val="1C3A36"/>
                <w:sz w:val="15"/>
              </w:rPr>
              <w:t>The net operating load between gross profit and EBITDA, as a share of revenue — selling, general and administrative costs and other expenses, less other operating income</w:t>
            </w:r>
          </w:p>
        </w:tc>
      </w:tr>
      <w:tr>
        <w:tc>
          <w:tcPr>
            <w:tcW w:type="dxa" w:w="2736"/>
          </w:tcPr>
          <w:p>
            <w:pPr>
              <w:spacing w:after="20"/>
            </w:pPr>
            <w:r>
              <w:rPr>
                <w:color w:val="1C3A36"/>
                <w:sz w:val="15"/>
              </w:rPr>
              <w:t>cash_yield</w:t>
            </w:r>
          </w:p>
        </w:tc>
        <w:tc>
          <w:tcPr>
            <w:tcW w:type="dxa" w:w="2232"/>
          </w:tcPr>
          <w:p>
            <w:pPr>
              <w:spacing w:after="20"/>
            </w:pPr>
            <w:r>
              <w:rPr>
                <w:color w:val="1C3A36"/>
                <w:sz w:val="15"/>
              </w:rPr>
              <w:t>0.17</w:t>
            </w:r>
          </w:p>
        </w:tc>
        <w:tc>
          <w:tcPr>
            <w:tcW w:type="dxa" w:w="1368"/>
          </w:tcPr>
          <w:p>
            <w:pPr>
              <w:spacing w:after="20"/>
            </w:pPr>
            <w:r>
              <w:rPr>
                <w:color w:val="1C3A36"/>
                <w:sz w:val="15"/>
              </w:rPr>
              <w:t>2026-08-06</w:t>
            </w:r>
          </w:p>
        </w:tc>
        <w:tc>
          <w:tcPr>
            <w:tcW w:type="dxa" w:w="3845"/>
          </w:tcPr>
          <w:p>
            <w:pPr>
              <w:spacing w:after="20"/>
            </w:pPr>
            <w:r>
              <w:rPr>
                <w:color w:val="1C3A36"/>
                <w:sz w:val="15"/>
              </w:rPr>
              <w:t>Yield earned on the cash pile. Egyptian treasury bills and corporate deposits price a few points under the 19.50% policy rate net of the 20% withholding on interest</w:t>
            </w:r>
          </w:p>
        </w:tc>
      </w:tr>
      <w:tr>
        <w:tc>
          <w:tcPr>
            <w:tcW w:type="dxa" w:w="2736"/>
          </w:tcPr>
          <w:p>
            <w:pPr>
              <w:spacing w:after="20"/>
            </w:pPr>
            <w:r>
              <w:rPr>
                <w:color w:val="1C3A36"/>
                <w:sz w:val="15"/>
              </w:rPr>
              <w:t>cash_yield_path</w:t>
            </w:r>
          </w:p>
        </w:tc>
        <w:tc>
          <w:tcPr>
            <w:tcW w:type="dxa" w:w="2232"/>
          </w:tcPr>
          <w:p>
            <w:pPr>
              <w:spacing w:after="20"/>
            </w:pPr>
            <w:r>
              <w:rPr>
                <w:color w:val="1C3A36"/>
                <w:sz w:val="15"/>
              </w:rPr>
              <w:t>0.17, 0.15, 0.135, 0.125, 0.118</w:t>
            </w:r>
          </w:p>
        </w:tc>
        <w:tc>
          <w:tcPr>
            <w:tcW w:type="dxa" w:w="1368"/>
          </w:tcPr>
          <w:p>
            <w:pPr>
              <w:spacing w:after="20"/>
            </w:pPr>
            <w:r>
              <w:rPr>
                <w:color w:val="1C3A36"/>
                <w:sz w:val="15"/>
              </w:rPr>
              <w:t>2026-08-06</w:t>
            </w:r>
          </w:p>
        </w:tc>
        <w:tc>
          <w:tcPr>
            <w:tcW w:type="dxa" w:w="3845"/>
          </w:tcPr>
          <w:p>
            <w:pPr>
              <w:spacing w:after="20"/>
            </w:pPr>
            <w:r>
              <w:rPr>
                <w:color w:val="1C3A36"/>
                <w:sz w:val="15"/>
              </w:rPr>
              <w:t>Forward path for the deposit yield, easing with the policy rate</w:t>
            </w:r>
          </w:p>
        </w:tc>
      </w:tr>
      <w:tr>
        <w:tc>
          <w:tcPr>
            <w:tcW w:type="dxa" w:w="2736"/>
          </w:tcPr>
          <w:p>
            <w:pPr>
              <w:spacing w:after="20"/>
            </w:pPr>
            <w:r>
              <w:rPr>
                <w:color w:val="1C3A36"/>
                <w:sz w:val="15"/>
              </w:rPr>
              <w:t>kd</w:t>
            </w:r>
          </w:p>
        </w:tc>
        <w:tc>
          <w:tcPr>
            <w:tcW w:type="dxa" w:w="2232"/>
          </w:tcPr>
          <w:p>
            <w:pPr>
              <w:spacing w:after="20"/>
            </w:pPr>
            <w:r>
              <w:rPr>
                <w:color w:val="1C3A36"/>
                <w:sz w:val="15"/>
              </w:rPr>
              <w:t>0.2431</w:t>
            </w:r>
          </w:p>
        </w:tc>
        <w:tc>
          <w:tcPr>
            <w:tcW w:type="dxa" w:w="1368"/>
          </w:tcPr>
          <w:p>
            <w:pPr>
              <w:spacing w:after="20"/>
            </w:pPr>
            <w:r>
              <w:rPr>
                <w:color w:val="1C3A36"/>
                <w:sz w:val="15"/>
              </w:rPr>
              <w:t>2026-09-02</w:t>
            </w:r>
          </w:p>
        </w:tc>
        <w:tc>
          <w:tcPr>
            <w:tcW w:type="dxa" w:w="3845"/>
          </w:tcPr>
          <w:p>
            <w:pPr>
              <w:spacing w:after="20"/>
            </w:pPr>
            <w:r>
              <w:rPr>
                <w:color w:val="1C3A36"/>
                <w:sz w:val="15"/>
              </w:rPr>
              <w:t>Marginal cost of debt: the Egyptian ten-year sovereign yield this study discounts with, plus a 200bp corporate spread. The gross book is EGP 25mn — 0.06% of revenue — of short-dated Egyptian-pound facilities, so no observable marginal rate exists and the rate is built rather than pretended to be observed. It replaces a build off the 20.00% corridor lending rate, which produced 22.00% — below the sovereign, which a same-currency corporate cannot be. The integrity gate below computes what this input is actually WORTH to the answer</w:t>
            </w:r>
          </w:p>
        </w:tc>
      </w:tr>
      <w:tr>
        <w:tc>
          <w:tcPr>
            <w:tcW w:type="dxa" w:w="2736"/>
          </w:tcPr>
          <w:p>
            <w:pPr>
              <w:spacing w:after="20"/>
            </w:pPr>
            <w:r>
              <w:rPr>
                <w:color w:val="1C3A36"/>
                <w:sz w:val="15"/>
              </w:rPr>
              <w:t>kd_path</w:t>
            </w:r>
          </w:p>
        </w:tc>
        <w:tc>
          <w:tcPr>
            <w:tcW w:type="dxa" w:w="2232"/>
          </w:tcPr>
          <w:p>
            <w:pPr>
              <w:spacing w:after="20"/>
            </w:pPr>
            <w:r>
              <w:rPr>
                <w:color w:val="1C3A36"/>
                <w:sz w:val="15"/>
              </w:rPr>
              <w:t>0.2431, 0.195, 0.175, 0.16, 0.15</w:t>
            </w:r>
          </w:p>
        </w:tc>
        <w:tc>
          <w:tcPr>
            <w:tcW w:type="dxa" w:w="1368"/>
          </w:tcPr>
          <w:p>
            <w:pPr>
              <w:spacing w:after="20"/>
            </w:pPr>
            <w:r>
              <w:rPr>
                <w:color w:val="1C3A36"/>
                <w:sz w:val="15"/>
              </w:rPr>
              <w:t>2026-08-06</w:t>
            </w:r>
          </w:p>
        </w:tc>
        <w:tc>
          <w:tcPr>
            <w:tcW w:type="dxa" w:w="3845"/>
          </w:tcPr>
          <w:p>
            <w:pPr>
              <w:spacing w:after="20"/>
            </w:pPr>
            <w:r>
              <w:rPr>
                <w:color w:val="1C3A36"/>
                <w:sz w:val="15"/>
              </w:rPr>
              <w:t>Forward cost-of-debt path 2026E-2030E, following the central bank's own disinflation path toward the long-run Egyptian corporate-borrowing norm. This path is what sets the SHAPE of the cost-of-capital glide; it is not a second free parameter</w:t>
            </w:r>
          </w:p>
        </w:tc>
      </w:tr>
      <w:tr>
        <w:tc>
          <w:tcPr>
            <w:tcW w:type="dxa" w:w="2736"/>
          </w:tcPr>
          <w:p>
            <w:pPr>
              <w:spacing w:after="20"/>
            </w:pPr>
            <w:r>
              <w:rPr>
                <w:color w:val="1C3A36"/>
                <w:sz w:val="15"/>
              </w:rPr>
              <w:t>kd_term</w:t>
            </w:r>
          </w:p>
        </w:tc>
        <w:tc>
          <w:tcPr>
            <w:tcW w:type="dxa" w:w="2232"/>
          </w:tcPr>
          <w:p>
            <w:pPr>
              <w:spacing w:after="20"/>
            </w:pPr>
            <w:r>
              <w:rPr>
                <w:color w:val="1C3A36"/>
                <w:sz w:val="15"/>
              </w:rPr>
              <w:t>0.15</w:t>
            </w:r>
          </w:p>
        </w:tc>
        <w:tc>
          <w:tcPr>
            <w:tcW w:type="dxa" w:w="1368"/>
          </w:tcPr>
          <w:p>
            <w:pPr>
              <w:spacing w:after="20"/>
            </w:pPr>
            <w:r>
              <w:rPr>
                <w:color w:val="1C3A36"/>
                <w:sz w:val="15"/>
              </w:rPr>
              <w:t>2026-08-06</w:t>
            </w:r>
          </w:p>
        </w:tc>
        <w:tc>
          <w:tcPr>
            <w:tcW w:type="dxa" w:w="3845"/>
          </w:tcPr>
          <w:p>
            <w:pPr>
              <w:spacing w:after="20"/>
            </w:pPr>
            <w:r>
              <w:rPr>
                <w:color w:val="1C3A36"/>
                <w:sz w:val="15"/>
              </w:rPr>
              <w:t>Terminal cost of debt: the midpoint of the 14-16% long-run Egyptian corporate-borrowing norm, with no name-specific reason to deviate</w:t>
            </w:r>
          </w:p>
        </w:tc>
      </w:tr>
      <w:tr>
        <w:tc>
          <w:tcPr>
            <w:tcW w:type="dxa" w:w="2736"/>
          </w:tcPr>
          <w:p>
            <w:pPr>
              <w:spacing w:after="20"/>
            </w:pPr>
            <w:r>
              <w:rPr>
                <w:color w:val="1C3A36"/>
                <w:sz w:val="15"/>
              </w:rPr>
              <w:t>real_rate_term</w:t>
            </w:r>
          </w:p>
        </w:tc>
        <w:tc>
          <w:tcPr>
            <w:tcW w:type="dxa" w:w="2232"/>
          </w:tcPr>
          <w:p>
            <w:pPr>
              <w:spacing w:after="20"/>
            </w:pPr>
            <w:r>
              <w:rPr>
                <w:color w:val="1C3A36"/>
                <w:sz w:val="15"/>
              </w:rPr>
              <w:t>0.02</w:t>
            </w:r>
          </w:p>
        </w:tc>
        <w:tc>
          <w:tcPr>
            <w:tcW w:type="dxa" w:w="1368"/>
          </w:tcPr>
          <w:p>
            <w:pPr>
              <w:spacing w:after="20"/>
            </w:pPr>
            <w:r>
              <w:rPr>
                <w:color w:val="1C3A36"/>
                <w:sz w:val="15"/>
              </w:rPr>
              <w:t>2026-09-10</w:t>
            </w:r>
          </w:p>
        </w:tc>
        <w:tc>
          <w:tcPr>
            <w:tcW w:type="dxa" w:w="3845"/>
          </w:tcPr>
          <w:p>
            <w:pPr>
              <w:spacing w:after="20"/>
            </w:pPr>
            <w:r>
              <w:rPr>
                <w:color w:val="1C3A36"/>
                <w:sz w:val="15"/>
              </w:rPr>
              <w:t>Terminal real risk-free rate. It is NOT set by this study: it is read from the single long-run view of the Egyptian economy that every study in this book discounts on, so one company cannot quietly hold a different one. The terminal NOMINAL risk-free rate is not an input either — it is that same shared view's own figure, this real rate plus the central bank's inflation target in force for the terminal horizon — so the single most terminal-value-sensitive number in the model can be set neither by hand nor by this study alone. TWO EDITIONS OF THIS LINE ARE RETIRED. The first hardcoded 10.50% by adding 5.5pp to the 5% target dated Q4-2028 while describing it as 'the' medium-term target. The second, adopted 06-Aug-2026, derived the rate correctly but from a real convention typed into this file, so when the house convention moved from 5.5% to 3.5% — the retired figure being a restrictive policy stance rather than a long-run real rate — this study went on discounting at 12.50% while every conformed study discounted at 10.50%. Two readers of one economy must not disagree</w:t>
            </w:r>
          </w:p>
        </w:tc>
      </w:tr>
      <w:tr>
        <w:tc>
          <w:tcPr>
            <w:tcW w:type="dxa" w:w="2736"/>
          </w:tcPr>
          <w:p>
            <w:pPr>
              <w:spacing w:after="20"/>
            </w:pPr>
            <w:r>
              <w:rPr>
                <w:color w:val="1C3A36"/>
                <w:sz w:val="15"/>
              </w:rPr>
              <w:t>erp_term</w:t>
            </w:r>
          </w:p>
        </w:tc>
        <w:tc>
          <w:tcPr>
            <w:tcW w:type="dxa" w:w="2232"/>
          </w:tcPr>
          <w:p>
            <w:pPr>
              <w:spacing w:after="20"/>
            </w:pPr>
            <w:r>
              <w:rPr>
                <w:color w:val="1C3A36"/>
                <w:sz w:val="15"/>
              </w:rPr>
              <w:t>0.07</w:t>
            </w:r>
          </w:p>
        </w:tc>
        <w:tc>
          <w:tcPr>
            <w:tcW w:type="dxa" w:w="1368"/>
          </w:tcPr>
          <w:p>
            <w:pPr>
              <w:spacing w:after="20"/>
            </w:pPr>
            <w:r>
              <w:rPr>
                <w:color w:val="1C3A36"/>
                <w:sz w:val="15"/>
              </w:rPr>
              <w:t>2026-08-06</w:t>
            </w:r>
          </w:p>
        </w:tc>
        <w:tc>
          <w:tcPr>
            <w:tcW w:type="dxa" w:w="3845"/>
          </w:tcPr>
          <w:p>
            <w:pPr>
              <w:spacing w:after="20"/>
            </w:pPr>
            <w:r>
              <w:rPr>
                <w:color w:val="1C3A36"/>
                <w:sz w:val="15"/>
              </w:rPr>
              <w:t>Terminal equity risk premium, normalised below the currently elevated crisis-era level toward the rating-class norm; never held flat into perpetuity</w:t>
            </w:r>
          </w:p>
        </w:tc>
      </w:tr>
      <w:tr>
        <w:tc>
          <w:tcPr>
            <w:tcW w:type="dxa" w:w="2736"/>
          </w:tcPr>
          <w:p>
            <w:pPr>
              <w:spacing w:after="20"/>
            </w:pPr>
            <w:r>
              <w:rPr>
                <w:color w:val="1C3A36"/>
                <w:sz w:val="15"/>
              </w:rPr>
              <w:t>wd_term</w:t>
            </w:r>
          </w:p>
        </w:tc>
        <w:tc>
          <w:tcPr>
            <w:tcW w:type="dxa" w:w="2232"/>
          </w:tcPr>
          <w:p>
            <w:pPr>
              <w:spacing w:after="20"/>
            </w:pPr>
            <w:r>
              <w:rPr>
                <w:color w:val="1C3A36"/>
                <w:sz w:val="15"/>
              </w:rPr>
              <w:t>0.1</w:t>
            </w:r>
          </w:p>
        </w:tc>
        <w:tc>
          <w:tcPr>
            <w:tcW w:type="dxa" w:w="1368"/>
          </w:tcPr>
          <w:p>
            <w:pPr>
              <w:spacing w:after="20"/>
            </w:pPr>
            <w:r>
              <w:rPr>
                <w:color w:val="1C3A36"/>
                <w:sz w:val="15"/>
              </w:rPr>
              <w:t>2026-08-06</w:t>
            </w:r>
          </w:p>
        </w:tc>
        <w:tc>
          <w:tcPr>
            <w:tcW w:type="dxa" w:w="3845"/>
          </w:tcPr>
          <w:p>
            <w:pPr>
              <w:spacing w:after="20"/>
            </w:pPr>
            <w:r>
              <w:rPr>
                <w:color w:val="1C3A36"/>
                <w:sz w:val="15"/>
              </w:rPr>
              <w:t>Terminal debt weight, normalised. The company is net cash today and has been for years; a terminal structure carrying a tenth of capital in debt is already generous to the valuation and avoids capitalising the current zero-leverage position into perpetuity</w:t>
            </w:r>
          </w:p>
        </w:tc>
      </w:tr>
      <w:tr>
        <w:tc>
          <w:tcPr>
            <w:tcW w:type="dxa" w:w="2736"/>
          </w:tcPr>
          <w:p>
            <w:pPr>
              <w:spacing w:after="20"/>
            </w:pPr>
            <w:r>
              <w:rPr>
                <w:color w:val="1C3A36"/>
                <w:sz w:val="15"/>
              </w:rPr>
              <w:t>lens_weights</w:t>
            </w:r>
          </w:p>
        </w:tc>
        <w:tc>
          <w:tcPr>
            <w:tcW w:type="dxa" w:w="2232"/>
          </w:tcPr>
          <w:p>
            <w:pPr>
              <w:spacing w:after="20"/>
            </w:pPr>
            <w:r>
              <w:rPr>
                <w:color w:val="1C3A36"/>
                <w:sz w:val="15"/>
              </w:rPr>
              <w:t>dcf: 0.45; relative: 0.2; normalized: 0.2; book: 0.15</w:t>
            </w:r>
          </w:p>
        </w:tc>
        <w:tc>
          <w:tcPr>
            <w:tcW w:type="dxa" w:w="1368"/>
          </w:tcPr>
          <w:p>
            <w:pPr>
              <w:spacing w:after="20"/>
            </w:pPr>
            <w:r>
              <w:rPr>
                <w:color w:val="1C3A36"/>
                <w:sz w:val="15"/>
              </w:rPr>
              <w:t>2026-08-06</w:t>
            </w:r>
          </w:p>
        </w:tc>
        <w:tc>
          <w:tcPr>
            <w:tcW w:type="dxa" w:w="3845"/>
          </w:tcPr>
          <w:p>
            <w:pPr>
              <w:spacing w:after="20"/>
            </w:pPr>
            <w:r>
              <w:rPr>
                <w:color w:val="1C3A36"/>
                <w:sz w:val="15"/>
              </w:rPr>
              <w:t>Discounted cash flow primary for a single-asset operating processor with a visible volume ramp; the relative and normalised-earnings lenses carry equal secondary weight; the book lens least, because a substantially depreciated plant makes book value a poor proxy for replacement cost</w:t>
            </w:r>
          </w:p>
        </w:tc>
      </w:tr>
      <w:tr>
        <w:tc>
          <w:tcPr>
            <w:tcW w:type="dxa" w:w="2736"/>
          </w:tcPr>
          <w:p>
            <w:pPr>
              <w:spacing w:after="20"/>
            </w:pPr>
            <w:r>
              <w:rPr>
                <w:color w:val="1C3A36"/>
                <w:sz w:val="15"/>
              </w:rPr>
              <w:t>pe_just</w:t>
            </w:r>
          </w:p>
        </w:tc>
        <w:tc>
          <w:tcPr>
            <w:tcW w:type="dxa" w:w="2232"/>
          </w:tcPr>
          <w:p>
            <w:pPr>
              <w:spacing w:after="20"/>
            </w:pPr>
            <w:r>
              <w:rPr>
                <w:color w:val="1C3A36"/>
                <w:sz w:val="15"/>
              </w:rPr>
              <w:t>7.5</w:t>
            </w:r>
          </w:p>
        </w:tc>
        <w:tc>
          <w:tcPr>
            <w:tcW w:type="dxa" w:w="1368"/>
          </w:tcPr>
          <w:p>
            <w:pPr>
              <w:spacing w:after="20"/>
            </w:pPr>
            <w:r>
              <w:rPr>
                <w:color w:val="1C3A36"/>
                <w:sz w:val="15"/>
              </w:rPr>
              <w:t>2026-08-06</w:t>
            </w:r>
          </w:p>
        </w:tc>
        <w:tc>
          <w:tcPr>
            <w:tcW w:type="dxa" w:w="3845"/>
          </w:tcPr>
          <w:p>
            <w:pPr>
              <w:spacing w:after="20"/>
            </w:pPr>
            <w:r>
              <w:rPr>
                <w:color w:val="1C3A36"/>
                <w:sz w:val="15"/>
              </w:rPr>
              <w:t>Justified through-cycle price-to-earnings multiple on normalised earnings. Trailing is about 7.5x on the constructed 2025 base. A single-asset processor with a 20% state shareholder, an administered feedstock relationship and an Egyptian cost of equity near 28% does not earn a premium multiple. Bear 5.5x / bull 9.5x</w:t>
            </w:r>
          </w:p>
        </w:tc>
      </w:tr>
      <w:tr>
        <w:tc>
          <w:tcPr>
            <w:tcW w:type="dxa" w:w="2736"/>
          </w:tcPr>
          <w:p>
            <w:pPr>
              <w:spacing w:after="20"/>
            </w:pPr>
            <w:r>
              <w:rPr>
                <w:color w:val="1C3A36"/>
                <w:sz w:val="15"/>
              </w:rPr>
              <w:t>rel_rerating</w:t>
            </w:r>
          </w:p>
        </w:tc>
        <w:tc>
          <w:tcPr>
            <w:tcW w:type="dxa" w:w="2232"/>
          </w:tcPr>
          <w:p>
            <w:pPr>
              <w:spacing w:after="20"/>
            </w:pPr>
            <w:r>
              <w:rPr>
                <w:color w:val="1C3A36"/>
                <w:sz w:val="15"/>
              </w:rPr>
              <w:t>0</w:t>
            </w:r>
          </w:p>
        </w:tc>
        <w:tc>
          <w:tcPr>
            <w:tcW w:type="dxa" w:w="1368"/>
          </w:tcPr>
          <w:p>
            <w:pPr>
              <w:spacing w:after="20"/>
            </w:pPr>
            <w:r>
              <w:rPr>
                <w:color w:val="1C3A36"/>
                <w:sz w:val="15"/>
              </w:rPr>
              <w:t>2026-08-06</w:t>
            </w:r>
          </w:p>
        </w:tc>
        <w:tc>
          <w:tcPr>
            <w:tcW w:type="dxa" w:w="3845"/>
          </w:tcPr>
          <w:p>
            <w:pPr>
              <w:spacing w:after="20"/>
            </w:pPr>
            <w:r>
              <w:rPr>
                <w:color w:val="1C3A36"/>
                <w:sz w:val="15"/>
              </w:rPr>
              <w:t>Re-rating applied to the company's OWN trailing enterprise-value to EBITDA multiple in the relative lens. ZERO: the name is held at the multiple the market already pays it. The justified multiple is no longer a free number — it is DERIVED as the trailing multiple times one plus this figure, so it cannot drift away from the company's own pricing without the drift being visible. The previous edition set 4.5x by hand and justified it as 'holding the name at its own trailing level' against a stated trailing multiple of 'around 4.6x'; the model's own output was different, so the stated justification was false whichever way the multiple was struck. Holding at zero re-rating makes the lens a statement about the BRIDGE — what the disclosed claims on the cash are worth — rather than a disguised view on the multiple</w:t>
            </w:r>
          </w:p>
        </w:tc>
      </w:tr>
      <w:tr>
        <w:tc>
          <w:tcPr>
            <w:tcW w:type="dxa" w:w="2736"/>
          </w:tcPr>
          <w:p>
            <w:pPr>
              <w:spacing w:after="20"/>
            </w:pPr>
            <w:r>
              <w:rPr>
                <w:color w:val="1C3A36"/>
                <w:sz w:val="15"/>
              </w:rPr>
              <w:t>roe_sust</w:t>
            </w:r>
          </w:p>
        </w:tc>
        <w:tc>
          <w:tcPr>
            <w:tcW w:type="dxa" w:w="2232"/>
          </w:tcPr>
          <w:p>
            <w:pPr>
              <w:spacing w:after="20"/>
            </w:pPr>
            <w:r>
              <w:rPr>
                <w:color w:val="1C3A36"/>
                <w:sz w:val="15"/>
              </w:rPr>
              <w:t>0.28</w:t>
            </w:r>
          </w:p>
        </w:tc>
        <w:tc>
          <w:tcPr>
            <w:tcW w:type="dxa" w:w="1368"/>
          </w:tcPr>
          <w:p>
            <w:pPr>
              <w:spacing w:after="20"/>
            </w:pPr>
            <w:r>
              <w:rPr>
                <w:color w:val="1C3A36"/>
                <w:sz w:val="15"/>
              </w:rPr>
              <w:t>2026-08-06</w:t>
            </w:r>
          </w:p>
        </w:tc>
        <w:tc>
          <w:tcPr>
            <w:tcW w:type="dxa" w:w="3845"/>
          </w:tcPr>
          <w:p>
            <w:pPr>
              <w:spacing w:after="20"/>
            </w:pPr>
            <w:r>
              <w:rPr>
                <w:color w:val="1C3A36"/>
                <w:sz w:val="15"/>
              </w:rPr>
              <w:t>Sustainable return on equity for the book lens. Trailing return on average parent equity is about 33%; the sustainable rate is struck below it because the reported figure is flattered by a heavily written-down asset base that will have to be renewed</w:t>
            </w:r>
          </w:p>
        </w:tc>
      </w:tr>
    </w:tbl>
    <w:p>
      <w:pPr>
        <w:spacing w:after="40"/>
      </w:pPr>
    </w:p>
    <w:p>
      <w:pPr>
        <w:spacing w:after="80" w:before="240"/>
      </w:pPr>
      <w:r>
        <w:rPr>
          <w:b/>
          <w:i w:val="0"/>
          <w:color w:val="1C3A36"/>
          <w:sz w:val="26"/>
        </w:rPr>
        <w:t>Negative results — what could not be sourced</w:t>
      </w:r>
    </w:p>
    <w:p>
      <w:pPr>
        <w:spacing w:after="100" w:before="0"/>
      </w:pPr>
      <w:r>
        <w:rPr>
          <w:b w:val="0"/>
          <w:i w:val="0"/>
          <w:color w:val="1C3A36"/>
          <w:sz w:val="20"/>
        </w:rPr>
        <w:t>Recorded rather than filled in. Each of these is a place where a reader with better access can improve the study.</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2880"/>
        <w:gridCol w:w="3816"/>
      </w:tblGrid>
      <w:tr>
        <w:tc>
          <w:tcPr>
            <w:tcW w:type="dxa" w:w="3312"/>
            <w:shd w:val="clear" w:color="auto" w:fill="EAF0EE"/>
          </w:tcPr>
          <w:p>
            <w:pPr>
              <w:spacing w:after="20"/>
            </w:pPr>
            <w:r>
              <w:rPr>
                <w:b/>
                <w:color w:val="1C3A36"/>
                <w:sz w:val="15"/>
              </w:rPr>
              <w:t>What was sought</w:t>
            </w:r>
          </w:p>
        </w:tc>
        <w:tc>
          <w:tcPr>
            <w:tcW w:type="dxa" w:w="2880"/>
            <w:shd w:val="clear" w:color="auto" w:fill="EAF0EE"/>
          </w:tcPr>
          <w:p>
            <w:pPr>
              <w:spacing w:after="20"/>
            </w:pPr>
            <w:r>
              <w:rPr>
                <w:b/>
                <w:color w:val="1C3A36"/>
                <w:sz w:val="15"/>
              </w:rPr>
              <w:t>Why it matters</w:t>
            </w:r>
          </w:p>
        </w:tc>
        <w:tc>
          <w:tcPr>
            <w:tcW w:type="dxa" w:w="3816"/>
            <w:shd w:val="clear" w:color="auto" w:fill="EAF0EE"/>
          </w:tcPr>
          <w:p>
            <w:pPr>
              <w:spacing w:after="20"/>
            </w:pPr>
            <w:r>
              <w:rPr>
                <w:b/>
                <w:color w:val="1C3A36"/>
                <w:sz w:val="15"/>
              </w:rPr>
              <w:t>Outcome</w:t>
            </w:r>
          </w:p>
        </w:tc>
      </w:tr>
      <w:tr>
        <w:tc>
          <w:tcPr>
            <w:tcW w:type="dxa" w:w="3312"/>
          </w:tcPr>
          <w:p>
            <w:pPr>
              <w:spacing w:after="20"/>
            </w:pPr>
            <w:r>
              <w:rPr>
                <w:color w:val="1C3A36"/>
                <w:sz w:val="15"/>
              </w:rPr>
              <w:t>The audited consolidated financial statements for the year to 30 June 2025 and the transition period to 31 December 2025</w:t>
            </w:r>
          </w:p>
        </w:tc>
        <w:tc>
          <w:tcPr>
            <w:tcW w:type="dxa" w:w="2880"/>
          </w:tcPr>
          <w:p>
            <w:pPr>
              <w:spacing w:after="20"/>
            </w:pPr>
            <w:r>
              <w:rPr>
                <w:color w:val="1C3A36"/>
                <w:sz w:val="15"/>
              </w:rPr>
              <w:t>Would replace the entire reconstructed balance sheet and the closed income statement with disclosed lines</w:t>
            </w:r>
          </w:p>
        </w:tc>
        <w:tc>
          <w:tcPr>
            <w:tcW w:type="dxa" w:w="3816"/>
          </w:tcPr>
          <w:p>
            <w:pPr>
              <w:spacing w:after="20"/>
            </w:pPr>
            <w:r>
              <w:rPr>
                <w:color w:val="1C3A36"/>
                <w:sz w:val="15"/>
              </w:rPr>
              <w:t>NOT REACHED. The company's investor-relations site and its published statement PDFs refused connection under the network policy in force</w:t>
            </w:r>
          </w:p>
        </w:tc>
      </w:tr>
      <w:tr>
        <w:tc>
          <w:tcPr>
            <w:tcW w:type="dxa" w:w="3312"/>
          </w:tcPr>
          <w:p>
            <w:pPr>
              <w:spacing w:after="20"/>
            </w:pPr>
            <w:r>
              <w:rPr>
                <w:color w:val="1C3A36"/>
                <w:sz w:val="15"/>
              </w:rPr>
              <w:t>The exchange's own disclosure pages for the company</w:t>
            </w:r>
          </w:p>
        </w:tc>
        <w:tc>
          <w:tcPr>
            <w:tcW w:type="dxa" w:w="2880"/>
          </w:tcPr>
          <w:p>
            <w:pPr>
              <w:spacing w:after="20"/>
            </w:pPr>
            <w:r>
              <w:rPr>
                <w:color w:val="1C3A36"/>
                <w:sz w:val="15"/>
              </w:rPr>
              <w:t>Would confirm the transition-period filing and the year-end change directly rather than through reporting of them</w:t>
            </w:r>
          </w:p>
        </w:tc>
        <w:tc>
          <w:tcPr>
            <w:tcW w:type="dxa" w:w="3816"/>
          </w:tcPr>
          <w:p>
            <w:pPr>
              <w:spacing w:after="20"/>
            </w:pPr>
            <w:r>
              <w:rPr>
                <w:color w:val="1C3A36"/>
                <w:sz w:val="15"/>
              </w:rPr>
              <w:t>NOT REACHED. Same cause</w:t>
            </w:r>
          </w:p>
        </w:tc>
      </w:tr>
      <w:tr>
        <w:tc>
          <w:tcPr>
            <w:tcW w:type="dxa" w:w="3312"/>
          </w:tcPr>
          <w:p>
            <w:pPr>
              <w:spacing w:after="20"/>
            </w:pPr>
            <w:r>
              <w:rPr>
                <w:color w:val="1C3A36"/>
                <w:sz w:val="15"/>
              </w:rPr>
              <w:t>THE AUDITED FINANCIAL STATEMENTS THEMSELVES</w:t>
            </w:r>
          </w:p>
        </w:tc>
        <w:tc>
          <w:tcPr>
            <w:tcW w:type="dxa" w:w="2880"/>
          </w:tcPr>
          <w:p>
            <w:pPr>
              <w:spacing w:after="20"/>
            </w:pPr>
            <w:r>
              <w:rPr>
                <w:color w:val="1C3A36"/>
                <w:sz w:val="15"/>
              </w:rPr>
              <w:t>The whole of the historical record: statement of financial position, profit or loss, cash flows, changes in equity, and every explanatory note</w:t>
            </w:r>
          </w:p>
        </w:tc>
        <w:tc>
          <w:tcPr>
            <w:tcW w:type="dxa" w:w="3816"/>
          </w:tcPr>
          <w:p>
            <w:pPr>
              <w:spacing w:after="20"/>
            </w:pPr>
            <w:r>
              <w:rPr>
                <w:color w:val="1C3A36"/>
                <w:sz w:val="15"/>
              </w:rPr>
              <w:t>REACHED. This edition is built on the audited consolidated statements for the transition period 1-Jul-2025 to 31-Dec-2025 (Crowe, Dr A. M. Hegazy &amp; Co, UNQUALIFIED opinion, signed Giza 18-Feb-2026), the limited-review statements for the six months to 31-Dec-2024, and the reviewed statements for the three months to 31-Mar-2026. The previous edition of this study was built on triangulated press reporting because the filings could not be reached from the build environment. Everything that triangulation stood in for has been replaced by the filing</w:t>
            </w:r>
          </w:p>
        </w:tc>
      </w:tr>
      <w:tr>
        <w:tc>
          <w:tcPr>
            <w:tcW w:type="dxa" w:w="3312"/>
          </w:tcPr>
          <w:p>
            <w:pPr>
              <w:spacing w:after="20"/>
            </w:pPr>
            <w:r>
              <w:rPr>
                <w:color w:val="1C3A36"/>
                <w:sz w:val="15"/>
              </w:rPr>
              <w:t>A segmental or product-line revenue note</w:t>
            </w:r>
          </w:p>
        </w:tc>
        <w:tc>
          <w:tcPr>
            <w:tcW w:type="dxa" w:w="2880"/>
          </w:tcPr>
          <w:p>
            <w:pPr>
              <w:spacing w:after="20"/>
            </w:pPr>
            <w:r>
              <w:rPr>
                <w:color w:val="1C3A36"/>
                <w:sz w:val="15"/>
              </w:rPr>
              <w:t>The revenue build</w:t>
            </w:r>
          </w:p>
        </w:tc>
        <w:tc>
          <w:tcPr>
            <w:tcW w:type="dxa" w:w="3816"/>
          </w:tcPr>
          <w:p>
            <w:pPr>
              <w:spacing w:after="20"/>
            </w:pPr>
            <w:r>
              <w:rPr>
                <w:color w:val="1C3A36"/>
                <w:sz w:val="15"/>
              </w:rPr>
              <w:t>REACHED — note 14-A gives EIGHT product lines with tonnes AND value for the transition half: 1,502,325 tonnes for EGP 46,959mn. Realisations per tonne are that note divided by itself; nothing is reconstructed and no crack multiple, crude parity or feedstock differential is needed or used. The specialty slate is 13.40% of tonnage and 24.62% of value</w:t>
            </w:r>
          </w:p>
        </w:tc>
      </w:tr>
      <w:tr>
        <w:tc>
          <w:tcPr>
            <w:tcW w:type="dxa" w:w="3312"/>
          </w:tcPr>
          <w:p>
            <w:pPr>
              <w:spacing w:after="20"/>
            </w:pPr>
            <w:r>
              <w:rPr>
                <w:color w:val="1C3A36"/>
                <w:sz w:val="15"/>
              </w:rPr>
              <w:t>A cost-of-sales breakdown</w:t>
            </w:r>
          </w:p>
        </w:tc>
        <w:tc>
          <w:tcPr>
            <w:tcW w:type="dxa" w:w="2880"/>
          </w:tcPr>
          <w:p>
            <w:pPr>
              <w:spacing w:after="20"/>
            </w:pPr>
            <w:r>
              <w:rPr>
                <w:color w:val="1C3A36"/>
                <w:sz w:val="15"/>
              </w:rPr>
              <w:t>The margin, which on a processor at this gross margin IS the valuation</w:t>
            </w:r>
          </w:p>
        </w:tc>
        <w:tc>
          <w:tcPr>
            <w:tcW w:type="dxa" w:w="3816"/>
          </w:tcPr>
          <w:p>
            <w:pPr>
              <w:spacing w:after="20"/>
            </w:pPr>
            <w:r>
              <w:rPr>
                <w:color w:val="1C3A36"/>
                <w:sz w:val="15"/>
              </w:rPr>
              <w:t>REACHED — note 15-A splits cost of sales five ways: raw materials 91.2%, salaries 4.4%, other (natural gas, electricity, water, spare parts, maintenance and the EPROM operating contract) 3.9%, supporting materials 0.3% and depreciation 0.3%. The previous edition BUILT this stack from house estimates of yields, energy intensity and a solved feedstock differential, carried no salaries line inside cost of sales at all, and estimated chemicals at roughly five times the disclosed figure</w:t>
            </w:r>
          </w:p>
        </w:tc>
      </w:tr>
      <w:tr>
        <w:tc>
          <w:tcPr>
            <w:tcW w:type="dxa" w:w="3312"/>
          </w:tcPr>
          <w:p>
            <w:pPr>
              <w:spacing w:after="20"/>
            </w:pPr>
            <w:r>
              <w:rPr>
                <w:color w:val="1C3A36"/>
                <w:sz w:val="15"/>
              </w:rPr>
              <w:t>A disclosed non-controlling-interest balance or profit share</w:t>
            </w:r>
          </w:p>
        </w:tc>
        <w:tc>
          <w:tcPr>
            <w:tcW w:type="dxa" w:w="2880"/>
          </w:tcPr>
          <w:p>
            <w:pPr>
              <w:spacing w:after="20"/>
            </w:pPr>
            <w:r>
              <w:rPr>
                <w:color w:val="1C3A36"/>
                <w:sz w:val="15"/>
              </w:rPr>
              <w:t>The minority deduction in the bridge is inferred from the gap between consolidated and standalone profit</w:t>
            </w:r>
          </w:p>
        </w:tc>
        <w:tc>
          <w:tcPr>
            <w:tcW w:type="dxa" w:w="3816"/>
          </w:tcPr>
          <w:p>
            <w:pPr>
              <w:spacing w:after="20"/>
            </w:pPr>
            <w:r>
              <w:rPr>
                <w:color w:val="1C3A36"/>
                <w:sz w:val="15"/>
              </w:rPr>
              <w:t>NOT FOUND. Held at 4.6% and sensitised to 6%, which moves the answer by -3.1%</w:t>
            </w:r>
          </w:p>
        </w:tc>
      </w:tr>
      <w:tr>
        <w:tc>
          <w:tcPr>
            <w:tcW w:type="dxa" w:w="3312"/>
          </w:tcPr>
          <w:p>
            <w:pPr>
              <w:spacing w:after="20"/>
            </w:pPr>
            <w:r>
              <w:rPr>
                <w:color w:val="1C3A36"/>
                <w:sz w:val="15"/>
              </w:rPr>
              <w:t>A disclosed depreciation charge, capital-expenditure actual, or property, plant and equipment balance</w:t>
            </w:r>
          </w:p>
        </w:tc>
        <w:tc>
          <w:tcPr>
            <w:tcW w:type="dxa" w:w="2880"/>
          </w:tcPr>
          <w:p>
            <w:pPr>
              <w:spacing w:after="20"/>
            </w:pPr>
            <w:r>
              <w:rPr>
                <w:color w:val="1C3A36"/>
                <w:sz w:val="15"/>
              </w:rPr>
              <w:t>All three are drivers of the free-cash-flow waterfall</w:t>
            </w:r>
          </w:p>
        </w:tc>
        <w:tc>
          <w:tcPr>
            <w:tcW w:type="dxa" w:w="3816"/>
          </w:tcPr>
          <w:p>
            <w:pPr>
              <w:spacing w:after="20"/>
            </w:pPr>
            <w:r>
              <w:rPr>
                <w:color w:val="1C3A36"/>
                <w:sz w:val="15"/>
              </w:rPr>
              <w:t>NOT FOUND as disclosed lines. The capital budget of EGP 580.19mn is disclosed and is used as the anchor; depreciation is set as a share of revenue and property, plant and equipment is the residual against disclosed total assets</w:t>
            </w:r>
          </w:p>
        </w:tc>
      </w:tr>
      <w:tr>
        <w:tc>
          <w:tcPr>
            <w:tcW w:type="dxa" w:w="3312"/>
          </w:tcPr>
          <w:p>
            <w:pPr>
              <w:spacing w:after="20"/>
            </w:pPr>
            <w:r>
              <w:rPr>
                <w:color w:val="1C3A36"/>
                <w:sz w:val="15"/>
              </w:rPr>
              <w:t>A traded credit-default-swap quote for Egypt as at August 2026</w:t>
            </w:r>
          </w:p>
        </w:tc>
        <w:tc>
          <w:tcPr>
            <w:tcW w:type="dxa" w:w="2880"/>
          </w:tcPr>
          <w:p>
            <w:pPr>
              <w:spacing w:after="20"/>
            </w:pPr>
            <w:r>
              <w:rPr>
                <w:color w:val="1C3A36"/>
                <w:sz w:val="15"/>
              </w:rPr>
              <w:t>The sovereign spread netted out of the risk-free rate</w:t>
            </w:r>
          </w:p>
        </w:tc>
        <w:tc>
          <w:tcPr>
            <w:tcW w:type="dxa" w:w="3816"/>
          </w:tcPr>
          <w:p>
            <w:pPr>
              <w:spacing w:after="20"/>
            </w:pPr>
            <w:r>
              <w:rPr>
                <w:color w:val="1C3A36"/>
                <w:sz w:val="15"/>
              </w:rPr>
              <w:t>NOT REACHED live. The January-2026 published country-premium file is used, and the rating-basis alternative is computed and published as a value</w:t>
            </w:r>
          </w:p>
        </w:tc>
      </w:tr>
      <w:tr>
        <w:tc>
          <w:tcPr>
            <w:tcW w:type="dxa" w:w="3312"/>
          </w:tcPr>
          <w:p>
            <w:pPr>
              <w:spacing w:after="20"/>
            </w:pPr>
            <w:r>
              <w:rPr>
                <w:color w:val="1C3A36"/>
                <w:sz w:val="15"/>
              </w:rPr>
              <w:t>Listed peer multiples for Egyptian or regional lubricant base-oil processors</w:t>
            </w:r>
          </w:p>
        </w:tc>
        <w:tc>
          <w:tcPr>
            <w:tcW w:type="dxa" w:w="2880"/>
          </w:tcPr>
          <w:p>
            <w:pPr>
              <w:spacing w:after="20"/>
            </w:pPr>
            <w:r>
              <w:rPr>
                <w:color w:val="1C3A36"/>
                <w:sz w:val="15"/>
              </w:rPr>
              <w:t>The relative lens</w:t>
            </w:r>
          </w:p>
        </w:tc>
        <w:tc>
          <w:tcPr>
            <w:tcW w:type="dxa" w:w="3816"/>
          </w:tcPr>
          <w:p>
            <w:pPr>
              <w:spacing w:after="20"/>
            </w:pPr>
            <w:r>
              <w:rPr>
                <w:color w:val="1C3A36"/>
                <w:sz w:val="15"/>
              </w:rPr>
              <w:t>NO DIRECT LISTED COMPARATOR EXISTS — the company is the only listed refinery on the exchange. The multiple range used is taken from the international Group I base-oil and independent-processor band and is disclosed as such rather than presented as a peer set</w:t>
            </w:r>
          </w:p>
        </w:tc>
      </w:tr>
    </w:tbl>
    <w:p>
      <w:pPr>
        <w:spacing w:after="40"/>
      </w:pPr>
    </w:p>
    <w:p>
      <w:pPr>
        <w:spacing w:after="80" w:before="240"/>
      </w:pPr>
      <w:r>
        <w:rPr>
          <w:b/>
          <w:i w:val="0"/>
          <w:color w:val="1C3A36"/>
          <w:sz w:val="26"/>
        </w:rPr>
        <w:t>Method note</w:t>
      </w:r>
    </w:p>
    <w:p>
      <w:pPr>
        <w:spacing w:after="100" w:before="0"/>
      </w:pPr>
      <w:r>
        <w:rPr>
          <w:b w:val="0"/>
          <w:i w:val="0"/>
          <w:color w:val="1C3A36"/>
          <w:sz w:val="20"/>
        </w:rPr>
        <w:t>All financial arithmetic in the study originates in an executed, asserting compute script. Every hardcoded figure enters through the four-field register reproduced above; the script refuses to emit its results unless the enterprise-to-equity bridge closes exactly, terminal value as a percentage of enterprise value is computed and printed, the implied fair value sits inside a stated plausibility band, and net debt and minority interests carry the correct signs into the bridge.</w:t>
      </w:r>
    </w:p>
    <w:p>
      <w:pPr>
        <w:spacing w:after="100" w:before="0"/>
      </w:pPr>
      <w:r>
        <w:rPr>
          <w:b w:val="0"/>
          <w:i w:val="0"/>
          <w:color w:val="1C3A36"/>
          <w:sz w:val="20"/>
        </w:rPr>
        <w:t>The companion workbook was verified on the DELIVERED file rather than on the script that wrote it: every formula cell was independently re-evaluated and required to reproduce the model's own value with none unresolvable and none unchecked, and every input was perturbed in place with the whole workbook re-evaluated to confirm it moves the headline in the asserted direction.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