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2"/>
        </w:rPr>
        <w:t>EGYPTIAN CHEMICAL INDUSTRIES (KIMA)</w:t>
      </w:r>
    </w:p>
    <w:p>
      <w:pPr>
        <w:spacing w:after="20" w:before="0"/>
      </w:pPr>
      <w:r>
        <w:rPr>
          <w:b w:val="0"/>
          <w:i w:val="0"/>
          <w:color w:val="896F36"/>
          <w:sz w:val="22"/>
        </w:rPr>
        <w:t>Egyptian Exchange: EGCH  ·  Aswan  ·  Nitrogen fertilizers and industrial chemicals</w:t>
      </w:r>
    </w:p>
    <w:p>
      <w:pPr>
        <w:spacing w:after="200" w:before="0"/>
      </w:pPr>
      <w:r>
        <w:rPr>
          <w:b w:val="0"/>
          <w:i w:val="0"/>
          <w:color w:val="6E7B77"/>
          <w:sz w:val="20"/>
        </w:rPr>
        <w:t>Valuation study — 10 September 2026  ·  Reporting and valuation currency: Egyptian pounds  ·  Anchor price EGP 14.41 at the close of 2026-09-03</w:t>
      </w:r>
    </w:p>
    <w:p>
      <w:pPr>
        <w:keepNext/>
        <w:spacing w:after="120" w:before="280"/>
      </w:pPr>
      <w:r>
        <w:rPr>
          <w:b/>
          <w:i w:val="0"/>
          <w:color w:val="1C3A36"/>
          <w:sz w:val="30"/>
        </w:rPr>
        <w:t>Read first</w:t>
      </w:r>
    </w:p>
    <w:p>
      <w:pPr>
        <w:spacing w:after="120" w:before="0"/>
      </w:pPr>
      <w:r>
        <w:rPr>
          <w:b w:val="0"/>
          <w:i w:val="0"/>
          <w:color w:val="6E7B77"/>
          <w:sz w:val="16"/>
        </w:rPr>
        <w:t>PRICE DATE 3 September 2026 — the latest known close, the price this valuation is measured against.   ISSUE DATE 10 September 2026 — the day this edition was issued. A recalibration issues a new document carrying its own issue date; the two dates are stated separately because they are not the same fact.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 single-site Egyptian nitrogen-fertilizer producer, built from the company's own audited statements and reviewed interim accounts, and read through four separate lenses rather than one.</w:t>
            </w:r>
          </w:p>
          <w:p>
            <w:pPr>
              <w:spacing w:after="100"/>
            </w:pPr>
            <w:r>
              <w:rPr>
                <w:b/>
                <w:color w:val="1C3A36"/>
                <w:sz w:val="19"/>
              </w:rPr>
              <w:t xml:space="preserve">What it is not.  </w:t>
            </w:r>
            <w:r>
              <w:rPr>
                <w:color w:val="1C3A36"/>
                <w:sz w:val="19"/>
              </w:rPr>
              <w:t>Not a rating, and not a price target. It reports a range of fair values, the reasoning behind each, and the probability map around today's price.</w:t>
            </w:r>
          </w:p>
          <w:p>
            <w:pPr>
              <w:spacing w:after="100"/>
            </w:pPr>
            <w:r>
              <w:rPr>
                <w:b/>
                <w:color w:val="1C3A36"/>
                <w:sz w:val="19"/>
              </w:rPr>
              <w:t xml:space="preserve">The one judgement that decides the answer.  </w:t>
            </w:r>
            <w:r>
              <w:rPr>
                <w:color w:val="1C3A36"/>
                <w:sz w:val="19"/>
              </w:rPr>
              <w:t>This company is building a nitric-acid and ammonium-nitrate complex whose bank-approved cost is about 71% of its own stock-market value, and which was 12.9% built against a 37.0% plan at the last reported date. SO THIS DOCUMENT ANSWERS THE QUESTION TWICE, AND THE TWO ANSWERS HAVE NAMES. Carried through is the world in which the company finishes the plant — which is what management says it is doing. Stopped is the world in which it walks away now, writes off what it has already spent, and carries on as the urea producer it already is. Stopping is worth MORE: EGP 12.77 a share against EGP 9.24, a difference of EGP 3.54. That is not a quirk of the arithmetic and section 1.7 sets out why. Both are published side by side throughout. Neither is averaged into the other, because the average would be true in neither world.</w:t>
            </w:r>
          </w:p>
          <w:p>
            <w:pPr>
              <w:spacing w:after="100"/>
            </w:pPr>
            <w:r>
              <w:rPr>
                <w:b/>
                <w:color w:val="1C3A36"/>
                <w:sz w:val="19"/>
              </w:rPr>
              <w:t xml:space="preserve">How to read the numbers.  </w:t>
            </w:r>
            <w:r>
              <w:rPr>
                <w:color w:val="1C3A36"/>
                <w:sz w:val="19"/>
              </w:rPr>
              <w:t>The answer is the cash-flow lens, and on this company it has TWO SIDES: EGP 9.24 a share if the capital programme is carried through and EGP 12.77 if it is stopped. Both are published throughout and neither is averaged into the other. The other lenses — relative multiples, normalised earnings and book value — are CROSS-CHECKS printed beside the answer, not weights inside it. A previous edition published a weighted blend of the four at stated weights; the weights were typed and had never been tested, and averaging several methods does not make a number more robust than the best of them — it makes a new method with free parameters nobody checked. Where the lenses disagree, the disagreement is the information, and section 4 isolates which assumption drives which gap.</w:t>
            </w:r>
          </w:p>
        </w:tc>
      </w:tr>
    </w:tbl>
    <w:p>
      <w:pPr>
        <w:spacing w:after="40"/>
      </w:pPr>
    </w:p>
    <w:p>
      <w:pPr>
        <w:keepNext/>
        <w:spacing w:after="120" w:before="280"/>
      </w:pPr>
      <w:r>
        <w:rPr>
          <w:b/>
          <w:i w:val="0"/>
          <w:color w:val="1C3A36"/>
          <w:sz w:val="30"/>
        </w:rPr>
        <w:t>Headline</w:t>
      </w:r>
    </w:p>
    <w:p>
      <w:pPr>
        <w:spacing w:after="120" w:before="0"/>
      </w:pPr>
      <w:r>
        <w:rPr>
          <w:b/>
          <w:i w:val="0"/>
          <w:color w:val="1C3A36"/>
          <w:sz w:val="21"/>
        </w:rPr>
        <w:t>Four lenses put this company between EGP 7.37 and EGP 19.93 a share. It trades at EGP 14.41. The gap is not a rounding difference between the lenses: it is the whole disagreement. The multiple lens, on the range Egyptian fertilizer producers actually trade at, centres at EGP 19.93 — above the traded price — and it reaches that answer only by never asking what the capital programme does to cash. THE TWO LENSES THAT DO ASK SPLIT ON THE ANSWER, and the split is the study: carrying the programme through gives EGP 9.24 and stopping it gives EGP 12.77 — a difference of EGP 3.54 a share that is what the capital costs its owners. Both sit below the traded price, and so does normalised earnings at EGP 7.37.</w:t>
      </w:r>
    </w:p>
    <w:p>
      <w:pPr>
        <w:spacing w:after="120" w:before="0"/>
      </w:pPr>
      <w:r>
        <w:rPr>
          <w:b w:val="0"/>
          <w:i w:val="0"/>
          <w:color w:val="1C3A36"/>
          <w:sz w:val="21"/>
        </w:rPr>
        <w:t>Three things push in the same direction. An EGP 20.3 billion capital programme is running two years behind its own plan. The debt book is 99.7% dollar-denominated against an earnings stream that must service it in pounds — a single quarter's translation swing this year was larger than the whole nine-month profit. And any cost of capital anchored to Egypt's sovereign risk lands in the mid-twenties, which is brutal for a business whose cash arrives late.</w:t>
      </w:r>
    </w:p>
    <w:p>
      <w:pPr>
        <w:spacing w:after="120" w:before="0"/>
      </w:pPr>
      <w:r>
        <w:rPr>
          <w:b w:val="0"/>
          <w:i w:val="0"/>
          <w:color w:val="1C3A36"/>
          <w:sz w:val="21"/>
        </w:rPr>
        <w:t>Read the other way round: the traded price is reproduced by this model only at a flat nominal discount rate of about 15.0%, against a sovereign ten-year yield of 23.0% on the same day. That is the disagreement stated precisely rather than argued.</w:t>
      </w:r>
    </w:p>
    <w:p>
      <w:pPr>
        <w:keepNext/>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960"/>
        <w:gridCol w:w="1512"/>
        <w:gridCol w:w="1008"/>
        <w:gridCol w:w="936"/>
      </w:tblGrid>
      <w:tr>
        <w:trPr>
          <w:cantSplit/>
          <w:tblHeader/>
        </w:trPr>
        <w:tc>
          <w:tcPr>
            <w:tcW w:type="dxa" w:w="2232"/>
            <w:shd w:val="clear" w:color="auto" w:fill="EAF0EE"/>
          </w:tcPr>
          <w:p>
            <w:pPr>
              <w:spacing w:after="20"/>
            </w:pPr>
            <w:r>
              <w:rPr>
                <w:b/>
                <w:color w:val="1C3A36"/>
                <w:sz w:val="15"/>
              </w:rPr>
              <w:t>Read</w:t>
            </w:r>
          </w:p>
        </w:tc>
        <w:tc>
          <w:tcPr>
            <w:tcW w:type="dxa" w:w="3960"/>
            <w:shd w:val="clear" w:color="auto" w:fill="EAF0EE"/>
          </w:tcPr>
          <w:p>
            <w:pPr>
              <w:spacing w:after="20"/>
            </w:pPr>
            <w:r>
              <w:rPr>
                <w:b/>
                <w:color w:val="1C3A36"/>
                <w:sz w:val="15"/>
              </w:rPr>
              <w:t>Basis</w:t>
            </w:r>
          </w:p>
        </w:tc>
        <w:tc>
          <w:tcPr>
            <w:tcW w:type="dxa" w:w="1512"/>
            <w:shd w:val="clear" w:color="auto" w:fill="EAF0EE"/>
          </w:tcPr>
          <w:p>
            <w:pPr>
              <w:spacing w:after="20"/>
            </w:pPr>
            <w:r>
              <w:rPr>
                <w:b/>
                <w:color w:val="1C3A36"/>
                <w:sz w:val="15"/>
              </w:rPr>
              <w:t>Range (EGP/share)</w:t>
            </w:r>
          </w:p>
        </w:tc>
        <w:tc>
          <w:tcPr>
            <w:tcW w:type="dxa" w:w="1008"/>
            <w:shd w:val="clear" w:color="auto" w:fill="EAF0EE"/>
          </w:tcPr>
          <w:p>
            <w:pPr>
              <w:spacing w:after="20"/>
            </w:pPr>
            <w:r>
              <w:rPr>
                <w:b/>
                <w:color w:val="1C3A36"/>
                <w:sz w:val="15"/>
              </w:rPr>
              <w:t>Central</w:t>
            </w:r>
          </w:p>
        </w:tc>
        <w:tc>
          <w:tcPr>
            <w:tcW w:type="dxa" w:w="936"/>
            <w:shd w:val="clear" w:color="auto" w:fill="EAF0EE"/>
          </w:tcPr>
          <w:p>
            <w:pPr>
              <w:spacing w:after="20"/>
            </w:pPr>
            <w:r>
              <w:rPr>
                <w:b/>
                <w:color w:val="1C3A36"/>
                <w:sz w:val="15"/>
              </w:rPr>
              <w:t>vs spot</w:t>
            </w:r>
          </w:p>
        </w:tc>
      </w:tr>
      <w:tr>
        <w:trPr>
          <w:cantSplit/>
        </w:trPr>
        <w:tc>
          <w:tcPr>
            <w:tcW w:type="dxa" w:w="2232"/>
          </w:tcPr>
          <w:p>
            <w:pPr>
              <w:spacing w:after="20"/>
            </w:pPr>
            <w:r>
              <w:rPr>
                <w:color w:val="1C3A36"/>
                <w:sz w:val="15"/>
              </w:rPr>
              <w:t>Cash flow — programme carried through</w:t>
            </w:r>
          </w:p>
        </w:tc>
        <w:tc>
          <w:tcPr>
            <w:tcW w:type="dxa" w:w="3960"/>
          </w:tcPr>
          <w:p>
            <w:pPr>
              <w:spacing w:after="20"/>
            </w:pPr>
            <w:r>
              <w:rPr>
                <w:color w:val="1C3A36"/>
                <w:sz w:val="15"/>
              </w:rPr>
              <w:t>Five-year free cash flow to the firm on a cost of capital gliding from 25.6% to 15.9%, terminal growth 7.0%</w:t>
            </w:r>
          </w:p>
        </w:tc>
        <w:tc>
          <w:tcPr>
            <w:tcW w:type="dxa" w:w="1512"/>
          </w:tcPr>
          <w:p>
            <w:pPr>
              <w:spacing w:after="20"/>
              <w:jc w:val="right"/>
            </w:pPr>
            <w:r>
              <w:rPr>
                <w:color w:val="1C3A36"/>
                <w:sz w:val="15"/>
              </w:rPr>
              <w:t>4.75 to 9.57</w:t>
            </w:r>
          </w:p>
        </w:tc>
        <w:tc>
          <w:tcPr>
            <w:tcW w:type="dxa" w:w="1008"/>
          </w:tcPr>
          <w:p>
            <w:pPr>
              <w:spacing w:after="20"/>
              <w:jc w:val="right"/>
            </w:pPr>
            <w:r>
              <w:rPr>
                <w:color w:val="1C3A36"/>
                <w:sz w:val="15"/>
              </w:rPr>
              <w:t>9.24</w:t>
            </w:r>
          </w:p>
        </w:tc>
        <w:tc>
          <w:tcPr>
            <w:tcW w:type="dxa" w:w="936"/>
          </w:tcPr>
          <w:p>
            <w:pPr>
              <w:spacing w:after="20"/>
              <w:jc w:val="right"/>
            </w:pPr>
            <w:r>
              <w:rPr>
                <w:color w:val="1C3A36"/>
                <w:sz w:val="15"/>
              </w:rPr>
              <w:t>-36%</w:t>
            </w:r>
          </w:p>
        </w:tc>
      </w:tr>
      <w:tr>
        <w:trPr>
          <w:cantSplit/>
        </w:trPr>
        <w:tc>
          <w:tcPr>
            <w:tcW w:type="dxa" w:w="2232"/>
          </w:tcPr>
          <w:p>
            <w:pPr>
              <w:spacing w:after="20"/>
            </w:pPr>
            <w:r>
              <w:rPr>
                <w:color w:val="1C3A36"/>
                <w:sz w:val="15"/>
              </w:rPr>
              <w:t>Cash flow — programme stopped</w:t>
            </w:r>
          </w:p>
        </w:tc>
        <w:tc>
          <w:tcPr>
            <w:tcW w:type="dxa" w:w="3960"/>
          </w:tcPr>
          <w:p>
            <w:pPr>
              <w:spacing w:after="20"/>
            </w:pPr>
            <w:r>
              <w:rPr>
                <w:color w:val="1C3A36"/>
                <w:sz w:val="15"/>
              </w:rPr>
              <w:t>The same model with the capital programme wound down in the first forecast year and the plant run as it stands</w:t>
            </w:r>
          </w:p>
        </w:tc>
        <w:tc>
          <w:tcPr>
            <w:tcW w:type="dxa" w:w="1512"/>
          </w:tcPr>
          <w:p>
            <w:pPr>
              <w:spacing w:after="20"/>
              <w:jc w:val="right"/>
            </w:pPr>
            <w:r>
              <w:rPr>
                <w:color w:val="1C3A36"/>
                <w:sz w:val="15"/>
              </w:rPr>
              <w:t>9.53 to 12.85</w:t>
            </w:r>
          </w:p>
        </w:tc>
        <w:tc>
          <w:tcPr>
            <w:tcW w:type="dxa" w:w="1008"/>
          </w:tcPr>
          <w:p>
            <w:pPr>
              <w:spacing w:after="20"/>
              <w:jc w:val="right"/>
            </w:pPr>
            <w:r>
              <w:rPr>
                <w:color w:val="1C3A36"/>
                <w:sz w:val="15"/>
              </w:rPr>
              <w:t>12.77</w:t>
            </w:r>
          </w:p>
        </w:tc>
        <w:tc>
          <w:tcPr>
            <w:tcW w:type="dxa" w:w="936"/>
          </w:tcPr>
          <w:p>
            <w:pPr>
              <w:spacing w:after="20"/>
              <w:jc w:val="right"/>
            </w:pPr>
            <w:r>
              <w:rPr>
                <w:color w:val="1C3A36"/>
                <w:sz w:val="15"/>
              </w:rPr>
              <w:t>-11%</w:t>
            </w:r>
          </w:p>
        </w:tc>
      </w:tr>
      <w:tr>
        <w:trPr>
          <w:cantSplit/>
        </w:trPr>
        <w:tc>
          <w:tcPr>
            <w:tcW w:type="dxa" w:w="2232"/>
          </w:tcPr>
          <w:p>
            <w:pPr>
              <w:spacing w:after="20"/>
            </w:pPr>
            <w:r>
              <w:rPr>
                <w:color w:val="1C3A36"/>
                <w:sz w:val="15"/>
              </w:rPr>
              <w:t>Relative multiples</w:t>
            </w:r>
          </w:p>
        </w:tc>
        <w:tc>
          <w:tcPr>
            <w:tcW w:type="dxa" w:w="3960"/>
          </w:tcPr>
          <w:p>
            <w:pPr>
              <w:spacing w:after="20"/>
            </w:pPr>
            <w:r>
              <w:rPr>
                <w:color w:val="1C3A36"/>
                <w:sz w:val="15"/>
              </w:rPr>
              <w:t>Forward operating profit before depreciation at 6.0x to 9.9x, the Egyptian industrial range, with 8.0x central</w:t>
            </w:r>
          </w:p>
        </w:tc>
        <w:tc>
          <w:tcPr>
            <w:tcW w:type="dxa" w:w="1512"/>
          </w:tcPr>
          <w:p>
            <w:pPr>
              <w:spacing w:after="20"/>
              <w:jc w:val="right"/>
            </w:pPr>
            <w:r>
              <w:rPr>
                <w:color w:val="1C3A36"/>
                <w:sz w:val="15"/>
              </w:rPr>
              <w:t>14.25 to 25.60</w:t>
            </w:r>
          </w:p>
        </w:tc>
        <w:tc>
          <w:tcPr>
            <w:tcW w:type="dxa" w:w="1008"/>
          </w:tcPr>
          <w:p>
            <w:pPr>
              <w:spacing w:after="20"/>
              <w:jc w:val="right"/>
            </w:pPr>
            <w:r>
              <w:rPr>
                <w:color w:val="1C3A36"/>
                <w:sz w:val="15"/>
              </w:rPr>
              <w:t>19.93</w:t>
            </w:r>
          </w:p>
        </w:tc>
        <w:tc>
          <w:tcPr>
            <w:tcW w:type="dxa" w:w="936"/>
          </w:tcPr>
          <w:p>
            <w:pPr>
              <w:spacing w:after="20"/>
              <w:jc w:val="right"/>
            </w:pPr>
            <w:r>
              <w:rPr>
                <w:color w:val="1C3A36"/>
                <w:sz w:val="15"/>
              </w:rPr>
              <w:t>+38%</w:t>
            </w:r>
          </w:p>
        </w:tc>
      </w:tr>
      <w:tr>
        <w:trPr>
          <w:cantSplit/>
        </w:trPr>
        <w:tc>
          <w:tcPr>
            <w:tcW w:type="dxa" w:w="2232"/>
          </w:tcPr>
          <w:p>
            <w:pPr>
              <w:spacing w:after="20"/>
            </w:pPr>
            <w:r>
              <w:rPr>
                <w:color w:val="1C3A36"/>
                <w:sz w:val="15"/>
              </w:rPr>
              <w:t>Normalised earnings power</w:t>
            </w:r>
          </w:p>
        </w:tc>
        <w:tc>
          <w:tcPr>
            <w:tcW w:type="dxa" w:w="3960"/>
          </w:tcPr>
          <w:p>
            <w:pPr>
              <w:spacing w:after="20"/>
            </w:pPr>
            <w:r>
              <w:rPr>
                <w:color w:val="1C3A36"/>
                <w:sz w:val="15"/>
              </w:rPr>
              <w:t>Mid-cycle profit after tax of EGP 2,100m at 8x to 12x, 10x central</w:t>
            </w:r>
          </w:p>
        </w:tc>
        <w:tc>
          <w:tcPr>
            <w:tcW w:type="dxa" w:w="1512"/>
          </w:tcPr>
          <w:p>
            <w:pPr>
              <w:spacing w:after="20"/>
              <w:jc w:val="right"/>
            </w:pPr>
            <w:r>
              <w:rPr>
                <w:color w:val="1C3A36"/>
                <w:sz w:val="15"/>
              </w:rPr>
              <w:t>5.25 to 9.48</w:t>
            </w:r>
          </w:p>
        </w:tc>
        <w:tc>
          <w:tcPr>
            <w:tcW w:type="dxa" w:w="1008"/>
          </w:tcPr>
          <w:p>
            <w:pPr>
              <w:spacing w:after="20"/>
              <w:jc w:val="right"/>
            </w:pPr>
            <w:r>
              <w:rPr>
                <w:color w:val="1C3A36"/>
                <w:sz w:val="15"/>
              </w:rPr>
              <w:t>7.37</w:t>
            </w:r>
          </w:p>
        </w:tc>
        <w:tc>
          <w:tcPr>
            <w:tcW w:type="dxa" w:w="936"/>
          </w:tcPr>
          <w:p>
            <w:pPr>
              <w:spacing w:after="20"/>
              <w:jc w:val="right"/>
            </w:pPr>
            <w:r>
              <w:rPr>
                <w:color w:val="1C3A36"/>
                <w:sz w:val="15"/>
              </w:rPr>
              <w:t>-49%</w:t>
            </w:r>
          </w:p>
        </w:tc>
      </w:tr>
      <w:tr>
        <w:trPr>
          <w:cantSplit/>
        </w:trPr>
        <w:tc>
          <w:tcPr>
            <w:tcW w:type="dxa" w:w="2232"/>
          </w:tcPr>
          <w:p>
            <w:pPr>
              <w:spacing w:after="20"/>
            </w:pPr>
            <w:r>
              <w:rPr>
                <w:color w:val="1C3A36"/>
                <w:sz w:val="15"/>
              </w:rPr>
              <w:t>Book value and sustainable return</w:t>
            </w:r>
          </w:p>
        </w:tc>
        <w:tc>
          <w:tcPr>
            <w:tcW w:type="dxa" w:w="3960"/>
          </w:tcPr>
          <w:p>
            <w:pPr>
              <w:spacing w:after="20"/>
            </w:pPr>
            <w:r>
              <w:rPr>
                <w:color w:val="1C3A36"/>
                <w:sz w:val="15"/>
              </w:rPr>
              <w:t>Book equity of EGP 8.16 a share at the multiple a 6.9% sustainable return on equity justifies against a 29.1% cost of equity</w:t>
            </w:r>
          </w:p>
        </w:tc>
        <w:tc>
          <w:tcPr>
            <w:tcW w:type="dxa" w:w="1512"/>
          </w:tcPr>
          <w:p>
            <w:pPr>
              <w:spacing w:after="20"/>
              <w:jc w:val="right"/>
            </w:pPr>
            <w:r>
              <w:rPr>
                <w:color w:val="1C3A36"/>
                <w:sz w:val="15"/>
              </w:rPr>
              <w:t>—</w:t>
            </w:r>
          </w:p>
        </w:tc>
        <w:tc>
          <w:tcPr>
            <w:tcW w:type="dxa" w:w="1008"/>
          </w:tcPr>
          <w:p>
            <w:pPr>
              <w:spacing w:after="20"/>
              <w:jc w:val="right"/>
            </w:pPr>
            <w:r>
              <w:rPr>
                <w:color w:val="1C3A36"/>
                <w:sz w:val="15"/>
              </w:rPr>
              <w:t>0.00</w:t>
            </w:r>
          </w:p>
        </w:tc>
        <w:tc>
          <w:tcPr>
            <w:tcW w:type="dxa" w:w="936"/>
          </w:tcPr>
          <w:p>
            <w:pPr>
              <w:spacing w:after="20"/>
              <w:jc w:val="right"/>
            </w:pPr>
            <w:r>
              <w:rPr>
                <w:color w:val="1C3A36"/>
                <w:sz w:val="15"/>
              </w:rPr>
              <w:t>-100%</w:t>
            </w:r>
          </w:p>
        </w:tc>
      </w:tr>
      <w:tr>
        <w:trPr>
          <w:cantSplit/>
        </w:trPr>
        <w:tc>
          <w:tcPr>
            <w:tcW w:type="dxa" w:w="2232"/>
            <w:shd w:val="clear" w:color="auto" w:fill="F6F1E6"/>
          </w:tcPr>
          <w:p>
            <w:pPr>
              <w:spacing w:after="20"/>
            </w:pPr>
            <w:r>
              <w:rPr>
                <w:b/>
                <w:color w:val="1C3A36"/>
                <w:sz w:val="15"/>
              </w:rPr>
              <w:t>THE ANSWER — the cash-flow lens, both sides, never averaged</w:t>
            </w:r>
          </w:p>
        </w:tc>
        <w:tc>
          <w:tcPr>
            <w:tcW w:type="dxa" w:w="3960"/>
            <w:shd w:val="clear" w:color="auto" w:fill="F6F1E6"/>
          </w:tcPr>
          <w:p>
            <w:pPr>
              <w:spacing w:after="20"/>
            </w:pPr>
            <w:r>
              <w:rPr>
                <w:b/>
                <w:color w:val="1C3A36"/>
                <w:sz w:val="15"/>
              </w:rPr>
              <w:t>The class primary IS the answer and every other read above is a cross-check printed beside it. This one is TWO-SIDED: EGP 9.24 with the capital programme carried through — the company's own stated plan — and EGP 12.77 if it is stopped. The judgement is binary, so an average would describe a half-built plant. The range shown is the floor and ceiling of every read, not a weighted extreme</w:t>
            </w:r>
          </w:p>
        </w:tc>
        <w:tc>
          <w:tcPr>
            <w:tcW w:type="dxa" w:w="1512"/>
            <w:shd w:val="clear" w:color="auto" w:fill="F6F1E6"/>
          </w:tcPr>
          <w:p>
            <w:pPr>
              <w:spacing w:after="20"/>
              <w:jc w:val="right"/>
            </w:pPr>
            <w:r>
              <w:rPr>
                <w:b/>
                <w:color w:val="1C3A36"/>
                <w:sz w:val="15"/>
              </w:rPr>
              <w:t>7.37 to 19.93</w:t>
            </w:r>
          </w:p>
        </w:tc>
        <w:tc>
          <w:tcPr>
            <w:tcW w:type="dxa" w:w="1008"/>
            <w:shd w:val="clear" w:color="auto" w:fill="F6F1E6"/>
          </w:tcPr>
          <w:p>
            <w:pPr>
              <w:spacing w:after="20"/>
              <w:jc w:val="right"/>
            </w:pPr>
            <w:r>
              <w:rPr>
                <w:b/>
                <w:color w:val="1C3A36"/>
                <w:sz w:val="15"/>
              </w:rPr>
              <w:t>9.24</w:t>
            </w:r>
          </w:p>
        </w:tc>
        <w:tc>
          <w:tcPr>
            <w:tcW w:type="dxa" w:w="936"/>
            <w:shd w:val="clear" w:color="auto" w:fill="F6F1E6"/>
          </w:tcPr>
          <w:p>
            <w:pPr>
              <w:spacing w:after="20"/>
              <w:jc w:val="right"/>
            </w:pPr>
            <w:r>
              <w:rPr>
                <w:b/>
                <w:color w:val="1C3A36"/>
                <w:sz w:val="15"/>
              </w:rPr>
              <w:t>-36%</w:t>
            </w:r>
          </w:p>
        </w:tc>
      </w:tr>
      <w:tr>
        <w:trPr>
          <w:cantSplit/>
        </w:trPr>
        <w:tc>
          <w:tcPr>
            <w:tcW w:type="dxa" w:w="2232"/>
            <w:shd w:val="clear" w:color="auto" w:fill="F6F1E6"/>
          </w:tcPr>
          <w:p>
            <w:pPr>
              <w:spacing w:after="20"/>
            </w:pPr>
            <w:r>
              <w:rPr>
                <w:b/>
                <w:color w:val="1C3A36"/>
                <w:sz w:val="15"/>
              </w:rPr>
              <w:t>Market price</w:t>
            </w:r>
          </w:p>
        </w:tc>
        <w:tc>
          <w:tcPr>
            <w:tcW w:type="dxa" w:w="3960"/>
            <w:shd w:val="clear" w:color="auto" w:fill="F6F1E6"/>
          </w:tcPr>
          <w:p>
            <w:pPr>
              <w:spacing w:after="20"/>
            </w:pPr>
            <w:r>
              <w:rPr>
                <w:b/>
                <w:color w:val="1C3A36"/>
                <w:sz w:val="15"/>
              </w:rPr>
              <w:t>Closing price on the anchor date</w:t>
            </w:r>
          </w:p>
        </w:tc>
        <w:tc>
          <w:tcPr>
            <w:tcW w:type="dxa" w:w="1512"/>
            <w:shd w:val="clear" w:color="auto" w:fill="F6F1E6"/>
          </w:tcPr>
          <w:p>
            <w:pPr>
              <w:spacing w:after="20"/>
              <w:jc w:val="right"/>
            </w:pPr>
            <w:r>
              <w:rPr>
                <w:b/>
                <w:color w:val="1C3A36"/>
                <w:sz w:val="15"/>
              </w:rPr>
              <w:t>—</w:t>
            </w:r>
          </w:p>
        </w:tc>
        <w:tc>
          <w:tcPr>
            <w:tcW w:type="dxa" w:w="1008"/>
            <w:shd w:val="clear" w:color="auto" w:fill="F6F1E6"/>
          </w:tcPr>
          <w:p>
            <w:pPr>
              <w:spacing w:after="20"/>
              <w:jc w:val="right"/>
            </w:pPr>
            <w:r>
              <w:rPr>
                <w:b/>
                <w:color w:val="1C3A36"/>
                <w:sz w:val="15"/>
              </w:rPr>
              <w:t>14.41</w:t>
            </w:r>
          </w:p>
        </w:tc>
        <w:tc>
          <w:tcPr>
            <w:tcW w:type="dxa" w:w="936"/>
            <w:shd w:val="clear" w:color="auto" w:fill="F6F1E6"/>
          </w:tcPr>
          <w:p>
            <w:pPr>
              <w:spacing w:after="20"/>
              <w:jc w:val="right"/>
            </w:pPr>
            <w:r>
              <w:rPr>
                <w:b/>
                <w:color w:val="1C3A36"/>
                <w:sz w:val="15"/>
              </w:rPr>
              <w:t>—</w:t>
            </w:r>
          </w:p>
        </w:tc>
      </w:tr>
      <w:tr>
        <w:trPr>
          <w:cantSplit/>
        </w:trPr>
        <w:tc>
          <w:tcPr>
            <w:tcW w:type="dxa" w:w="9648"/>
            <w:gridSpan w:val="5"/>
            <w:shd w:val="clear" w:color="auto" w:fill="F6F1E6"/>
          </w:tcPr>
          <w:p>
            <w:pPr>
              <w:spacing w:after="20"/>
            </w:pPr>
            <w:r>
              <w:rPr>
                <w:b/>
                <w:color w:val="1C3A36"/>
                <w:sz w:val="15"/>
              </w:rPr>
              <w:t>ALTERNATIVE READINGS — each a full re-run of the model with ONE component moved, and none of them inside the field above</w:t>
            </w:r>
          </w:p>
        </w:tc>
      </w:tr>
      <w:tr>
        <w:trPr>
          <w:cantSplit/>
        </w:trPr>
        <w:tc>
          <w:tcPr>
            <w:tcW w:type="dxa" w:w="2232"/>
          </w:tcPr>
          <w:p>
            <w:pPr>
              <w:spacing w:after="20"/>
            </w:pPr>
            <w:r>
              <w:rPr>
                <w:color w:val="1C3A36"/>
                <w:sz w:val="15"/>
              </w:rPr>
              <w:t>No export duty, because Ministerial Decision 340 of 2026 cancelled the levy with effect from 1 August 2026 — five weeks before this study's strike</w:t>
            </w:r>
          </w:p>
        </w:tc>
        <w:tc>
          <w:tcPr>
            <w:tcW w:type="dxa" w:w="3960"/>
          </w:tcPr>
          <w:p>
            <w:pPr>
              <w:spacing w:after="20"/>
            </w:pPr>
            <w:r>
              <w:rPr>
                <w:color w:val="1C3A36"/>
                <w:sz w:val="15"/>
              </w:rPr>
              <w:t>The 10% ad-valorem duty back, charged on every export tonne for ever (6.0079), or at half that rate (7.6216)</w:t>
            </w:r>
          </w:p>
        </w:tc>
        <w:tc>
          <w:tcPr>
            <w:tcW w:type="dxa" w:w="1512"/>
          </w:tcPr>
          <w:p>
            <w:pPr>
              <w:spacing w:after="20"/>
              <w:jc w:val="right"/>
            </w:pPr>
            <w:r>
              <w:rPr>
                <w:color w:val="1C3A36"/>
                <w:sz w:val="15"/>
              </w:rPr>
              <w:t>—</w:t>
            </w:r>
          </w:p>
        </w:tc>
        <w:tc>
          <w:tcPr>
            <w:tcW w:type="dxa" w:w="1008"/>
          </w:tcPr>
          <w:p>
            <w:pPr>
              <w:spacing w:after="20"/>
              <w:jc w:val="right"/>
            </w:pPr>
            <w:r>
              <w:rPr>
                <w:color w:val="1C3A36"/>
                <w:sz w:val="15"/>
              </w:rPr>
              <w:t>6.01</w:t>
            </w:r>
          </w:p>
        </w:tc>
        <w:tc>
          <w:tcPr>
            <w:tcW w:type="dxa" w:w="936"/>
          </w:tcPr>
          <w:p>
            <w:pPr>
              <w:spacing w:after="20"/>
              <w:jc w:val="right"/>
            </w:pPr>
            <w:r>
              <w:rPr>
                <w:color w:val="1C3A36"/>
                <w:sz w:val="15"/>
              </w:rPr>
              <w:t>-58%</w:t>
            </w:r>
          </w:p>
        </w:tc>
      </w:tr>
      <w:tr>
        <w:trPr>
          <w:cantSplit/>
        </w:trPr>
        <w:tc>
          <w:tcPr>
            <w:tcW w:type="dxa" w:w="2232"/>
          </w:tcPr>
          <w:p>
            <w:pPr>
              <w:spacing w:after="20"/>
            </w:pPr>
            <w:r>
              <w:rPr>
                <w:color w:val="1C3A36"/>
                <w:sz w:val="15"/>
              </w:rPr>
              <w:t>The new complex's granulated ammonium nitrate priced at the SAME PRODUCT'S OWN DISCLOSED REALISED PRICE — EGP 20,000/t from note 20, carried on the currency exactly as the existing nitrate business is</w:t>
            </w:r>
          </w:p>
        </w:tc>
        <w:tc>
          <w:tcPr>
            <w:tcW w:type="dxa" w:w="3960"/>
          </w:tcPr>
          <w:p>
            <w:pPr>
              <w:spacing w:after="20"/>
            </w:pPr>
            <w:r>
              <w:rPr>
                <w:color w:val="1C3A36"/>
                <w:sz w:val="15"/>
              </w:rPr>
              <w:t>Priced at the retired typed US$280/t, the weakest-sourced input in a 304-input register, whose source string was four words long and named no assessor, series, date or basis (8.5859)</w:t>
            </w:r>
          </w:p>
        </w:tc>
        <w:tc>
          <w:tcPr>
            <w:tcW w:type="dxa" w:w="1512"/>
          </w:tcPr>
          <w:p>
            <w:pPr>
              <w:spacing w:after="20"/>
              <w:jc w:val="right"/>
            </w:pPr>
            <w:r>
              <w:rPr>
                <w:color w:val="1C3A36"/>
                <w:sz w:val="15"/>
              </w:rPr>
              <w:t>—</w:t>
            </w:r>
          </w:p>
        </w:tc>
        <w:tc>
          <w:tcPr>
            <w:tcW w:type="dxa" w:w="1008"/>
          </w:tcPr>
          <w:p>
            <w:pPr>
              <w:spacing w:after="20"/>
              <w:jc w:val="right"/>
            </w:pPr>
            <w:r>
              <w:rPr>
                <w:color w:val="1C3A36"/>
                <w:sz w:val="15"/>
              </w:rPr>
              <w:t>8.59</w:t>
            </w:r>
          </w:p>
        </w:tc>
        <w:tc>
          <w:tcPr>
            <w:tcW w:type="dxa" w:w="936"/>
          </w:tcPr>
          <w:p>
            <w:pPr>
              <w:spacing w:after="20"/>
              <w:jc w:val="right"/>
            </w:pPr>
            <w:r>
              <w:rPr>
                <w:color w:val="1C3A36"/>
                <w:sz w:val="15"/>
              </w:rPr>
              <w:t>-40%</w:t>
            </w:r>
          </w:p>
        </w:tc>
      </w:tr>
      <w:tr>
        <w:trPr>
          <w:cantSplit/>
        </w:trPr>
        <w:tc>
          <w:tcPr>
            <w:tcW w:type="dxa" w:w="2232"/>
          </w:tcPr>
          <w:p>
            <w:pPr>
              <w:spacing w:after="20"/>
            </w:pPr>
            <w:r>
              <w:rPr>
                <w:color w:val="1C3A36"/>
                <w:sz w:val="15"/>
              </w:rPr>
              <w:t>Country risk priced off the sovereign's traded default swap</w:t>
            </w:r>
          </w:p>
        </w:tc>
        <w:tc>
          <w:tcPr>
            <w:tcW w:type="dxa" w:w="3960"/>
          </w:tcPr>
          <w:p>
            <w:pPr>
              <w:spacing w:after="20"/>
            </w:pPr>
            <w:r>
              <w:rPr>
                <w:color w:val="1C3A36"/>
                <w:sz w:val="15"/>
              </w:rPr>
              <w:t>Priced off the sovereign's credit rating instead, which is the wider of the two spreads and gives a cost of capital 104 basis points higher</w:t>
            </w:r>
          </w:p>
        </w:tc>
        <w:tc>
          <w:tcPr>
            <w:tcW w:type="dxa" w:w="1512"/>
          </w:tcPr>
          <w:p>
            <w:pPr>
              <w:spacing w:after="20"/>
              <w:jc w:val="right"/>
            </w:pPr>
            <w:r>
              <w:rPr>
                <w:color w:val="1C3A36"/>
                <w:sz w:val="15"/>
              </w:rPr>
              <w:t>—</w:t>
            </w:r>
          </w:p>
        </w:tc>
        <w:tc>
          <w:tcPr>
            <w:tcW w:type="dxa" w:w="1008"/>
          </w:tcPr>
          <w:p>
            <w:pPr>
              <w:spacing w:after="20"/>
              <w:jc w:val="right"/>
            </w:pPr>
            <w:r>
              <w:rPr>
                <w:color w:val="1C3A36"/>
                <w:sz w:val="15"/>
              </w:rPr>
              <w:t>6.05</w:t>
            </w:r>
          </w:p>
        </w:tc>
        <w:tc>
          <w:tcPr>
            <w:tcW w:type="dxa" w:w="936"/>
          </w:tcPr>
          <w:p>
            <w:pPr>
              <w:spacing w:after="20"/>
              <w:jc w:val="right"/>
            </w:pPr>
            <w:r>
              <w:rPr>
                <w:color w:val="1C3A36"/>
                <w:sz w:val="15"/>
              </w:rPr>
              <w:t>-58%</w:t>
            </w:r>
          </w:p>
        </w:tc>
      </w:tr>
      <w:tr>
        <w:trPr>
          <w:cantSplit/>
        </w:trPr>
        <w:tc>
          <w:tcPr>
            <w:tcW w:type="dxa" w:w="2232"/>
          </w:tcPr>
          <w:p>
            <w:pPr>
              <w:spacing w:after="20"/>
            </w:pPr>
            <w:r>
              <w:rPr>
                <w:color w:val="1C3A36"/>
                <w:sz w:val="15"/>
              </w:rPr>
              <w:t>A cost of capital that glides from its spot build to a terminal rate made from its own long-run components</w:t>
            </w:r>
          </w:p>
        </w:tc>
        <w:tc>
          <w:tcPr>
            <w:tcW w:type="dxa" w:w="3960"/>
          </w:tcPr>
          <w:p>
            <w:pPr>
              <w:spacing w:after="20"/>
            </w:pPr>
            <w:r>
              <w:rPr>
                <w:color w:val="1C3A36"/>
                <w:sz w:val="15"/>
              </w:rPr>
              <w:t>One flat spot rate applied to every explicit year and to the perpetuity</w:t>
            </w:r>
          </w:p>
        </w:tc>
        <w:tc>
          <w:tcPr>
            <w:tcW w:type="dxa" w:w="1512"/>
          </w:tcPr>
          <w:p>
            <w:pPr>
              <w:spacing w:after="20"/>
              <w:jc w:val="right"/>
            </w:pPr>
            <w:r>
              <w:rPr>
                <w:color w:val="1C3A36"/>
                <w:sz w:val="15"/>
              </w:rPr>
              <w:t>—</w:t>
            </w:r>
          </w:p>
        </w:tc>
        <w:tc>
          <w:tcPr>
            <w:tcW w:type="dxa" w:w="1008"/>
          </w:tcPr>
          <w:p>
            <w:pPr>
              <w:spacing w:after="20"/>
              <w:jc w:val="right"/>
            </w:pPr>
            <w:r>
              <w:rPr>
                <w:color w:val="1C3A36"/>
                <w:sz w:val="15"/>
              </w:rPr>
              <w:t>3.15</w:t>
            </w:r>
          </w:p>
        </w:tc>
        <w:tc>
          <w:tcPr>
            <w:tcW w:type="dxa" w:w="936"/>
          </w:tcPr>
          <w:p>
            <w:pPr>
              <w:spacing w:after="20"/>
              <w:jc w:val="right"/>
            </w:pPr>
            <w:r>
              <w:rPr>
                <w:color w:val="1C3A36"/>
                <w:sz w:val="15"/>
              </w:rPr>
              <w:t>-78%</w:t>
            </w:r>
          </w:p>
        </w:tc>
      </w:tr>
      <w:tr>
        <w:trPr>
          <w:cantSplit/>
        </w:trPr>
        <w:tc>
          <w:tcPr>
            <w:tcW w:type="dxa" w:w="2232"/>
          </w:tcPr>
          <w:p>
            <w:pPr>
              <w:spacing w:after="20"/>
            </w:pPr>
            <w:r>
              <w:rPr>
                <w:color w:val="1C3A36"/>
                <w:sz w:val="15"/>
              </w:rPr>
              <w:t>Terminal growth at the central bank's medium-term inflation target</w:t>
            </w:r>
          </w:p>
        </w:tc>
        <w:tc>
          <w:tcPr>
            <w:tcW w:type="dxa" w:w="3960"/>
          </w:tcPr>
          <w:p>
            <w:pPr>
              <w:spacing w:after="20"/>
            </w:pPr>
            <w:r>
              <w:rPr>
                <w:color w:val="1C3A36"/>
                <w:sz w:val="15"/>
              </w:rPr>
              <w:t>Two percentage points below it, which is negative real maintenance growth</w:t>
            </w:r>
          </w:p>
        </w:tc>
        <w:tc>
          <w:tcPr>
            <w:tcW w:type="dxa" w:w="1512"/>
          </w:tcPr>
          <w:p>
            <w:pPr>
              <w:spacing w:after="20"/>
              <w:jc w:val="right"/>
            </w:pPr>
            <w:r>
              <w:rPr>
                <w:color w:val="1C3A36"/>
                <w:sz w:val="15"/>
              </w:rPr>
              <w:t>—</w:t>
            </w:r>
          </w:p>
        </w:tc>
        <w:tc>
          <w:tcPr>
            <w:tcW w:type="dxa" w:w="1008"/>
          </w:tcPr>
          <w:p>
            <w:pPr>
              <w:spacing w:after="20"/>
              <w:jc w:val="right"/>
            </w:pPr>
            <w:r>
              <w:rPr>
                <w:color w:val="1C3A36"/>
                <w:sz w:val="15"/>
              </w:rPr>
              <w:t>5.85</w:t>
            </w:r>
          </w:p>
        </w:tc>
        <w:tc>
          <w:tcPr>
            <w:tcW w:type="dxa" w:w="936"/>
          </w:tcPr>
          <w:p>
            <w:pPr>
              <w:spacing w:after="20"/>
              <w:jc w:val="right"/>
            </w:pPr>
            <w:r>
              <w:rPr>
                <w:color w:val="1C3A36"/>
                <w:sz w:val="15"/>
              </w:rPr>
              <w:t>-59%</w:t>
            </w:r>
          </w:p>
        </w:tc>
      </w:tr>
      <w:tr>
        <w:trPr>
          <w:cantSplit/>
        </w:trPr>
        <w:tc>
          <w:tcPr>
            <w:tcW w:type="dxa" w:w="2232"/>
          </w:tcPr>
          <w:p>
            <w:pPr>
              <w:spacing w:after="20"/>
            </w:pPr>
            <w:r>
              <w:rPr>
                <w:color w:val="1C3A36"/>
                <w:sz w:val="15"/>
              </w:rPr>
              <w:t>The cost of debt at the company's own disclosed rates — 19.4% on the local facility, 11.7% in dollars on the project loan carried at local-equivalent cost on the derived currency path, 24.4% in year one gliding to 13.9% at the terminal</w:t>
            </w:r>
          </w:p>
        </w:tc>
        <w:tc>
          <w:tcPr>
            <w:tcW w:type="dxa" w:w="3960"/>
          </w:tcPr>
          <w:p>
            <w:pPr>
              <w:spacing w:after="20"/>
            </w:pPr>
            <w:r>
              <w:rPr>
                <w:color w:val="1C3A36"/>
                <w:sz w:val="15"/>
              </w:rPr>
              <w:t>Every leg floored at the 23.00% sovereign ten-year yield — the company's own facilities print no spread above the policy rate, so no spread is added</w:t>
            </w:r>
          </w:p>
        </w:tc>
        <w:tc>
          <w:tcPr>
            <w:tcW w:type="dxa" w:w="1512"/>
          </w:tcPr>
          <w:p>
            <w:pPr>
              <w:spacing w:after="20"/>
              <w:jc w:val="right"/>
            </w:pPr>
            <w:r>
              <w:rPr>
                <w:color w:val="1C3A36"/>
                <w:sz w:val="15"/>
              </w:rPr>
              <w:t>—</w:t>
            </w:r>
          </w:p>
        </w:tc>
        <w:tc>
          <w:tcPr>
            <w:tcW w:type="dxa" w:w="1008"/>
          </w:tcPr>
          <w:p>
            <w:pPr>
              <w:spacing w:after="20"/>
              <w:jc w:val="right"/>
            </w:pPr>
            <w:r>
              <w:rPr>
                <w:color w:val="1C3A36"/>
                <w:sz w:val="15"/>
              </w:rPr>
              <w:t>6.76</w:t>
            </w:r>
          </w:p>
        </w:tc>
        <w:tc>
          <w:tcPr>
            <w:tcW w:type="dxa" w:w="936"/>
          </w:tcPr>
          <w:p>
            <w:pPr>
              <w:spacing w:after="20"/>
              <w:jc w:val="right"/>
            </w:pPr>
            <w:r>
              <w:rPr>
                <w:color w:val="1C3A36"/>
                <w:sz w:val="15"/>
              </w:rPr>
              <w:t>-53%</w:t>
            </w:r>
          </w:p>
        </w:tc>
      </w:tr>
      <w:tr>
        <w:trPr>
          <w:cantSplit/>
        </w:trPr>
        <w:tc>
          <w:tcPr>
            <w:tcW w:type="dxa" w:w="2232"/>
          </w:tcPr>
          <w:p>
            <w:pPr>
              <w:spacing w:after="20"/>
            </w:pPr>
            <w:r>
              <w:rPr>
                <w:color w:val="1C3A36"/>
                <w:sz w:val="15"/>
              </w:rPr>
              <w:t>Beta from the five-year weekly regression of the share against the published EGX30 index</w:t>
            </w:r>
          </w:p>
        </w:tc>
        <w:tc>
          <w:tcPr>
            <w:tcW w:type="dxa" w:w="3960"/>
          </w:tcPr>
          <w:p>
            <w:pPr>
              <w:spacing w:after="20"/>
            </w:pPr>
            <w:r>
              <w:rPr>
                <w:color w:val="1C3A36"/>
                <w:sz w:val="15"/>
              </w:rPr>
              <w:t>The lower bound of that regression's own 90% confidence interval</w:t>
            </w:r>
          </w:p>
        </w:tc>
        <w:tc>
          <w:tcPr>
            <w:tcW w:type="dxa" w:w="1512"/>
          </w:tcPr>
          <w:p>
            <w:pPr>
              <w:spacing w:after="20"/>
              <w:jc w:val="right"/>
            </w:pPr>
            <w:r>
              <w:rPr>
                <w:color w:val="1C3A36"/>
                <w:sz w:val="15"/>
              </w:rPr>
              <w:t>—</w:t>
            </w:r>
          </w:p>
        </w:tc>
        <w:tc>
          <w:tcPr>
            <w:tcW w:type="dxa" w:w="1008"/>
          </w:tcPr>
          <w:p>
            <w:pPr>
              <w:spacing w:after="20"/>
              <w:jc w:val="right"/>
            </w:pPr>
            <w:r>
              <w:rPr>
                <w:color w:val="1C3A36"/>
                <w:sz w:val="15"/>
              </w:rPr>
              <w:t>10.73</w:t>
            </w:r>
          </w:p>
        </w:tc>
        <w:tc>
          <w:tcPr>
            <w:tcW w:type="dxa" w:w="936"/>
          </w:tcPr>
          <w:p>
            <w:pPr>
              <w:spacing w:after="20"/>
              <w:jc w:val="right"/>
            </w:pPr>
            <w:r>
              <w:rPr>
                <w:color w:val="1C3A36"/>
                <w:sz w:val="15"/>
              </w:rPr>
              <w:t>-26%</w:t>
            </w:r>
          </w:p>
        </w:tc>
      </w:tr>
      <w:tr>
        <w:trPr>
          <w:cantSplit/>
        </w:trPr>
        <w:tc>
          <w:tcPr>
            <w:tcW w:type="dxa" w:w="2232"/>
          </w:tcPr>
          <w:p>
            <w:pPr>
              <w:spacing w:after="20"/>
            </w:pPr>
            <w:r>
              <w:rPr>
                <w:color w:val="1C3A36"/>
                <w:sz w:val="15"/>
              </w:rPr>
              <w:t>Gas at the realised price the company's own loss disclosure implies</w:t>
            </w:r>
          </w:p>
        </w:tc>
        <w:tc>
          <w:tcPr>
            <w:tcW w:type="dxa" w:w="3960"/>
          </w:tcPr>
          <w:p>
            <w:pPr>
              <w:spacing w:after="20"/>
            </w:pPr>
            <w:r>
              <w:rPr>
                <w:color w:val="1C3A36"/>
                <w:sz w:val="15"/>
              </w:rPr>
              <w:t>The contract formula price in the operating agreement, which is higher</w:t>
            </w:r>
          </w:p>
        </w:tc>
        <w:tc>
          <w:tcPr>
            <w:tcW w:type="dxa" w:w="1512"/>
          </w:tcPr>
          <w:p>
            <w:pPr>
              <w:spacing w:after="20"/>
              <w:jc w:val="right"/>
            </w:pPr>
            <w:r>
              <w:rPr>
                <w:color w:val="1C3A36"/>
                <w:sz w:val="15"/>
              </w:rPr>
              <w:t>—</w:t>
            </w:r>
          </w:p>
        </w:tc>
        <w:tc>
          <w:tcPr>
            <w:tcW w:type="dxa" w:w="1008"/>
          </w:tcPr>
          <w:p>
            <w:pPr>
              <w:spacing w:after="20"/>
              <w:jc w:val="right"/>
            </w:pPr>
            <w:r>
              <w:rPr>
                <w:color w:val="1C3A36"/>
                <w:sz w:val="15"/>
              </w:rPr>
              <w:t>5.99</w:t>
            </w:r>
          </w:p>
        </w:tc>
        <w:tc>
          <w:tcPr>
            <w:tcW w:type="dxa" w:w="936"/>
          </w:tcPr>
          <w:p>
            <w:pPr>
              <w:spacing w:after="20"/>
              <w:jc w:val="right"/>
            </w:pPr>
            <w:r>
              <w:rPr>
                <w:color w:val="1C3A36"/>
                <w:sz w:val="15"/>
              </w:rPr>
              <w:t>-58%</w:t>
            </w:r>
          </w:p>
        </w:tc>
      </w:tr>
      <w:tr>
        <w:trPr>
          <w:cantSplit/>
        </w:trPr>
        <w:tc>
          <w:tcPr>
            <w:tcW w:type="dxa" w:w="2232"/>
          </w:tcPr>
          <w:p>
            <w:pPr>
              <w:spacing w:after="20"/>
            </w:pPr>
            <w:r>
              <w:rPr>
                <w:color w:val="1C3A36"/>
                <w:sz w:val="15"/>
              </w:rPr>
              <w:t>The new complex earning at half its derived nameplate in the terminal year</w:t>
            </w:r>
          </w:p>
        </w:tc>
        <w:tc>
          <w:tcPr>
            <w:tcW w:type="dxa" w:w="3960"/>
          </w:tcPr>
          <w:p>
            <w:pPr>
              <w:spacing w:after="20"/>
            </w:pPr>
            <w:r>
              <w:rPr>
                <w:color w:val="1C3A36"/>
                <w:sz w:val="15"/>
              </w:rPr>
              <w:t>Seventy per cent, which is what a well-run nitrate line achieves</w:t>
            </w:r>
          </w:p>
        </w:tc>
        <w:tc>
          <w:tcPr>
            <w:tcW w:type="dxa" w:w="1512"/>
          </w:tcPr>
          <w:p>
            <w:pPr>
              <w:spacing w:after="20"/>
              <w:jc w:val="right"/>
            </w:pPr>
            <w:r>
              <w:rPr>
                <w:color w:val="1C3A36"/>
                <w:sz w:val="15"/>
              </w:rPr>
              <w:t>—</w:t>
            </w:r>
          </w:p>
        </w:tc>
        <w:tc>
          <w:tcPr>
            <w:tcW w:type="dxa" w:w="1008"/>
          </w:tcPr>
          <w:p>
            <w:pPr>
              <w:spacing w:after="20"/>
              <w:jc w:val="right"/>
            </w:pPr>
            <w:r>
              <w:rPr>
                <w:color w:val="1C3A36"/>
                <w:sz w:val="15"/>
              </w:rPr>
              <w:t>10.06</w:t>
            </w:r>
          </w:p>
        </w:tc>
        <w:tc>
          <w:tcPr>
            <w:tcW w:type="dxa" w:w="936"/>
          </w:tcPr>
          <w:p>
            <w:pPr>
              <w:spacing w:after="20"/>
              <w:jc w:val="right"/>
            </w:pPr>
            <w:r>
              <w:rPr>
                <w:color w:val="1C3A36"/>
                <w:sz w:val="15"/>
              </w:rPr>
              <w:t>-30%</w:t>
            </w:r>
          </w:p>
        </w:tc>
      </w:tr>
      <w:tr>
        <w:trPr>
          <w:cantSplit/>
        </w:trPr>
        <w:tc>
          <w:tcPr>
            <w:tcW w:type="dxa" w:w="2232"/>
          </w:tcPr>
          <w:p>
            <w:pPr>
              <w:spacing w:after="20"/>
            </w:pPr>
            <w:r>
              <w:rPr>
                <w:color w:val="1C3A36"/>
                <w:sz w:val="15"/>
              </w:rPr>
              <w:t>Maintenance capital expenditure at the company's own observed pre-project rate of 1.12% of revenue</w:t>
            </w:r>
          </w:p>
        </w:tc>
        <w:tc>
          <w:tcPr>
            <w:tcW w:type="dxa" w:w="3960"/>
          </w:tcPr>
          <w:p>
            <w:pPr>
              <w:spacing w:after="20"/>
            </w:pPr>
            <w:r>
              <w:rPr>
                <w:color w:val="1C3A36"/>
                <w:sz w:val="15"/>
              </w:rPr>
              <w:t>Replacement-rate maintenance: gross fixed assets at the disclosed 3.95% machinery depreciation rate, or 6.11% of revenue</w:t>
            </w:r>
          </w:p>
        </w:tc>
        <w:tc>
          <w:tcPr>
            <w:tcW w:type="dxa" w:w="1512"/>
          </w:tcPr>
          <w:p>
            <w:pPr>
              <w:spacing w:after="20"/>
              <w:jc w:val="right"/>
            </w:pPr>
            <w:r>
              <w:rPr>
                <w:color w:val="1C3A36"/>
                <w:sz w:val="15"/>
              </w:rPr>
              <w:t>—</w:t>
            </w:r>
          </w:p>
        </w:tc>
        <w:tc>
          <w:tcPr>
            <w:tcW w:type="dxa" w:w="1008"/>
          </w:tcPr>
          <w:p>
            <w:pPr>
              <w:spacing w:after="20"/>
              <w:jc w:val="right"/>
            </w:pPr>
            <w:r>
              <w:rPr>
                <w:color w:val="1C3A36"/>
                <w:sz w:val="15"/>
              </w:rPr>
              <w:t>8.24</w:t>
            </w:r>
          </w:p>
        </w:tc>
        <w:tc>
          <w:tcPr>
            <w:tcW w:type="dxa" w:w="936"/>
          </w:tcPr>
          <w:p>
            <w:pPr>
              <w:spacing w:after="20"/>
              <w:jc w:val="right"/>
            </w:pPr>
            <w:r>
              <w:rPr>
                <w:color w:val="1C3A36"/>
                <w:sz w:val="15"/>
              </w:rPr>
              <w:t>-43%</w:t>
            </w:r>
          </w:p>
        </w:tc>
      </w:tr>
      <w:tr>
        <w:trPr>
          <w:cantSplit/>
        </w:trPr>
        <w:tc>
          <w:tcPr>
            <w:tcW w:type="dxa" w:w="2232"/>
          </w:tcPr>
          <w:p>
            <w:pPr>
              <w:spacing w:after="20"/>
            </w:pPr>
            <w:r>
              <w:rPr>
                <w:color w:val="1C3A36"/>
                <w:sz w:val="15"/>
              </w:rPr>
              <w:t>Capital maintenance charged at what replacing the plant costs today, on the 4.45-year average age the accounts MEASURE — accumulated depreciation over the year's own charge</w:t>
            </w:r>
          </w:p>
        </w:tc>
        <w:tc>
          <w:tcPr>
            <w:tcW w:type="dxa" w:w="3960"/>
          </w:tcPr>
          <w:p>
            <w:pPr>
              <w:spacing w:after="20"/>
            </w:pPr>
            <w:r>
              <w:rPr>
                <w:color w:val="1C3A36"/>
                <w:sz w:val="15"/>
              </w:rPr>
              <w:t>Half the 22.1-year life the same accounts imply, 11.04 years, which is what has to be assumed where a company does not disclose enough to measure it</w:t>
            </w:r>
          </w:p>
        </w:tc>
        <w:tc>
          <w:tcPr>
            <w:tcW w:type="dxa" w:w="1512"/>
          </w:tcPr>
          <w:p>
            <w:pPr>
              <w:spacing w:after="20"/>
              <w:jc w:val="right"/>
            </w:pPr>
            <w:r>
              <w:rPr>
                <w:color w:val="1C3A36"/>
                <w:sz w:val="15"/>
              </w:rPr>
              <w:t>—</w:t>
            </w:r>
          </w:p>
        </w:tc>
        <w:tc>
          <w:tcPr>
            <w:tcW w:type="dxa" w:w="1008"/>
          </w:tcPr>
          <w:p>
            <w:pPr>
              <w:spacing w:after="20"/>
              <w:jc w:val="right"/>
            </w:pPr>
            <w:r>
              <w:rPr>
                <w:color w:val="1C3A36"/>
                <w:sz w:val="15"/>
              </w:rPr>
              <w:t>6.28</w:t>
            </w:r>
          </w:p>
        </w:tc>
        <w:tc>
          <w:tcPr>
            <w:tcW w:type="dxa" w:w="936"/>
          </w:tcPr>
          <w:p>
            <w:pPr>
              <w:spacing w:after="20"/>
              <w:jc w:val="right"/>
            </w:pPr>
            <w:r>
              <w:rPr>
                <w:color w:val="1C3A36"/>
                <w:sz w:val="15"/>
              </w:rPr>
              <w:t>-56%</w:t>
            </w:r>
          </w:p>
        </w:tc>
      </w:tr>
      <w:tr>
        <w:trPr>
          <w:cantSplit/>
        </w:trPr>
        <w:tc>
          <w:tcPr>
            <w:tcW w:type="dxa" w:w="2232"/>
          </w:tcPr>
          <w:p>
            <w:pPr>
              <w:spacing w:after="20"/>
            </w:pPr>
            <w:r>
              <w:rPr>
                <w:color w:val="1C3A36"/>
                <w:sz w:val="15"/>
              </w:rPr>
              <w:t>Gas consumption at 1,292 cubic metres a tonne of ammonia — the rate implied by allocating three quarters of the single disclosed materials line to gas, which carries the plant's disclosed losses as well as its standard usage</w:t>
            </w:r>
          </w:p>
        </w:tc>
        <w:tc>
          <w:tcPr>
            <w:tcW w:type="dxa" w:w="3960"/>
          </w:tcPr>
          <w:p>
            <w:pPr>
              <w:spacing w:after="20"/>
            </w:pPr>
            <w:r>
              <w:rPr>
                <w:color w:val="1C3A36"/>
                <w:sz w:val="15"/>
              </w:rPr>
              <w:t>The auditor's own disclosed STANDARD rate of 1,200 cubic metres a tonne, which is what the plant consumes when it runs to specification and excludes the losses</w:t>
            </w:r>
          </w:p>
        </w:tc>
        <w:tc>
          <w:tcPr>
            <w:tcW w:type="dxa" w:w="1512"/>
          </w:tcPr>
          <w:p>
            <w:pPr>
              <w:spacing w:after="20"/>
              <w:jc w:val="right"/>
            </w:pPr>
            <w:r>
              <w:rPr>
                <w:color w:val="1C3A36"/>
                <w:sz w:val="15"/>
              </w:rPr>
              <w:t>—</w:t>
            </w:r>
          </w:p>
        </w:tc>
        <w:tc>
          <w:tcPr>
            <w:tcW w:type="dxa" w:w="1008"/>
          </w:tcPr>
          <w:p>
            <w:pPr>
              <w:spacing w:after="20"/>
              <w:jc w:val="right"/>
            </w:pPr>
            <w:r>
              <w:rPr>
                <w:color w:val="1C3A36"/>
                <w:sz w:val="15"/>
              </w:rPr>
              <w:t>10.25</w:t>
            </w:r>
          </w:p>
        </w:tc>
        <w:tc>
          <w:tcPr>
            <w:tcW w:type="dxa" w:w="936"/>
          </w:tcPr>
          <w:p>
            <w:pPr>
              <w:spacing w:after="20"/>
              <w:jc w:val="right"/>
            </w:pPr>
            <w:r>
              <w:rPr>
                <w:color w:val="1C3A36"/>
                <w:sz w:val="15"/>
              </w:rPr>
              <w:t>-29%</w:t>
            </w:r>
          </w:p>
        </w:tc>
      </w:tr>
      <w:tr>
        <w:trPr>
          <w:cantSplit/>
        </w:trPr>
        <w:tc>
          <w:tcPr>
            <w:tcW w:type="dxa" w:w="2232"/>
          </w:tcPr>
          <w:p>
            <w:pPr>
              <w:spacing w:after="20"/>
            </w:pPr>
            <w:r>
              <w:rPr>
                <w:color w:val="1C3A36"/>
                <w:sz w:val="15"/>
              </w:rPr>
              <w:t>Project spending anchored on the observed run rate: the nine-month actual extended to a full year</w:t>
            </w:r>
          </w:p>
        </w:tc>
        <w:tc>
          <w:tcPr>
            <w:tcW w:type="dxa" w:w="3960"/>
          </w:tcPr>
          <w:p>
            <w:pPr>
              <w:spacing w:after="20"/>
            </w:pPr>
            <w:r>
              <w:rPr>
                <w:color w:val="1C3A36"/>
                <w:sz w:val="15"/>
              </w:rPr>
              <w:t>The faster profile the first issue of this study used, opening at EGP 3,000m</w:t>
            </w:r>
          </w:p>
        </w:tc>
        <w:tc>
          <w:tcPr>
            <w:tcW w:type="dxa" w:w="1512"/>
          </w:tcPr>
          <w:p>
            <w:pPr>
              <w:spacing w:after="20"/>
              <w:jc w:val="right"/>
            </w:pPr>
            <w:r>
              <w:rPr>
                <w:color w:val="1C3A36"/>
                <w:sz w:val="15"/>
              </w:rPr>
              <w:t>—</w:t>
            </w:r>
          </w:p>
        </w:tc>
        <w:tc>
          <w:tcPr>
            <w:tcW w:type="dxa" w:w="1008"/>
          </w:tcPr>
          <w:p>
            <w:pPr>
              <w:spacing w:after="20"/>
              <w:jc w:val="right"/>
            </w:pPr>
            <w:r>
              <w:rPr>
                <w:color w:val="1C3A36"/>
                <w:sz w:val="15"/>
              </w:rPr>
              <w:t>9.03</w:t>
            </w:r>
          </w:p>
        </w:tc>
        <w:tc>
          <w:tcPr>
            <w:tcW w:type="dxa" w:w="936"/>
          </w:tcPr>
          <w:p>
            <w:pPr>
              <w:spacing w:after="20"/>
              <w:jc w:val="right"/>
            </w:pPr>
            <w:r>
              <w:rPr>
                <w:color w:val="1C3A36"/>
                <w:sz w:val="15"/>
              </w:rPr>
              <w:t>-37%</w:t>
            </w:r>
          </w:p>
        </w:tc>
      </w:tr>
    </w:tbl>
    <w:p>
      <w:pPr>
        <w:spacing w:after="40"/>
      </w:pPr>
    </w:p>
    <w:p>
      <w:pPr>
        <w:spacing w:after="200" w:before="0"/>
      </w:pPr>
      <w:r>
        <w:rPr>
          <w:b w:val="0"/>
          <w:i/>
          <w:color w:val="6E7B77"/>
          <w:sz w:val="17"/>
        </w:rPr>
        <w:t>Table 1.  Egyptian pounds a share against a traded price of EGP 14.41. Every alternative reading is a complete re-run of the model through the same case machinery, not an adjustment applied to the answer; each is argued for and against in section 1.8.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608"/>
        <w:gridCol w:w="2736"/>
        <w:gridCol w:w="2736"/>
      </w:tblGrid>
      <w:tr>
        <w:trPr>
          <w:cantSplit/>
          <w:tblHeader/>
        </w:trPr>
        <w:tc>
          <w:tcPr>
            <w:tcW w:type="dxa" w:w="4608"/>
            <w:shd w:val="clear" w:color="auto" w:fill="EAF0EE"/>
          </w:tcPr>
          <w:p>
            <w:pPr>
              <w:spacing w:after="20"/>
            </w:pPr>
            <w:r>
              <w:rPr>
                <w:b/>
                <w:color w:val="1C3A36"/>
                <w:sz w:val="17"/>
              </w:rPr>
              <w:t>Terminal value as a share of enterprise value</w:t>
            </w:r>
          </w:p>
        </w:tc>
        <w:tc>
          <w:tcPr>
            <w:tcW w:type="dxa" w:w="2736"/>
            <w:shd w:val="clear" w:color="auto" w:fill="EAF0EE"/>
          </w:tcPr>
          <w:p>
            <w:pPr>
              <w:spacing w:after="20"/>
            </w:pPr>
            <w:r>
              <w:rPr>
                <w:b/>
                <w:color w:val="1C3A36"/>
                <w:sz w:val="17"/>
              </w:rPr>
              <w:t>Programme carried through</w:t>
            </w:r>
          </w:p>
        </w:tc>
        <w:tc>
          <w:tcPr>
            <w:tcW w:type="dxa" w:w="2736"/>
            <w:shd w:val="clear" w:color="auto" w:fill="EAF0EE"/>
          </w:tcPr>
          <w:p>
            <w:pPr>
              <w:spacing w:after="20"/>
            </w:pPr>
            <w:r>
              <w:rPr>
                <w:b/>
                <w:color w:val="1C3A36"/>
                <w:sz w:val="17"/>
              </w:rPr>
              <w:t>Programme stopped</w:t>
            </w:r>
          </w:p>
        </w:tc>
      </w:tr>
      <w:tr>
        <w:trPr>
          <w:cantSplit/>
        </w:trPr>
        <w:tc>
          <w:tcPr>
            <w:tcW w:type="dxa" w:w="4608"/>
          </w:tcPr>
          <w:p>
            <w:pPr>
              <w:spacing w:after="20"/>
            </w:pPr>
            <w:r>
              <w:rPr>
                <w:color w:val="1C3A36"/>
                <w:sz w:val="17"/>
              </w:rPr>
              <w:t>Discounted cash-flow lens</w:t>
            </w:r>
          </w:p>
        </w:tc>
        <w:tc>
          <w:tcPr>
            <w:tcW w:type="dxa" w:w="2736"/>
          </w:tcPr>
          <w:p>
            <w:pPr>
              <w:spacing w:after="20"/>
              <w:jc w:val="right"/>
            </w:pPr>
            <w:r>
              <w:rPr>
                <w:color w:val="1C3A36"/>
                <w:sz w:val="17"/>
              </w:rPr>
              <w:t>79.8%</w:t>
            </w:r>
          </w:p>
        </w:tc>
        <w:tc>
          <w:tcPr>
            <w:tcW w:type="dxa" w:w="2736"/>
          </w:tcPr>
          <w:p>
            <w:pPr>
              <w:spacing w:after="20"/>
              <w:jc w:val="right"/>
            </w:pPr>
            <w:r>
              <w:rPr>
                <w:color w:val="1C3A36"/>
                <w:sz w:val="17"/>
              </w:rPr>
              <w:t>61.3%</w:t>
            </w:r>
          </w:p>
        </w:tc>
      </w:tr>
    </w:tbl>
    <w:p>
      <w:pPr>
        <w:spacing w:after="40"/>
      </w:pPr>
    </w:p>
    <w:p>
      <w:pPr>
        <w:spacing w:after="200" w:before="0"/>
      </w:pPr>
      <w:r>
        <w:rPr>
          <w:b w:val="0"/>
          <w:i/>
          <w:color w:val="6E7B77"/>
          <w:sz w:val="17"/>
        </w:rPr>
        <w:t>Table 2.  Reported beside the cash-flow lens because on this company it is the number that decides the answer. The explicit years contribute a present value of EGP 5,005 million on the carried-through case, so the terminal block carries 79.8% of enterprise value; the capital programme takes most of the window's operating cash, which is why the share is high for a going concern.</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9_field.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Each lens as its own bear-to-bull span, with the central marked, against the traded price.</w:t>
      </w:r>
    </w:p>
    <w:p>
      <w:pPr>
        <w:spacing w:after="120" w:before="0"/>
      </w:pPr>
      <w:r>
        <w:rPr>
          <w:b w:val="0"/>
          <w:i w:val="0"/>
          <w:color w:val="1C3A36"/>
          <w:sz w:val="21"/>
        </w:rPr>
        <w:t>The alternative readings are shown so that each genuinely contested choice in the construction can be priced rather than argued. The widest of them is the gas price: moving from the price the company's own loss disclosure implies to the contract formula price in its operating agreement is worth EGP 3.25 a share. The narrowest is terminal growth, worth EGP 3.39. Not one of them, alone or together, reaches the traded price — which is the finding this study reports, and the reason the headline states the discount rate the market itself implies rather than asserting that the market is wrong.</w:t>
      </w:r>
    </w:p>
    <w:p>
      <w:pPr>
        <w:keepNext/>
        <w:spacing w:after="120" w:before="280"/>
      </w:pPr>
      <w:r>
        <w:rPr>
          <w:b/>
          <w:i w:val="0"/>
          <w:color w:val="1C3A36"/>
          <w:sz w:val="30"/>
        </w:rPr>
        <w:t>Company overview</w:t>
      </w:r>
    </w:p>
    <w:p>
      <w:pPr>
        <w:spacing w:after="120" w:before="0"/>
      </w:pPr>
      <w:r>
        <w:rPr>
          <w:b w:val="0"/>
          <w:i w:val="0"/>
          <w:color w:val="1C3A36"/>
          <w:sz w:val="21"/>
        </w:rPr>
        <w:t>Egyptian Chemical Industries, universally called KIMA, has made nitrogen fertilizer at Aswan since 1956. It is 69.8% owned by the state-controlled Chemical Industries Holding Company, with public-sector insurance funds and a state bank holding most of the rest; the free float is about 6.2%. Its accounts are audited by Egypt's Central Auditing Organization, jointly with a private firm in some years.</w:t>
      </w:r>
    </w:p>
    <w:p>
      <w:pPr>
        <w:spacing w:after="120" w:before="0"/>
      </w:pPr>
      <w:r>
        <w:rPr>
          <w:b w:val="0"/>
          <w:i w:val="0"/>
          <w:color w:val="1C3A36"/>
          <w:sz w:val="21"/>
        </w:rPr>
        <w:t>The audited revenue note for the year to 30 June 2025 splits EGP 8,603 million into EGP 6,609 million of exports and EGP 1,994 million of local sales. There is no lending book, no rental business of any size and no fee stream; the balance sheet is EGP 13,058 million of net plant and EGP 5,654 million of construction in progress. This is an operating company that converts natural gas into nitrogen products and sells them by the tonne, which is why it is valued on cash flow to the firm with a driver tree of volumes and prices rather than on a sum of parts or a dividend stream — it has paid no dividend in either of the last two years.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728"/>
        <w:gridCol w:w="1584"/>
        <w:gridCol w:w="4464"/>
      </w:tblGrid>
      <w:tr>
        <w:trPr>
          <w:cantSplit/>
          <w:tblHeader/>
        </w:trPr>
        <w:tc>
          <w:tcPr>
            <w:tcW w:type="dxa" w:w="2304"/>
            <w:shd w:val="clear" w:color="auto" w:fill="EAF0EE"/>
          </w:tcPr>
          <w:p>
            <w:pPr>
              <w:spacing w:after="20"/>
            </w:pPr>
            <w:r>
              <w:rPr>
                <w:b/>
                <w:color w:val="1C3A36"/>
                <w:sz w:val="17"/>
              </w:rPr>
              <w:t>Product</w:t>
            </w:r>
          </w:p>
        </w:tc>
        <w:tc>
          <w:tcPr>
            <w:tcW w:type="dxa" w:w="1728"/>
            <w:shd w:val="clear" w:color="auto" w:fill="EAF0EE"/>
          </w:tcPr>
          <w:p>
            <w:pPr>
              <w:spacing w:after="20"/>
            </w:pPr>
            <w:r>
              <w:rPr>
                <w:b/>
                <w:color w:val="1C3A36"/>
                <w:sz w:val="17"/>
              </w:rPr>
              <w:t>FY2024/25 output (tonnes)</w:t>
            </w:r>
          </w:p>
        </w:tc>
        <w:tc>
          <w:tcPr>
            <w:tcW w:type="dxa" w:w="1584"/>
            <w:shd w:val="clear" w:color="auto" w:fill="EAF0EE"/>
          </w:tcPr>
          <w:p>
            <w:pPr>
              <w:spacing w:after="20"/>
            </w:pPr>
            <w:r>
              <w:rPr>
                <w:b/>
                <w:color w:val="1C3A36"/>
                <w:sz w:val="17"/>
              </w:rPr>
              <w:t>Unit cost (EGP/t)</w:t>
            </w:r>
          </w:p>
        </w:tc>
        <w:tc>
          <w:tcPr>
            <w:tcW w:type="dxa" w:w="4464"/>
            <w:shd w:val="clear" w:color="auto" w:fill="EAF0EE"/>
          </w:tcPr>
          <w:p>
            <w:pPr>
              <w:spacing w:after="20"/>
            </w:pPr>
            <w:r>
              <w:rPr>
                <w:b/>
                <w:color w:val="1C3A36"/>
                <w:sz w:val="17"/>
              </w:rPr>
              <w:t>Role</w:t>
            </w:r>
          </w:p>
        </w:tc>
      </w:tr>
      <w:tr>
        <w:trPr>
          <w:cantSplit/>
        </w:trPr>
        <w:tc>
          <w:tcPr>
            <w:tcW w:type="dxa" w:w="2304"/>
          </w:tcPr>
          <w:p>
            <w:pPr>
              <w:spacing w:after="20"/>
            </w:pPr>
            <w:r>
              <w:rPr>
                <w:color w:val="1C3A36"/>
                <w:sz w:val="17"/>
              </w:rPr>
              <w:t>Urea, 46.5% nitrogen</w:t>
            </w:r>
          </w:p>
        </w:tc>
        <w:tc>
          <w:tcPr>
            <w:tcW w:type="dxa" w:w="1728"/>
          </w:tcPr>
          <w:p>
            <w:pPr>
              <w:spacing w:after="20"/>
              <w:jc w:val="right"/>
            </w:pPr>
            <w:r>
              <w:rPr>
                <w:color w:val="1C3A36"/>
                <w:sz w:val="17"/>
              </w:rPr>
              <w:t>513,385</w:t>
            </w:r>
          </w:p>
        </w:tc>
        <w:tc>
          <w:tcPr>
            <w:tcW w:type="dxa" w:w="1584"/>
          </w:tcPr>
          <w:p>
            <w:pPr>
              <w:spacing w:after="20"/>
              <w:jc w:val="right"/>
            </w:pPr>
            <w:r>
              <w:rPr>
                <w:color w:val="1C3A36"/>
                <w:sz w:val="17"/>
              </w:rPr>
              <w:t>7,509</w:t>
            </w:r>
          </w:p>
        </w:tc>
        <w:tc>
          <w:tcPr>
            <w:tcW w:type="dxa" w:w="4464"/>
          </w:tcPr>
          <w:p>
            <w:pPr>
              <w:spacing w:after="20"/>
            </w:pPr>
            <w:r>
              <w:rPr>
                <w:color w:val="1C3A36"/>
                <w:sz w:val="17"/>
              </w:rPr>
              <w:t>The business: sold subsidised, on the local free market and for export</w:t>
            </w:r>
          </w:p>
        </w:tc>
      </w:tr>
      <w:tr>
        <w:trPr>
          <w:cantSplit/>
        </w:trPr>
        <w:tc>
          <w:tcPr>
            <w:tcW w:type="dxa" w:w="2304"/>
          </w:tcPr>
          <w:p>
            <w:pPr>
              <w:spacing w:after="20"/>
            </w:pPr>
            <w:r>
              <w:rPr>
                <w:color w:val="1C3A36"/>
                <w:sz w:val="17"/>
              </w:rPr>
              <w:t>Liquid ammonia</w:t>
            </w:r>
          </w:p>
        </w:tc>
        <w:tc>
          <w:tcPr>
            <w:tcW w:type="dxa" w:w="1728"/>
          </w:tcPr>
          <w:p>
            <w:pPr>
              <w:spacing w:after="20"/>
              <w:jc w:val="right"/>
            </w:pPr>
            <w:r>
              <w:rPr>
                <w:color w:val="1C3A36"/>
                <w:sz w:val="17"/>
              </w:rPr>
              <w:t>318,242</w:t>
            </w:r>
          </w:p>
        </w:tc>
        <w:tc>
          <w:tcPr>
            <w:tcW w:type="dxa" w:w="1584"/>
          </w:tcPr>
          <w:p>
            <w:pPr>
              <w:spacing w:after="20"/>
              <w:jc w:val="right"/>
            </w:pPr>
            <w:r>
              <w:rPr>
                <w:color w:val="1C3A36"/>
                <w:sz w:val="17"/>
              </w:rPr>
              <w:t>9,114</w:t>
            </w:r>
          </w:p>
        </w:tc>
        <w:tc>
          <w:tcPr>
            <w:tcW w:type="dxa" w:w="4464"/>
          </w:tcPr>
          <w:p>
            <w:pPr>
              <w:spacing w:after="20"/>
            </w:pPr>
            <w:r>
              <w:rPr>
                <w:color w:val="1C3A36"/>
                <w:sz w:val="17"/>
              </w:rPr>
              <w:t>Feedstock for urea; a small merchant volume is exported</w:t>
            </w:r>
          </w:p>
        </w:tc>
      </w:tr>
      <w:tr>
        <w:trPr>
          <w:cantSplit/>
        </w:trPr>
        <w:tc>
          <w:tcPr>
            <w:tcW w:type="dxa" w:w="2304"/>
          </w:tcPr>
          <w:p>
            <w:pPr>
              <w:spacing w:after="20"/>
            </w:pPr>
            <w:r>
              <w:rPr>
                <w:color w:val="1C3A36"/>
                <w:sz w:val="17"/>
              </w:rPr>
              <w:t>Granulated 33.5% nitrate</w:t>
            </w:r>
          </w:p>
        </w:tc>
        <w:tc>
          <w:tcPr>
            <w:tcW w:type="dxa" w:w="1728"/>
          </w:tcPr>
          <w:p>
            <w:pPr>
              <w:spacing w:after="20"/>
              <w:jc w:val="right"/>
            </w:pPr>
            <w:r>
              <w:rPr>
                <w:color w:val="1C3A36"/>
                <w:sz w:val="17"/>
              </w:rPr>
              <w:t>17,887</w:t>
            </w:r>
          </w:p>
        </w:tc>
        <w:tc>
          <w:tcPr>
            <w:tcW w:type="dxa" w:w="1584"/>
          </w:tcPr>
          <w:p>
            <w:pPr>
              <w:spacing w:after="20"/>
              <w:jc w:val="right"/>
            </w:pPr>
            <w:r>
              <w:rPr>
                <w:color w:val="1C3A36"/>
                <w:sz w:val="17"/>
              </w:rPr>
              <w:t>4,076</w:t>
            </w:r>
          </w:p>
        </w:tc>
        <w:tc>
          <w:tcPr>
            <w:tcW w:type="dxa" w:w="4464"/>
          </w:tcPr>
          <w:p>
            <w:pPr>
              <w:spacing w:after="20"/>
            </w:pPr>
            <w:r>
              <w:rPr>
                <w:color w:val="1C3A36"/>
                <w:sz w:val="17"/>
              </w:rPr>
              <w:t>Small nitrate leg</w:t>
            </w:r>
          </w:p>
        </w:tc>
      </w:tr>
      <w:tr>
        <w:trPr>
          <w:cantSplit/>
        </w:trPr>
        <w:tc>
          <w:tcPr>
            <w:tcW w:type="dxa" w:w="2304"/>
          </w:tcPr>
          <w:p>
            <w:pPr>
              <w:spacing w:after="20"/>
            </w:pPr>
            <w:r>
              <w:rPr>
                <w:color w:val="1C3A36"/>
                <w:sz w:val="17"/>
              </w:rPr>
              <w:t>Low-density ammonium nitrate</w:t>
            </w:r>
          </w:p>
        </w:tc>
        <w:tc>
          <w:tcPr>
            <w:tcW w:type="dxa" w:w="1728"/>
          </w:tcPr>
          <w:p>
            <w:pPr>
              <w:spacing w:after="20"/>
              <w:jc w:val="right"/>
            </w:pPr>
            <w:r>
              <w:rPr>
                <w:color w:val="1C3A36"/>
                <w:sz w:val="17"/>
              </w:rPr>
              <w:t>8,171</w:t>
            </w:r>
          </w:p>
        </w:tc>
        <w:tc>
          <w:tcPr>
            <w:tcW w:type="dxa" w:w="1584"/>
          </w:tcPr>
          <w:p>
            <w:pPr>
              <w:spacing w:after="20"/>
              <w:jc w:val="right"/>
            </w:pPr>
            <w:r>
              <w:rPr>
                <w:color w:val="1C3A36"/>
                <w:sz w:val="17"/>
              </w:rPr>
              <w:t>8,154</w:t>
            </w:r>
          </w:p>
        </w:tc>
        <w:tc>
          <w:tcPr>
            <w:tcW w:type="dxa" w:w="4464"/>
          </w:tcPr>
          <w:p>
            <w:pPr>
              <w:spacing w:after="20"/>
            </w:pPr>
            <w:r>
              <w:rPr>
                <w:color w:val="1C3A36"/>
                <w:sz w:val="17"/>
              </w:rPr>
              <w:t>Small nitrate leg</w:t>
            </w:r>
          </w:p>
        </w:tc>
      </w:tr>
      <w:tr>
        <w:trPr>
          <w:cantSplit/>
        </w:trPr>
        <w:tc>
          <w:tcPr>
            <w:tcW w:type="dxa" w:w="2304"/>
          </w:tcPr>
          <w:p>
            <w:pPr>
              <w:spacing w:after="20"/>
            </w:pPr>
            <w:r>
              <w:rPr>
                <w:color w:val="1C3A36"/>
                <w:sz w:val="17"/>
              </w:rPr>
              <w:t>Nitric acid</w:t>
            </w:r>
          </w:p>
        </w:tc>
        <w:tc>
          <w:tcPr>
            <w:tcW w:type="dxa" w:w="1728"/>
          </w:tcPr>
          <w:p>
            <w:pPr>
              <w:spacing w:after="20"/>
              <w:jc w:val="right"/>
            </w:pPr>
            <w:r>
              <w:rPr>
                <w:color w:val="1C3A36"/>
                <w:sz w:val="17"/>
              </w:rPr>
              <w:t>35,590</w:t>
            </w:r>
          </w:p>
        </w:tc>
        <w:tc>
          <w:tcPr>
            <w:tcW w:type="dxa" w:w="1584"/>
          </w:tcPr>
          <w:p>
            <w:pPr>
              <w:spacing w:after="20"/>
              <w:jc w:val="right"/>
            </w:pPr>
            <w:r>
              <w:rPr>
                <w:color w:val="1C3A36"/>
                <w:sz w:val="17"/>
              </w:rPr>
              <w:t>610</w:t>
            </w:r>
          </w:p>
        </w:tc>
        <w:tc>
          <w:tcPr>
            <w:tcW w:type="dxa" w:w="4464"/>
          </w:tcPr>
          <w:p>
            <w:pPr>
              <w:spacing w:after="20"/>
            </w:pPr>
            <w:r>
              <w:rPr>
                <w:color w:val="1C3A36"/>
                <w:sz w:val="17"/>
              </w:rPr>
              <w:t>Intermediate</w:t>
            </w:r>
          </w:p>
        </w:tc>
      </w:tr>
      <w:tr>
        <w:trPr>
          <w:cantSplit/>
        </w:trPr>
        <w:tc>
          <w:tcPr>
            <w:tcW w:type="dxa" w:w="2304"/>
          </w:tcPr>
          <w:p>
            <w:pPr>
              <w:spacing w:after="20"/>
            </w:pPr>
            <w:r>
              <w:rPr>
                <w:color w:val="1C3A36"/>
                <w:sz w:val="17"/>
              </w:rPr>
              <w:t>Ferrosilicon</w:t>
            </w:r>
          </w:p>
        </w:tc>
        <w:tc>
          <w:tcPr>
            <w:tcW w:type="dxa" w:w="1728"/>
          </w:tcPr>
          <w:p>
            <w:pPr>
              <w:spacing w:after="20"/>
              <w:jc w:val="right"/>
            </w:pPr>
            <w:r>
              <w:rPr>
                <w:color w:val="1C3A36"/>
                <w:sz w:val="17"/>
              </w:rPr>
              <w:t>nil</w:t>
            </w:r>
          </w:p>
        </w:tc>
        <w:tc>
          <w:tcPr>
            <w:tcW w:type="dxa" w:w="1584"/>
          </w:tcPr>
          <w:p>
            <w:pPr>
              <w:spacing w:after="20"/>
              <w:jc w:val="right"/>
            </w:pPr>
            <w:r>
              <w:rPr>
                <w:color w:val="1C3A36"/>
                <w:sz w:val="17"/>
              </w:rPr>
              <w:t>n/a</w:t>
            </w:r>
          </w:p>
        </w:tc>
        <w:tc>
          <w:tcPr>
            <w:tcW w:type="dxa" w:w="4464"/>
          </w:tcPr>
          <w:p>
            <w:pPr>
              <w:spacing w:after="20"/>
            </w:pPr>
            <w:r>
              <w:rPr>
                <w:color w:val="1C3A36"/>
                <w:sz w:val="17"/>
              </w:rPr>
              <w:t>Furnace idle since 2019 and leased to a tenant from May 2025, so it is now rent</w:t>
            </w:r>
          </w:p>
        </w:tc>
      </w:tr>
    </w:tbl>
    <w:p>
      <w:pPr>
        <w:spacing w:after="40"/>
      </w:pPr>
    </w:p>
    <w:p>
      <w:pPr>
        <w:spacing w:after="200" w:before="0"/>
      </w:pPr>
      <w:r>
        <w:rPr>
          <w:b w:val="0"/>
          <w:i/>
          <w:color w:val="6E7B77"/>
          <w:sz w:val="17"/>
        </w:rPr>
        <w:t>Table 3.  Production and unit costs as disclosed in the auditor's own cost table. Ammonia is consumed by urea rather than sold, which is why the surplus over urea's draw is what the new complex is built to use.</w:t>
      </w:r>
    </w:p>
    <w:p>
      <w:pPr>
        <w:keepNext/>
        <w:spacing w:after="120" w:before="280"/>
      </w:pPr>
      <w:r>
        <w:rPr>
          <w:b/>
          <w:i w:val="0"/>
          <w:color w:val="1C3A36"/>
          <w:sz w:val="30"/>
        </w:rPr>
        <w:t>1  Fundamental valuation</w:t>
      </w:r>
    </w:p>
    <w:p>
      <w:pPr>
        <w:keepNext/>
        <w:spacing w:after="80" w:before="200"/>
      </w:pPr>
      <w:r>
        <w:rPr>
          <w:b/>
          <w:i w:val="0"/>
          <w:color w:val="1C3A36"/>
          <w:sz w:val="24"/>
        </w:rPr>
        <w:t>1.1  The cash-flow model — the primary lens, with the full waterfall</w:t>
      </w:r>
    </w:p>
    <w:p>
      <w:pPr>
        <w:spacing w:after="120" w:before="0"/>
      </w:pPr>
      <w:r>
        <w:rPr>
          <w:b w:val="0"/>
          <w:i w:val="0"/>
          <w:color w:val="1C3A36"/>
          <w:sz w:val="21"/>
        </w:rPr>
        <w:t>Revenue is tonnes multiplied by price, channel by channel. Cost is physical consumption multiplied by a unit price. Free cash flow to the firm is then built line by line and discounted on a cost of capital that glides to a terminal rate assembled from its own components.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Revenue</w:t>
            </w:r>
          </w:p>
        </w:tc>
        <w:tc>
          <w:tcPr>
            <w:tcW w:type="dxa" w:w="1426"/>
          </w:tcPr>
          <w:p>
            <w:pPr>
              <w:spacing w:after="20"/>
              <w:jc w:val="right"/>
            </w:pPr>
            <w:r>
              <w:rPr>
                <w:color w:val="1C3A36"/>
                <w:sz w:val="16"/>
              </w:rPr>
              <w:t>12,643</w:t>
            </w:r>
          </w:p>
        </w:tc>
        <w:tc>
          <w:tcPr>
            <w:tcW w:type="dxa" w:w="1426"/>
          </w:tcPr>
          <w:p>
            <w:pPr>
              <w:spacing w:after="20"/>
              <w:jc w:val="right"/>
            </w:pPr>
            <w:r>
              <w:rPr>
                <w:color w:val="1C3A36"/>
                <w:sz w:val="16"/>
              </w:rPr>
              <w:t>13,736</w:t>
            </w:r>
          </w:p>
        </w:tc>
        <w:tc>
          <w:tcPr>
            <w:tcW w:type="dxa" w:w="1426"/>
          </w:tcPr>
          <w:p>
            <w:pPr>
              <w:spacing w:after="20"/>
              <w:jc w:val="right"/>
            </w:pPr>
            <w:r>
              <w:rPr>
                <w:color w:val="1C3A36"/>
                <w:sz w:val="16"/>
              </w:rPr>
              <w:t>14,611</w:t>
            </w:r>
          </w:p>
        </w:tc>
        <w:tc>
          <w:tcPr>
            <w:tcW w:type="dxa" w:w="1426"/>
          </w:tcPr>
          <w:p>
            <w:pPr>
              <w:spacing w:after="20"/>
              <w:jc w:val="right"/>
            </w:pPr>
            <w:r>
              <w:rPr>
                <w:color w:val="1C3A36"/>
                <w:sz w:val="16"/>
              </w:rPr>
              <w:t>15,424</w:t>
            </w:r>
          </w:p>
        </w:tc>
        <w:tc>
          <w:tcPr>
            <w:tcW w:type="dxa" w:w="1426"/>
          </w:tcPr>
          <w:p>
            <w:pPr>
              <w:spacing w:after="20"/>
              <w:jc w:val="right"/>
            </w:pPr>
            <w:r>
              <w:rPr>
                <w:color w:val="1C3A36"/>
                <w:sz w:val="16"/>
              </w:rPr>
              <w:t>16,239</w:t>
            </w:r>
          </w:p>
        </w:tc>
      </w:tr>
      <w:tr>
        <w:trPr>
          <w:cantSplit/>
        </w:trPr>
        <w:tc>
          <w:tcPr>
            <w:tcW w:type="dxa" w:w="2952"/>
            <w:shd w:val="clear" w:color="auto" w:fill="F6F1E6"/>
          </w:tcPr>
          <w:p>
            <w:pPr>
              <w:spacing w:after="20"/>
            </w:pPr>
            <w:r>
              <w:rPr>
                <w:b/>
                <w:color w:val="1C3A36"/>
                <w:sz w:val="16"/>
              </w:rPr>
              <w:t>EBITDA</w:t>
            </w:r>
          </w:p>
        </w:tc>
        <w:tc>
          <w:tcPr>
            <w:tcW w:type="dxa" w:w="1426"/>
            <w:shd w:val="clear" w:color="auto" w:fill="F6F1E6"/>
          </w:tcPr>
          <w:p>
            <w:pPr>
              <w:spacing w:after="20"/>
              <w:jc w:val="right"/>
            </w:pPr>
            <w:r>
              <w:rPr>
                <w:b/>
                <w:color w:val="1C3A36"/>
                <w:sz w:val="16"/>
              </w:rPr>
              <w:t>5,781</w:t>
            </w:r>
          </w:p>
        </w:tc>
        <w:tc>
          <w:tcPr>
            <w:tcW w:type="dxa" w:w="1426"/>
            <w:shd w:val="clear" w:color="auto" w:fill="F6F1E6"/>
          </w:tcPr>
          <w:p>
            <w:pPr>
              <w:spacing w:after="20"/>
              <w:jc w:val="right"/>
            </w:pPr>
            <w:r>
              <w:rPr>
                <w:b/>
                <w:color w:val="1C3A36"/>
                <w:sz w:val="16"/>
              </w:rPr>
              <w:t>6,246</w:t>
            </w:r>
          </w:p>
        </w:tc>
        <w:tc>
          <w:tcPr>
            <w:tcW w:type="dxa" w:w="1426"/>
            <w:shd w:val="clear" w:color="auto" w:fill="F6F1E6"/>
          </w:tcPr>
          <w:p>
            <w:pPr>
              <w:spacing w:after="20"/>
              <w:jc w:val="right"/>
            </w:pPr>
            <w:r>
              <w:rPr>
                <w:b/>
                <w:color w:val="1C3A36"/>
                <w:sz w:val="16"/>
              </w:rPr>
              <w:t>6,590</w:t>
            </w:r>
          </w:p>
        </w:tc>
        <w:tc>
          <w:tcPr>
            <w:tcW w:type="dxa" w:w="1426"/>
            <w:shd w:val="clear" w:color="auto" w:fill="F6F1E6"/>
          </w:tcPr>
          <w:p>
            <w:pPr>
              <w:spacing w:after="20"/>
              <w:jc w:val="right"/>
            </w:pPr>
            <w:r>
              <w:rPr>
                <w:b/>
                <w:color w:val="1C3A36"/>
                <w:sz w:val="16"/>
              </w:rPr>
              <w:t>6,893</w:t>
            </w:r>
          </w:p>
        </w:tc>
        <w:tc>
          <w:tcPr>
            <w:tcW w:type="dxa" w:w="1426"/>
            <w:shd w:val="clear" w:color="auto" w:fill="F6F1E6"/>
          </w:tcPr>
          <w:p>
            <w:pPr>
              <w:spacing w:after="20"/>
              <w:jc w:val="right"/>
            </w:pPr>
            <w:r>
              <w:rPr>
                <w:b/>
                <w:color w:val="1C3A36"/>
                <w:sz w:val="16"/>
              </w:rPr>
              <w:t>7,183</w:t>
            </w:r>
          </w:p>
        </w:tc>
      </w:tr>
      <w:tr>
        <w:trPr>
          <w:cantSplit/>
        </w:trPr>
        <w:tc>
          <w:tcPr>
            <w:tcW w:type="dxa" w:w="2952"/>
          </w:tcPr>
          <w:p>
            <w:pPr>
              <w:spacing w:after="20"/>
            </w:pPr>
            <w:r>
              <w:rPr>
                <w:color w:val="1C3A36"/>
                <w:sz w:val="16"/>
              </w:rPr>
              <w:t>Depreciation and amortisation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shd w:val="clear" w:color="auto" w:fill="F6F1E6"/>
          </w:tcPr>
          <w:p>
            <w:pPr>
              <w:spacing w:after="20"/>
            </w:pPr>
            <w:r>
              <w:rPr>
                <w:b/>
                <w:color w:val="1C3A36"/>
                <w:sz w:val="16"/>
              </w:rPr>
              <w:t>EBIT</w:t>
            </w:r>
          </w:p>
        </w:tc>
        <w:tc>
          <w:tcPr>
            <w:tcW w:type="dxa" w:w="1426"/>
            <w:shd w:val="clear" w:color="auto" w:fill="F6F1E6"/>
          </w:tcPr>
          <w:p>
            <w:pPr>
              <w:spacing w:after="20"/>
              <w:jc w:val="right"/>
            </w:pPr>
            <w:r>
              <w:rPr>
                <w:b/>
                <w:color w:val="1C3A36"/>
                <w:sz w:val="16"/>
              </w:rPr>
              <w:t>4,890</w:t>
            </w:r>
          </w:p>
        </w:tc>
        <w:tc>
          <w:tcPr>
            <w:tcW w:type="dxa" w:w="1426"/>
            <w:shd w:val="clear" w:color="auto" w:fill="F6F1E6"/>
          </w:tcPr>
          <w:p>
            <w:pPr>
              <w:spacing w:after="20"/>
              <w:jc w:val="right"/>
            </w:pPr>
            <w:r>
              <w:rPr>
                <w:b/>
                <w:color w:val="1C3A36"/>
                <w:sz w:val="16"/>
              </w:rPr>
              <w:t>5,237</w:t>
            </w:r>
          </w:p>
        </w:tc>
        <w:tc>
          <w:tcPr>
            <w:tcW w:type="dxa" w:w="1426"/>
            <w:shd w:val="clear" w:color="auto" w:fill="F6F1E6"/>
          </w:tcPr>
          <w:p>
            <w:pPr>
              <w:spacing w:after="20"/>
              <w:jc w:val="right"/>
            </w:pPr>
            <w:r>
              <w:rPr>
                <w:b/>
                <w:color w:val="1C3A36"/>
                <w:sz w:val="16"/>
              </w:rPr>
              <w:t>5,444</w:t>
            </w:r>
          </w:p>
        </w:tc>
        <w:tc>
          <w:tcPr>
            <w:tcW w:type="dxa" w:w="1426"/>
            <w:shd w:val="clear" w:color="auto" w:fill="F6F1E6"/>
          </w:tcPr>
          <w:p>
            <w:pPr>
              <w:spacing w:after="20"/>
              <w:jc w:val="right"/>
            </w:pPr>
            <w:r>
              <w:rPr>
                <w:b/>
                <w:color w:val="1C3A36"/>
                <w:sz w:val="16"/>
              </w:rPr>
              <w:t>5,600</w:t>
            </w:r>
          </w:p>
        </w:tc>
        <w:tc>
          <w:tcPr>
            <w:tcW w:type="dxa" w:w="1426"/>
            <w:shd w:val="clear" w:color="auto" w:fill="F6F1E6"/>
          </w:tcPr>
          <w:p>
            <w:pPr>
              <w:spacing w:after="20"/>
              <w:jc w:val="right"/>
            </w:pPr>
            <w:r>
              <w:rPr>
                <w:b/>
                <w:color w:val="1C3A36"/>
                <w:sz w:val="16"/>
              </w:rPr>
              <w:t>5,749</w:t>
            </w:r>
          </w:p>
        </w:tc>
      </w:tr>
      <w:tr>
        <w:trPr>
          <w:cantSplit/>
        </w:trPr>
        <w:tc>
          <w:tcPr>
            <w:tcW w:type="dxa" w:w="2952"/>
          </w:tcPr>
          <w:p>
            <w:pPr>
              <w:spacing w:after="20"/>
            </w:pPr>
            <w:r>
              <w:rPr>
                <w:color w:val="1C3A36"/>
                <w:sz w:val="16"/>
              </w:rPr>
              <w:t>NOPAT — EBIT after tax</w:t>
            </w:r>
          </w:p>
        </w:tc>
        <w:tc>
          <w:tcPr>
            <w:tcW w:type="dxa" w:w="1426"/>
          </w:tcPr>
          <w:p>
            <w:pPr>
              <w:spacing w:after="20"/>
              <w:jc w:val="right"/>
            </w:pPr>
            <w:r>
              <w:rPr>
                <w:color w:val="1C3A36"/>
                <w:sz w:val="16"/>
              </w:rPr>
              <w:t>3,790</w:t>
            </w:r>
          </w:p>
        </w:tc>
        <w:tc>
          <w:tcPr>
            <w:tcW w:type="dxa" w:w="1426"/>
          </w:tcPr>
          <w:p>
            <w:pPr>
              <w:spacing w:after="20"/>
              <w:jc w:val="right"/>
            </w:pPr>
            <w:r>
              <w:rPr>
                <w:color w:val="1C3A36"/>
                <w:sz w:val="16"/>
              </w:rPr>
              <w:t>4,059</w:t>
            </w:r>
          </w:p>
        </w:tc>
        <w:tc>
          <w:tcPr>
            <w:tcW w:type="dxa" w:w="1426"/>
          </w:tcPr>
          <w:p>
            <w:pPr>
              <w:spacing w:after="20"/>
              <w:jc w:val="right"/>
            </w:pPr>
            <w:r>
              <w:rPr>
                <w:color w:val="1C3A36"/>
                <w:sz w:val="16"/>
              </w:rPr>
              <w:t>4,219</w:t>
            </w:r>
          </w:p>
        </w:tc>
        <w:tc>
          <w:tcPr>
            <w:tcW w:type="dxa" w:w="1426"/>
          </w:tcPr>
          <w:p>
            <w:pPr>
              <w:spacing w:after="20"/>
              <w:jc w:val="right"/>
            </w:pPr>
            <w:r>
              <w:rPr>
                <w:color w:val="1C3A36"/>
                <w:sz w:val="16"/>
              </w:rPr>
              <w:t>4,340</w:t>
            </w:r>
          </w:p>
        </w:tc>
        <w:tc>
          <w:tcPr>
            <w:tcW w:type="dxa" w:w="1426"/>
          </w:tcPr>
          <w:p>
            <w:pPr>
              <w:spacing w:after="20"/>
              <w:jc w:val="right"/>
            </w:pPr>
            <w:r>
              <w:rPr>
                <w:color w:val="1C3A36"/>
                <w:sz w:val="16"/>
              </w:rPr>
              <w:t>4,455</w:t>
            </w:r>
          </w:p>
        </w:tc>
      </w:tr>
      <w:tr>
        <w:trPr>
          <w:cantSplit/>
        </w:trPr>
        <w:tc>
          <w:tcPr>
            <w:tcW w:type="dxa" w:w="2952"/>
          </w:tcPr>
          <w:p>
            <w:pPr>
              <w:spacing w:after="20"/>
            </w:pPr>
            <w:r>
              <w:rPr>
                <w:color w:val="1C3A36"/>
                <w:sz w:val="16"/>
              </w:rPr>
              <w:t>Depreciation added back</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tcPr>
          <w:p>
            <w:pPr>
              <w:spacing w:after="20"/>
            </w:pPr>
            <w:r>
              <w:rPr>
                <w:color w:val="1C3A36"/>
                <w:sz w:val="16"/>
              </w:rPr>
              <w:t>Capital expenditure</w:t>
            </w:r>
          </w:p>
        </w:tc>
        <w:tc>
          <w:tcPr>
            <w:tcW w:type="dxa" w:w="1426"/>
          </w:tcPr>
          <w:p>
            <w:pPr>
              <w:spacing w:after="20"/>
              <w:jc w:val="right"/>
            </w:pPr>
            <w:r>
              <w:rPr>
                <w:color w:val="1C3A36"/>
                <w:sz w:val="16"/>
              </w:rPr>
              <w:t>-2,740</w:t>
            </w:r>
          </w:p>
        </w:tc>
        <w:tc>
          <w:tcPr>
            <w:tcW w:type="dxa" w:w="1426"/>
          </w:tcPr>
          <w:p>
            <w:pPr>
              <w:spacing w:after="20"/>
              <w:jc w:val="right"/>
            </w:pPr>
            <w:r>
              <w:rPr>
                <w:color w:val="1C3A36"/>
                <w:sz w:val="16"/>
              </w:rPr>
              <w:t>-3,253</w:t>
            </w:r>
          </w:p>
        </w:tc>
        <w:tc>
          <w:tcPr>
            <w:tcW w:type="dxa" w:w="1426"/>
          </w:tcPr>
          <w:p>
            <w:pPr>
              <w:spacing w:after="20"/>
              <w:jc w:val="right"/>
            </w:pPr>
            <w:r>
              <w:rPr>
                <w:color w:val="1C3A36"/>
                <w:sz w:val="16"/>
              </w:rPr>
              <w:t>-3,463</w:t>
            </w:r>
          </w:p>
        </w:tc>
        <w:tc>
          <w:tcPr>
            <w:tcW w:type="dxa" w:w="1426"/>
          </w:tcPr>
          <w:p>
            <w:pPr>
              <w:spacing w:after="20"/>
              <w:jc w:val="right"/>
            </w:pPr>
            <w:r>
              <w:rPr>
                <w:color w:val="1C3A36"/>
                <w:sz w:val="16"/>
              </w:rPr>
              <w:t>-3,372</w:t>
            </w:r>
          </w:p>
        </w:tc>
        <w:tc>
          <w:tcPr>
            <w:tcW w:type="dxa" w:w="1426"/>
          </w:tcPr>
          <w:p>
            <w:pPr>
              <w:spacing w:after="20"/>
              <w:jc w:val="right"/>
            </w:pPr>
            <w:r>
              <w:rPr>
                <w:color w:val="1C3A36"/>
                <w:sz w:val="16"/>
              </w:rPr>
              <w:t>-2,670</w:t>
            </w:r>
          </w:p>
        </w:tc>
      </w:tr>
      <w:tr>
        <w:trPr>
          <w:cantSplit/>
        </w:trPr>
        <w:tc>
          <w:tcPr>
            <w:tcW w:type="dxa" w:w="2952"/>
          </w:tcPr>
          <w:p>
            <w:pPr>
              <w:spacing w:after="20"/>
            </w:pPr>
            <w:r>
              <w:rPr>
                <w:color w:val="1C3A36"/>
                <w:sz w:val="16"/>
              </w:rPr>
              <w:t>Change in working capital — a release adds, a build subtracts</w:t>
            </w:r>
          </w:p>
        </w:tc>
        <w:tc>
          <w:tcPr>
            <w:tcW w:type="dxa" w:w="1426"/>
          </w:tcPr>
          <w:p>
            <w:pPr>
              <w:spacing w:after="20"/>
              <w:jc w:val="right"/>
            </w:pPr>
            <w:r>
              <w:rPr>
                <w:color w:val="1C3A36"/>
                <w:sz w:val="16"/>
              </w:rPr>
              <w:t>-690</w:t>
            </w:r>
          </w:p>
        </w:tc>
        <w:tc>
          <w:tcPr>
            <w:tcW w:type="dxa" w:w="1426"/>
          </w:tcPr>
          <w:p>
            <w:pPr>
              <w:spacing w:after="20"/>
              <w:jc w:val="right"/>
            </w:pPr>
            <w:r>
              <w:rPr>
                <w:color w:val="1C3A36"/>
                <w:sz w:val="16"/>
              </w:rPr>
              <w:t>-225</w:t>
            </w:r>
          </w:p>
        </w:tc>
        <w:tc>
          <w:tcPr>
            <w:tcW w:type="dxa" w:w="1426"/>
          </w:tcPr>
          <w:p>
            <w:pPr>
              <w:spacing w:after="20"/>
              <w:jc w:val="right"/>
            </w:pPr>
            <w:r>
              <w:rPr>
                <w:color w:val="1C3A36"/>
                <w:sz w:val="16"/>
              </w:rPr>
              <w:t>-194</w:t>
            </w:r>
          </w:p>
        </w:tc>
        <w:tc>
          <w:tcPr>
            <w:tcW w:type="dxa" w:w="1426"/>
          </w:tcPr>
          <w:p>
            <w:pPr>
              <w:spacing w:after="20"/>
              <w:jc w:val="right"/>
            </w:pPr>
            <w:r>
              <w:rPr>
                <w:color w:val="1C3A36"/>
                <w:sz w:val="16"/>
              </w:rPr>
              <w:t>-186</w:t>
            </w:r>
          </w:p>
        </w:tc>
        <w:tc>
          <w:tcPr>
            <w:tcW w:type="dxa" w:w="1426"/>
          </w:tcPr>
          <w:p>
            <w:pPr>
              <w:spacing w:after="20"/>
              <w:jc w:val="right"/>
            </w:pPr>
            <w:r>
              <w:rPr>
                <w:color w:val="1C3A36"/>
                <w:sz w:val="16"/>
              </w:rPr>
              <w:t>-187</w:t>
            </w:r>
          </w:p>
        </w:tc>
      </w:tr>
      <w:tr>
        <w:trPr>
          <w:cantSplit/>
        </w:trPr>
        <w:tc>
          <w:tcPr>
            <w:tcW w:type="dxa" w:w="2952"/>
            <w:shd w:val="clear" w:color="auto" w:fill="F6F1E6"/>
          </w:tcPr>
          <w:p>
            <w:pPr>
              <w:spacing w:after="20"/>
            </w:pPr>
            <w:r>
              <w:rPr>
                <w:b/>
                <w:color w:val="1C3A36"/>
                <w:sz w:val="16"/>
              </w:rPr>
              <w:t>FREE CASH FLOW TO THE FIRM</w:t>
            </w:r>
          </w:p>
        </w:tc>
        <w:tc>
          <w:tcPr>
            <w:tcW w:type="dxa" w:w="1426"/>
            <w:shd w:val="clear" w:color="auto" w:fill="F6F1E6"/>
          </w:tcPr>
          <w:p>
            <w:pPr>
              <w:spacing w:after="20"/>
              <w:jc w:val="right"/>
            </w:pPr>
            <w:r>
              <w:rPr>
                <w:b/>
                <w:color w:val="1C3A36"/>
                <w:sz w:val="16"/>
              </w:rPr>
              <w:t>1,251</w:t>
            </w:r>
          </w:p>
        </w:tc>
        <w:tc>
          <w:tcPr>
            <w:tcW w:type="dxa" w:w="1426"/>
            <w:shd w:val="clear" w:color="auto" w:fill="F6F1E6"/>
          </w:tcPr>
          <w:p>
            <w:pPr>
              <w:spacing w:after="20"/>
              <w:jc w:val="right"/>
            </w:pPr>
            <w:r>
              <w:rPr>
                <w:b/>
                <w:color w:val="1C3A36"/>
                <w:sz w:val="16"/>
              </w:rPr>
              <w:t>1,589</w:t>
            </w:r>
          </w:p>
        </w:tc>
        <w:tc>
          <w:tcPr>
            <w:tcW w:type="dxa" w:w="1426"/>
            <w:shd w:val="clear" w:color="auto" w:fill="F6F1E6"/>
          </w:tcPr>
          <w:p>
            <w:pPr>
              <w:spacing w:after="20"/>
              <w:jc w:val="right"/>
            </w:pPr>
            <w:r>
              <w:rPr>
                <w:b/>
                <w:color w:val="1C3A36"/>
                <w:sz w:val="16"/>
              </w:rPr>
              <w:t>1,709</w:t>
            </w:r>
          </w:p>
        </w:tc>
        <w:tc>
          <w:tcPr>
            <w:tcW w:type="dxa" w:w="1426"/>
            <w:shd w:val="clear" w:color="auto" w:fill="F6F1E6"/>
          </w:tcPr>
          <w:p>
            <w:pPr>
              <w:spacing w:after="20"/>
              <w:jc w:val="right"/>
            </w:pPr>
            <w:r>
              <w:rPr>
                <w:b/>
                <w:color w:val="1C3A36"/>
                <w:sz w:val="16"/>
              </w:rPr>
              <w:t>2,075</w:t>
            </w:r>
          </w:p>
        </w:tc>
        <w:tc>
          <w:tcPr>
            <w:tcW w:type="dxa" w:w="1426"/>
            <w:shd w:val="clear" w:color="auto" w:fill="F6F1E6"/>
          </w:tcPr>
          <w:p>
            <w:pPr>
              <w:spacing w:after="20"/>
              <w:jc w:val="right"/>
            </w:pPr>
            <w:r>
              <w:rPr>
                <w:b/>
                <w:color w:val="1C3A36"/>
                <w:sz w:val="16"/>
              </w:rPr>
              <w:t>3,032</w:t>
            </w:r>
          </w:p>
        </w:tc>
      </w:tr>
      <w:tr>
        <w:trPr>
          <w:cantSplit/>
        </w:trPr>
        <w:tc>
          <w:tcPr>
            <w:tcW w:type="dxa" w:w="2952"/>
          </w:tcPr>
          <w:p>
            <w:pPr>
              <w:spacing w:after="20"/>
            </w:pPr>
            <w:r>
              <w:rPr>
                <w:color w:val="1C3A36"/>
                <w:sz w:val="16"/>
              </w:rPr>
              <w:t>Discount rate from the glide</w:t>
            </w:r>
          </w:p>
        </w:tc>
        <w:tc>
          <w:tcPr>
            <w:tcW w:type="dxa" w:w="1426"/>
          </w:tcPr>
          <w:p>
            <w:pPr>
              <w:spacing w:after="20"/>
              <w:jc w:val="right"/>
            </w:pPr>
            <w:r>
              <w:rPr>
                <w:color w:val="1C3A36"/>
                <w:sz w:val="16"/>
              </w:rPr>
              <w:t>25.63%</w:t>
            </w:r>
          </w:p>
        </w:tc>
        <w:tc>
          <w:tcPr>
            <w:tcW w:type="dxa" w:w="1426"/>
          </w:tcPr>
          <w:p>
            <w:pPr>
              <w:spacing w:after="20"/>
              <w:jc w:val="right"/>
            </w:pPr>
            <w:r>
              <w:rPr>
                <w:color w:val="1C3A36"/>
                <w:sz w:val="16"/>
              </w:rPr>
              <w:t>23.23%</w:t>
            </w:r>
          </w:p>
        </w:tc>
        <w:tc>
          <w:tcPr>
            <w:tcW w:type="dxa" w:w="1426"/>
          </w:tcPr>
          <w:p>
            <w:pPr>
              <w:spacing w:after="20"/>
              <w:jc w:val="right"/>
            </w:pPr>
            <w:r>
              <w:rPr>
                <w:color w:val="1C3A36"/>
                <w:sz w:val="16"/>
              </w:rPr>
              <w:t>21.18%</w:t>
            </w:r>
          </w:p>
        </w:tc>
        <w:tc>
          <w:tcPr>
            <w:tcW w:type="dxa" w:w="1426"/>
          </w:tcPr>
          <w:p>
            <w:pPr>
              <w:spacing w:after="20"/>
              <w:jc w:val="right"/>
            </w:pPr>
            <w:r>
              <w:rPr>
                <w:color w:val="1C3A36"/>
                <w:sz w:val="16"/>
              </w:rPr>
              <w:t>19.50%</w:t>
            </w:r>
          </w:p>
        </w:tc>
        <w:tc>
          <w:tcPr>
            <w:tcW w:type="dxa" w:w="1426"/>
          </w:tcPr>
          <w:p>
            <w:pPr>
              <w:spacing w:after="20"/>
              <w:jc w:val="right"/>
            </w:pPr>
            <w:r>
              <w:rPr>
                <w:color w:val="1C3A36"/>
                <w:sz w:val="16"/>
              </w:rPr>
              <w:t>18.02%</w:t>
            </w:r>
          </w:p>
        </w:tc>
      </w:tr>
      <w:tr>
        <w:trPr>
          <w:cantSplit/>
        </w:trPr>
        <w:tc>
          <w:tcPr>
            <w:tcW w:type="dxa" w:w="2952"/>
          </w:tcPr>
          <w:p>
            <w:pPr>
              <w:spacing w:after="20"/>
            </w:pPr>
            <w:r>
              <w:rPr>
                <w:color w:val="1C3A36"/>
                <w:sz w:val="16"/>
              </w:rPr>
              <w:t>Discount factor</w:t>
            </w:r>
          </w:p>
        </w:tc>
        <w:tc>
          <w:tcPr>
            <w:tcW w:type="dxa" w:w="1426"/>
          </w:tcPr>
          <w:p>
            <w:pPr>
              <w:spacing w:after="20"/>
              <w:jc w:val="right"/>
            </w:pPr>
            <w:r>
              <w:rPr>
                <w:color w:val="1C3A36"/>
                <w:sz w:val="16"/>
              </w:rPr>
              <w:t>0.7960</w:t>
            </w:r>
          </w:p>
        </w:tc>
        <w:tc>
          <w:tcPr>
            <w:tcW w:type="dxa" w:w="1426"/>
          </w:tcPr>
          <w:p>
            <w:pPr>
              <w:spacing w:after="20"/>
              <w:jc w:val="right"/>
            </w:pPr>
            <w:r>
              <w:rPr>
                <w:color w:val="1C3A36"/>
                <w:sz w:val="16"/>
              </w:rPr>
              <w:t>0.6460</w:t>
            </w:r>
          </w:p>
        </w:tc>
        <w:tc>
          <w:tcPr>
            <w:tcW w:type="dxa" w:w="1426"/>
          </w:tcPr>
          <w:p>
            <w:pPr>
              <w:spacing w:after="20"/>
              <w:jc w:val="right"/>
            </w:pPr>
            <w:r>
              <w:rPr>
                <w:color w:val="1C3A36"/>
                <w:sz w:val="16"/>
              </w:rPr>
              <w:t>0.5331</w:t>
            </w:r>
          </w:p>
        </w:tc>
        <w:tc>
          <w:tcPr>
            <w:tcW w:type="dxa" w:w="1426"/>
          </w:tcPr>
          <w:p>
            <w:pPr>
              <w:spacing w:after="20"/>
              <w:jc w:val="right"/>
            </w:pPr>
            <w:r>
              <w:rPr>
                <w:color w:val="1C3A36"/>
                <w:sz w:val="16"/>
              </w:rPr>
              <w:t>0.4461</w:t>
            </w:r>
          </w:p>
        </w:tc>
        <w:tc>
          <w:tcPr>
            <w:tcW w:type="dxa" w:w="1426"/>
          </w:tcPr>
          <w:p>
            <w:pPr>
              <w:spacing w:after="20"/>
              <w:jc w:val="right"/>
            </w:pPr>
            <w:r>
              <w:rPr>
                <w:color w:val="1C3A36"/>
                <w:sz w:val="16"/>
              </w:rPr>
              <w:t>0.3780</w:t>
            </w:r>
          </w:p>
        </w:tc>
      </w:tr>
      <w:tr>
        <w:trPr>
          <w:cantSplit/>
        </w:trPr>
        <w:tc>
          <w:tcPr>
            <w:tcW w:type="dxa" w:w="2952"/>
            <w:shd w:val="clear" w:color="auto" w:fill="F6F1E6"/>
          </w:tcPr>
          <w:p>
            <w:pPr>
              <w:spacing w:after="20"/>
            </w:pPr>
            <w:r>
              <w:rPr>
                <w:b/>
                <w:color w:val="1C3A36"/>
                <w:sz w:val="16"/>
              </w:rPr>
              <w:t>PRESENT VALUE OF FREE CASH FLOW</w:t>
            </w:r>
          </w:p>
        </w:tc>
        <w:tc>
          <w:tcPr>
            <w:tcW w:type="dxa" w:w="1426"/>
            <w:shd w:val="clear" w:color="auto" w:fill="F6F1E6"/>
          </w:tcPr>
          <w:p>
            <w:pPr>
              <w:spacing w:after="20"/>
              <w:jc w:val="right"/>
            </w:pPr>
            <w:r>
              <w:rPr>
                <w:b/>
                <w:color w:val="1C3A36"/>
                <w:sz w:val="16"/>
              </w:rPr>
              <w:t>995</w:t>
            </w:r>
          </w:p>
        </w:tc>
        <w:tc>
          <w:tcPr>
            <w:tcW w:type="dxa" w:w="1426"/>
            <w:shd w:val="clear" w:color="auto" w:fill="F6F1E6"/>
          </w:tcPr>
          <w:p>
            <w:pPr>
              <w:spacing w:after="20"/>
              <w:jc w:val="right"/>
            </w:pPr>
            <w:r>
              <w:rPr>
                <w:b/>
                <w:color w:val="1C3A36"/>
                <w:sz w:val="16"/>
              </w:rPr>
              <w:t>1,027</w:t>
            </w:r>
          </w:p>
        </w:tc>
        <w:tc>
          <w:tcPr>
            <w:tcW w:type="dxa" w:w="1426"/>
            <w:shd w:val="clear" w:color="auto" w:fill="F6F1E6"/>
          </w:tcPr>
          <w:p>
            <w:pPr>
              <w:spacing w:after="20"/>
              <w:jc w:val="right"/>
            </w:pPr>
            <w:r>
              <w:rPr>
                <w:b/>
                <w:color w:val="1C3A36"/>
                <w:sz w:val="16"/>
              </w:rPr>
              <w:t>911</w:t>
            </w:r>
          </w:p>
        </w:tc>
        <w:tc>
          <w:tcPr>
            <w:tcW w:type="dxa" w:w="1426"/>
            <w:shd w:val="clear" w:color="auto" w:fill="F6F1E6"/>
          </w:tcPr>
          <w:p>
            <w:pPr>
              <w:spacing w:after="20"/>
              <w:jc w:val="right"/>
            </w:pPr>
            <w:r>
              <w:rPr>
                <w:b/>
                <w:color w:val="1C3A36"/>
                <w:sz w:val="16"/>
              </w:rPr>
              <w:t>926</w:t>
            </w:r>
          </w:p>
        </w:tc>
        <w:tc>
          <w:tcPr>
            <w:tcW w:type="dxa" w:w="1426"/>
            <w:shd w:val="clear" w:color="auto" w:fill="F6F1E6"/>
          </w:tcPr>
          <w:p>
            <w:pPr>
              <w:spacing w:after="20"/>
              <w:jc w:val="right"/>
            </w:pPr>
            <w:r>
              <w:rPr>
                <w:b/>
                <w:color w:val="1C3A36"/>
                <w:sz w:val="16"/>
              </w:rPr>
              <w:t>1,146</w:t>
            </w:r>
          </w:p>
        </w:tc>
      </w:tr>
    </w:tbl>
    <w:p>
      <w:pPr>
        <w:spacing w:after="40"/>
      </w:pPr>
    </w:p>
    <w:p>
      <w:pPr>
        <w:spacing w:after="200" w:before="0"/>
      </w:pPr>
      <w:r>
        <w:rPr>
          <w:b w:val="0"/>
          <w:i/>
          <w:color w:val="6E7B77"/>
          <w:sz w:val="17"/>
        </w:rPr>
        <w:t>Table 4.  The full waterfall, programme carried through. Every line is a live formula in the accompanying workbook.</w:t>
      </w:r>
    </w:p>
    <w:p>
      <w:pPr>
        <w:spacing w:after="40"/>
        <w:jc w:val="center"/>
      </w:pPr>
      <w:r>
        <w:drawing>
          <wp:inline xmlns:a="http://schemas.openxmlformats.org/drawingml/2006/main" xmlns:pic="http://schemas.openxmlformats.org/drawingml/2006/picture">
            <wp:extent cx="6309360" cy="2704011"/>
            <wp:docPr id="2" name="Picture 2"/>
            <wp:cNvGraphicFramePr>
              <a:graphicFrameLocks noChangeAspect="1"/>
            </wp:cNvGraphicFramePr>
            <a:graphic>
              <a:graphicData uri="http://schemas.openxmlformats.org/drawingml/2006/picture">
                <pic:pic>
                  <pic:nvPicPr>
                    <pic:cNvPr id="0" name="fig4_cashflow.png"/>
                    <pic:cNvPicPr/>
                  </pic:nvPicPr>
                  <pic:blipFill>
                    <a:blip r:embed="rId10"/>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2.  Operating profit is healthy throughout and free cash flow is not, because the capital programme absorbs it. This is the study in one picture.</w:t>
      </w:r>
    </w:p>
    <w:p>
      <w:pPr>
        <w:keepNext/>
        <w:spacing w:after="80" w:before="200"/>
      </w:pPr>
      <w:r>
        <w:rPr>
          <w:b/>
          <w:i w:val="0"/>
          <w:color w:val="1C3A36"/>
          <w:sz w:val="24"/>
        </w:rPr>
        <w:t>The bridge from enterprise value to the equity — both sides of the judgement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808"/>
        <w:gridCol w:w="2808"/>
      </w:tblGrid>
      <w:tr>
        <w:trPr>
          <w:cantSplit/>
          <w:tblHeader/>
        </w:trPr>
        <w:tc>
          <w:tcPr>
            <w:tcW w:type="dxa" w:w="4320"/>
            <w:shd w:val="clear" w:color="auto" w:fill="EAF0EE"/>
          </w:tcPr>
          <w:p>
            <w:pPr>
              <w:spacing w:after="20"/>
            </w:pPr>
            <w:r>
              <w:rPr>
                <w:b/>
                <w:color w:val="1C3A36"/>
                <w:sz w:val="17"/>
              </w:rPr>
              <w:t>Component</w:t>
            </w:r>
          </w:p>
        </w:tc>
        <w:tc>
          <w:tcPr>
            <w:tcW w:type="dxa" w:w="2808"/>
            <w:shd w:val="clear" w:color="auto" w:fill="EAF0EE"/>
          </w:tcPr>
          <w:p>
            <w:pPr>
              <w:spacing w:after="20"/>
            </w:pPr>
            <w:r>
              <w:rPr>
                <w:b/>
                <w:color w:val="1C3A36"/>
                <w:sz w:val="17"/>
              </w:rPr>
              <w:t>Carried through (EGP m)</w:t>
            </w:r>
          </w:p>
        </w:tc>
        <w:tc>
          <w:tcPr>
            <w:tcW w:type="dxa" w:w="2808"/>
            <w:shd w:val="clear" w:color="auto" w:fill="EAF0EE"/>
          </w:tcPr>
          <w:p>
            <w:pPr>
              <w:spacing w:after="20"/>
            </w:pPr>
            <w:r>
              <w:rPr>
                <w:b/>
                <w:color w:val="1C3A36"/>
                <w:sz w:val="17"/>
              </w:rPr>
              <w:t>Stopped (EGP m)</w:t>
            </w:r>
          </w:p>
        </w:tc>
      </w:tr>
      <w:tr>
        <w:trPr>
          <w:cantSplit/>
        </w:trPr>
        <w:tc>
          <w:tcPr>
            <w:tcW w:type="dxa" w:w="4320"/>
          </w:tcPr>
          <w:p>
            <w:pPr>
              <w:spacing w:after="20"/>
            </w:pPr>
            <w:r>
              <w:rPr>
                <w:color w:val="1C3A36"/>
                <w:sz w:val="17"/>
              </w:rPr>
              <w:t>Present value of the explicit window</w:t>
            </w:r>
          </w:p>
        </w:tc>
        <w:tc>
          <w:tcPr>
            <w:tcW w:type="dxa" w:w="2808"/>
          </w:tcPr>
          <w:p>
            <w:pPr>
              <w:spacing w:after="20"/>
              <w:jc w:val="right"/>
            </w:pPr>
            <w:r>
              <w:rPr>
                <w:color w:val="1C3A36"/>
                <w:sz w:val="17"/>
              </w:rPr>
              <w:t>5,005</w:t>
            </w:r>
          </w:p>
        </w:tc>
        <w:tc>
          <w:tcPr>
            <w:tcW w:type="dxa" w:w="2808"/>
          </w:tcPr>
          <w:p>
            <w:pPr>
              <w:spacing w:after="20"/>
              <w:jc w:val="right"/>
            </w:pPr>
            <w:r>
              <w:rPr>
                <w:color w:val="1C3A36"/>
                <w:sz w:val="17"/>
              </w:rPr>
              <w:t>12,289</w:t>
            </w:r>
          </w:p>
        </w:tc>
      </w:tr>
      <w:tr>
        <w:trPr>
          <w:cantSplit/>
        </w:trPr>
        <w:tc>
          <w:tcPr>
            <w:tcW w:type="dxa" w:w="4320"/>
          </w:tcPr>
          <w:p>
            <w:pPr>
              <w:spacing w:after="20"/>
            </w:pPr>
            <w:r>
              <w:rPr>
                <w:color w:val="1C3A36"/>
                <w:sz w:val="17"/>
              </w:rPr>
              <w:t>Present value of the terminal value</w:t>
            </w:r>
          </w:p>
        </w:tc>
        <w:tc>
          <w:tcPr>
            <w:tcW w:type="dxa" w:w="2808"/>
          </w:tcPr>
          <w:p>
            <w:pPr>
              <w:spacing w:after="20"/>
              <w:jc w:val="right"/>
            </w:pPr>
            <w:r>
              <w:rPr>
                <w:color w:val="1C3A36"/>
                <w:sz w:val="17"/>
              </w:rPr>
              <w:t>19,711</w:t>
            </w:r>
          </w:p>
        </w:tc>
        <w:tc>
          <w:tcPr>
            <w:tcW w:type="dxa" w:w="2808"/>
          </w:tcPr>
          <w:p>
            <w:pPr>
              <w:spacing w:after="20"/>
              <w:jc w:val="right"/>
            </w:pPr>
            <w:r>
              <w:rPr>
                <w:color w:val="1C3A36"/>
                <w:sz w:val="17"/>
              </w:rPr>
              <w:t>19,453</w:t>
            </w:r>
          </w:p>
        </w:tc>
      </w:tr>
      <w:tr>
        <w:trPr>
          <w:cantSplit/>
        </w:trPr>
        <w:tc>
          <w:tcPr>
            <w:tcW w:type="dxa" w:w="4320"/>
            <w:shd w:val="clear" w:color="auto" w:fill="F6F1E6"/>
          </w:tcPr>
          <w:p>
            <w:pPr>
              <w:spacing w:after="20"/>
            </w:pPr>
            <w:r>
              <w:rPr>
                <w:b/>
                <w:color w:val="1C3A36"/>
                <w:sz w:val="17"/>
              </w:rPr>
              <w:t>Enterprise value</w:t>
            </w:r>
          </w:p>
        </w:tc>
        <w:tc>
          <w:tcPr>
            <w:tcW w:type="dxa" w:w="2808"/>
            <w:shd w:val="clear" w:color="auto" w:fill="F6F1E6"/>
          </w:tcPr>
          <w:p>
            <w:pPr>
              <w:spacing w:after="20"/>
              <w:jc w:val="right"/>
            </w:pPr>
            <w:r>
              <w:rPr>
                <w:b/>
                <w:color w:val="1C3A36"/>
                <w:sz w:val="17"/>
              </w:rPr>
              <w:t>24,715</w:t>
            </w:r>
          </w:p>
        </w:tc>
        <w:tc>
          <w:tcPr>
            <w:tcW w:type="dxa" w:w="2808"/>
            <w:shd w:val="clear" w:color="auto" w:fill="F6F1E6"/>
          </w:tcPr>
          <w:p>
            <w:pPr>
              <w:spacing w:after="20"/>
              <w:jc w:val="right"/>
            </w:pPr>
            <w:r>
              <w:rPr>
                <w:b/>
                <w:color w:val="1C3A36"/>
                <w:sz w:val="17"/>
              </w:rPr>
              <w:t>31,742</w:t>
            </w:r>
          </w:p>
        </w:tc>
      </w:tr>
      <w:tr>
        <w:trPr>
          <w:cantSplit/>
        </w:trPr>
        <w:tc>
          <w:tcPr>
            <w:tcW w:type="dxa" w:w="4320"/>
            <w:shd w:val="clear" w:color="auto" w:fill="F6F1E6"/>
          </w:tcPr>
          <w:p>
            <w:pPr>
              <w:spacing w:after="20"/>
            </w:pPr>
            <w:r>
              <w:rPr>
                <w:b/>
                <w:color w:val="1C3A36"/>
                <w:sz w:val="17"/>
              </w:rPr>
              <w:t>Terminal value as a share of enterprise value</w:t>
            </w:r>
          </w:p>
        </w:tc>
        <w:tc>
          <w:tcPr>
            <w:tcW w:type="dxa" w:w="2808"/>
            <w:shd w:val="clear" w:color="auto" w:fill="F6F1E6"/>
          </w:tcPr>
          <w:p>
            <w:pPr>
              <w:spacing w:after="20"/>
              <w:jc w:val="right"/>
            </w:pPr>
            <w:r>
              <w:rPr>
                <w:b/>
                <w:color w:val="1C3A36"/>
                <w:sz w:val="17"/>
              </w:rPr>
              <w:t>79.8%</w:t>
            </w:r>
          </w:p>
        </w:tc>
        <w:tc>
          <w:tcPr>
            <w:tcW w:type="dxa" w:w="2808"/>
            <w:shd w:val="clear" w:color="auto" w:fill="F6F1E6"/>
          </w:tcPr>
          <w:p>
            <w:pPr>
              <w:spacing w:after="20"/>
              <w:jc w:val="right"/>
            </w:pPr>
            <w:r>
              <w:rPr>
                <w:b/>
                <w:color w:val="1C3A36"/>
                <w:sz w:val="17"/>
              </w:rPr>
              <w:t>61.3%</w:t>
            </w:r>
          </w:p>
        </w:tc>
      </w:tr>
      <w:tr>
        <w:trPr>
          <w:cantSplit/>
        </w:trPr>
        <w:tc>
          <w:tcPr>
            <w:tcW w:type="dxa" w:w="4320"/>
          </w:tcPr>
          <w:p>
            <w:pPr>
              <w:spacing w:after="20"/>
            </w:pPr>
            <w:r>
              <w:rPr>
                <w:color w:val="1C3A36"/>
                <w:sz w:val="17"/>
              </w:rPr>
              <w:t>Less net debt</w:t>
            </w:r>
          </w:p>
        </w:tc>
        <w:tc>
          <w:tcPr>
            <w:tcW w:type="dxa" w:w="2808"/>
          </w:tcPr>
          <w:p>
            <w:pPr>
              <w:spacing w:after="20"/>
              <w:jc w:val="right"/>
            </w:pPr>
            <w:r>
              <w:rPr>
                <w:color w:val="1C3A36"/>
                <w:sz w:val="17"/>
              </w:rPr>
              <w:t>-10,032</w:t>
            </w:r>
          </w:p>
        </w:tc>
        <w:tc>
          <w:tcPr>
            <w:tcW w:type="dxa" w:w="2808"/>
          </w:tcPr>
          <w:p>
            <w:pPr>
              <w:spacing w:after="20"/>
              <w:jc w:val="right"/>
            </w:pPr>
            <w:r>
              <w:rPr>
                <w:color w:val="1C3A36"/>
                <w:sz w:val="17"/>
              </w:rPr>
              <w:t>-10,032</w:t>
            </w:r>
          </w:p>
        </w:tc>
      </w:tr>
      <w:tr>
        <w:trPr>
          <w:cantSplit/>
        </w:trPr>
        <w:tc>
          <w:tcPr>
            <w:tcW w:type="dxa" w:w="4320"/>
          </w:tcPr>
          <w:p>
            <w:pPr>
              <w:spacing w:after="20"/>
            </w:pPr>
            <w:r>
              <w:rPr>
                <w:color w:val="1C3A36"/>
                <w:sz w:val="17"/>
              </w:rPr>
              <w:t>Plus listed equity stakes at market</w:t>
            </w:r>
          </w:p>
        </w:tc>
        <w:tc>
          <w:tcPr>
            <w:tcW w:type="dxa" w:w="2808"/>
          </w:tcPr>
          <w:p>
            <w:pPr>
              <w:spacing w:after="20"/>
              <w:jc w:val="right"/>
            </w:pPr>
            <w:r>
              <w:rPr>
                <w:color w:val="1C3A36"/>
                <w:sz w:val="17"/>
              </w:rPr>
              <w:t>1,509</w:t>
            </w:r>
          </w:p>
        </w:tc>
        <w:tc>
          <w:tcPr>
            <w:tcW w:type="dxa" w:w="2808"/>
          </w:tcPr>
          <w:p>
            <w:pPr>
              <w:spacing w:after="20"/>
              <w:jc w:val="right"/>
            </w:pPr>
            <w:r>
              <w:rPr>
                <w:color w:val="1C3A36"/>
                <w:sz w:val="17"/>
              </w:rPr>
              <w:t>1,509</w:t>
            </w:r>
          </w:p>
        </w:tc>
      </w:tr>
      <w:tr>
        <w:trPr>
          <w:cantSplit/>
        </w:trPr>
        <w:tc>
          <w:tcPr>
            <w:tcW w:type="dxa" w:w="4320"/>
          </w:tcPr>
          <w:p>
            <w:pPr>
              <w:spacing w:after="20"/>
            </w:pPr>
            <w:r>
              <w:rPr>
                <w:color w:val="1C3A36"/>
                <w:sz w:val="17"/>
              </w:rPr>
              <w:t>Plus investment property</w:t>
            </w:r>
          </w:p>
        </w:tc>
        <w:tc>
          <w:tcPr>
            <w:tcW w:type="dxa" w:w="2808"/>
          </w:tcPr>
          <w:p>
            <w:pPr>
              <w:spacing w:after="20"/>
              <w:jc w:val="right"/>
            </w:pPr>
            <w:r>
              <w:rPr>
                <w:color w:val="1C3A36"/>
                <w:sz w:val="17"/>
              </w:rPr>
              <w:t>2,155</w:t>
            </w:r>
          </w:p>
        </w:tc>
        <w:tc>
          <w:tcPr>
            <w:tcW w:type="dxa" w:w="2808"/>
          </w:tcPr>
          <w:p>
            <w:pPr>
              <w:spacing w:after="20"/>
              <w:jc w:val="right"/>
            </w:pPr>
            <w:r>
              <w:rPr>
                <w:color w:val="1C3A36"/>
                <w:sz w:val="17"/>
              </w:rPr>
              <w:t>2,155</w:t>
            </w:r>
          </w:p>
        </w:tc>
      </w:tr>
      <w:tr>
        <w:trPr>
          <w:cantSplit/>
        </w:trPr>
        <w:tc>
          <w:tcPr>
            <w:tcW w:type="dxa" w:w="4320"/>
            <w:shd w:val="clear" w:color="auto" w:fill="F6F1E6"/>
          </w:tcPr>
          <w:p>
            <w:pPr>
              <w:spacing w:after="20"/>
            </w:pPr>
            <w:r>
              <w:rPr>
                <w:b/>
                <w:color w:val="1C3A36"/>
                <w:sz w:val="17"/>
              </w:rPr>
              <w:t>EQUITY VALUE</w:t>
            </w:r>
          </w:p>
        </w:tc>
        <w:tc>
          <w:tcPr>
            <w:tcW w:type="dxa" w:w="2808"/>
            <w:shd w:val="clear" w:color="auto" w:fill="F6F1E6"/>
          </w:tcPr>
          <w:p>
            <w:pPr>
              <w:spacing w:after="20"/>
              <w:jc w:val="right"/>
            </w:pPr>
            <w:r>
              <w:rPr>
                <w:b/>
                <w:color w:val="1C3A36"/>
                <w:sz w:val="17"/>
              </w:rPr>
              <w:t>18,347</w:t>
            </w:r>
          </w:p>
        </w:tc>
        <w:tc>
          <w:tcPr>
            <w:tcW w:type="dxa" w:w="2808"/>
            <w:shd w:val="clear" w:color="auto" w:fill="F6F1E6"/>
          </w:tcPr>
          <w:p>
            <w:pPr>
              <w:spacing w:after="20"/>
              <w:jc w:val="right"/>
            </w:pPr>
            <w:r>
              <w:rPr>
                <w:b/>
                <w:color w:val="1C3A36"/>
                <w:sz w:val="17"/>
              </w:rPr>
              <w:t>25,373</w:t>
            </w:r>
          </w:p>
        </w:tc>
      </w:tr>
      <w:tr>
        <w:trPr>
          <w:cantSplit/>
        </w:trPr>
        <w:tc>
          <w:tcPr>
            <w:tcW w:type="dxa" w:w="4320"/>
            <w:shd w:val="clear" w:color="auto" w:fill="F6F1E6"/>
          </w:tcPr>
          <w:p>
            <w:pPr>
              <w:spacing w:after="20"/>
            </w:pPr>
            <w:r>
              <w:rPr>
                <w:b/>
                <w:color w:val="1C3A36"/>
                <w:sz w:val="17"/>
              </w:rPr>
              <w:t>VALUE PER SHARE (EGP)</w:t>
            </w:r>
          </w:p>
        </w:tc>
        <w:tc>
          <w:tcPr>
            <w:tcW w:type="dxa" w:w="2808"/>
            <w:shd w:val="clear" w:color="auto" w:fill="F6F1E6"/>
          </w:tcPr>
          <w:p>
            <w:pPr>
              <w:spacing w:after="20"/>
              <w:jc w:val="right"/>
            </w:pPr>
            <w:r>
              <w:rPr>
                <w:b/>
                <w:color w:val="1C3A36"/>
                <w:sz w:val="17"/>
              </w:rPr>
              <w:t>9.24</w:t>
            </w:r>
          </w:p>
        </w:tc>
        <w:tc>
          <w:tcPr>
            <w:tcW w:type="dxa" w:w="2808"/>
            <w:shd w:val="clear" w:color="auto" w:fill="F6F1E6"/>
          </w:tcPr>
          <w:p>
            <w:pPr>
              <w:spacing w:after="20"/>
              <w:jc w:val="right"/>
            </w:pPr>
            <w:r>
              <w:rPr>
                <w:b/>
                <w:color w:val="1C3A36"/>
                <w:sz w:val="17"/>
              </w:rPr>
              <w:t>12.77</w:t>
            </w:r>
          </w:p>
        </w:tc>
      </w:tr>
    </w:tbl>
    <w:p>
      <w:pPr>
        <w:spacing w:after="40"/>
      </w:pPr>
    </w:p>
    <w:p>
      <w:pPr>
        <w:spacing w:after="200" w:before="0"/>
      </w:pPr>
      <w:r>
        <w:rPr>
          <w:b w:val="0"/>
          <w:i/>
          <w:color w:val="6E7B77"/>
          <w:sz w:val="17"/>
        </w:rPr>
        <w:t>Table 5.  Net debt of EGP 10,032 million stands against an enterprise value of EGP 24,715 million that the cash flows support, so the equity in the carried-through column is the narrow residual between two large numbers — which is why it moves so violently on any change to either. It is stated rather than clipped.</w:t>
      </w:r>
    </w:p>
    <w:p>
      <w:pPr>
        <w:spacing w:after="40"/>
        <w:jc w:val="center"/>
      </w:pPr>
      <w:r>
        <w:drawing>
          <wp:inline xmlns:a="http://schemas.openxmlformats.org/drawingml/2006/main" xmlns:pic="http://schemas.openxmlformats.org/drawingml/2006/picture">
            <wp:extent cx="6309360" cy="2704011"/>
            <wp:docPr id="3" name="Picture 3"/>
            <wp:cNvGraphicFramePr>
              <a:graphicFrameLocks noChangeAspect="1"/>
            </wp:cNvGraphicFramePr>
            <a:graphic>
              <a:graphicData uri="http://schemas.openxmlformats.org/drawingml/2006/picture">
                <pic:pic>
                  <pic:nvPicPr>
                    <pic:cNvPr id="0" name="fig2_bridge.png"/>
                    <pic:cNvPicPr/>
                  </pic:nvPicPr>
                  <pic:blipFill>
                    <a:blip r:embed="rId11"/>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3.  The bridge, carried-through case.</w:t>
      </w:r>
    </w:p>
    <w:p>
      <w:pPr>
        <w:keepNext/>
        <w:spacing w:after="80" w:before="200"/>
      </w:pPr>
      <w:r>
        <w:rPr>
          <w:b/>
          <w:i w:val="0"/>
          <w:color w:val="1C3A36"/>
          <w:sz w:val="24"/>
        </w:rPr>
        <w:t>Why the answer is so far below the price, and what would change it</w:t>
      </w:r>
    </w:p>
    <w:p>
      <w:pPr>
        <w:spacing w:after="120" w:before="0"/>
      </w:pPr>
      <w:r>
        <w:rPr>
          <w:b w:val="0"/>
          <w:i w:val="0"/>
          <w:color w:val="1C3A36"/>
          <w:sz w:val="21"/>
        </w:rPr>
        <w:t>The same bridge in pounds a share makes the mechanism plain, and it is not the capital programme.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Carried-through case, per share</w:t>
            </w:r>
          </w:p>
        </w:tc>
        <w:tc>
          <w:tcPr>
            <w:tcW w:type="dxa" w:w="3600"/>
            <w:shd w:val="clear" w:color="auto" w:fill="EAF0EE"/>
          </w:tcPr>
          <w:p>
            <w:pPr>
              <w:spacing w:after="20"/>
            </w:pPr>
            <w:r>
              <w:rPr>
                <w:b/>
                <w:color w:val="1C3A36"/>
                <w:sz w:val="17"/>
              </w:rPr>
              <w:t>EGP</w:t>
            </w:r>
          </w:p>
        </w:tc>
      </w:tr>
      <w:tr>
        <w:trPr>
          <w:cantSplit/>
        </w:trPr>
        <w:tc>
          <w:tcPr>
            <w:tcW w:type="dxa" w:w="6336"/>
          </w:tcPr>
          <w:p>
            <w:pPr>
              <w:spacing w:after="20"/>
            </w:pPr>
            <w:r>
              <w:rPr>
                <w:color w:val="1C3A36"/>
                <w:sz w:val="17"/>
              </w:rPr>
              <w:t>Enterprise value the cash flows support</w:t>
            </w:r>
          </w:p>
        </w:tc>
        <w:tc>
          <w:tcPr>
            <w:tcW w:type="dxa" w:w="3600"/>
          </w:tcPr>
          <w:p>
            <w:pPr>
              <w:spacing w:after="20"/>
              <w:jc w:val="right"/>
            </w:pPr>
            <w:r>
              <w:rPr>
                <w:color w:val="1C3A36"/>
                <w:sz w:val="17"/>
              </w:rPr>
              <w:t>12.44</w:t>
            </w:r>
          </w:p>
        </w:tc>
      </w:tr>
      <w:tr>
        <w:trPr>
          <w:cantSplit/>
        </w:trPr>
        <w:tc>
          <w:tcPr>
            <w:tcW w:type="dxa" w:w="6336"/>
          </w:tcPr>
          <w:p>
            <w:pPr>
              <w:spacing w:after="20"/>
            </w:pPr>
            <w:r>
              <w:rPr>
                <w:color w:val="1C3A36"/>
                <w:sz w:val="17"/>
              </w:rPr>
              <w:t>Less net debt</w:t>
            </w:r>
          </w:p>
        </w:tc>
        <w:tc>
          <w:tcPr>
            <w:tcW w:type="dxa" w:w="3600"/>
          </w:tcPr>
          <w:p>
            <w:pPr>
              <w:spacing w:after="20"/>
              <w:jc w:val="right"/>
            </w:pPr>
            <w:r>
              <w:rPr>
                <w:color w:val="1C3A36"/>
                <w:sz w:val="17"/>
              </w:rPr>
              <w:t>-5.05</w:t>
            </w:r>
          </w:p>
        </w:tc>
      </w:tr>
      <w:tr>
        <w:trPr>
          <w:cantSplit/>
        </w:trPr>
        <w:tc>
          <w:tcPr>
            <w:tcW w:type="dxa" w:w="6336"/>
          </w:tcPr>
          <w:p>
            <w:pPr>
              <w:spacing w:after="20"/>
            </w:pPr>
            <w:r>
              <w:rPr>
                <w:color w:val="1C3A36"/>
                <w:sz w:val="17"/>
              </w:rPr>
              <w:t>Plus listed stakes and investment property</w:t>
            </w:r>
          </w:p>
        </w:tc>
        <w:tc>
          <w:tcPr>
            <w:tcW w:type="dxa" w:w="3600"/>
          </w:tcPr>
          <w:p>
            <w:pPr>
              <w:spacing w:after="20"/>
              <w:jc w:val="right"/>
            </w:pPr>
            <w:r>
              <w:rPr>
                <w:color w:val="1C3A36"/>
                <w:sz w:val="17"/>
              </w:rPr>
              <w:t>1.84</w:t>
            </w:r>
          </w:p>
        </w:tc>
      </w:tr>
      <w:tr>
        <w:trPr>
          <w:cantSplit/>
        </w:trPr>
        <w:tc>
          <w:tcPr>
            <w:tcW w:type="dxa" w:w="6336"/>
            <w:shd w:val="clear" w:color="auto" w:fill="F6F1E6"/>
          </w:tcPr>
          <w:p>
            <w:pPr>
              <w:spacing w:after="20"/>
            </w:pPr>
            <w:r>
              <w:rPr>
                <w:b/>
                <w:color w:val="1C3A36"/>
                <w:sz w:val="17"/>
              </w:rPr>
              <w:t>EQUITY</w:t>
            </w:r>
          </w:p>
        </w:tc>
        <w:tc>
          <w:tcPr>
            <w:tcW w:type="dxa" w:w="3600"/>
            <w:shd w:val="clear" w:color="auto" w:fill="F6F1E6"/>
          </w:tcPr>
          <w:p>
            <w:pPr>
              <w:spacing w:after="20"/>
              <w:jc w:val="right"/>
            </w:pPr>
            <w:r>
              <w:rPr>
                <w:b/>
                <w:color w:val="1C3A36"/>
                <w:sz w:val="17"/>
              </w:rPr>
              <w:t>9.24</w:t>
            </w:r>
          </w:p>
        </w:tc>
      </w:tr>
      <w:tr>
        <w:trPr>
          <w:cantSplit/>
        </w:trPr>
        <w:tc>
          <w:tcPr>
            <w:tcW w:type="dxa" w:w="6336"/>
            <w:shd w:val="clear" w:color="auto" w:fill="F6F1E6"/>
          </w:tcPr>
          <w:p>
            <w:pPr>
              <w:spacing w:after="20"/>
            </w:pPr>
            <w:r>
              <w:rPr>
                <w:b/>
                <w:color w:val="1C3A36"/>
                <w:sz w:val="17"/>
              </w:rPr>
              <w:t>Traded price</w:t>
            </w:r>
          </w:p>
        </w:tc>
        <w:tc>
          <w:tcPr>
            <w:tcW w:type="dxa" w:w="3600"/>
            <w:shd w:val="clear" w:color="auto" w:fill="F6F1E6"/>
          </w:tcPr>
          <w:p>
            <w:pPr>
              <w:spacing w:after="20"/>
              <w:jc w:val="right"/>
            </w:pPr>
            <w:r>
              <w:rPr>
                <w:b/>
                <w:color w:val="1C3A36"/>
                <w:sz w:val="17"/>
              </w:rPr>
              <w:t>14.41</w:t>
            </w:r>
          </w:p>
        </w:tc>
      </w:tr>
    </w:tbl>
    <w:p>
      <w:pPr>
        <w:spacing w:after="40"/>
      </w:pPr>
    </w:p>
    <w:p>
      <w:pPr>
        <w:spacing w:after="200" w:before="0"/>
      </w:pPr>
      <w:r>
        <w:rPr>
          <w:b w:val="0"/>
          <w:i/>
          <w:color w:val="6E7B77"/>
          <w:sz w:val="17"/>
        </w:rPr>
        <w:t>Table 6.  The operating business is carried at EGP 12.44 a share against net debt of EGP 5.05 — more than the debt standing against it. Free cash flow is positive in 5 of the five forecast years. The equity is the thin residual between two large numbers, which is why the answer moves so violently on any change to either.</w:t>
      </w:r>
    </w:p>
    <w:p>
      <w:pPr>
        <w:spacing w:after="120" w:before="0"/>
      </w:pPr>
      <w:r>
        <w:rPr>
          <w:b w:val="0"/>
          <w:i w:val="0"/>
          <w:color w:val="1C3A36"/>
          <w:sz w:val="21"/>
        </w:rPr>
        <w:t>So the question is not whether the plant earns. It is whether EGP 24,715 million is the right enterprise value for a business generating around EGP 5,781 million of operating profit before depreciation, and that is entirely a question about the rate at which Egyptian pounds are capitalised. Holding every operating assumption exactly as built and moving only the discount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592"/>
        <w:gridCol w:w="5184"/>
      </w:tblGrid>
      <w:tr>
        <w:trPr>
          <w:cantSplit/>
          <w:tblHeader/>
        </w:trPr>
        <w:tc>
          <w:tcPr>
            <w:tcW w:type="dxa" w:w="2160"/>
            <w:shd w:val="clear" w:color="auto" w:fill="EAF0EE"/>
          </w:tcPr>
          <w:p>
            <w:pPr>
              <w:spacing w:after="20"/>
            </w:pPr>
            <w:r>
              <w:rPr>
                <w:b/>
                <w:color w:val="1C3A36"/>
                <w:sz w:val="17"/>
              </w:rPr>
              <w:t>A flat cost of capital of</w:t>
            </w:r>
          </w:p>
        </w:tc>
        <w:tc>
          <w:tcPr>
            <w:tcW w:type="dxa" w:w="2592"/>
            <w:shd w:val="clear" w:color="auto" w:fill="EAF0EE"/>
          </w:tcPr>
          <w:p>
            <w:pPr>
              <w:spacing w:after="20"/>
            </w:pPr>
            <w:r>
              <w:rPr>
                <w:b/>
                <w:color w:val="1C3A36"/>
                <w:sz w:val="17"/>
              </w:rPr>
              <w:t>Value per share (EGP)</w:t>
            </w:r>
          </w:p>
        </w:tc>
        <w:tc>
          <w:tcPr>
            <w:tcW w:type="dxa" w:w="5184"/>
            <w:shd w:val="clear" w:color="auto" w:fill="EAF0EE"/>
          </w:tcPr>
          <w:p>
            <w:pPr>
              <w:spacing w:after="20"/>
            </w:pPr>
            <w:r>
              <w:rPr>
                <w:b/>
                <w:color w:val="1C3A36"/>
                <w:sz w:val="17"/>
              </w:rPr>
              <w:t>What it would mean</w:t>
            </w:r>
          </w:p>
        </w:tc>
      </w:tr>
      <w:tr>
        <w:trPr>
          <w:cantSplit/>
        </w:trPr>
        <w:tc>
          <w:tcPr>
            <w:tcW w:type="dxa" w:w="2160"/>
          </w:tcPr>
          <w:p>
            <w:pPr>
              <w:spacing w:after="20"/>
            </w:pPr>
            <w:r>
              <w:rPr>
                <w:color w:val="1C3A36"/>
                <w:sz w:val="17"/>
              </w:rPr>
              <w:t>25.0%</w:t>
            </w:r>
          </w:p>
        </w:tc>
        <w:tc>
          <w:tcPr>
            <w:tcW w:type="dxa" w:w="2592"/>
          </w:tcPr>
          <w:p>
            <w:pPr>
              <w:spacing w:after="20"/>
              <w:jc w:val="right"/>
            </w:pPr>
            <w:r>
              <w:rPr>
                <w:color w:val="1C3A36"/>
                <w:sz w:val="17"/>
              </w:rPr>
              <w:t>3.42</w:t>
            </w:r>
          </w:p>
        </w:tc>
        <w:tc>
          <w:tcPr>
            <w:tcW w:type="dxa" w:w="5184"/>
          </w:tcPr>
          <w:p>
            <w:pPr>
              <w:spacing w:after="20"/>
            </w:pPr>
            <w:r>
              <w:rPr>
                <w:color w:val="1C3A36"/>
                <w:sz w:val="17"/>
              </w:rPr>
              <w:t>roughly the rate this study builds from the sovereign's own yield</w:t>
            </w:r>
          </w:p>
        </w:tc>
      </w:tr>
      <w:tr>
        <w:trPr>
          <w:cantSplit/>
        </w:trPr>
        <w:tc>
          <w:tcPr>
            <w:tcW w:type="dxa" w:w="2160"/>
          </w:tcPr>
          <w:p>
            <w:pPr>
              <w:spacing w:after="20"/>
            </w:pPr>
            <w:r>
              <w:rPr>
                <w:color w:val="1C3A36"/>
                <w:sz w:val="17"/>
              </w:rPr>
              <w:t>20.0%</w:t>
            </w:r>
          </w:p>
        </w:tc>
        <w:tc>
          <w:tcPr>
            <w:tcW w:type="dxa" w:w="2592"/>
          </w:tcPr>
          <w:p>
            <w:pPr>
              <w:spacing w:after="20"/>
              <w:jc w:val="right"/>
            </w:pPr>
            <w:r>
              <w:rPr>
                <w:color w:val="1C3A36"/>
                <w:sz w:val="17"/>
              </w:rPr>
              <w:t>6.70</w:t>
            </w:r>
          </w:p>
        </w:tc>
        <w:tc>
          <w:tcPr>
            <w:tcW w:type="dxa" w:w="5184"/>
          </w:tcPr>
          <w:p>
            <w:pPr>
              <w:spacing w:after="20"/>
            </w:pPr>
            <w:r>
              <w:rPr>
                <w:color w:val="1C3A36"/>
                <w:sz w:val="17"/>
              </w:rPr>
              <w:t>below the sovereign's ten-year yield of 23.0%</w:t>
            </w:r>
          </w:p>
        </w:tc>
      </w:tr>
      <w:tr>
        <w:trPr>
          <w:cantSplit/>
        </w:trPr>
        <w:tc>
          <w:tcPr>
            <w:tcW w:type="dxa" w:w="2160"/>
          </w:tcPr>
          <w:p>
            <w:pPr>
              <w:spacing w:after="20"/>
            </w:pPr>
            <w:r>
              <w:rPr>
                <w:color w:val="1C3A36"/>
                <w:sz w:val="17"/>
              </w:rPr>
              <w:t>18.0%</w:t>
            </w:r>
          </w:p>
        </w:tc>
        <w:tc>
          <w:tcPr>
            <w:tcW w:type="dxa" w:w="2592"/>
          </w:tcPr>
          <w:p>
            <w:pPr>
              <w:spacing w:after="20"/>
              <w:jc w:val="right"/>
            </w:pPr>
            <w:r>
              <w:rPr>
                <w:color w:val="1C3A36"/>
                <w:sz w:val="17"/>
              </w:rPr>
              <w:t>8.90</w:t>
            </w:r>
          </w:p>
        </w:tc>
        <w:tc>
          <w:tcPr>
            <w:tcW w:type="dxa" w:w="5184"/>
          </w:tcPr>
          <w:p>
            <w:pPr>
              <w:spacing w:after="20"/>
            </w:pPr>
            <w:r>
              <w:rPr>
                <w:color w:val="1C3A36"/>
                <w:sz w:val="17"/>
              </w:rPr>
            </w:r>
          </w:p>
        </w:tc>
      </w:tr>
      <w:tr>
        <w:trPr>
          <w:cantSplit/>
        </w:trPr>
        <w:tc>
          <w:tcPr>
            <w:tcW w:type="dxa" w:w="2160"/>
          </w:tcPr>
          <w:p>
            <w:pPr>
              <w:spacing w:after="20"/>
            </w:pPr>
            <w:r>
              <w:rPr>
                <w:color w:val="1C3A36"/>
                <w:sz w:val="17"/>
              </w:rPr>
              <w:t>16.0%</w:t>
            </w:r>
          </w:p>
        </w:tc>
        <w:tc>
          <w:tcPr>
            <w:tcW w:type="dxa" w:w="2592"/>
          </w:tcPr>
          <w:p>
            <w:pPr>
              <w:spacing w:after="20"/>
              <w:jc w:val="right"/>
            </w:pPr>
            <w:r>
              <w:rPr>
                <w:color w:val="1C3A36"/>
                <w:sz w:val="17"/>
              </w:rPr>
              <w:t>12.12</w:t>
            </w:r>
          </w:p>
        </w:tc>
        <w:tc>
          <w:tcPr>
            <w:tcW w:type="dxa" w:w="5184"/>
          </w:tcPr>
          <w:p>
            <w:pPr>
              <w:spacing w:after="20"/>
            </w:pPr>
            <w:r>
              <w:rPr>
                <w:color w:val="1C3A36"/>
                <w:sz w:val="17"/>
              </w:rPr>
            </w:r>
          </w:p>
        </w:tc>
      </w:tr>
      <w:tr>
        <w:trPr>
          <w:cantSplit/>
        </w:trPr>
        <w:tc>
          <w:tcPr>
            <w:tcW w:type="dxa" w:w="2160"/>
          </w:tcPr>
          <w:p>
            <w:pPr>
              <w:spacing w:after="20"/>
            </w:pPr>
            <w:r>
              <w:rPr>
                <w:color w:val="1C3A36"/>
                <w:sz w:val="17"/>
              </w:rPr>
              <w:t>14.0%</w:t>
            </w:r>
          </w:p>
        </w:tc>
        <w:tc>
          <w:tcPr>
            <w:tcW w:type="dxa" w:w="2592"/>
          </w:tcPr>
          <w:p>
            <w:pPr>
              <w:spacing w:after="20"/>
              <w:jc w:val="right"/>
            </w:pPr>
            <w:r>
              <w:rPr>
                <w:color w:val="1C3A36"/>
                <w:sz w:val="17"/>
              </w:rPr>
              <w:t>17.26</w:t>
            </w:r>
          </w:p>
        </w:tc>
        <w:tc>
          <w:tcPr>
            <w:tcW w:type="dxa" w:w="5184"/>
          </w:tcPr>
          <w:p>
            <w:pPr>
              <w:spacing w:after="20"/>
            </w:pPr>
            <w:r>
              <w:rPr>
                <w:color w:val="1C3A36"/>
                <w:sz w:val="17"/>
              </w:rPr>
            </w:r>
          </w:p>
        </w:tc>
      </w:tr>
      <w:tr>
        <w:trPr>
          <w:cantSplit/>
        </w:trPr>
        <w:tc>
          <w:tcPr>
            <w:tcW w:type="dxa" w:w="2160"/>
          </w:tcPr>
          <w:p>
            <w:pPr>
              <w:spacing w:after="20"/>
            </w:pPr>
            <w:r>
              <w:rPr>
                <w:color w:val="1C3A36"/>
                <w:sz w:val="17"/>
              </w:rPr>
              <w:t>12.0%</w:t>
            </w:r>
          </w:p>
        </w:tc>
        <w:tc>
          <w:tcPr>
            <w:tcW w:type="dxa" w:w="2592"/>
          </w:tcPr>
          <w:p>
            <w:pPr>
              <w:spacing w:after="20"/>
              <w:jc w:val="right"/>
            </w:pPr>
            <w:r>
              <w:rPr>
                <w:color w:val="1C3A36"/>
                <w:sz w:val="17"/>
              </w:rPr>
              <w:t>26.60</w:t>
            </w:r>
          </w:p>
        </w:tc>
        <w:tc>
          <w:tcPr>
            <w:tcW w:type="dxa" w:w="5184"/>
          </w:tcPr>
          <w:p>
            <w:pPr>
              <w:spacing w:after="20"/>
            </w:pPr>
            <w:r>
              <w:rPr>
                <w:color w:val="1C3A36"/>
                <w:sz w:val="17"/>
              </w:rPr>
            </w:r>
          </w:p>
        </w:tc>
      </w:tr>
      <w:tr>
        <w:trPr>
          <w:cantSplit/>
        </w:trPr>
        <w:tc>
          <w:tcPr>
            <w:tcW w:type="dxa" w:w="2160"/>
            <w:shd w:val="clear" w:color="auto" w:fill="F6F1E6"/>
          </w:tcPr>
          <w:p>
            <w:pPr>
              <w:spacing w:after="20"/>
            </w:pPr>
            <w:r>
              <w:rPr>
                <w:b/>
                <w:color w:val="1C3A36"/>
                <w:sz w:val="17"/>
              </w:rPr>
              <w:t>15.0%</w:t>
            </w:r>
          </w:p>
        </w:tc>
        <w:tc>
          <w:tcPr>
            <w:tcW w:type="dxa" w:w="2592"/>
            <w:shd w:val="clear" w:color="auto" w:fill="F6F1E6"/>
          </w:tcPr>
          <w:p>
            <w:pPr>
              <w:spacing w:after="20"/>
              <w:jc w:val="right"/>
            </w:pPr>
            <w:r>
              <w:rPr>
                <w:b/>
                <w:color w:val="1C3A36"/>
                <w:sz w:val="17"/>
              </w:rPr>
              <w:t>14.41</w:t>
            </w:r>
          </w:p>
        </w:tc>
        <w:tc>
          <w:tcPr>
            <w:tcW w:type="dxa" w:w="5184"/>
            <w:shd w:val="clear" w:color="auto" w:fill="F6F1E6"/>
          </w:tcPr>
          <w:p>
            <w:pPr>
              <w:spacing w:after="20"/>
            </w:pPr>
            <w:r>
              <w:rPr>
                <w:b/>
                <w:color w:val="1C3A36"/>
                <w:sz w:val="17"/>
              </w:rPr>
              <w:t>the rate the traded price itself implies</w:t>
            </w:r>
          </w:p>
        </w:tc>
      </w:tr>
    </w:tbl>
    <w:p>
      <w:pPr>
        <w:spacing w:after="40"/>
      </w:pPr>
    </w:p>
    <w:p>
      <w:pPr>
        <w:spacing w:after="200" w:before="0"/>
      </w:pPr>
      <w:r>
        <w:rPr>
          <w:b w:val="0"/>
          <w:i/>
          <w:color w:val="6E7B77"/>
          <w:sz w:val="17"/>
        </w:rPr>
        <w:t>Table 7.  Every row is a full re-run. The answer stays positive across the whole ladder and rises from EGP 3.42 at 25.0% to EGP 26.60 at 12.0%; what moves is how far below the price it sits. Reaching the traded price needs about 15.0%, which is 8.0% below what Egypt's own government pays to borrow for ten years. That, and not the capital programme, is the disagreement between this study and the market.</w:t>
      </w:r>
    </w:p>
    <w:p>
      <w:pPr>
        <w:keepNext/>
        <w:spacing w:after="80" w:before="200"/>
      </w:pPr>
      <w:r>
        <w:rPr>
          <w:b/>
          <w:i w:val="0"/>
          <w:color w:val="1C3A36"/>
          <w:sz w:val="24"/>
        </w:rPr>
        <w:t>1.2  Book value and sustainable return — the asset lens</w:t>
      </w:r>
    </w:p>
    <w:p>
      <w:pPr>
        <w:spacing w:after="120" w:before="0"/>
      </w:pPr>
      <w:r>
        <w:rPr>
          <w:b w:val="0"/>
          <w:i w:val="0"/>
          <w:color w:val="1C3A36"/>
          <w:sz w:val="21"/>
        </w:rPr>
        <w:t>Book equity stood at EGP 16,206 million at 31 March 2026, or EGP 8.16 a share. What that book is worth depends on what it earns. On underlying profit — the FY2023/24 result stripped of its one-off revaluation gain — the return on opening equity was 6.9% and then 6.8%, a sustainable 6.9%.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Line</w:t>
            </w:r>
          </w:p>
        </w:tc>
        <w:tc>
          <w:tcPr>
            <w:tcW w:type="dxa" w:w="3600"/>
            <w:shd w:val="clear" w:color="auto" w:fill="EAF0EE"/>
          </w:tcPr>
          <w:p>
            <w:pPr>
              <w:spacing w:after="20"/>
            </w:pPr>
            <w:r>
              <w:rPr>
                <w:b/>
                <w:color w:val="1C3A36"/>
                <w:sz w:val="17"/>
              </w:rPr>
              <w:t>Value</w:t>
            </w:r>
          </w:p>
        </w:tc>
      </w:tr>
      <w:tr>
        <w:trPr>
          <w:cantSplit/>
        </w:trPr>
        <w:tc>
          <w:tcPr>
            <w:tcW w:type="dxa" w:w="6336"/>
          </w:tcPr>
          <w:p>
            <w:pPr>
              <w:spacing w:after="20"/>
            </w:pPr>
            <w:r>
              <w:rPr>
                <w:color w:val="1C3A36"/>
                <w:sz w:val="17"/>
              </w:rPr>
              <w:t>Book equity, 31 March 2026 (EGP m)</w:t>
            </w:r>
          </w:p>
        </w:tc>
        <w:tc>
          <w:tcPr>
            <w:tcW w:type="dxa" w:w="3600"/>
          </w:tcPr>
          <w:p>
            <w:pPr>
              <w:spacing w:after="20"/>
              <w:jc w:val="right"/>
            </w:pPr>
            <w:r>
              <w:rPr>
                <w:color w:val="1C3A36"/>
                <w:sz w:val="17"/>
              </w:rPr>
              <w:t>16,206</w:t>
            </w:r>
          </w:p>
        </w:tc>
      </w:tr>
      <w:tr>
        <w:trPr>
          <w:cantSplit/>
        </w:trPr>
        <w:tc>
          <w:tcPr>
            <w:tcW w:type="dxa" w:w="6336"/>
          </w:tcPr>
          <w:p>
            <w:pPr>
              <w:spacing w:after="20"/>
            </w:pPr>
            <w:r>
              <w:rPr>
                <w:color w:val="1C3A36"/>
                <w:sz w:val="17"/>
              </w:rPr>
              <w:t>Book value per share (EGP)</w:t>
            </w:r>
          </w:p>
        </w:tc>
        <w:tc>
          <w:tcPr>
            <w:tcW w:type="dxa" w:w="3600"/>
          </w:tcPr>
          <w:p>
            <w:pPr>
              <w:spacing w:after="20"/>
              <w:jc w:val="right"/>
            </w:pPr>
            <w:r>
              <w:rPr>
                <w:color w:val="1C3A36"/>
                <w:sz w:val="17"/>
              </w:rPr>
              <w:t>8.16</w:t>
            </w:r>
          </w:p>
        </w:tc>
      </w:tr>
      <w:tr>
        <w:trPr>
          <w:cantSplit/>
        </w:trPr>
        <w:tc>
          <w:tcPr>
            <w:tcW w:type="dxa" w:w="6336"/>
          </w:tcPr>
          <w:p>
            <w:pPr>
              <w:spacing w:after="20"/>
            </w:pPr>
            <w:r>
              <w:rPr>
                <w:color w:val="1C3A36"/>
                <w:sz w:val="17"/>
              </w:rPr>
              <w:t>Underlying profit FY2023/24 (EGP m)</w:t>
            </w:r>
          </w:p>
        </w:tc>
        <w:tc>
          <w:tcPr>
            <w:tcW w:type="dxa" w:w="3600"/>
          </w:tcPr>
          <w:p>
            <w:pPr>
              <w:spacing w:after="20"/>
              <w:jc w:val="right"/>
            </w:pPr>
            <w:r>
              <w:rPr>
                <w:color w:val="1C3A36"/>
                <w:sz w:val="17"/>
              </w:rPr>
              <w:t>503</w:t>
            </w:r>
          </w:p>
        </w:tc>
      </w:tr>
      <w:tr>
        <w:trPr>
          <w:cantSplit/>
        </w:trPr>
        <w:tc>
          <w:tcPr>
            <w:tcW w:type="dxa" w:w="6336"/>
          </w:tcPr>
          <w:p>
            <w:pPr>
              <w:spacing w:after="20"/>
            </w:pPr>
            <w:r>
              <w:rPr>
                <w:color w:val="1C3A36"/>
                <w:sz w:val="17"/>
              </w:rPr>
              <w:t>Underlying profit FY2024/25 (EGP m)</w:t>
            </w:r>
          </w:p>
        </w:tc>
        <w:tc>
          <w:tcPr>
            <w:tcW w:type="dxa" w:w="3600"/>
          </w:tcPr>
          <w:p>
            <w:pPr>
              <w:spacing w:after="20"/>
              <w:jc w:val="right"/>
            </w:pPr>
            <w:r>
              <w:rPr>
                <w:color w:val="1C3A36"/>
                <w:sz w:val="17"/>
              </w:rPr>
              <w:t>987</w:t>
            </w:r>
          </w:p>
        </w:tc>
      </w:tr>
      <w:tr>
        <w:trPr>
          <w:cantSplit/>
        </w:trPr>
        <w:tc>
          <w:tcPr>
            <w:tcW w:type="dxa" w:w="6336"/>
          </w:tcPr>
          <w:p>
            <w:pPr>
              <w:spacing w:after="20"/>
            </w:pPr>
            <w:r>
              <w:rPr>
                <w:color w:val="1C3A36"/>
                <w:sz w:val="17"/>
              </w:rPr>
              <w:t>Return on equity FY2023/24</w:t>
            </w:r>
          </w:p>
        </w:tc>
        <w:tc>
          <w:tcPr>
            <w:tcW w:type="dxa" w:w="3600"/>
          </w:tcPr>
          <w:p>
            <w:pPr>
              <w:spacing w:after="20"/>
              <w:jc w:val="right"/>
            </w:pPr>
            <w:r>
              <w:rPr>
                <w:color w:val="1C3A36"/>
                <w:sz w:val="17"/>
              </w:rPr>
              <w:t>6.9%</w:t>
            </w:r>
          </w:p>
        </w:tc>
      </w:tr>
      <w:tr>
        <w:trPr>
          <w:cantSplit/>
        </w:trPr>
        <w:tc>
          <w:tcPr>
            <w:tcW w:type="dxa" w:w="6336"/>
          </w:tcPr>
          <w:p>
            <w:pPr>
              <w:spacing w:after="20"/>
            </w:pPr>
            <w:r>
              <w:rPr>
                <w:color w:val="1C3A36"/>
                <w:sz w:val="17"/>
              </w:rPr>
              <w:t>Return on equity FY2024/25</w:t>
            </w:r>
          </w:p>
        </w:tc>
        <w:tc>
          <w:tcPr>
            <w:tcW w:type="dxa" w:w="3600"/>
          </w:tcPr>
          <w:p>
            <w:pPr>
              <w:spacing w:after="20"/>
              <w:jc w:val="right"/>
            </w:pPr>
            <w:r>
              <w:rPr>
                <w:color w:val="1C3A36"/>
                <w:sz w:val="17"/>
              </w:rPr>
              <w:t>6.8%</w:t>
            </w:r>
          </w:p>
        </w:tc>
      </w:tr>
      <w:tr>
        <w:trPr>
          <w:cantSplit/>
        </w:trPr>
        <w:tc>
          <w:tcPr>
            <w:tcW w:type="dxa" w:w="6336"/>
            <w:shd w:val="clear" w:color="auto" w:fill="F6F1E6"/>
          </w:tcPr>
          <w:p>
            <w:pPr>
              <w:spacing w:after="20"/>
            </w:pPr>
            <w:r>
              <w:rPr>
                <w:b/>
                <w:color w:val="1C3A36"/>
                <w:sz w:val="17"/>
              </w:rPr>
              <w:t>Sustainable return on equity</w:t>
            </w:r>
          </w:p>
        </w:tc>
        <w:tc>
          <w:tcPr>
            <w:tcW w:type="dxa" w:w="3600"/>
            <w:shd w:val="clear" w:color="auto" w:fill="F6F1E6"/>
          </w:tcPr>
          <w:p>
            <w:pPr>
              <w:spacing w:after="20"/>
              <w:jc w:val="right"/>
            </w:pPr>
            <w:r>
              <w:rPr>
                <w:b/>
                <w:color w:val="1C3A36"/>
                <w:sz w:val="17"/>
              </w:rPr>
              <w:t>6.9%</w:t>
            </w:r>
          </w:p>
        </w:tc>
      </w:tr>
      <w:tr>
        <w:trPr>
          <w:cantSplit/>
        </w:trPr>
        <w:tc>
          <w:tcPr>
            <w:tcW w:type="dxa" w:w="6336"/>
          </w:tcPr>
          <w:p>
            <w:pPr>
              <w:spacing w:after="20"/>
            </w:pPr>
            <w:r>
              <w:rPr>
                <w:color w:val="1C3A36"/>
                <w:sz w:val="17"/>
              </w:rPr>
              <w:t>Cost of equity</w:t>
            </w:r>
          </w:p>
        </w:tc>
        <w:tc>
          <w:tcPr>
            <w:tcW w:type="dxa" w:w="3600"/>
          </w:tcPr>
          <w:p>
            <w:pPr>
              <w:spacing w:after="20"/>
              <w:jc w:val="right"/>
            </w:pPr>
            <w:r>
              <w:rPr>
                <w:color w:val="1C3A36"/>
                <w:sz w:val="17"/>
              </w:rPr>
              <w:t>29.08%</w:t>
            </w:r>
          </w:p>
        </w:tc>
      </w:tr>
      <w:tr>
        <w:trPr>
          <w:cantSplit/>
        </w:trPr>
        <w:tc>
          <w:tcPr>
            <w:tcW w:type="dxa" w:w="6336"/>
          </w:tcPr>
          <w:p>
            <w:pPr>
              <w:spacing w:after="20"/>
            </w:pPr>
            <w:r>
              <w:rPr>
                <w:color w:val="1C3A36"/>
                <w:sz w:val="17"/>
              </w:rPr>
              <w:t>Terminal growth</w:t>
            </w:r>
          </w:p>
        </w:tc>
        <w:tc>
          <w:tcPr>
            <w:tcW w:type="dxa" w:w="3600"/>
          </w:tcPr>
          <w:p>
            <w:pPr>
              <w:spacing w:after="20"/>
              <w:jc w:val="right"/>
            </w:pPr>
            <w:r>
              <w:rPr>
                <w:color w:val="1C3A36"/>
                <w:sz w:val="17"/>
              </w:rPr>
              <w:t>7.0%</w:t>
            </w:r>
          </w:p>
        </w:tc>
      </w:tr>
      <w:tr>
        <w:trPr>
          <w:cantSplit/>
        </w:trPr>
        <w:tc>
          <w:tcPr>
            <w:tcW w:type="dxa" w:w="6336"/>
          </w:tcPr>
          <w:p>
            <w:pPr>
              <w:spacing w:after="20"/>
            </w:pPr>
            <w:r>
              <w:rPr>
                <w:color w:val="1C3A36"/>
                <w:sz w:val="17"/>
              </w:rPr>
              <w:t>Justified price-to-book before flooring</w:t>
            </w:r>
          </w:p>
        </w:tc>
        <w:tc>
          <w:tcPr>
            <w:tcW w:type="dxa" w:w="3600"/>
          </w:tcPr>
          <w:p>
            <w:pPr>
              <w:spacing w:after="20"/>
              <w:jc w:val="right"/>
            </w:pPr>
            <w:r>
              <w:rPr>
                <w:color w:val="1C3A36"/>
                <w:sz w:val="17"/>
              </w:rPr>
              <w:t>-0.006x</w:t>
            </w:r>
          </w:p>
        </w:tc>
      </w:tr>
      <w:tr>
        <w:trPr>
          <w:cantSplit/>
        </w:trPr>
        <w:tc>
          <w:tcPr>
            <w:tcW w:type="dxa" w:w="6336"/>
          </w:tcPr>
          <w:p>
            <w:pPr>
              <w:spacing w:after="20"/>
            </w:pPr>
            <w:r>
              <w:rPr>
                <w:color w:val="1C3A36"/>
                <w:sz w:val="17"/>
              </w:rPr>
              <w:t>Justified price-to-book</w:t>
            </w:r>
          </w:p>
        </w:tc>
        <w:tc>
          <w:tcPr>
            <w:tcW w:type="dxa" w:w="3600"/>
          </w:tcPr>
          <w:p>
            <w:pPr>
              <w:spacing w:after="20"/>
              <w:jc w:val="right"/>
            </w:pPr>
            <w:r>
              <w:rPr>
                <w:color w:val="1C3A36"/>
                <w:sz w:val="17"/>
              </w:rPr>
              <w:t>0.00x</w:t>
            </w:r>
          </w:p>
        </w:tc>
      </w:tr>
      <w:tr>
        <w:trPr>
          <w:cantSplit/>
        </w:trPr>
        <w:tc>
          <w:tcPr>
            <w:tcW w:type="dxa" w:w="6336"/>
            <w:shd w:val="clear" w:color="auto" w:fill="F6F1E6"/>
          </w:tcPr>
          <w:p>
            <w:pPr>
              <w:spacing w:after="20"/>
            </w:pPr>
            <w:r>
              <w:rPr>
                <w:b/>
                <w:color w:val="1C3A36"/>
                <w:sz w:val="17"/>
              </w:rPr>
              <w:t>Value per share on this lens (EGP)</w:t>
            </w:r>
          </w:p>
        </w:tc>
        <w:tc>
          <w:tcPr>
            <w:tcW w:type="dxa" w:w="3600"/>
            <w:shd w:val="clear" w:color="auto" w:fill="F6F1E6"/>
          </w:tcPr>
          <w:p>
            <w:pPr>
              <w:spacing w:after="20"/>
              <w:jc w:val="right"/>
            </w:pPr>
            <w:r>
              <w:rPr>
                <w:b/>
                <w:color w:val="1C3A36"/>
                <w:sz w:val="17"/>
              </w:rPr>
              <w:t>0.00</w:t>
            </w:r>
          </w:p>
        </w:tc>
      </w:tr>
      <w:tr>
        <w:trPr>
          <w:cantSplit/>
        </w:trPr>
        <w:tc>
          <w:tcPr>
            <w:tcW w:type="dxa" w:w="6336"/>
          </w:tcPr>
          <w:p>
            <w:pPr>
              <w:spacing w:after="20"/>
            </w:pPr>
            <w:r>
              <w:rPr>
                <w:color w:val="1C3A36"/>
                <w:sz w:val="17"/>
              </w:rPr>
              <w:t>Price-to-book the market pays</w:t>
            </w:r>
          </w:p>
        </w:tc>
        <w:tc>
          <w:tcPr>
            <w:tcW w:type="dxa" w:w="3600"/>
          </w:tcPr>
          <w:p>
            <w:pPr>
              <w:spacing w:after="20"/>
              <w:jc w:val="right"/>
            </w:pPr>
            <w:r>
              <w:rPr>
                <w:color w:val="1C3A36"/>
                <w:sz w:val="17"/>
              </w:rPr>
              <w:t>1.77x</w:t>
            </w:r>
          </w:p>
        </w:tc>
      </w:tr>
    </w:tbl>
    <w:p>
      <w:pPr>
        <w:spacing w:after="40"/>
      </w:pPr>
    </w:p>
    <w:p>
      <w:pPr>
        <w:spacing w:after="200" w:before="0"/>
      </w:pPr>
      <w:r>
        <w:rPr>
          <w:b w:val="0"/>
          <w:i/>
          <w:color w:val="6E7B77"/>
          <w:sz w:val="17"/>
        </w:rPr>
        <w:t>Table 8.  The justified multiple of book is negative before flooring: a sustainable return of 6.9% does not cover nominal maintenance growth of 7.0%, let alone a 29.08% cost of equity, so on this lens the book is worth nothing beyond what the assets would fetch, and the market pays 1.77 times it.</w:t>
      </w:r>
    </w:p>
    <w:p>
      <w:pPr>
        <w:keepNext/>
        <w:spacing w:after="80" w:before="200"/>
      </w:pPr>
      <w:r>
        <w:rPr>
          <w:b/>
          <w:i w:val="0"/>
          <w:color w:val="1C3A36"/>
          <w:sz w:val="24"/>
        </w:rPr>
        <w:t>1.3  Relative multiples</w:t>
      </w:r>
    </w:p>
    <w:p>
      <w:pPr>
        <w:spacing w:after="120" w:before="0"/>
      </w:pPr>
      <w:r>
        <w:rPr>
          <w:b w:val="0"/>
          <w:i w:val="0"/>
          <w:color w:val="1C3A36"/>
          <w:sz w:val="21"/>
        </w:rPr>
        <w:t>Egyptian industrial businesses have generally changed hands between 6.0 and 9.9 times operating profit before depreciation. On forward EBITDA of EGP 5,781 million the mid-point implies an enterprise value of EGP 45,960 million and, after the debt and the non-operating stack, EGP 19.93 a share — a range of EGP 14.25 to EGP 25.60 across the band.</w:t>
      </w:r>
    </w:p>
    <w:p>
      <w:pPr>
        <w:spacing w:after="120" w:before="0"/>
      </w:pPr>
      <w:r>
        <w:rPr>
          <w:b/>
          <w:i w:val="0"/>
          <w:color w:val="1C3A36"/>
          <w:sz w:val="21"/>
        </w:rPr>
        <w:t>The two numbers worth putting side by side are these: at the traded price the operating business changes hands at 6.1 times that same forward EBITDA, while the cash-flow lens values it at 4.3 times — both measured on the enterprise value this study bridges from, with the listed stakes and the investment property taken out of each. One sits inside the Egyptian industrial band and the other below it. That is the whole disagreement in a single number, and it is reported rather than resolved.</w:t>
      </w:r>
    </w:p>
    <w:p>
      <w:pPr>
        <w:spacing w:after="120" w:before="0"/>
      </w:pPr>
      <w:r>
        <w:rPr>
          <w:b w:val="0"/>
          <w:i/>
          <w:color w:val="6E7B77"/>
          <w:sz w:val="19"/>
        </w:rPr>
        <w:t>Buying the equity at the traded price buys the stakes and the property too, and on that whole-company basis the multiple is 6.7 times. It is the larger number and it is not the comparable one, which is why the sentence above uses the operating figure.</w:t>
      </w:r>
    </w:p>
    <w:p>
      <w:pPr>
        <w:spacing w:after="120" w:before="0"/>
      </w:pPr>
      <w:r>
        <w:rPr>
          <w:b w:val="0"/>
          <w:i w:val="0"/>
          <w:color w:val="1C3A36"/>
          <w:sz w:val="21"/>
        </w:rPr>
        <w:t>This lens gives the highest of the four answers, and the reason matters. A multiple of forward operating profit never asks what the capital programme does to cash: it values the plant as though the money being spent on the new complex were not being spent. That is precisely the question the cash-flow lens exists to answer, which is why this one is a cross-check rather than the primary read.</w:t>
      </w:r>
    </w:p>
    <w:p>
      <w:pPr>
        <w:keepNext/>
        <w:spacing w:after="80" w:before="200"/>
      </w:pPr>
      <w:r>
        <w:rPr>
          <w:b/>
          <w:i w:val="0"/>
          <w:color w:val="1C3A36"/>
          <w:sz w:val="24"/>
        </w:rPr>
        <w:t>1.4  Normalised earnings power</w:t>
      </w:r>
    </w:p>
    <w:p>
      <w:pPr>
        <w:spacing w:after="120" w:before="0"/>
      </w:pPr>
      <w:r>
        <w:rPr>
          <w:b w:val="0"/>
          <w:i w:val="0"/>
          <w:color w:val="1C3A36"/>
          <w:sz w:val="21"/>
        </w:rPr>
        <w:t>Strip out the construction, the translation noise and the price cycle. Take urea output at the three-year average of audited production, 540,542 tonnes, and a mid-cycle export price of US$400 a tonne — above the 2015-2020 average of roughly US$250 and well below the US$545 at which the contract settled in August 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3600"/>
      </w:tblGrid>
      <w:tr>
        <w:trPr>
          <w:cantSplit/>
          <w:tblHeader/>
        </w:trPr>
        <w:tc>
          <w:tcPr>
            <w:tcW w:type="dxa" w:w="6336"/>
            <w:shd w:val="clear" w:color="auto" w:fill="EAF0EE"/>
          </w:tcPr>
          <w:p>
            <w:pPr>
              <w:spacing w:after="20"/>
            </w:pPr>
            <w:r>
              <w:rPr>
                <w:b/>
                <w:color w:val="1C3A36"/>
                <w:sz w:val="17"/>
              </w:rPr>
              <w:t>Line</w:t>
            </w:r>
          </w:p>
        </w:tc>
        <w:tc>
          <w:tcPr>
            <w:tcW w:type="dxa" w:w="3600"/>
            <w:shd w:val="clear" w:color="auto" w:fill="EAF0EE"/>
          </w:tcPr>
          <w:p>
            <w:pPr>
              <w:spacing w:after="20"/>
            </w:pPr>
            <w:r>
              <w:rPr>
                <w:b/>
                <w:color w:val="1C3A36"/>
                <w:sz w:val="17"/>
              </w:rPr>
              <w:t>EGP million</w:t>
            </w:r>
          </w:p>
        </w:tc>
      </w:tr>
      <w:tr>
        <w:trPr>
          <w:cantSplit/>
        </w:trPr>
        <w:tc>
          <w:tcPr>
            <w:tcW w:type="dxa" w:w="6336"/>
          </w:tcPr>
          <w:p>
            <w:pPr>
              <w:spacing w:after="20"/>
            </w:pPr>
            <w:r>
              <w:rPr>
                <w:color w:val="1C3A36"/>
                <w:sz w:val="17"/>
              </w:rPr>
              <w:t>Mid-cycle revenue</w:t>
            </w:r>
          </w:p>
        </w:tc>
        <w:tc>
          <w:tcPr>
            <w:tcW w:type="dxa" w:w="3600"/>
          </w:tcPr>
          <w:p>
            <w:pPr>
              <w:spacing w:after="20"/>
              <w:jc w:val="right"/>
            </w:pPr>
            <w:r>
              <w:rPr>
                <w:color w:val="1C3A36"/>
                <w:sz w:val="17"/>
              </w:rPr>
              <w:t>10,429</w:t>
            </w:r>
          </w:p>
        </w:tc>
      </w:tr>
      <w:tr>
        <w:trPr>
          <w:cantSplit/>
        </w:trPr>
        <w:tc>
          <w:tcPr>
            <w:tcW w:type="dxa" w:w="6336"/>
          </w:tcPr>
          <w:p>
            <w:pPr>
              <w:spacing w:after="20"/>
            </w:pPr>
            <w:r>
              <w:rPr>
                <w:color w:val="1C3A36"/>
                <w:sz w:val="17"/>
              </w:rPr>
              <w:t>Natural gas</w:t>
            </w:r>
          </w:p>
        </w:tc>
        <w:tc>
          <w:tcPr>
            <w:tcW w:type="dxa" w:w="3600"/>
          </w:tcPr>
          <w:p>
            <w:pPr>
              <w:spacing w:after="20"/>
              <w:jc w:val="right"/>
            </w:pPr>
            <w:r>
              <w:rPr>
                <w:color w:val="1C3A36"/>
                <w:sz w:val="17"/>
              </w:rPr>
              <w:t>-3,998</w:t>
            </w:r>
          </w:p>
        </w:tc>
      </w:tr>
      <w:tr>
        <w:trPr>
          <w:cantSplit/>
        </w:trPr>
        <w:tc>
          <w:tcPr>
            <w:tcW w:type="dxa" w:w="6336"/>
          </w:tcPr>
          <w:p>
            <w:pPr>
              <w:spacing w:after="20"/>
            </w:pPr>
            <w:r>
              <w:rPr>
                <w:color w:val="1C3A36"/>
                <w:sz w:val="17"/>
              </w:rPr>
              <w:t>Other materials</w:t>
            </w:r>
          </w:p>
        </w:tc>
        <w:tc>
          <w:tcPr>
            <w:tcW w:type="dxa" w:w="3600"/>
          </w:tcPr>
          <w:p>
            <w:pPr>
              <w:spacing w:after="20"/>
              <w:jc w:val="right"/>
            </w:pPr>
            <w:r>
              <w:rPr>
                <w:color w:val="1C3A36"/>
                <w:sz w:val="17"/>
              </w:rPr>
              <w:t>-1,276</w:t>
            </w:r>
          </w:p>
        </w:tc>
      </w:tr>
      <w:tr>
        <w:trPr>
          <w:cantSplit/>
        </w:trPr>
        <w:tc>
          <w:tcPr>
            <w:tcW w:type="dxa" w:w="6336"/>
          </w:tcPr>
          <w:p>
            <w:pPr>
              <w:spacing w:after="20"/>
            </w:pPr>
            <w:r>
              <w:rPr>
                <w:color w:val="1C3A36"/>
                <w:sz w:val="17"/>
              </w:rPr>
              <w:t>Wages and purchased services</w:t>
            </w:r>
          </w:p>
        </w:tc>
        <w:tc>
          <w:tcPr>
            <w:tcW w:type="dxa" w:w="3600"/>
          </w:tcPr>
          <w:p>
            <w:pPr>
              <w:spacing w:after="20"/>
              <w:jc w:val="right"/>
            </w:pPr>
            <w:r>
              <w:rPr>
                <w:color w:val="1C3A36"/>
                <w:sz w:val="17"/>
              </w:rPr>
              <w:t>-303</w:t>
            </w:r>
          </w:p>
        </w:tc>
      </w:tr>
      <w:tr>
        <w:trPr>
          <w:cantSplit/>
        </w:trPr>
        <w:tc>
          <w:tcPr>
            <w:tcW w:type="dxa" w:w="6336"/>
          </w:tcPr>
          <w:p>
            <w:pPr>
              <w:spacing w:after="20"/>
            </w:pPr>
            <w:r>
              <w:rPr>
                <w:color w:val="1C3A36"/>
                <w:sz w:val="17"/>
              </w:rPr>
              <w:t>Inland freight</w:t>
            </w:r>
          </w:p>
        </w:tc>
        <w:tc>
          <w:tcPr>
            <w:tcW w:type="dxa" w:w="3600"/>
          </w:tcPr>
          <w:p>
            <w:pPr>
              <w:spacing w:after="20"/>
              <w:jc w:val="right"/>
            </w:pPr>
            <w:r>
              <w:rPr>
                <w:color w:val="1C3A36"/>
                <w:sz w:val="17"/>
              </w:rPr>
              <w:t>-662</w:t>
            </w:r>
          </w:p>
        </w:tc>
      </w:tr>
      <w:tr>
        <w:trPr>
          <w:cantSplit/>
        </w:trPr>
        <w:tc>
          <w:tcPr>
            <w:tcW w:type="dxa" w:w="6336"/>
          </w:tcPr>
          <w:p>
            <w:pPr>
              <w:spacing w:after="20"/>
            </w:pPr>
            <w:r>
              <w:rPr>
                <w:color w:val="1C3A36"/>
                <w:sz w:val="17"/>
              </w:rPr>
              <w:t>Other selling and administration</w:t>
            </w:r>
          </w:p>
        </w:tc>
        <w:tc>
          <w:tcPr>
            <w:tcW w:type="dxa" w:w="3600"/>
          </w:tcPr>
          <w:p>
            <w:pPr>
              <w:spacing w:after="20"/>
              <w:jc w:val="right"/>
            </w:pPr>
            <w:r>
              <w:rPr>
                <w:color w:val="1C3A36"/>
                <w:sz w:val="17"/>
              </w:rPr>
              <w:t>-590</w:t>
            </w:r>
          </w:p>
        </w:tc>
      </w:tr>
      <w:tr>
        <w:trPr>
          <w:cantSplit/>
        </w:trPr>
        <w:tc>
          <w:tcPr>
            <w:tcW w:type="dxa" w:w="6336"/>
            <w:shd w:val="clear" w:color="auto" w:fill="F6F1E6"/>
          </w:tcPr>
          <w:p>
            <w:pPr>
              <w:spacing w:after="20"/>
            </w:pPr>
            <w:r>
              <w:rPr>
                <w:b/>
                <w:color w:val="1C3A36"/>
                <w:sz w:val="17"/>
              </w:rPr>
              <w:t>MID-CYCLE EBITDA</w:t>
            </w:r>
          </w:p>
        </w:tc>
        <w:tc>
          <w:tcPr>
            <w:tcW w:type="dxa" w:w="3600"/>
            <w:shd w:val="clear" w:color="auto" w:fill="F6F1E6"/>
          </w:tcPr>
          <w:p>
            <w:pPr>
              <w:spacing w:after="20"/>
              <w:jc w:val="right"/>
            </w:pPr>
            <w:r>
              <w:rPr>
                <w:b/>
                <w:color w:val="1C3A36"/>
                <w:sz w:val="17"/>
              </w:rPr>
              <w:t>3,601</w:t>
            </w:r>
          </w:p>
        </w:tc>
      </w:tr>
      <w:tr>
        <w:trPr>
          <w:cantSplit/>
        </w:trPr>
        <w:tc>
          <w:tcPr>
            <w:tcW w:type="dxa" w:w="6336"/>
          </w:tcPr>
          <w:p>
            <w:pPr>
              <w:spacing w:after="20"/>
            </w:pPr>
            <w:r>
              <w:rPr>
                <w:color w:val="1C3A36"/>
                <w:sz w:val="17"/>
              </w:rPr>
              <w:t>Less depreciation and amortisation</w:t>
            </w:r>
          </w:p>
        </w:tc>
        <w:tc>
          <w:tcPr>
            <w:tcW w:type="dxa" w:w="3600"/>
          </w:tcPr>
          <w:p>
            <w:pPr>
              <w:spacing w:after="20"/>
              <w:jc w:val="right"/>
            </w:pPr>
            <w:r>
              <w:rPr>
                <w:color w:val="1C3A36"/>
                <w:sz w:val="17"/>
              </w:rPr>
              <w:t>-891</w:t>
            </w:r>
          </w:p>
        </w:tc>
      </w:tr>
      <w:tr>
        <w:trPr>
          <w:cantSplit/>
        </w:trPr>
        <w:tc>
          <w:tcPr>
            <w:tcW w:type="dxa" w:w="6336"/>
            <w:shd w:val="clear" w:color="auto" w:fill="F6F1E6"/>
          </w:tcPr>
          <w:p>
            <w:pPr>
              <w:spacing w:after="20"/>
            </w:pPr>
            <w:r>
              <w:rPr>
                <w:b/>
                <w:color w:val="1C3A36"/>
                <w:sz w:val="17"/>
              </w:rPr>
              <w:t>MID-CYCLE OPERATING PROFIT</w:t>
            </w:r>
          </w:p>
        </w:tc>
        <w:tc>
          <w:tcPr>
            <w:tcW w:type="dxa" w:w="3600"/>
            <w:shd w:val="clear" w:color="auto" w:fill="F6F1E6"/>
          </w:tcPr>
          <w:p>
            <w:pPr>
              <w:spacing w:after="20"/>
              <w:jc w:val="right"/>
            </w:pPr>
            <w:r>
              <w:rPr>
                <w:b/>
                <w:color w:val="1C3A36"/>
                <w:sz w:val="17"/>
              </w:rPr>
              <w:t>2,710</w:t>
            </w:r>
          </w:p>
        </w:tc>
      </w:tr>
      <w:tr>
        <w:trPr>
          <w:cantSplit/>
        </w:trPr>
        <w:tc>
          <w:tcPr>
            <w:tcW w:type="dxa" w:w="6336"/>
          </w:tcPr>
          <w:p>
            <w:pPr>
              <w:spacing w:after="20"/>
            </w:pPr>
            <w:r>
              <w:rPr>
                <w:color w:val="1C3A36"/>
                <w:sz w:val="17"/>
              </w:rPr>
              <w:t>Less tax at 22.5%</w:t>
            </w:r>
          </w:p>
        </w:tc>
        <w:tc>
          <w:tcPr>
            <w:tcW w:type="dxa" w:w="3600"/>
          </w:tcPr>
          <w:p>
            <w:pPr>
              <w:spacing w:after="20"/>
              <w:jc w:val="right"/>
            </w:pPr>
            <w:r>
              <w:rPr>
                <w:color w:val="1C3A36"/>
                <w:sz w:val="17"/>
              </w:rPr>
              <w:t>-610</w:t>
            </w:r>
          </w:p>
        </w:tc>
      </w:tr>
      <w:tr>
        <w:trPr>
          <w:cantSplit/>
        </w:trPr>
        <w:tc>
          <w:tcPr>
            <w:tcW w:type="dxa" w:w="6336"/>
            <w:shd w:val="clear" w:color="auto" w:fill="F6F1E6"/>
          </w:tcPr>
          <w:p>
            <w:pPr>
              <w:spacing w:after="20"/>
            </w:pPr>
            <w:r>
              <w:rPr>
                <w:b/>
                <w:color w:val="1C3A36"/>
                <w:sz w:val="17"/>
              </w:rPr>
              <w:t>MID-CYCLE OPERATING PROFIT AFTER TAX</w:t>
            </w:r>
          </w:p>
        </w:tc>
        <w:tc>
          <w:tcPr>
            <w:tcW w:type="dxa" w:w="3600"/>
            <w:shd w:val="clear" w:color="auto" w:fill="F6F1E6"/>
          </w:tcPr>
          <w:p>
            <w:pPr>
              <w:spacing w:after="20"/>
              <w:jc w:val="right"/>
            </w:pPr>
            <w:r>
              <w:rPr>
                <w:b/>
                <w:color w:val="1C3A36"/>
                <w:sz w:val="17"/>
              </w:rPr>
              <w:t>2,100</w:t>
            </w:r>
          </w:p>
        </w:tc>
      </w:tr>
      <w:tr>
        <w:trPr>
          <w:cantSplit/>
        </w:trPr>
        <w:tc>
          <w:tcPr>
            <w:tcW w:type="dxa" w:w="6336"/>
          </w:tcPr>
          <w:p>
            <w:pPr>
              <w:spacing w:after="20"/>
            </w:pPr>
            <w:r>
              <w:rPr>
                <w:color w:val="1C3A36"/>
                <w:sz w:val="17"/>
              </w:rPr>
              <w:t>At 10.0 times — enterprise value</w:t>
            </w:r>
          </w:p>
        </w:tc>
        <w:tc>
          <w:tcPr>
            <w:tcW w:type="dxa" w:w="3600"/>
          </w:tcPr>
          <w:p>
            <w:pPr>
              <w:spacing w:after="20"/>
              <w:jc w:val="right"/>
            </w:pPr>
            <w:r>
              <w:rPr>
                <w:color w:val="1C3A36"/>
                <w:sz w:val="17"/>
              </w:rPr>
              <w:t>21,003</w:t>
            </w:r>
          </w:p>
        </w:tc>
      </w:tr>
      <w:tr>
        <w:trPr>
          <w:cantSplit/>
        </w:trPr>
        <w:tc>
          <w:tcPr>
            <w:tcW w:type="dxa" w:w="6336"/>
          </w:tcPr>
          <w:p>
            <w:pPr>
              <w:spacing w:after="20"/>
            </w:pPr>
            <w:r>
              <w:rPr>
                <w:color w:val="1C3A36"/>
                <w:sz w:val="17"/>
              </w:rPr>
              <w:t>Less net debt</w:t>
            </w:r>
          </w:p>
        </w:tc>
        <w:tc>
          <w:tcPr>
            <w:tcW w:type="dxa" w:w="3600"/>
          </w:tcPr>
          <w:p>
            <w:pPr>
              <w:spacing w:after="20"/>
              <w:jc w:val="right"/>
            </w:pPr>
            <w:r>
              <w:rPr>
                <w:color w:val="1C3A36"/>
                <w:sz w:val="17"/>
              </w:rPr>
              <w:t>-10,032</w:t>
            </w:r>
          </w:p>
        </w:tc>
      </w:tr>
      <w:tr>
        <w:trPr>
          <w:cantSplit/>
        </w:trPr>
        <w:tc>
          <w:tcPr>
            <w:tcW w:type="dxa" w:w="6336"/>
          </w:tcPr>
          <w:p>
            <w:pPr>
              <w:spacing w:after="20"/>
            </w:pPr>
            <w:r>
              <w:rPr>
                <w:color w:val="1C3A36"/>
                <w:sz w:val="17"/>
              </w:rPr>
              <w:t>Plus listed stakes at market and investment property</w:t>
            </w:r>
          </w:p>
        </w:tc>
        <w:tc>
          <w:tcPr>
            <w:tcW w:type="dxa" w:w="3600"/>
          </w:tcPr>
          <w:p>
            <w:pPr>
              <w:spacing w:after="20"/>
              <w:jc w:val="right"/>
            </w:pPr>
            <w:r>
              <w:rPr>
                <w:color w:val="1C3A36"/>
                <w:sz w:val="17"/>
              </w:rPr>
              <w:t>3,664</w:t>
            </w:r>
          </w:p>
        </w:tc>
      </w:tr>
      <w:tr>
        <w:trPr>
          <w:cantSplit/>
        </w:trPr>
        <w:tc>
          <w:tcPr>
            <w:tcW w:type="dxa" w:w="6336"/>
            <w:shd w:val="clear" w:color="auto" w:fill="F6F1E6"/>
          </w:tcPr>
          <w:p>
            <w:pPr>
              <w:spacing w:after="20"/>
            </w:pPr>
            <w:r>
              <w:rPr>
                <w:b/>
                <w:color w:val="1C3A36"/>
                <w:sz w:val="17"/>
              </w:rPr>
              <w:t>Equity value</w:t>
            </w:r>
          </w:p>
        </w:tc>
        <w:tc>
          <w:tcPr>
            <w:tcW w:type="dxa" w:w="3600"/>
            <w:shd w:val="clear" w:color="auto" w:fill="F6F1E6"/>
          </w:tcPr>
          <w:p>
            <w:pPr>
              <w:spacing w:after="20"/>
              <w:jc w:val="right"/>
            </w:pPr>
            <w:r>
              <w:rPr>
                <w:b/>
                <w:color w:val="1C3A36"/>
                <w:sz w:val="17"/>
              </w:rPr>
              <w:t>14,635</w:t>
            </w:r>
          </w:p>
        </w:tc>
      </w:tr>
      <w:tr>
        <w:trPr>
          <w:cantSplit/>
        </w:trPr>
        <w:tc>
          <w:tcPr>
            <w:tcW w:type="dxa" w:w="6336"/>
          </w:tcPr>
          <w:p>
            <w:pPr>
              <w:spacing w:after="20"/>
            </w:pPr>
            <w:r>
              <w:rPr>
                <w:color w:val="1C3A36"/>
                <w:sz w:val="17"/>
              </w:rPr>
              <w:t>Divided by shares in issue (1,986.6 million)</w:t>
            </w:r>
          </w:p>
        </w:tc>
        <w:tc>
          <w:tcPr>
            <w:tcW w:type="dxa" w:w="3600"/>
          </w:tcPr>
          <w:p>
            <w:pPr>
              <w:spacing w:after="20"/>
              <w:jc w:val="right"/>
            </w:pPr>
            <w:r>
              <w:rPr>
                <w:color w:val="1C3A36"/>
                <w:sz w:val="17"/>
              </w:rPr>
            </w:r>
          </w:p>
        </w:tc>
      </w:tr>
      <w:tr>
        <w:trPr>
          <w:cantSplit/>
        </w:trPr>
        <w:tc>
          <w:tcPr>
            <w:tcW w:type="dxa" w:w="6336"/>
            <w:shd w:val="clear" w:color="auto" w:fill="F6F1E6"/>
          </w:tcPr>
          <w:p>
            <w:pPr>
              <w:spacing w:after="20"/>
            </w:pPr>
            <w:r>
              <w:rPr>
                <w:b/>
                <w:color w:val="1C3A36"/>
                <w:sz w:val="17"/>
              </w:rPr>
              <w:t>Value per share at 10.0 times (EGP)</w:t>
            </w:r>
          </w:p>
        </w:tc>
        <w:tc>
          <w:tcPr>
            <w:tcW w:type="dxa" w:w="3600"/>
            <w:shd w:val="clear" w:color="auto" w:fill="F6F1E6"/>
          </w:tcPr>
          <w:p>
            <w:pPr>
              <w:spacing w:after="20"/>
              <w:jc w:val="right"/>
            </w:pPr>
            <w:r>
              <w:rPr>
                <w:b/>
                <w:color w:val="1C3A36"/>
                <w:sz w:val="17"/>
              </w:rPr>
              <w:t>7.37</w:t>
            </w:r>
          </w:p>
        </w:tc>
      </w:tr>
      <w:tr>
        <w:trPr>
          <w:cantSplit/>
        </w:trPr>
        <w:tc>
          <w:tcPr>
            <w:tcW w:type="dxa" w:w="6336"/>
          </w:tcPr>
          <w:p>
            <w:pPr>
              <w:spacing w:after="20"/>
            </w:pPr>
            <w:r>
              <w:rPr>
                <w:color w:val="1C3A36"/>
                <w:sz w:val="17"/>
              </w:rPr>
              <w:t>At 8.0 times (EGP)</w:t>
            </w:r>
          </w:p>
        </w:tc>
        <w:tc>
          <w:tcPr>
            <w:tcW w:type="dxa" w:w="3600"/>
          </w:tcPr>
          <w:p>
            <w:pPr>
              <w:spacing w:after="20"/>
              <w:jc w:val="right"/>
            </w:pPr>
            <w:r>
              <w:rPr>
                <w:color w:val="1C3A36"/>
                <w:sz w:val="17"/>
              </w:rPr>
              <w:t>5.25</w:t>
            </w:r>
          </w:p>
        </w:tc>
      </w:tr>
      <w:tr>
        <w:trPr>
          <w:cantSplit/>
        </w:trPr>
        <w:tc>
          <w:tcPr>
            <w:tcW w:type="dxa" w:w="6336"/>
          </w:tcPr>
          <w:p>
            <w:pPr>
              <w:spacing w:after="20"/>
            </w:pPr>
            <w:r>
              <w:rPr>
                <w:color w:val="1C3A36"/>
                <w:sz w:val="17"/>
              </w:rPr>
              <w:t>At 12.0 times (EGP)</w:t>
            </w:r>
          </w:p>
        </w:tc>
        <w:tc>
          <w:tcPr>
            <w:tcW w:type="dxa" w:w="3600"/>
          </w:tcPr>
          <w:p>
            <w:pPr>
              <w:spacing w:after="20"/>
              <w:jc w:val="right"/>
            </w:pPr>
            <w:r>
              <w:rPr>
                <w:color w:val="1C3A36"/>
                <w:sz w:val="17"/>
              </w:rPr>
              <w:t>9.48</w:t>
            </w:r>
          </w:p>
        </w:tc>
      </w:tr>
    </w:tbl>
    <w:p>
      <w:pPr>
        <w:spacing w:after="40"/>
      </w:pPr>
    </w:p>
    <w:p>
      <w:pPr>
        <w:spacing w:after="200" w:before="0"/>
      </w:pPr>
      <w:r>
        <w:rPr>
          <w:b w:val="0"/>
          <w:i/>
          <w:color w:val="6E7B77"/>
          <w:sz w:val="17"/>
        </w:rPr>
        <w:t>Table 9.  A mature single-asset industrial in a high-inflation economy does not deserve more than ten times, and the band either side is shown. The column is printed in full: tax, net debt, the non-operating assets and the share count all appear, so a reader adding it up reaches the figure at the bottom.</w:t>
      </w:r>
    </w:p>
    <w:p>
      <w:pPr>
        <w:keepNext/>
        <w:spacing w:after="80" w:before="200"/>
      </w:pPr>
      <w:r>
        <w:rPr>
          <w:b/>
          <w:i w:val="0"/>
          <w:color w:val="1C3A36"/>
          <w:sz w:val="24"/>
        </w:rPr>
        <w:t>1.5  Synthesis — four lenses, one field</w:t>
      </w:r>
    </w:p>
    <w:p>
      <w:pPr>
        <w:spacing w:after="120" w:before="0"/>
      </w:pPr>
      <w:r>
        <w:rPr>
          <w:b w:val="0"/>
          <w:i w:val="0"/>
          <w:color w:val="1C3A36"/>
          <w:sz w:val="21"/>
        </w:rPr>
        <w:t>The field runs from EGP 7.37 to EGP 19.93 a share. It is a wide field, and the width is honest: the lenses disagree because they ask different questions of a company whose asset base is changing underneath its earnings. One of them now reaches the traded price: on the observable Egyptian listed range the multiple lens centres at EGP 19.93 against EGP 14.41. That is a change from the first issue of this study, which used a lower multiple band it could not source, and it is reported rather than resisted.</w:t>
      </w:r>
    </w:p>
    <w:p>
      <w:pPr>
        <w:spacing w:after="120" w:before="0"/>
      </w:pPr>
      <w:r>
        <w:rPr>
          <w:b w:val="0"/>
          <w:i w:val="0"/>
          <w:color w:val="1C3A36"/>
          <w:sz w:val="21"/>
        </w:rPr>
        <w:t>The answer is the cash-flow lens alone: EGP 9.24 a share with the capital programme carried through, 36% below the traded price, and EGP 12.77 if the programme is stopped. It is the answer because it is the one lens that charges the capital programme against the years in which it is spent, which on this company is the whole question. The relative, normalised and book reads are CROSS-CHECKS published beside it — book value in particular prices what has been paid for rather than what it earns, and is a disclosed floor rather than a valuation. A previous edition blended all four at stated weights and published the result as the central; the weights were typed, had never cleared any out-of-sample test, and imported every weakness of the weakest read at whatever weight somebody chose. A number produced by averaging several methods is not more robust than the best of them — it is a new method with free parameters nobody tested. The blend is retired and published unused so a reader of the previous edition can see what changed. The bear and full readings are the floor and ceiling of every read, never a weighted extreme.</w:t>
      </w:r>
    </w:p>
    <w:p>
      <w:pPr>
        <w:spacing w:after="120" w:before="0"/>
      </w:pPr>
      <w:r>
        <w:rPr>
          <w:b w:val="0"/>
          <w:i w:val="0"/>
          <w:color w:val="1C3A36"/>
          <w:sz w:val="21"/>
        </w:rPr>
        <w:t>The ordering is itself informative. The asset-backed and multiple-based lenses sit highest because they value what has been built without asking what it earns. The cash-flow lens sits lowest because it asks exactly that, and gets an uncomfortable answer. The book value itself is EGP 8.16 a share as filed, and it is published as a FLOOR rather than a valuation; the justified multiple OF that book is zero, because a 6.9% sustainable return on equity barely clears nominal growth and does not approach a 29.08% cost of equity — a company earning below its cost of capital destroys value by growing, which is the same finding the capital programme produces from a different direction.</w:t>
      </w:r>
    </w:p>
    <w:p>
      <w:pPr>
        <w:spacing w:after="40"/>
        <w:jc w:val="center"/>
      </w:pPr>
      <w:r>
        <w:drawing>
          <wp:inline xmlns:a="http://schemas.openxmlformats.org/drawingml/2006/main" xmlns:pic="http://schemas.openxmlformats.org/drawingml/2006/picture">
            <wp:extent cx="6309360" cy="2704011"/>
            <wp:docPr id="4" name="Picture 4"/>
            <wp:cNvGraphicFramePr>
              <a:graphicFrameLocks noChangeAspect="1"/>
            </wp:cNvGraphicFramePr>
            <a:graphic>
              <a:graphicData uri="http://schemas.openxmlformats.org/drawingml/2006/picture">
                <pic:pic>
                  <pic:nvPicPr>
                    <pic:cNvPr id="0" name="fig1_range.png"/>
                    <pic:cNvPicPr/>
                  </pic:nvPicPr>
                  <pic:blipFill>
                    <a:blip r:embed="rId12"/>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4.  The same cash-flow model run in four states of the world. The spread between the top and the bottom bar is what the capital programme is worth, in either direction.</w:t>
      </w:r>
    </w:p>
    <w:p>
      <w:pPr>
        <w:keepNext/>
        <w:spacing w:after="80" w:before="200"/>
      </w:pPr>
      <w:r>
        <w:rPr>
          <w:b/>
          <w:i w:val="0"/>
          <w:color w:val="1C3A36"/>
          <w:sz w:val="24"/>
        </w:rPr>
        <w:t>1.6  The drivers — each leg grown on its own driver, margins as outputs</w:t>
      </w:r>
    </w:p>
    <w:p>
      <w:pPr>
        <w:spacing w:after="120" w:before="0"/>
      </w:pPr>
      <w:r>
        <w:rPr>
          <w:b w:val="0"/>
          <w:i w:val="0"/>
          <w:color w:val="1C3A36"/>
          <w:sz w:val="21"/>
        </w:rPr>
        <w:t>The company reports one operating segment, so the build goes below it to the product and the channel, which is the finest level the statements source. Nothing in the model sets a margin: every margin falls out of tonnes, prices and physical consumption.</w:t>
      </w:r>
    </w:p>
    <w:p>
      <w:pPr>
        <w:keepNext/>
        <w:spacing w:after="80" w:before="200"/>
      </w:pPr>
      <w:r>
        <w:rPr>
          <w:b/>
          <w:i w:val="0"/>
          <w:color w:val="1C3A36"/>
          <w:sz w:val="24"/>
        </w:rPr>
        <w:t>The channels,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325"/>
        <w:gridCol w:w="1325"/>
        <w:gridCol w:w="1325"/>
        <w:gridCol w:w="3312"/>
      </w:tblGrid>
      <w:tr>
        <w:trPr>
          <w:cantSplit/>
          <w:tblHeader/>
        </w:trPr>
        <w:tc>
          <w:tcPr>
            <w:tcW w:type="dxa" w:w="2664"/>
            <w:shd w:val="clear" w:color="auto" w:fill="EAF0EE"/>
          </w:tcPr>
          <w:p>
            <w:pPr>
              <w:spacing w:after="20"/>
            </w:pPr>
            <w:r>
              <w:rPr>
                <w:b/>
                <w:color w:val="1C3A36"/>
                <w:sz w:val="16"/>
              </w:rPr>
              <w:t>Channel</w:t>
            </w:r>
          </w:p>
        </w:tc>
        <w:tc>
          <w:tcPr>
            <w:tcW w:type="dxa" w:w="1325"/>
            <w:shd w:val="clear" w:color="auto" w:fill="EAF0EE"/>
          </w:tcPr>
          <w:p>
            <w:pPr>
              <w:spacing w:after="20"/>
            </w:pPr>
            <w:r>
              <w:rPr>
                <w:b/>
                <w:color w:val="1C3A36"/>
                <w:sz w:val="16"/>
              </w:rPr>
              <w:t>FY2022/23</w:t>
            </w:r>
          </w:p>
        </w:tc>
        <w:tc>
          <w:tcPr>
            <w:tcW w:type="dxa" w:w="1325"/>
            <w:shd w:val="clear" w:color="auto" w:fill="EAF0EE"/>
          </w:tcPr>
          <w:p>
            <w:pPr>
              <w:spacing w:after="20"/>
            </w:pPr>
            <w:r>
              <w:rPr>
                <w:b/>
                <w:color w:val="1C3A36"/>
                <w:sz w:val="16"/>
              </w:rPr>
              <w:t>FY2023/24</w:t>
            </w:r>
          </w:p>
        </w:tc>
        <w:tc>
          <w:tcPr>
            <w:tcW w:type="dxa" w:w="1325"/>
            <w:shd w:val="clear" w:color="auto" w:fill="EAF0EE"/>
          </w:tcPr>
          <w:p>
            <w:pPr>
              <w:spacing w:after="20"/>
            </w:pPr>
            <w:r>
              <w:rPr>
                <w:b/>
                <w:color w:val="1C3A36"/>
                <w:sz w:val="16"/>
              </w:rPr>
              <w:t>FY2024/25</w:t>
            </w:r>
          </w:p>
        </w:tc>
        <w:tc>
          <w:tcPr>
            <w:tcW w:type="dxa" w:w="3312"/>
            <w:shd w:val="clear" w:color="auto" w:fill="EAF0EE"/>
          </w:tcPr>
          <w:p>
            <w:pPr>
              <w:spacing w:after="20"/>
            </w:pPr>
            <w:r>
              <w:rPr>
                <w:b/>
                <w:color w:val="1C3A36"/>
                <w:sz w:val="16"/>
              </w:rPr>
              <w:t>What sets it</w:t>
            </w:r>
          </w:p>
        </w:tc>
      </w:tr>
      <w:tr>
        <w:trPr>
          <w:cantSplit/>
        </w:trPr>
        <w:tc>
          <w:tcPr>
            <w:tcW w:type="dxa" w:w="2664"/>
          </w:tcPr>
          <w:p>
            <w:pPr>
              <w:spacing w:after="20"/>
            </w:pPr>
            <w:r>
              <w:rPr>
                <w:color w:val="1C3A36"/>
                <w:sz w:val="16"/>
              </w:rPr>
              <w:t>Urea produced (tonnes)</w:t>
            </w:r>
          </w:p>
        </w:tc>
        <w:tc>
          <w:tcPr>
            <w:tcW w:type="dxa" w:w="1325"/>
          </w:tcPr>
          <w:p>
            <w:pPr>
              <w:spacing w:after="20"/>
              <w:jc w:val="right"/>
            </w:pPr>
            <w:r>
              <w:rPr>
                <w:color w:val="1C3A36"/>
                <w:sz w:val="16"/>
              </w:rPr>
              <w:t>586,373</w:t>
            </w:r>
          </w:p>
        </w:tc>
        <w:tc>
          <w:tcPr>
            <w:tcW w:type="dxa" w:w="1325"/>
          </w:tcPr>
          <w:p>
            <w:pPr>
              <w:spacing w:after="20"/>
              <w:jc w:val="right"/>
            </w:pPr>
            <w:r>
              <w:rPr>
                <w:color w:val="1C3A36"/>
                <w:sz w:val="16"/>
              </w:rPr>
              <w:t>521,868</w:t>
            </w:r>
          </w:p>
        </w:tc>
        <w:tc>
          <w:tcPr>
            <w:tcW w:type="dxa" w:w="1325"/>
          </w:tcPr>
          <w:p>
            <w:pPr>
              <w:spacing w:after="20"/>
              <w:jc w:val="right"/>
            </w:pPr>
            <w:r>
              <w:rPr>
                <w:color w:val="1C3A36"/>
                <w:sz w:val="16"/>
              </w:rPr>
              <w:t>513,385</w:t>
            </w:r>
          </w:p>
        </w:tc>
        <w:tc>
          <w:tcPr>
            <w:tcW w:type="dxa" w:w="3312"/>
          </w:tcPr>
          <w:p>
            <w:pPr>
              <w:spacing w:after="20"/>
            </w:pPr>
            <w:r>
              <w:rPr>
                <w:color w:val="1C3A36"/>
                <w:sz w:val="16"/>
              </w:rPr>
              <w:t>Gas availability against a 574,875-tonne design plate</w:t>
            </w:r>
          </w:p>
        </w:tc>
      </w:tr>
      <w:tr>
        <w:trPr>
          <w:cantSplit/>
        </w:trPr>
        <w:tc>
          <w:tcPr>
            <w:tcW w:type="dxa" w:w="2664"/>
          </w:tcPr>
          <w:p>
            <w:pPr>
              <w:spacing w:after="20"/>
            </w:pPr>
            <w:r>
              <w:rPr>
                <w:color w:val="1C3A36"/>
                <w:sz w:val="16"/>
              </w:rPr>
              <w:t>Export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350,318</w:t>
            </w:r>
          </w:p>
        </w:tc>
        <w:tc>
          <w:tcPr>
            <w:tcW w:type="dxa" w:w="3312"/>
          </w:tcPr>
          <w:p>
            <w:pPr>
              <w:spacing w:after="20"/>
            </w:pPr>
            <w:r>
              <w:rPr>
                <w:color w:val="1C3A36"/>
                <w:sz w:val="16"/>
              </w:rPr>
              <w:t>Output less the subsidised and free-market legs</w:t>
            </w:r>
          </w:p>
        </w:tc>
      </w:tr>
      <w:tr>
        <w:trPr>
          <w:cantSplit/>
        </w:trPr>
        <w:tc>
          <w:tcPr>
            <w:tcW w:type="dxa" w:w="2664"/>
          </w:tcPr>
          <w:p>
            <w:pPr>
              <w:spacing w:after="20"/>
            </w:pPr>
            <w:r>
              <w:rPr>
                <w:color w:val="1C3A36"/>
                <w:sz w:val="16"/>
              </w:rPr>
              <w:t>Subsidised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126,000</w:t>
            </w:r>
          </w:p>
        </w:tc>
        <w:tc>
          <w:tcPr>
            <w:tcW w:type="dxa" w:w="3312"/>
          </w:tcPr>
          <w:p>
            <w:pPr>
              <w:spacing w:after="20"/>
            </w:pPr>
            <w:r>
              <w:rPr>
                <w:color w:val="1C3A36"/>
                <w:sz w:val="16"/>
              </w:rPr>
              <w:t>An administered quota the company has been unable to meet in full</w:t>
            </w:r>
          </w:p>
        </w:tc>
      </w:tr>
      <w:tr>
        <w:trPr>
          <w:cantSplit/>
        </w:trPr>
        <w:tc>
          <w:tcPr>
            <w:tcW w:type="dxa" w:w="2664"/>
          </w:tcPr>
          <w:p>
            <w:pPr>
              <w:spacing w:after="20"/>
            </w:pPr>
            <w:r>
              <w:rPr>
                <w:color w:val="1C3A36"/>
                <w:sz w:val="16"/>
              </w:rPr>
              <w:t>Free-market tonnes</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37,085</w:t>
            </w:r>
          </w:p>
        </w:tc>
        <w:tc>
          <w:tcPr>
            <w:tcW w:type="dxa" w:w="3312"/>
          </w:tcPr>
          <w:p>
            <w:pPr>
              <w:spacing w:after="20"/>
            </w:pPr>
            <w:r>
              <w:rPr>
                <w:color w:val="1C3A36"/>
                <w:sz w:val="16"/>
              </w:rPr>
              <w:t>The residual of the local revenue note</w:t>
            </w:r>
          </w:p>
        </w:tc>
      </w:tr>
      <w:tr>
        <w:trPr>
          <w:cantSplit/>
        </w:trPr>
        <w:tc>
          <w:tcPr>
            <w:tcW w:type="dxa" w:w="2664"/>
          </w:tcPr>
          <w:p>
            <w:pPr>
              <w:spacing w:after="20"/>
            </w:pPr>
            <w:r>
              <w:rPr>
                <w:color w:val="1C3A36"/>
                <w:sz w:val="16"/>
              </w:rPr>
              <w:t>Realised export price (US$/t)</w:t>
            </w:r>
          </w:p>
        </w:tc>
        <w:tc>
          <w:tcPr>
            <w:tcW w:type="dxa" w:w="1325"/>
          </w:tcPr>
          <w:p>
            <w:pPr>
              <w:spacing w:after="20"/>
              <w:jc w:val="right"/>
            </w:pPr>
            <w:r>
              <w:rPr>
                <w:color w:val="1C3A36"/>
                <w:sz w:val="16"/>
              </w:rPr>
              <w:t>—</w:t>
            </w:r>
          </w:p>
        </w:tc>
        <w:tc>
          <w:tcPr>
            <w:tcW w:type="dxa" w:w="1325"/>
          </w:tcPr>
          <w:p>
            <w:pPr>
              <w:spacing w:after="20"/>
              <w:jc w:val="right"/>
            </w:pPr>
            <w:r>
              <w:rPr>
                <w:color w:val="1C3A36"/>
                <w:sz w:val="16"/>
              </w:rPr>
              <w:t>—</w:t>
            </w:r>
          </w:p>
        </w:tc>
        <w:tc>
          <w:tcPr>
            <w:tcW w:type="dxa" w:w="1325"/>
          </w:tcPr>
          <w:p>
            <w:pPr>
              <w:spacing w:after="20"/>
              <w:jc w:val="right"/>
            </w:pPr>
            <w:r>
              <w:rPr>
                <w:color w:val="1C3A36"/>
                <w:sz w:val="16"/>
              </w:rPr>
              <w:t>385</w:t>
            </w:r>
          </w:p>
        </w:tc>
        <w:tc>
          <w:tcPr>
            <w:tcW w:type="dxa" w:w="3312"/>
          </w:tcPr>
          <w:p>
            <w:pPr>
              <w:spacing w:after="20"/>
            </w:pPr>
            <w:r>
              <w:rPr>
                <w:color w:val="1C3A36"/>
                <w:sz w:val="16"/>
              </w:rPr>
              <w:t>The auditor's own disclosed average</w:t>
            </w:r>
          </w:p>
        </w:tc>
      </w:tr>
      <w:tr>
        <w:trPr>
          <w:cantSplit/>
        </w:trPr>
        <w:tc>
          <w:tcPr>
            <w:tcW w:type="dxa" w:w="2664"/>
            <w:shd w:val="clear" w:color="auto" w:fill="F6F1E6"/>
          </w:tcPr>
          <w:p>
            <w:pPr>
              <w:spacing w:after="20"/>
            </w:pPr>
            <w:r>
              <w:rPr>
                <w:b/>
                <w:color w:val="1C3A36"/>
                <w:sz w:val="16"/>
              </w:rPr>
              <w:t>Revenue (EGP m)</w:t>
            </w:r>
          </w:p>
        </w:tc>
        <w:tc>
          <w:tcPr>
            <w:tcW w:type="dxa" w:w="1325"/>
            <w:shd w:val="clear" w:color="auto" w:fill="F6F1E6"/>
          </w:tcPr>
          <w:p>
            <w:pPr>
              <w:spacing w:after="20"/>
              <w:jc w:val="right"/>
            </w:pPr>
            <w:r>
              <w:rPr>
                <w:b/>
                <w:color w:val="1C3A36"/>
                <w:sz w:val="16"/>
              </w:rPr>
              <w:t>6,612</w:t>
            </w:r>
          </w:p>
        </w:tc>
        <w:tc>
          <w:tcPr>
            <w:tcW w:type="dxa" w:w="1325"/>
            <w:shd w:val="clear" w:color="auto" w:fill="F6F1E6"/>
          </w:tcPr>
          <w:p>
            <w:pPr>
              <w:spacing w:after="20"/>
              <w:jc w:val="right"/>
            </w:pPr>
            <w:r>
              <w:rPr>
                <w:b/>
                <w:color w:val="1C3A36"/>
                <w:sz w:val="16"/>
              </w:rPr>
              <w:t>6,532</w:t>
            </w:r>
          </w:p>
        </w:tc>
        <w:tc>
          <w:tcPr>
            <w:tcW w:type="dxa" w:w="1325"/>
            <w:shd w:val="clear" w:color="auto" w:fill="F6F1E6"/>
          </w:tcPr>
          <w:p>
            <w:pPr>
              <w:spacing w:after="20"/>
              <w:jc w:val="right"/>
            </w:pPr>
            <w:r>
              <w:rPr>
                <w:b/>
                <w:color w:val="1C3A36"/>
                <w:sz w:val="16"/>
              </w:rPr>
              <w:t>8,603</w:t>
            </w:r>
          </w:p>
        </w:tc>
        <w:tc>
          <w:tcPr>
            <w:tcW w:type="dxa" w:w="3312"/>
            <w:shd w:val="clear" w:color="auto" w:fill="F6F1E6"/>
          </w:tcPr>
          <w:p>
            <w:pPr>
              <w:spacing w:after="20"/>
            </w:pPr>
            <w:r>
              <w:rPr>
                <w:b/>
                <w:color w:val="1C3A36"/>
                <w:sz w:val="16"/>
              </w:rPr>
              <w:t>Tonnes times price, in five legs</w:t>
            </w:r>
          </w:p>
        </w:tc>
      </w:tr>
      <w:tr>
        <w:trPr>
          <w:cantSplit/>
        </w:trPr>
        <w:tc>
          <w:tcPr>
            <w:tcW w:type="dxa" w:w="2664"/>
            <w:shd w:val="clear" w:color="auto" w:fill="F6F1E6"/>
          </w:tcPr>
          <w:p>
            <w:pPr>
              <w:spacing w:after="20"/>
            </w:pPr>
            <w:r>
              <w:rPr>
                <w:b/>
                <w:color w:val="1C3A36"/>
                <w:sz w:val="16"/>
              </w:rPr>
              <w:t>Gross margin</w:t>
            </w:r>
          </w:p>
        </w:tc>
        <w:tc>
          <w:tcPr>
            <w:tcW w:type="dxa" w:w="1325"/>
            <w:shd w:val="clear" w:color="auto" w:fill="F6F1E6"/>
          </w:tcPr>
          <w:p>
            <w:pPr>
              <w:spacing w:after="20"/>
              <w:jc w:val="right"/>
            </w:pPr>
            <w:r>
              <w:rPr>
                <w:b/>
                <w:color w:val="1C3A36"/>
                <w:sz w:val="16"/>
              </w:rPr>
              <w:t>45.9%</w:t>
            </w:r>
          </w:p>
        </w:tc>
        <w:tc>
          <w:tcPr>
            <w:tcW w:type="dxa" w:w="1325"/>
            <w:shd w:val="clear" w:color="auto" w:fill="F6F1E6"/>
          </w:tcPr>
          <w:p>
            <w:pPr>
              <w:spacing w:after="20"/>
              <w:jc w:val="right"/>
            </w:pPr>
            <w:r>
              <w:rPr>
                <w:b/>
                <w:color w:val="1C3A36"/>
                <w:sz w:val="16"/>
              </w:rPr>
              <w:t>32.7%</w:t>
            </w:r>
          </w:p>
        </w:tc>
        <w:tc>
          <w:tcPr>
            <w:tcW w:type="dxa" w:w="1325"/>
            <w:shd w:val="clear" w:color="auto" w:fill="F6F1E6"/>
          </w:tcPr>
          <w:p>
            <w:pPr>
              <w:spacing w:after="20"/>
              <w:jc w:val="right"/>
            </w:pPr>
            <w:r>
              <w:rPr>
                <w:b/>
                <w:color w:val="1C3A36"/>
                <w:sz w:val="16"/>
              </w:rPr>
              <w:t>38.4%</w:t>
            </w:r>
          </w:p>
        </w:tc>
        <w:tc>
          <w:tcPr>
            <w:tcW w:type="dxa" w:w="3312"/>
            <w:shd w:val="clear" w:color="auto" w:fill="F6F1E6"/>
          </w:tcPr>
          <w:p>
            <w:pPr>
              <w:spacing w:after="20"/>
            </w:pPr>
            <w:r>
              <w:rPr>
                <w:b/>
                <w:color w:val="1C3A36"/>
                <w:sz w:val="16"/>
              </w:rPr>
              <w:t>An output, never an input</w:t>
            </w:r>
          </w:p>
        </w:tc>
      </w:tr>
      <w:tr>
        <w:trPr>
          <w:cantSplit/>
        </w:trPr>
        <w:tc>
          <w:tcPr>
            <w:tcW w:type="dxa" w:w="2664"/>
            <w:shd w:val="clear" w:color="auto" w:fill="F6F1E6"/>
          </w:tcPr>
          <w:p>
            <w:pPr>
              <w:spacing w:after="20"/>
            </w:pPr>
            <w:r>
              <w:rPr>
                <w:b/>
                <w:color w:val="1C3A36"/>
                <w:sz w:val="16"/>
              </w:rPr>
              <w:t>Operating margin before depreciation</w:t>
            </w:r>
          </w:p>
        </w:tc>
        <w:tc>
          <w:tcPr>
            <w:tcW w:type="dxa" w:w="1325"/>
            <w:shd w:val="clear" w:color="auto" w:fill="F6F1E6"/>
          </w:tcPr>
          <w:p>
            <w:pPr>
              <w:spacing w:after="20"/>
              <w:jc w:val="right"/>
            </w:pPr>
            <w:r>
              <w:rPr>
                <w:b/>
                <w:color w:val="1C3A36"/>
                <w:sz w:val="16"/>
              </w:rPr>
              <w:t>46.8%</w:t>
            </w:r>
          </w:p>
        </w:tc>
        <w:tc>
          <w:tcPr>
            <w:tcW w:type="dxa" w:w="1325"/>
            <w:shd w:val="clear" w:color="auto" w:fill="F6F1E6"/>
          </w:tcPr>
          <w:p>
            <w:pPr>
              <w:spacing w:after="20"/>
              <w:jc w:val="right"/>
            </w:pPr>
            <w:r>
              <w:rPr>
                <w:b/>
                <w:color w:val="1C3A36"/>
                <w:sz w:val="16"/>
              </w:rPr>
              <w:t>31.4%</w:t>
            </w:r>
          </w:p>
        </w:tc>
        <w:tc>
          <w:tcPr>
            <w:tcW w:type="dxa" w:w="1325"/>
            <w:shd w:val="clear" w:color="auto" w:fill="F6F1E6"/>
          </w:tcPr>
          <w:p>
            <w:pPr>
              <w:spacing w:after="20"/>
              <w:jc w:val="right"/>
            </w:pPr>
            <w:r>
              <w:rPr>
                <w:b/>
                <w:color w:val="1C3A36"/>
                <w:sz w:val="16"/>
              </w:rPr>
              <w:t>35.5%</w:t>
            </w:r>
          </w:p>
        </w:tc>
        <w:tc>
          <w:tcPr>
            <w:tcW w:type="dxa" w:w="3312"/>
            <w:shd w:val="clear" w:color="auto" w:fill="F6F1E6"/>
          </w:tcPr>
          <w:p>
            <w:pPr>
              <w:spacing w:after="20"/>
            </w:pPr>
            <w:r>
              <w:rPr>
                <w:b/>
                <w:color w:val="1C3A36"/>
                <w:sz w:val="16"/>
              </w:rPr>
              <w:t>An output</w:t>
            </w:r>
          </w:p>
        </w:tc>
      </w:tr>
    </w:tbl>
    <w:p>
      <w:pPr>
        <w:spacing w:after="40"/>
      </w:pPr>
    </w:p>
    <w:p>
      <w:pPr>
        <w:spacing w:after="200" w:before="0"/>
      </w:pPr>
      <w:r>
        <w:rPr>
          <w:b w:val="0"/>
          <w:i/>
          <w:color w:val="6E7B77"/>
          <w:sz w:val="17"/>
        </w:rPr>
        <w:t>Table 10.  The channel split is disclosed only for the most recent year, in the revenue note; the two earlier years disclose production and revenue but not the split between the three domestic and export channels. That gap is stated here rather than filled with an assumption.</w:t>
      </w:r>
    </w:p>
    <w:p>
      <w:pPr>
        <w:keepNext/>
        <w:spacing w:after="80" w:before="200"/>
      </w:pPr>
      <w:r>
        <w:rPr>
          <w:b/>
          <w:i w:val="0"/>
          <w:color w:val="1C3A36"/>
          <w:sz w:val="24"/>
        </w:rPr>
        <w:t>How the forecast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3960"/>
        <w:gridCol w:w="1843"/>
        <w:gridCol w:w="1843"/>
      </w:tblGrid>
      <w:tr>
        <w:trPr>
          <w:cantSplit/>
          <w:tblHeader/>
        </w:trPr>
        <w:tc>
          <w:tcPr>
            <w:tcW w:type="dxa" w:w="2304"/>
            <w:shd w:val="clear" w:color="auto" w:fill="EAF0EE"/>
          </w:tcPr>
          <w:p>
            <w:pPr>
              <w:spacing w:after="20"/>
            </w:pPr>
            <w:r>
              <w:rPr>
                <w:b/>
                <w:color w:val="1C3A36"/>
                <w:sz w:val="17"/>
              </w:rPr>
              <w:t>Driver</w:t>
            </w:r>
          </w:p>
        </w:tc>
        <w:tc>
          <w:tcPr>
            <w:tcW w:type="dxa" w:w="3960"/>
            <w:shd w:val="clear" w:color="auto" w:fill="EAF0EE"/>
          </w:tcPr>
          <w:p>
            <w:pPr>
              <w:spacing w:after="20"/>
            </w:pPr>
            <w:r>
              <w:rPr>
                <w:b/>
                <w:color w:val="1C3A36"/>
                <w:sz w:val="17"/>
              </w:rPr>
              <w:t>Basis</w:t>
            </w:r>
          </w:p>
        </w:tc>
        <w:tc>
          <w:tcPr>
            <w:tcW w:type="dxa" w:w="1843"/>
            <w:shd w:val="clear" w:color="auto" w:fill="EAF0EE"/>
          </w:tcPr>
          <w:p>
            <w:pPr>
              <w:spacing w:after="20"/>
            </w:pPr>
            <w:r>
              <w:rPr>
                <w:b/>
                <w:color w:val="1C3A36"/>
                <w:sz w:val="17"/>
              </w:rPr>
              <w:t>FY2026/27</w:t>
            </w:r>
          </w:p>
        </w:tc>
        <w:tc>
          <w:tcPr>
            <w:tcW w:type="dxa" w:w="1843"/>
            <w:shd w:val="clear" w:color="auto" w:fill="EAF0EE"/>
          </w:tcPr>
          <w:p>
            <w:pPr>
              <w:spacing w:after="20"/>
            </w:pPr>
            <w:r>
              <w:rPr>
                <w:b/>
                <w:color w:val="1C3A36"/>
                <w:sz w:val="17"/>
              </w:rPr>
              <w:t>FY2030/31</w:t>
            </w:r>
          </w:p>
        </w:tc>
      </w:tr>
      <w:tr>
        <w:trPr>
          <w:cantSplit/>
        </w:trPr>
        <w:tc>
          <w:tcPr>
            <w:tcW w:type="dxa" w:w="2304"/>
          </w:tcPr>
          <w:p>
            <w:pPr>
              <w:spacing w:after="20"/>
            </w:pPr>
            <w:r>
              <w:rPr>
                <w:color w:val="1C3A36"/>
                <w:sz w:val="17"/>
              </w:rPr>
              <w:t>Urea output (tonnes)</w:t>
            </w:r>
          </w:p>
        </w:tc>
        <w:tc>
          <w:tcPr>
            <w:tcW w:type="dxa" w:w="3960"/>
          </w:tcPr>
          <w:p>
            <w:pPr>
              <w:spacing w:after="20"/>
            </w:pPr>
            <w:r>
              <w:rPr>
                <w:color w:val="1C3A36"/>
                <w:sz w:val="17"/>
              </w:rPr>
              <w:t>Design plate with utilisation banded by gas availability</w:t>
            </w:r>
          </w:p>
        </w:tc>
        <w:tc>
          <w:tcPr>
            <w:tcW w:type="dxa" w:w="1843"/>
          </w:tcPr>
          <w:p>
            <w:pPr>
              <w:spacing w:after="20"/>
              <w:jc w:val="right"/>
            </w:pPr>
            <w:r>
              <w:rPr>
                <w:color w:val="1C3A36"/>
                <w:sz w:val="17"/>
              </w:rPr>
              <w:t>524,861</w:t>
            </w:r>
          </w:p>
        </w:tc>
        <w:tc>
          <w:tcPr>
            <w:tcW w:type="dxa" w:w="1843"/>
          </w:tcPr>
          <w:p>
            <w:pPr>
              <w:spacing w:after="20"/>
              <w:jc w:val="right"/>
            </w:pPr>
            <w:r>
              <w:rPr>
                <w:color w:val="1C3A36"/>
                <w:sz w:val="17"/>
              </w:rPr>
              <w:t>544,982</w:t>
            </w:r>
          </w:p>
        </w:tc>
      </w:tr>
      <w:tr>
        <w:trPr>
          <w:cantSplit/>
        </w:trPr>
        <w:tc>
          <w:tcPr>
            <w:tcW w:type="dxa" w:w="2304"/>
          </w:tcPr>
          <w:p>
            <w:pPr>
              <w:spacing w:after="20"/>
            </w:pPr>
            <w:r>
              <w:rPr>
                <w:color w:val="1C3A36"/>
                <w:sz w:val="17"/>
              </w:rPr>
              <w:t>Export tonnes</w:t>
            </w:r>
          </w:p>
        </w:tc>
        <w:tc>
          <w:tcPr>
            <w:tcW w:type="dxa" w:w="3960"/>
          </w:tcPr>
          <w:p>
            <w:pPr>
              <w:spacing w:after="20"/>
            </w:pPr>
            <w:r>
              <w:rPr>
                <w:color w:val="1C3A36"/>
                <w:sz w:val="17"/>
              </w:rPr>
              <w:t>Output less the subsidised and free-market legs</w:t>
            </w:r>
          </w:p>
        </w:tc>
        <w:tc>
          <w:tcPr>
            <w:tcW w:type="dxa" w:w="1843"/>
          </w:tcPr>
          <w:p>
            <w:pPr>
              <w:spacing w:after="20"/>
              <w:jc w:val="right"/>
            </w:pPr>
            <w:r>
              <w:rPr>
                <w:color w:val="1C3A36"/>
                <w:sz w:val="17"/>
              </w:rPr>
              <w:t>329,861</w:t>
            </w:r>
          </w:p>
        </w:tc>
        <w:tc>
          <w:tcPr>
            <w:tcW w:type="dxa" w:w="1843"/>
          </w:tcPr>
          <w:p>
            <w:pPr>
              <w:spacing w:after="20"/>
              <w:jc w:val="right"/>
            </w:pPr>
            <w:r>
              <w:rPr>
                <w:color w:val="1C3A36"/>
                <w:sz w:val="17"/>
              </w:rPr>
              <w:t>325,982</w:t>
            </w:r>
          </w:p>
        </w:tc>
      </w:tr>
      <w:tr>
        <w:trPr>
          <w:cantSplit/>
        </w:trPr>
        <w:tc>
          <w:tcPr>
            <w:tcW w:type="dxa" w:w="2304"/>
          </w:tcPr>
          <w:p>
            <w:pPr>
              <w:spacing w:after="20"/>
            </w:pPr>
            <w:r>
              <w:rPr>
                <w:color w:val="1C3A36"/>
                <w:sz w:val="17"/>
              </w:rPr>
              <w:t>Export price (US$/t)</w:t>
            </w:r>
          </w:p>
        </w:tc>
        <w:tc>
          <w:tcPr>
            <w:tcW w:type="dxa" w:w="3960"/>
          </w:tcPr>
          <w:p>
            <w:pPr>
              <w:spacing w:after="20"/>
            </w:pPr>
            <w:r>
              <w:rPr>
                <w:color w:val="1C3A36"/>
                <w:sz w:val="17"/>
              </w:rPr>
              <w:t>US$385 realised FY2024/25; US$545 spot; mean reversion</w:t>
            </w:r>
          </w:p>
        </w:tc>
        <w:tc>
          <w:tcPr>
            <w:tcW w:type="dxa" w:w="1843"/>
          </w:tcPr>
          <w:p>
            <w:pPr>
              <w:spacing w:after="20"/>
              <w:jc w:val="right"/>
            </w:pPr>
            <w:r>
              <w:rPr>
                <w:color w:val="1C3A36"/>
                <w:sz w:val="17"/>
              </w:rPr>
              <w:t>530</w:t>
            </w:r>
          </w:p>
        </w:tc>
        <w:tc>
          <w:tcPr>
            <w:tcW w:type="dxa" w:w="1843"/>
          </w:tcPr>
          <w:p>
            <w:pPr>
              <w:spacing w:after="20"/>
              <w:jc w:val="right"/>
            </w:pPr>
            <w:r>
              <w:rPr>
                <w:color w:val="1C3A36"/>
                <w:sz w:val="17"/>
              </w:rPr>
              <w:t>530</w:t>
            </w:r>
          </w:p>
        </w:tc>
      </w:tr>
      <w:tr>
        <w:trPr>
          <w:cantSplit/>
        </w:trPr>
        <w:tc>
          <w:tcPr>
            <w:tcW w:type="dxa" w:w="2304"/>
          </w:tcPr>
          <w:p>
            <w:pPr>
              <w:spacing w:after="20"/>
            </w:pPr>
            <w:r>
              <w:rPr>
                <w:color w:val="1C3A36"/>
                <w:sz w:val="17"/>
              </w:rPr>
              <w:t>Exchange rate (EGP/US$)</w:t>
            </w:r>
          </w:p>
        </w:tc>
        <w:tc>
          <w:tcPr>
            <w:tcW w:type="dxa" w:w="3960"/>
          </w:tcPr>
          <w:p>
            <w:pPr>
              <w:spacing w:after="20"/>
            </w:pPr>
            <w:r>
              <w:rPr>
                <w:color w:val="1C3A36"/>
                <w:sz w:val="17"/>
              </w:rPr>
              <w:t>Spot, carried on the inflation differential year by year</w:t>
            </w:r>
          </w:p>
        </w:tc>
        <w:tc>
          <w:tcPr>
            <w:tcW w:type="dxa" w:w="1843"/>
          </w:tcPr>
          <w:p>
            <w:pPr>
              <w:spacing w:after="20"/>
              <w:jc w:val="right"/>
            </w:pPr>
            <w:r>
              <w:rPr>
                <w:color w:val="1C3A36"/>
                <w:sz w:val="17"/>
              </w:rPr>
              <w:t>55.43</w:t>
            </w:r>
          </w:p>
        </w:tc>
        <w:tc>
          <w:tcPr>
            <w:tcW w:type="dxa" w:w="1843"/>
          </w:tcPr>
          <w:p>
            <w:pPr>
              <w:spacing w:after="20"/>
              <w:jc w:val="right"/>
            </w:pPr>
            <w:r>
              <w:rPr>
                <w:color w:val="1C3A36"/>
                <w:sz w:val="17"/>
              </w:rPr>
              <w:t>69.20</w:t>
            </w:r>
          </w:p>
        </w:tc>
      </w:tr>
      <w:tr>
        <w:trPr>
          <w:cantSplit/>
        </w:trPr>
        <w:tc>
          <w:tcPr>
            <w:tcW w:type="dxa" w:w="2304"/>
          </w:tcPr>
          <w:p>
            <w:pPr>
              <w:spacing w:after="20"/>
            </w:pPr>
            <w:r>
              <w:rPr>
                <w:color w:val="1C3A36"/>
                <w:sz w:val="17"/>
              </w:rPr>
              <w:t>Subsidised price (EGP/t)</w:t>
            </w:r>
          </w:p>
        </w:tc>
        <w:tc>
          <w:tcPr>
            <w:tcW w:type="dxa" w:w="3960"/>
          </w:tcPr>
          <w:p>
            <w:pPr>
              <w:spacing w:after="20"/>
            </w:pPr>
            <w:r>
              <w:rPr>
                <w:color w:val="1C3A36"/>
                <w:sz w:val="17"/>
              </w:rPr>
              <w:t>Cooperative supply price on an administered path</w:t>
            </w:r>
          </w:p>
        </w:tc>
        <w:tc>
          <w:tcPr>
            <w:tcW w:type="dxa" w:w="1843"/>
          </w:tcPr>
          <w:p>
            <w:pPr>
              <w:spacing w:after="20"/>
              <w:jc w:val="right"/>
            </w:pPr>
            <w:r>
              <w:rPr>
                <w:color w:val="1C3A36"/>
                <w:sz w:val="17"/>
              </w:rPr>
              <w:t>7,526</w:t>
            </w:r>
          </w:p>
        </w:tc>
        <w:tc>
          <w:tcPr>
            <w:tcW w:type="dxa" w:w="1843"/>
          </w:tcPr>
          <w:p>
            <w:pPr>
              <w:spacing w:after="20"/>
              <w:jc w:val="right"/>
            </w:pPr>
            <w:r>
              <w:rPr>
                <w:color w:val="1C3A36"/>
                <w:sz w:val="17"/>
              </w:rPr>
              <w:t>10,915</w:t>
            </w:r>
          </w:p>
        </w:tc>
      </w:tr>
      <w:tr>
        <w:trPr>
          <w:cantSplit/>
        </w:trPr>
        <w:tc>
          <w:tcPr>
            <w:tcW w:type="dxa" w:w="2304"/>
          </w:tcPr>
          <w:p>
            <w:pPr>
              <w:spacing w:after="20"/>
            </w:pPr>
            <w:r>
              <w:rPr>
                <w:color w:val="1C3A36"/>
                <w:sz w:val="17"/>
              </w:rPr>
              <w:t>Gas (EGP per m3)</w:t>
            </w:r>
          </w:p>
        </w:tc>
        <w:tc>
          <w:tcPr>
            <w:tcW w:type="dxa" w:w="3960"/>
          </w:tcPr>
          <w:p>
            <w:pPr>
              <w:spacing w:after="20"/>
            </w:pPr>
            <w:r>
              <w:rPr>
                <w:color w:val="1C3A36"/>
                <w:sz w:val="17"/>
              </w:rPr>
              <w:t>Realised dollar price through the exchange rate</w:t>
            </w:r>
          </w:p>
        </w:tc>
        <w:tc>
          <w:tcPr>
            <w:tcW w:type="dxa" w:w="1843"/>
          </w:tcPr>
          <w:p>
            <w:pPr>
              <w:spacing w:after="20"/>
              <w:jc w:val="right"/>
            </w:pPr>
            <w:r>
              <w:rPr>
                <w:color w:val="1C3A36"/>
                <w:sz w:val="17"/>
              </w:rPr>
              <w:t>9.16</w:t>
            </w:r>
          </w:p>
        </w:tc>
        <w:tc>
          <w:tcPr>
            <w:tcW w:type="dxa" w:w="1843"/>
          </w:tcPr>
          <w:p>
            <w:pPr>
              <w:spacing w:after="20"/>
              <w:jc w:val="right"/>
            </w:pPr>
            <w:r>
              <w:rPr>
                <w:color w:val="1C3A36"/>
                <w:sz w:val="17"/>
              </w:rPr>
              <w:t>11.44</w:t>
            </w:r>
          </w:p>
        </w:tc>
      </w:tr>
      <w:tr>
        <w:trPr>
          <w:cantSplit/>
        </w:trPr>
        <w:tc>
          <w:tcPr>
            <w:tcW w:type="dxa" w:w="2304"/>
          </w:tcPr>
          <w:p>
            <w:pPr>
              <w:spacing w:after="20"/>
            </w:pPr>
            <w:r>
              <w:rPr>
                <w:color w:val="1C3A36"/>
                <w:sz w:val="17"/>
              </w:rPr>
              <w:t>Egyptian inflation</w:t>
            </w:r>
          </w:p>
        </w:tc>
        <w:tc>
          <w:tcPr>
            <w:tcW w:type="dxa" w:w="3960"/>
          </w:tcPr>
          <w:p>
            <w:pPr>
              <w:spacing w:after="20"/>
            </w:pPr>
            <w:r>
              <w:rPr>
                <w:color w:val="1C3A36"/>
                <w:sz w:val="17"/>
              </w:rPr>
              <w:t>Converging on the central bank's target</w:t>
            </w:r>
          </w:p>
        </w:tc>
        <w:tc>
          <w:tcPr>
            <w:tcW w:type="dxa" w:w="1843"/>
          </w:tcPr>
          <w:p>
            <w:pPr>
              <w:spacing w:after="20"/>
              <w:jc w:val="right"/>
            </w:pPr>
            <w:r>
              <w:rPr>
                <w:color w:val="1C3A36"/>
                <w:sz w:val="17"/>
              </w:rPr>
              <w:t>14.0%</w:t>
            </w:r>
          </w:p>
        </w:tc>
        <w:tc>
          <w:tcPr>
            <w:tcW w:type="dxa" w:w="1843"/>
          </w:tcPr>
          <w:p>
            <w:pPr>
              <w:spacing w:after="20"/>
              <w:jc w:val="right"/>
            </w:pPr>
            <w:r>
              <w:rPr>
                <w:color w:val="1C3A36"/>
                <w:sz w:val="17"/>
              </w:rPr>
              <w:t>7.0%</w:t>
            </w:r>
          </w:p>
        </w:tc>
      </w:tr>
      <w:tr>
        <w:trPr>
          <w:cantSplit/>
        </w:trPr>
        <w:tc>
          <w:tcPr>
            <w:tcW w:type="dxa" w:w="2304"/>
            <w:shd w:val="clear" w:color="auto" w:fill="F6F1E6"/>
          </w:tcPr>
          <w:p>
            <w:pPr>
              <w:spacing w:after="20"/>
            </w:pPr>
            <w:r>
              <w:rPr>
                <w:b/>
                <w:color w:val="1C3A36"/>
                <w:sz w:val="17"/>
              </w:rPr>
              <w:t>Gross margin — OUTPUT</w:t>
            </w:r>
          </w:p>
        </w:tc>
        <w:tc>
          <w:tcPr>
            <w:tcW w:type="dxa" w:w="3960"/>
            <w:shd w:val="clear" w:color="auto" w:fill="F6F1E6"/>
          </w:tcPr>
          <w:p>
            <w:pPr>
              <w:spacing w:after="20"/>
            </w:pPr>
            <w:r>
              <w:rPr>
                <w:b/>
                <w:color w:val="1C3A36"/>
                <w:sz w:val="17"/>
              </w:rPr>
              <w:t>Falls out of the above</w:t>
            </w:r>
          </w:p>
        </w:tc>
        <w:tc>
          <w:tcPr>
            <w:tcW w:type="dxa" w:w="1843"/>
            <w:shd w:val="clear" w:color="auto" w:fill="F6F1E6"/>
          </w:tcPr>
          <w:p>
            <w:pPr>
              <w:spacing w:after="20"/>
              <w:jc w:val="right"/>
            </w:pPr>
            <w:r>
              <w:rPr>
                <w:b/>
                <w:color w:val="1C3A36"/>
                <w:sz w:val="17"/>
              </w:rPr>
              <w:t>49.9%</w:t>
            </w:r>
          </w:p>
        </w:tc>
        <w:tc>
          <w:tcPr>
            <w:tcW w:type="dxa" w:w="1843"/>
            <w:shd w:val="clear" w:color="auto" w:fill="F6F1E6"/>
          </w:tcPr>
          <w:p>
            <w:pPr>
              <w:spacing w:after="20"/>
              <w:jc w:val="right"/>
            </w:pPr>
            <w:r>
              <w:rPr>
                <w:b/>
                <w:color w:val="1C3A36"/>
                <w:sz w:val="17"/>
              </w:rPr>
              <w:t>46.5%</w:t>
            </w:r>
          </w:p>
        </w:tc>
      </w:tr>
      <w:tr>
        <w:trPr>
          <w:cantSplit/>
        </w:trPr>
        <w:tc>
          <w:tcPr>
            <w:tcW w:type="dxa" w:w="2304"/>
            <w:shd w:val="clear" w:color="auto" w:fill="F6F1E6"/>
          </w:tcPr>
          <w:p>
            <w:pPr>
              <w:spacing w:after="20"/>
            </w:pPr>
            <w:r>
              <w:rPr>
                <w:b/>
                <w:color w:val="1C3A36"/>
                <w:sz w:val="17"/>
              </w:rPr>
              <w:t>EBITDA margin — OUTPUT</w:t>
            </w:r>
          </w:p>
        </w:tc>
        <w:tc>
          <w:tcPr>
            <w:tcW w:type="dxa" w:w="3960"/>
            <w:shd w:val="clear" w:color="auto" w:fill="F6F1E6"/>
          </w:tcPr>
          <w:p>
            <w:pPr>
              <w:spacing w:after="20"/>
            </w:pPr>
            <w:r>
              <w:rPr>
                <w:b/>
                <w:color w:val="1C3A36"/>
                <w:sz w:val="17"/>
              </w:rPr>
              <w:t>Falls out of the above</w:t>
            </w:r>
          </w:p>
        </w:tc>
        <w:tc>
          <w:tcPr>
            <w:tcW w:type="dxa" w:w="1843"/>
            <w:shd w:val="clear" w:color="auto" w:fill="F6F1E6"/>
          </w:tcPr>
          <w:p>
            <w:pPr>
              <w:spacing w:after="20"/>
              <w:jc w:val="right"/>
            </w:pPr>
            <w:r>
              <w:rPr>
                <w:b/>
                <w:color w:val="1C3A36"/>
                <w:sz w:val="17"/>
              </w:rPr>
              <w:t>45.7%</w:t>
            </w:r>
          </w:p>
        </w:tc>
        <w:tc>
          <w:tcPr>
            <w:tcW w:type="dxa" w:w="1843"/>
            <w:shd w:val="clear" w:color="auto" w:fill="F6F1E6"/>
          </w:tcPr>
          <w:p>
            <w:pPr>
              <w:spacing w:after="20"/>
              <w:jc w:val="right"/>
            </w:pPr>
            <w:r>
              <w:rPr>
                <w:b/>
                <w:color w:val="1C3A36"/>
                <w:sz w:val="17"/>
              </w:rPr>
              <w:t>44.2%</w:t>
            </w:r>
          </w:p>
        </w:tc>
      </w:tr>
    </w:tbl>
    <w:p>
      <w:pPr>
        <w:spacing w:after="40"/>
      </w:pPr>
    </w:p>
    <w:p>
      <w:pPr>
        <w:spacing w:after="200" w:before="0"/>
      </w:pPr>
      <w:r>
        <w:rPr>
          <w:b w:val="0"/>
          <w:i/>
          <w:color w:val="6E7B77"/>
          <w:sz w:val="17"/>
        </w:rPr>
        <w:t>Table 11.  The physically distinct classes each carry their own escalator: gas on its administered dollar price through the exchange rate, the export price on the commodity path, the subsidised price on its administered path. The domestic lines — other materials, wages, purchased services, inland haulage, other selling and administration — share the one domestic inflation path, because that is the index they are paid in; a globally traded input is never put on it.</w:t>
      </w:r>
    </w:p>
    <w:p>
      <w:pPr>
        <w:spacing w:after="40"/>
        <w:jc w:val="center"/>
      </w:pPr>
      <w:r>
        <w:drawing>
          <wp:inline xmlns:a="http://schemas.openxmlformats.org/drawingml/2006/main" xmlns:pic="http://schemas.openxmlformats.org/drawingml/2006/picture">
            <wp:extent cx="6309360" cy="2704011"/>
            <wp:docPr id="5" name="Picture 5"/>
            <wp:cNvGraphicFramePr>
              <a:graphicFrameLocks noChangeAspect="1"/>
            </wp:cNvGraphicFramePr>
            <a:graphic>
              <a:graphicData uri="http://schemas.openxmlformats.org/drawingml/2006/picture">
                <pic:pic>
                  <pic:nvPicPr>
                    <pic:cNvPr id="0" name="fig3_revenue.png"/>
                    <pic:cNvPicPr/>
                  </pic:nvPicPr>
                  <pic:blipFill>
                    <a:blip r:embed="rId13"/>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5.  Revenue built channel by channel.</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6_coststack.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Where a tonne of urea costs its money. Gas dominates, which is why the gas price and the consumption rate are treated as crux variables.</w:t>
      </w:r>
    </w:p>
    <w:p>
      <w:pPr>
        <w:keepNext/>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Revenue</w:t>
            </w:r>
          </w:p>
        </w:tc>
        <w:tc>
          <w:tcPr>
            <w:tcW w:type="dxa" w:w="1426"/>
          </w:tcPr>
          <w:p>
            <w:pPr>
              <w:spacing w:after="20"/>
              <w:jc w:val="right"/>
            </w:pPr>
            <w:r>
              <w:rPr>
                <w:color w:val="1C3A36"/>
                <w:sz w:val="16"/>
              </w:rPr>
              <w:t>12,643</w:t>
            </w:r>
          </w:p>
        </w:tc>
        <w:tc>
          <w:tcPr>
            <w:tcW w:type="dxa" w:w="1426"/>
          </w:tcPr>
          <w:p>
            <w:pPr>
              <w:spacing w:after="20"/>
              <w:jc w:val="right"/>
            </w:pPr>
            <w:r>
              <w:rPr>
                <w:color w:val="1C3A36"/>
                <w:sz w:val="16"/>
              </w:rPr>
              <w:t>13,736</w:t>
            </w:r>
          </w:p>
        </w:tc>
        <w:tc>
          <w:tcPr>
            <w:tcW w:type="dxa" w:w="1426"/>
          </w:tcPr>
          <w:p>
            <w:pPr>
              <w:spacing w:after="20"/>
              <w:jc w:val="right"/>
            </w:pPr>
            <w:r>
              <w:rPr>
                <w:color w:val="1C3A36"/>
                <w:sz w:val="16"/>
              </w:rPr>
              <w:t>14,611</w:t>
            </w:r>
          </w:p>
        </w:tc>
        <w:tc>
          <w:tcPr>
            <w:tcW w:type="dxa" w:w="1426"/>
          </w:tcPr>
          <w:p>
            <w:pPr>
              <w:spacing w:after="20"/>
              <w:jc w:val="right"/>
            </w:pPr>
            <w:r>
              <w:rPr>
                <w:color w:val="1C3A36"/>
                <w:sz w:val="16"/>
              </w:rPr>
              <w:t>15,424</w:t>
            </w:r>
          </w:p>
        </w:tc>
        <w:tc>
          <w:tcPr>
            <w:tcW w:type="dxa" w:w="1426"/>
          </w:tcPr>
          <w:p>
            <w:pPr>
              <w:spacing w:after="20"/>
              <w:jc w:val="right"/>
            </w:pPr>
            <w:r>
              <w:rPr>
                <w:color w:val="1C3A36"/>
                <w:sz w:val="16"/>
              </w:rPr>
              <w:t>16,239</w:t>
            </w:r>
          </w:p>
        </w:tc>
      </w:tr>
      <w:tr>
        <w:trPr>
          <w:cantSplit/>
        </w:trPr>
        <w:tc>
          <w:tcPr>
            <w:tcW w:type="dxa" w:w="2952"/>
          </w:tcPr>
          <w:p>
            <w:pPr>
              <w:spacing w:after="20"/>
            </w:pPr>
            <w:r>
              <w:rPr>
                <w:color w:val="1C3A36"/>
                <w:sz w:val="16"/>
              </w:rPr>
              <w:t>Cost of sales</w:t>
            </w:r>
          </w:p>
        </w:tc>
        <w:tc>
          <w:tcPr>
            <w:tcW w:type="dxa" w:w="1426"/>
          </w:tcPr>
          <w:p>
            <w:pPr>
              <w:spacing w:after="20"/>
              <w:jc w:val="right"/>
            </w:pPr>
            <w:r>
              <w:rPr>
                <w:color w:val="1C3A36"/>
                <w:sz w:val="16"/>
              </w:rPr>
              <w:t>6,337</w:t>
            </w:r>
          </w:p>
        </w:tc>
        <w:tc>
          <w:tcPr>
            <w:tcW w:type="dxa" w:w="1426"/>
          </w:tcPr>
          <w:p>
            <w:pPr>
              <w:spacing w:after="20"/>
              <w:jc w:val="right"/>
            </w:pPr>
            <w:r>
              <w:rPr>
                <w:color w:val="1C3A36"/>
                <w:sz w:val="16"/>
              </w:rPr>
              <w:t>6,982</w:t>
            </w:r>
          </w:p>
        </w:tc>
        <w:tc>
          <w:tcPr>
            <w:tcW w:type="dxa" w:w="1426"/>
          </w:tcPr>
          <w:p>
            <w:pPr>
              <w:spacing w:after="20"/>
              <w:jc w:val="right"/>
            </w:pPr>
            <w:r>
              <w:rPr>
                <w:color w:val="1C3A36"/>
                <w:sz w:val="16"/>
              </w:rPr>
              <w:t>7,558</w:t>
            </w:r>
          </w:p>
        </w:tc>
        <w:tc>
          <w:tcPr>
            <w:tcW w:type="dxa" w:w="1426"/>
          </w:tcPr>
          <w:p>
            <w:pPr>
              <w:spacing w:after="20"/>
              <w:jc w:val="right"/>
            </w:pPr>
            <w:r>
              <w:rPr>
                <w:color w:val="1C3A36"/>
                <w:sz w:val="16"/>
              </w:rPr>
              <w:t>8,118</w:t>
            </w:r>
          </w:p>
        </w:tc>
        <w:tc>
          <w:tcPr>
            <w:tcW w:type="dxa" w:w="1426"/>
          </w:tcPr>
          <w:p>
            <w:pPr>
              <w:spacing w:after="20"/>
              <w:jc w:val="right"/>
            </w:pPr>
            <w:r>
              <w:rPr>
                <w:color w:val="1C3A36"/>
                <w:sz w:val="16"/>
              </w:rPr>
              <w:t>8,683</w:t>
            </w:r>
          </w:p>
        </w:tc>
      </w:tr>
      <w:tr>
        <w:trPr>
          <w:cantSplit/>
        </w:trPr>
        <w:tc>
          <w:tcPr>
            <w:tcW w:type="dxa" w:w="2952"/>
          </w:tcPr>
          <w:p>
            <w:pPr>
              <w:spacing w:after="20"/>
            </w:pPr>
            <w:r>
              <w:rPr>
                <w:color w:val="1C3A36"/>
                <w:sz w:val="16"/>
              </w:rPr>
              <w:t>Gross profit</w:t>
            </w:r>
          </w:p>
        </w:tc>
        <w:tc>
          <w:tcPr>
            <w:tcW w:type="dxa" w:w="1426"/>
          </w:tcPr>
          <w:p>
            <w:pPr>
              <w:spacing w:after="20"/>
              <w:jc w:val="right"/>
            </w:pPr>
            <w:r>
              <w:rPr>
                <w:color w:val="1C3A36"/>
                <w:sz w:val="16"/>
              </w:rPr>
              <w:t>6,306</w:t>
            </w:r>
          </w:p>
        </w:tc>
        <w:tc>
          <w:tcPr>
            <w:tcW w:type="dxa" w:w="1426"/>
          </w:tcPr>
          <w:p>
            <w:pPr>
              <w:spacing w:after="20"/>
              <w:jc w:val="right"/>
            </w:pPr>
            <w:r>
              <w:rPr>
                <w:color w:val="1C3A36"/>
                <w:sz w:val="16"/>
              </w:rPr>
              <w:t>6,754</w:t>
            </w:r>
          </w:p>
        </w:tc>
        <w:tc>
          <w:tcPr>
            <w:tcW w:type="dxa" w:w="1426"/>
          </w:tcPr>
          <w:p>
            <w:pPr>
              <w:spacing w:after="20"/>
              <w:jc w:val="right"/>
            </w:pPr>
            <w:r>
              <w:rPr>
                <w:color w:val="1C3A36"/>
                <w:sz w:val="16"/>
              </w:rPr>
              <w:t>7,053</w:t>
            </w:r>
          </w:p>
        </w:tc>
        <w:tc>
          <w:tcPr>
            <w:tcW w:type="dxa" w:w="1426"/>
          </w:tcPr>
          <w:p>
            <w:pPr>
              <w:spacing w:after="20"/>
              <w:jc w:val="right"/>
            </w:pPr>
            <w:r>
              <w:rPr>
                <w:color w:val="1C3A36"/>
                <w:sz w:val="16"/>
              </w:rPr>
              <w:t>7,307</w:t>
            </w:r>
          </w:p>
        </w:tc>
        <w:tc>
          <w:tcPr>
            <w:tcW w:type="dxa" w:w="1426"/>
          </w:tcPr>
          <w:p>
            <w:pPr>
              <w:spacing w:after="20"/>
              <w:jc w:val="right"/>
            </w:pPr>
            <w:r>
              <w:rPr>
                <w:color w:val="1C3A36"/>
                <w:sz w:val="16"/>
              </w:rPr>
              <w:t>7,556</w:t>
            </w:r>
          </w:p>
        </w:tc>
      </w:tr>
      <w:tr>
        <w:trPr>
          <w:cantSplit/>
        </w:trPr>
        <w:tc>
          <w:tcPr>
            <w:tcW w:type="dxa" w:w="2952"/>
            <w:shd w:val="clear" w:color="auto" w:fill="F6F1E6"/>
          </w:tcPr>
          <w:p>
            <w:pPr>
              <w:spacing w:after="20"/>
            </w:pPr>
            <w:r>
              <w:rPr>
                <w:b/>
                <w:color w:val="1C3A36"/>
                <w:sz w:val="16"/>
              </w:rPr>
              <w:t>Gross margin</w:t>
            </w:r>
          </w:p>
        </w:tc>
        <w:tc>
          <w:tcPr>
            <w:tcW w:type="dxa" w:w="1426"/>
            <w:shd w:val="clear" w:color="auto" w:fill="F6F1E6"/>
          </w:tcPr>
          <w:p>
            <w:pPr>
              <w:spacing w:after="20"/>
              <w:jc w:val="right"/>
            </w:pPr>
            <w:r>
              <w:rPr>
                <w:b/>
                <w:color w:val="1C3A36"/>
                <w:sz w:val="16"/>
              </w:rPr>
              <w:t>49.9%</w:t>
            </w:r>
          </w:p>
        </w:tc>
        <w:tc>
          <w:tcPr>
            <w:tcW w:type="dxa" w:w="1426"/>
            <w:shd w:val="clear" w:color="auto" w:fill="F6F1E6"/>
          </w:tcPr>
          <w:p>
            <w:pPr>
              <w:spacing w:after="20"/>
              <w:jc w:val="right"/>
            </w:pPr>
            <w:r>
              <w:rPr>
                <w:b/>
                <w:color w:val="1C3A36"/>
                <w:sz w:val="16"/>
              </w:rPr>
              <w:t>49.2%</w:t>
            </w:r>
          </w:p>
        </w:tc>
        <w:tc>
          <w:tcPr>
            <w:tcW w:type="dxa" w:w="1426"/>
            <w:shd w:val="clear" w:color="auto" w:fill="F6F1E6"/>
          </w:tcPr>
          <w:p>
            <w:pPr>
              <w:spacing w:after="20"/>
              <w:jc w:val="right"/>
            </w:pPr>
            <w:r>
              <w:rPr>
                <w:b/>
                <w:color w:val="1C3A36"/>
                <w:sz w:val="16"/>
              </w:rPr>
              <w:t>48.3%</w:t>
            </w:r>
          </w:p>
        </w:tc>
        <w:tc>
          <w:tcPr>
            <w:tcW w:type="dxa" w:w="1426"/>
            <w:shd w:val="clear" w:color="auto" w:fill="F6F1E6"/>
          </w:tcPr>
          <w:p>
            <w:pPr>
              <w:spacing w:after="20"/>
              <w:jc w:val="right"/>
            </w:pPr>
            <w:r>
              <w:rPr>
                <w:b/>
                <w:color w:val="1C3A36"/>
                <w:sz w:val="16"/>
              </w:rPr>
              <w:t>47.4%</w:t>
            </w:r>
          </w:p>
        </w:tc>
        <w:tc>
          <w:tcPr>
            <w:tcW w:type="dxa" w:w="1426"/>
            <w:shd w:val="clear" w:color="auto" w:fill="F6F1E6"/>
          </w:tcPr>
          <w:p>
            <w:pPr>
              <w:spacing w:after="20"/>
              <w:jc w:val="right"/>
            </w:pPr>
            <w:r>
              <w:rPr>
                <w:b/>
                <w:color w:val="1C3A36"/>
                <w:sz w:val="16"/>
              </w:rPr>
              <w:t>46.5%</w:t>
            </w:r>
          </w:p>
        </w:tc>
      </w:tr>
      <w:tr>
        <w:trPr>
          <w:cantSplit/>
        </w:trPr>
        <w:tc>
          <w:tcPr>
            <w:tcW w:type="dxa" w:w="2952"/>
          </w:tcPr>
          <w:p>
            <w:pPr>
              <w:spacing w:after="20"/>
            </w:pPr>
            <w:r>
              <w:rPr>
                <w:color w:val="1C3A36"/>
                <w:sz w:val="16"/>
              </w:rPr>
              <w:t>Operating profit before depreciation</w:t>
            </w:r>
          </w:p>
        </w:tc>
        <w:tc>
          <w:tcPr>
            <w:tcW w:type="dxa" w:w="1426"/>
          </w:tcPr>
          <w:p>
            <w:pPr>
              <w:spacing w:after="20"/>
              <w:jc w:val="right"/>
            </w:pPr>
            <w:r>
              <w:rPr>
                <w:color w:val="1C3A36"/>
                <w:sz w:val="16"/>
              </w:rPr>
              <w:t>5,781</w:t>
            </w:r>
          </w:p>
        </w:tc>
        <w:tc>
          <w:tcPr>
            <w:tcW w:type="dxa" w:w="1426"/>
          </w:tcPr>
          <w:p>
            <w:pPr>
              <w:spacing w:after="20"/>
              <w:jc w:val="right"/>
            </w:pPr>
            <w:r>
              <w:rPr>
                <w:color w:val="1C3A36"/>
                <w:sz w:val="16"/>
              </w:rPr>
              <w:t>6,246</w:t>
            </w:r>
          </w:p>
        </w:tc>
        <w:tc>
          <w:tcPr>
            <w:tcW w:type="dxa" w:w="1426"/>
          </w:tcPr>
          <w:p>
            <w:pPr>
              <w:spacing w:after="20"/>
              <w:jc w:val="right"/>
            </w:pPr>
            <w:r>
              <w:rPr>
                <w:color w:val="1C3A36"/>
                <w:sz w:val="16"/>
              </w:rPr>
              <w:t>6,590</w:t>
            </w:r>
          </w:p>
        </w:tc>
        <w:tc>
          <w:tcPr>
            <w:tcW w:type="dxa" w:w="1426"/>
          </w:tcPr>
          <w:p>
            <w:pPr>
              <w:spacing w:after="20"/>
              <w:jc w:val="right"/>
            </w:pPr>
            <w:r>
              <w:rPr>
                <w:color w:val="1C3A36"/>
                <w:sz w:val="16"/>
              </w:rPr>
              <w:t>6,893</w:t>
            </w:r>
          </w:p>
        </w:tc>
        <w:tc>
          <w:tcPr>
            <w:tcW w:type="dxa" w:w="1426"/>
          </w:tcPr>
          <w:p>
            <w:pPr>
              <w:spacing w:after="20"/>
              <w:jc w:val="right"/>
            </w:pPr>
            <w:r>
              <w:rPr>
                <w:color w:val="1C3A36"/>
                <w:sz w:val="16"/>
              </w:rPr>
              <w:t>7,183</w:t>
            </w:r>
          </w:p>
        </w:tc>
      </w:tr>
      <w:tr>
        <w:trPr>
          <w:cantSplit/>
        </w:trPr>
        <w:tc>
          <w:tcPr>
            <w:tcW w:type="dxa" w:w="2952"/>
            <w:shd w:val="clear" w:color="auto" w:fill="F6F1E6"/>
          </w:tcPr>
          <w:p>
            <w:pPr>
              <w:spacing w:after="20"/>
            </w:pPr>
            <w:r>
              <w:rPr>
                <w:b/>
                <w:color w:val="1C3A36"/>
                <w:sz w:val="16"/>
              </w:rPr>
              <w:t>Margin before depreciation</w:t>
            </w:r>
          </w:p>
        </w:tc>
        <w:tc>
          <w:tcPr>
            <w:tcW w:type="dxa" w:w="1426"/>
            <w:shd w:val="clear" w:color="auto" w:fill="F6F1E6"/>
          </w:tcPr>
          <w:p>
            <w:pPr>
              <w:spacing w:after="20"/>
              <w:jc w:val="right"/>
            </w:pPr>
            <w:r>
              <w:rPr>
                <w:b/>
                <w:color w:val="1C3A36"/>
                <w:sz w:val="16"/>
              </w:rPr>
              <w:t>45.7%</w:t>
            </w:r>
          </w:p>
        </w:tc>
        <w:tc>
          <w:tcPr>
            <w:tcW w:type="dxa" w:w="1426"/>
            <w:shd w:val="clear" w:color="auto" w:fill="F6F1E6"/>
          </w:tcPr>
          <w:p>
            <w:pPr>
              <w:spacing w:after="20"/>
              <w:jc w:val="right"/>
            </w:pPr>
            <w:r>
              <w:rPr>
                <w:b/>
                <w:color w:val="1C3A36"/>
                <w:sz w:val="16"/>
              </w:rPr>
              <w:t>45.5%</w:t>
            </w:r>
          </w:p>
        </w:tc>
        <w:tc>
          <w:tcPr>
            <w:tcW w:type="dxa" w:w="1426"/>
            <w:shd w:val="clear" w:color="auto" w:fill="F6F1E6"/>
          </w:tcPr>
          <w:p>
            <w:pPr>
              <w:spacing w:after="20"/>
              <w:jc w:val="right"/>
            </w:pPr>
            <w:r>
              <w:rPr>
                <w:b/>
                <w:color w:val="1C3A36"/>
                <w:sz w:val="16"/>
              </w:rPr>
              <w:t>45.1%</w:t>
            </w:r>
          </w:p>
        </w:tc>
        <w:tc>
          <w:tcPr>
            <w:tcW w:type="dxa" w:w="1426"/>
            <w:shd w:val="clear" w:color="auto" w:fill="F6F1E6"/>
          </w:tcPr>
          <w:p>
            <w:pPr>
              <w:spacing w:after="20"/>
              <w:jc w:val="right"/>
            </w:pPr>
            <w:r>
              <w:rPr>
                <w:b/>
                <w:color w:val="1C3A36"/>
                <w:sz w:val="16"/>
              </w:rPr>
              <w:t>44.7%</w:t>
            </w:r>
          </w:p>
        </w:tc>
        <w:tc>
          <w:tcPr>
            <w:tcW w:type="dxa" w:w="1426"/>
            <w:shd w:val="clear" w:color="auto" w:fill="F6F1E6"/>
          </w:tcPr>
          <w:p>
            <w:pPr>
              <w:spacing w:after="20"/>
              <w:jc w:val="right"/>
            </w:pPr>
            <w:r>
              <w:rPr>
                <w:b/>
                <w:color w:val="1C3A36"/>
                <w:sz w:val="16"/>
              </w:rPr>
              <w:t>44.2%</w:t>
            </w:r>
          </w:p>
        </w:tc>
      </w:tr>
      <w:tr>
        <w:trPr>
          <w:cantSplit/>
        </w:trPr>
        <w:tc>
          <w:tcPr>
            <w:tcW w:type="dxa" w:w="2952"/>
          </w:tcPr>
          <w:p>
            <w:pPr>
              <w:spacing w:after="20"/>
            </w:pPr>
            <w:r>
              <w:rPr>
                <w:color w:val="1C3A36"/>
                <w:sz w:val="16"/>
              </w:rPr>
              <w:t>Operating profit</w:t>
            </w:r>
          </w:p>
        </w:tc>
        <w:tc>
          <w:tcPr>
            <w:tcW w:type="dxa" w:w="1426"/>
          </w:tcPr>
          <w:p>
            <w:pPr>
              <w:spacing w:after="20"/>
              <w:jc w:val="right"/>
            </w:pPr>
            <w:r>
              <w:rPr>
                <w:color w:val="1C3A36"/>
                <w:sz w:val="16"/>
              </w:rPr>
              <w:t>4,890</w:t>
            </w:r>
          </w:p>
        </w:tc>
        <w:tc>
          <w:tcPr>
            <w:tcW w:type="dxa" w:w="1426"/>
          </w:tcPr>
          <w:p>
            <w:pPr>
              <w:spacing w:after="20"/>
              <w:jc w:val="right"/>
            </w:pPr>
            <w:r>
              <w:rPr>
                <w:color w:val="1C3A36"/>
                <w:sz w:val="16"/>
              </w:rPr>
              <w:t>5,237</w:t>
            </w:r>
          </w:p>
        </w:tc>
        <w:tc>
          <w:tcPr>
            <w:tcW w:type="dxa" w:w="1426"/>
          </w:tcPr>
          <w:p>
            <w:pPr>
              <w:spacing w:after="20"/>
              <w:jc w:val="right"/>
            </w:pPr>
            <w:r>
              <w:rPr>
                <w:color w:val="1C3A36"/>
                <w:sz w:val="16"/>
              </w:rPr>
              <w:t>5,444</w:t>
            </w:r>
          </w:p>
        </w:tc>
        <w:tc>
          <w:tcPr>
            <w:tcW w:type="dxa" w:w="1426"/>
          </w:tcPr>
          <w:p>
            <w:pPr>
              <w:spacing w:after="20"/>
              <w:jc w:val="right"/>
            </w:pPr>
            <w:r>
              <w:rPr>
                <w:color w:val="1C3A36"/>
                <w:sz w:val="16"/>
              </w:rPr>
              <w:t>5,600</w:t>
            </w:r>
          </w:p>
        </w:tc>
        <w:tc>
          <w:tcPr>
            <w:tcW w:type="dxa" w:w="1426"/>
          </w:tcPr>
          <w:p>
            <w:pPr>
              <w:spacing w:after="20"/>
              <w:jc w:val="right"/>
            </w:pPr>
            <w:r>
              <w:rPr>
                <w:color w:val="1C3A36"/>
                <w:sz w:val="16"/>
              </w:rPr>
              <w:t>5,749</w:t>
            </w:r>
          </w:p>
        </w:tc>
      </w:tr>
      <w:tr>
        <w:trPr>
          <w:cantSplit/>
        </w:trPr>
        <w:tc>
          <w:tcPr>
            <w:tcW w:type="dxa" w:w="2952"/>
          </w:tcPr>
          <w:p>
            <w:pPr>
              <w:spacing w:after="20"/>
            </w:pPr>
            <w:r>
              <w:rPr>
                <w:color w:val="1C3A36"/>
                <w:sz w:val="16"/>
              </w:rPr>
              <w:t>Operating margin</w:t>
            </w:r>
          </w:p>
        </w:tc>
        <w:tc>
          <w:tcPr>
            <w:tcW w:type="dxa" w:w="1426"/>
          </w:tcPr>
          <w:p>
            <w:pPr>
              <w:spacing w:after="20"/>
              <w:jc w:val="right"/>
            </w:pPr>
            <w:r>
              <w:rPr>
                <w:color w:val="1C3A36"/>
                <w:sz w:val="16"/>
              </w:rPr>
              <w:t>38.7%</w:t>
            </w:r>
          </w:p>
        </w:tc>
        <w:tc>
          <w:tcPr>
            <w:tcW w:type="dxa" w:w="1426"/>
          </w:tcPr>
          <w:p>
            <w:pPr>
              <w:spacing w:after="20"/>
              <w:jc w:val="right"/>
            </w:pPr>
            <w:r>
              <w:rPr>
                <w:color w:val="1C3A36"/>
                <w:sz w:val="16"/>
              </w:rPr>
              <w:t>38.1%</w:t>
            </w:r>
          </w:p>
        </w:tc>
        <w:tc>
          <w:tcPr>
            <w:tcW w:type="dxa" w:w="1426"/>
          </w:tcPr>
          <w:p>
            <w:pPr>
              <w:spacing w:after="20"/>
              <w:jc w:val="right"/>
            </w:pPr>
            <w:r>
              <w:rPr>
                <w:color w:val="1C3A36"/>
                <w:sz w:val="16"/>
              </w:rPr>
              <w:t>37.3%</w:t>
            </w:r>
          </w:p>
        </w:tc>
        <w:tc>
          <w:tcPr>
            <w:tcW w:type="dxa" w:w="1426"/>
          </w:tcPr>
          <w:p>
            <w:pPr>
              <w:spacing w:after="20"/>
              <w:jc w:val="right"/>
            </w:pPr>
            <w:r>
              <w:rPr>
                <w:color w:val="1C3A36"/>
                <w:sz w:val="16"/>
              </w:rPr>
              <w:t>36.3%</w:t>
            </w:r>
          </w:p>
        </w:tc>
        <w:tc>
          <w:tcPr>
            <w:tcW w:type="dxa" w:w="1426"/>
          </w:tcPr>
          <w:p>
            <w:pPr>
              <w:spacing w:after="20"/>
              <w:jc w:val="right"/>
            </w:pPr>
            <w:r>
              <w:rPr>
                <w:color w:val="1C3A36"/>
                <w:sz w:val="16"/>
              </w:rPr>
              <w:t>35.4%</w:t>
            </w:r>
          </w:p>
        </w:tc>
      </w:tr>
    </w:tbl>
    <w:p>
      <w:pPr>
        <w:spacing w:after="40"/>
      </w:pPr>
    </w:p>
    <w:p>
      <w:pPr>
        <w:spacing w:after="200" w:before="0"/>
      </w:pPr>
      <w:r>
        <w:rPr>
          <w:b w:val="0"/>
          <w:i/>
          <w:color w:val="6E7B77"/>
          <w:sz w:val="17"/>
        </w:rPr>
        <w:t>Table 12.  Not one margin in this table is set. Each is revenue less a cost stack built from physical consumption times a unit price, so the margin path is a consequence of the tonnes, the prices and the escalators above it. It eases from 49.9% to 46.5% because the dollar export price is held FLAT in nominal dollars — no forecast of a traded commodity price is defensible — while the pound-denominated cost legs escalate on the domestic path. That is a real cost drift, and it is a claim rather than an assumption: the company's own audited accounts show cost per unit of revenue rising from 54.1% in the year to June 2023 to 61.6% in the year to June 2025, which is the direction the forecast carries forward.</w:t>
      </w:r>
    </w:p>
    <w:p>
      <w:pPr>
        <w:keepNext/>
        <w:spacing w:after="80" w:before="200"/>
      </w:pPr>
      <w:r>
        <w:rPr>
          <w:b/>
          <w:i w:val="0"/>
          <w:color w:val="1C3A36"/>
          <w:sz w:val="24"/>
        </w:rPr>
        <w:t>The revenue mix, the first forecast year against the last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944"/>
        <w:gridCol w:w="1296"/>
        <w:gridCol w:w="1944"/>
        <w:gridCol w:w="1296"/>
      </w:tblGrid>
      <w:tr>
        <w:trPr>
          <w:cantSplit/>
          <w:tblHeader/>
        </w:trPr>
        <w:tc>
          <w:tcPr>
            <w:tcW w:type="dxa" w:w="2592"/>
            <w:shd w:val="clear" w:color="auto" w:fill="EAF0EE"/>
          </w:tcPr>
          <w:p>
            <w:pPr>
              <w:spacing w:after="20"/>
            </w:pPr>
            <w:r>
              <w:rPr>
                <w:b/>
                <w:color w:val="1C3A36"/>
                <w:sz w:val="17"/>
              </w:rPr>
              <w:t>Channel</w:t>
            </w:r>
          </w:p>
        </w:tc>
        <w:tc>
          <w:tcPr>
            <w:tcW w:type="dxa" w:w="1944"/>
            <w:shd w:val="clear" w:color="auto" w:fill="EAF0EE"/>
          </w:tcPr>
          <w:p>
            <w:pPr>
              <w:spacing w:after="20"/>
            </w:pPr>
            <w:r>
              <w:rPr>
                <w:b/>
                <w:color w:val="1C3A36"/>
                <w:sz w:val="17"/>
              </w:rPr>
              <w:t>FY2026/27 revenue (EGP m)</w:t>
            </w:r>
          </w:p>
        </w:tc>
        <w:tc>
          <w:tcPr>
            <w:tcW w:type="dxa" w:w="1296"/>
            <w:shd w:val="clear" w:color="auto" w:fill="EAF0EE"/>
          </w:tcPr>
          <w:p>
            <w:pPr>
              <w:spacing w:after="20"/>
            </w:pPr>
            <w:r>
              <w:rPr>
                <w:b/>
                <w:color w:val="1C3A36"/>
                <w:sz w:val="17"/>
              </w:rPr>
              <w:t>Share</w:t>
            </w:r>
          </w:p>
        </w:tc>
        <w:tc>
          <w:tcPr>
            <w:tcW w:type="dxa" w:w="1944"/>
            <w:shd w:val="clear" w:color="auto" w:fill="EAF0EE"/>
          </w:tcPr>
          <w:p>
            <w:pPr>
              <w:spacing w:after="20"/>
            </w:pPr>
            <w:r>
              <w:rPr>
                <w:b/>
                <w:color w:val="1C3A36"/>
                <w:sz w:val="17"/>
              </w:rPr>
              <w:t>FY2030/31 revenue (EGP m)</w:t>
            </w:r>
          </w:p>
        </w:tc>
        <w:tc>
          <w:tcPr>
            <w:tcW w:type="dxa" w:w="1296"/>
            <w:shd w:val="clear" w:color="auto" w:fill="EAF0EE"/>
          </w:tcPr>
          <w:p>
            <w:pPr>
              <w:spacing w:after="20"/>
            </w:pPr>
            <w:r>
              <w:rPr>
                <w:b/>
                <w:color w:val="1C3A36"/>
                <w:sz w:val="17"/>
              </w:rPr>
              <w:t>Share</w:t>
            </w:r>
          </w:p>
        </w:tc>
      </w:tr>
      <w:tr>
        <w:trPr>
          <w:cantSplit/>
        </w:trPr>
        <w:tc>
          <w:tcPr>
            <w:tcW w:type="dxa" w:w="2592"/>
          </w:tcPr>
          <w:p>
            <w:pPr>
              <w:spacing w:after="20"/>
            </w:pPr>
            <w:r>
              <w:rPr>
                <w:color w:val="1C3A36"/>
                <w:sz w:val="17"/>
              </w:rPr>
              <w:t>Export urea</w:t>
            </w:r>
          </w:p>
        </w:tc>
        <w:tc>
          <w:tcPr>
            <w:tcW w:type="dxa" w:w="1944"/>
          </w:tcPr>
          <w:p>
            <w:pPr>
              <w:spacing w:after="20"/>
              <w:jc w:val="right"/>
            </w:pPr>
            <w:r>
              <w:rPr>
                <w:color w:val="1C3A36"/>
                <w:sz w:val="17"/>
              </w:rPr>
              <w:t>9,691</w:t>
            </w:r>
          </w:p>
        </w:tc>
        <w:tc>
          <w:tcPr>
            <w:tcW w:type="dxa" w:w="1296"/>
          </w:tcPr>
          <w:p>
            <w:pPr>
              <w:spacing w:after="20"/>
              <w:jc w:val="right"/>
            </w:pPr>
            <w:r>
              <w:rPr>
                <w:color w:val="1C3A36"/>
                <w:sz w:val="17"/>
              </w:rPr>
              <w:t>76.6%</w:t>
            </w:r>
          </w:p>
        </w:tc>
        <w:tc>
          <w:tcPr>
            <w:tcW w:type="dxa" w:w="1944"/>
          </w:tcPr>
          <w:p>
            <w:pPr>
              <w:spacing w:after="20"/>
              <w:jc w:val="right"/>
            </w:pPr>
            <w:r>
              <w:rPr>
                <w:color w:val="1C3A36"/>
                <w:sz w:val="17"/>
              </w:rPr>
              <w:t>11,956</w:t>
            </w:r>
          </w:p>
        </w:tc>
        <w:tc>
          <w:tcPr>
            <w:tcW w:type="dxa" w:w="1296"/>
          </w:tcPr>
          <w:p>
            <w:pPr>
              <w:spacing w:after="20"/>
              <w:jc w:val="right"/>
            </w:pPr>
            <w:r>
              <w:rPr>
                <w:color w:val="1C3A36"/>
                <w:sz w:val="17"/>
              </w:rPr>
              <w:t>73.6%</w:t>
            </w:r>
          </w:p>
        </w:tc>
      </w:tr>
      <w:tr>
        <w:trPr>
          <w:cantSplit/>
        </w:trPr>
        <w:tc>
          <w:tcPr>
            <w:tcW w:type="dxa" w:w="2592"/>
          </w:tcPr>
          <w:p>
            <w:pPr>
              <w:spacing w:after="20"/>
            </w:pPr>
            <w:r>
              <w:rPr>
                <w:color w:val="1C3A36"/>
                <w:sz w:val="17"/>
              </w:rPr>
              <w:t>Subsidised urea</w:t>
            </w:r>
          </w:p>
        </w:tc>
        <w:tc>
          <w:tcPr>
            <w:tcW w:type="dxa" w:w="1944"/>
          </w:tcPr>
          <w:p>
            <w:pPr>
              <w:spacing w:after="20"/>
              <w:jc w:val="right"/>
            </w:pPr>
            <w:r>
              <w:rPr>
                <w:color w:val="1C3A36"/>
                <w:sz w:val="17"/>
              </w:rPr>
              <w:t>1,167</w:t>
            </w:r>
          </w:p>
        </w:tc>
        <w:tc>
          <w:tcPr>
            <w:tcW w:type="dxa" w:w="1296"/>
          </w:tcPr>
          <w:p>
            <w:pPr>
              <w:spacing w:after="20"/>
              <w:jc w:val="right"/>
            </w:pPr>
            <w:r>
              <w:rPr>
                <w:color w:val="1C3A36"/>
                <w:sz w:val="17"/>
              </w:rPr>
              <w:t>9.2%</w:t>
            </w:r>
          </w:p>
        </w:tc>
        <w:tc>
          <w:tcPr>
            <w:tcW w:type="dxa" w:w="1944"/>
          </w:tcPr>
          <w:p>
            <w:pPr>
              <w:spacing w:after="20"/>
              <w:jc w:val="right"/>
            </w:pPr>
            <w:r>
              <w:rPr>
                <w:color w:val="1C3A36"/>
                <w:sz w:val="17"/>
              </w:rPr>
              <w:t>1,910</w:t>
            </w:r>
          </w:p>
        </w:tc>
        <w:tc>
          <w:tcPr>
            <w:tcW w:type="dxa" w:w="1296"/>
          </w:tcPr>
          <w:p>
            <w:pPr>
              <w:spacing w:after="20"/>
              <w:jc w:val="right"/>
            </w:pPr>
            <w:r>
              <w:rPr>
                <w:color w:val="1C3A36"/>
                <w:sz w:val="17"/>
              </w:rPr>
              <w:t>11.8%</w:t>
            </w:r>
          </w:p>
        </w:tc>
      </w:tr>
      <w:tr>
        <w:trPr>
          <w:cantSplit/>
        </w:trPr>
        <w:tc>
          <w:tcPr>
            <w:tcW w:type="dxa" w:w="2592"/>
          </w:tcPr>
          <w:p>
            <w:pPr>
              <w:spacing w:after="20"/>
            </w:pPr>
            <w:r>
              <w:rPr>
                <w:color w:val="1C3A36"/>
                <w:sz w:val="17"/>
              </w:rPr>
              <w:t>Free-market urea</w:t>
            </w:r>
          </w:p>
        </w:tc>
        <w:tc>
          <w:tcPr>
            <w:tcW w:type="dxa" w:w="1944"/>
          </w:tcPr>
          <w:p>
            <w:pPr>
              <w:spacing w:after="20"/>
              <w:jc w:val="right"/>
            </w:pPr>
            <w:r>
              <w:rPr>
                <w:color w:val="1C3A36"/>
                <w:sz w:val="17"/>
              </w:rPr>
              <w:t>1,058</w:t>
            </w:r>
          </w:p>
        </w:tc>
        <w:tc>
          <w:tcPr>
            <w:tcW w:type="dxa" w:w="1296"/>
          </w:tcPr>
          <w:p>
            <w:pPr>
              <w:spacing w:after="20"/>
              <w:jc w:val="right"/>
            </w:pPr>
            <w:r>
              <w:rPr>
                <w:color w:val="1C3A36"/>
                <w:sz w:val="17"/>
              </w:rPr>
              <w:t>8.4%</w:t>
            </w:r>
          </w:p>
        </w:tc>
        <w:tc>
          <w:tcPr>
            <w:tcW w:type="dxa" w:w="1944"/>
          </w:tcPr>
          <w:p>
            <w:pPr>
              <w:spacing w:after="20"/>
              <w:jc w:val="right"/>
            </w:pPr>
            <w:r>
              <w:rPr>
                <w:color w:val="1C3A36"/>
                <w:sz w:val="17"/>
              </w:rPr>
              <w:t>1,452</w:t>
            </w:r>
          </w:p>
        </w:tc>
        <w:tc>
          <w:tcPr>
            <w:tcW w:type="dxa" w:w="1296"/>
          </w:tcPr>
          <w:p>
            <w:pPr>
              <w:spacing w:after="20"/>
              <w:jc w:val="right"/>
            </w:pPr>
            <w:r>
              <w:rPr>
                <w:color w:val="1C3A36"/>
                <w:sz w:val="17"/>
              </w:rPr>
              <w:t>8.9%</w:t>
            </w:r>
          </w:p>
        </w:tc>
      </w:tr>
      <w:tr>
        <w:trPr>
          <w:cantSplit/>
        </w:trPr>
        <w:tc>
          <w:tcPr>
            <w:tcW w:type="dxa" w:w="2592"/>
          </w:tcPr>
          <w:p>
            <w:pPr>
              <w:spacing w:after="20"/>
            </w:pPr>
            <w:r>
              <w:rPr>
                <w:color w:val="1C3A36"/>
                <w:sz w:val="17"/>
              </w:rPr>
              <w:t>Nitrates</w:t>
            </w:r>
          </w:p>
        </w:tc>
        <w:tc>
          <w:tcPr>
            <w:tcW w:type="dxa" w:w="1944"/>
          </w:tcPr>
          <w:p>
            <w:pPr>
              <w:spacing w:after="20"/>
              <w:jc w:val="right"/>
            </w:pPr>
            <w:r>
              <w:rPr>
                <w:color w:val="1C3A36"/>
                <w:sz w:val="17"/>
              </w:rPr>
              <w:t>588</w:t>
            </w:r>
          </w:p>
        </w:tc>
        <w:tc>
          <w:tcPr>
            <w:tcW w:type="dxa" w:w="1296"/>
          </w:tcPr>
          <w:p>
            <w:pPr>
              <w:spacing w:after="20"/>
              <w:jc w:val="right"/>
            </w:pPr>
            <w:r>
              <w:rPr>
                <w:color w:val="1C3A36"/>
                <w:sz w:val="17"/>
              </w:rPr>
              <w:t>4.7%</w:t>
            </w:r>
          </w:p>
        </w:tc>
        <w:tc>
          <w:tcPr>
            <w:tcW w:type="dxa" w:w="1944"/>
          </w:tcPr>
          <w:p>
            <w:pPr>
              <w:spacing w:after="20"/>
              <w:jc w:val="right"/>
            </w:pPr>
            <w:r>
              <w:rPr>
                <w:color w:val="1C3A36"/>
                <w:sz w:val="17"/>
              </w:rPr>
              <w:t>734</w:t>
            </w:r>
          </w:p>
        </w:tc>
        <w:tc>
          <w:tcPr>
            <w:tcW w:type="dxa" w:w="1296"/>
          </w:tcPr>
          <w:p>
            <w:pPr>
              <w:spacing w:after="20"/>
              <w:jc w:val="right"/>
            </w:pPr>
            <w:r>
              <w:rPr>
                <w:color w:val="1C3A36"/>
                <w:sz w:val="17"/>
              </w:rPr>
              <w:t>4.5%</w:t>
            </w:r>
          </w:p>
        </w:tc>
      </w:tr>
      <w:tr>
        <w:trPr>
          <w:cantSplit/>
        </w:trPr>
        <w:tc>
          <w:tcPr>
            <w:tcW w:type="dxa" w:w="2592"/>
          </w:tcPr>
          <w:p>
            <w:pPr>
              <w:spacing w:after="20"/>
            </w:pPr>
            <w:r>
              <w:rPr>
                <w:color w:val="1C3A36"/>
                <w:sz w:val="17"/>
              </w:rPr>
              <w:t>Other</w:t>
            </w:r>
          </w:p>
        </w:tc>
        <w:tc>
          <w:tcPr>
            <w:tcW w:type="dxa" w:w="1944"/>
          </w:tcPr>
          <w:p>
            <w:pPr>
              <w:spacing w:after="20"/>
              <w:jc w:val="right"/>
            </w:pPr>
            <w:r>
              <w:rPr>
                <w:color w:val="1C3A36"/>
                <w:sz w:val="17"/>
              </w:rPr>
              <w:t>140</w:t>
            </w:r>
          </w:p>
        </w:tc>
        <w:tc>
          <w:tcPr>
            <w:tcW w:type="dxa" w:w="1296"/>
          </w:tcPr>
          <w:p>
            <w:pPr>
              <w:spacing w:after="20"/>
              <w:jc w:val="right"/>
            </w:pPr>
            <w:r>
              <w:rPr>
                <w:color w:val="1C3A36"/>
                <w:sz w:val="17"/>
              </w:rPr>
              <w:t>1.1%</w:t>
            </w:r>
          </w:p>
        </w:tc>
        <w:tc>
          <w:tcPr>
            <w:tcW w:type="dxa" w:w="1944"/>
          </w:tcPr>
          <w:p>
            <w:pPr>
              <w:spacing w:after="20"/>
              <w:jc w:val="right"/>
            </w:pPr>
            <w:r>
              <w:rPr>
                <w:color w:val="1C3A36"/>
                <w:sz w:val="17"/>
              </w:rPr>
              <w:t>186</w:t>
            </w:r>
          </w:p>
        </w:tc>
        <w:tc>
          <w:tcPr>
            <w:tcW w:type="dxa" w:w="1296"/>
          </w:tcPr>
          <w:p>
            <w:pPr>
              <w:spacing w:after="20"/>
              <w:jc w:val="right"/>
            </w:pPr>
            <w:r>
              <w:rPr>
                <w:color w:val="1C3A36"/>
                <w:sz w:val="17"/>
              </w:rPr>
              <w:t>1.1%</w:t>
            </w:r>
          </w:p>
        </w:tc>
      </w:tr>
      <w:tr>
        <w:trPr>
          <w:cantSplit/>
        </w:trPr>
        <w:tc>
          <w:tcPr>
            <w:tcW w:type="dxa" w:w="2592"/>
            <w:shd w:val="clear" w:color="auto" w:fill="F6F1E6"/>
          </w:tcPr>
          <w:p>
            <w:pPr>
              <w:spacing w:after="20"/>
            </w:pPr>
            <w:r>
              <w:rPr>
                <w:b/>
                <w:color w:val="1C3A36"/>
                <w:sz w:val="17"/>
              </w:rPr>
              <w:t>Total</w:t>
            </w:r>
          </w:p>
        </w:tc>
        <w:tc>
          <w:tcPr>
            <w:tcW w:type="dxa" w:w="1944"/>
            <w:shd w:val="clear" w:color="auto" w:fill="F6F1E6"/>
          </w:tcPr>
          <w:p>
            <w:pPr>
              <w:spacing w:after="20"/>
              <w:jc w:val="right"/>
            </w:pPr>
            <w:r>
              <w:rPr>
                <w:b/>
                <w:color w:val="1C3A36"/>
                <w:sz w:val="17"/>
              </w:rPr>
              <w:t>12,643</w:t>
            </w:r>
          </w:p>
        </w:tc>
        <w:tc>
          <w:tcPr>
            <w:tcW w:type="dxa" w:w="1296"/>
            <w:shd w:val="clear" w:color="auto" w:fill="F6F1E6"/>
          </w:tcPr>
          <w:p>
            <w:pPr>
              <w:spacing w:after="20"/>
              <w:jc w:val="right"/>
            </w:pPr>
            <w:r>
              <w:rPr>
                <w:b/>
                <w:color w:val="1C3A36"/>
                <w:sz w:val="17"/>
              </w:rPr>
              <w:t>100.0%</w:t>
            </w:r>
          </w:p>
        </w:tc>
        <w:tc>
          <w:tcPr>
            <w:tcW w:type="dxa" w:w="1944"/>
            <w:shd w:val="clear" w:color="auto" w:fill="F6F1E6"/>
          </w:tcPr>
          <w:p>
            <w:pPr>
              <w:spacing w:after="20"/>
              <w:jc w:val="right"/>
            </w:pPr>
            <w:r>
              <w:rPr>
                <w:b/>
                <w:color w:val="1C3A36"/>
                <w:sz w:val="17"/>
              </w:rPr>
              <w:t>16,239</w:t>
            </w:r>
          </w:p>
        </w:tc>
        <w:tc>
          <w:tcPr>
            <w:tcW w:type="dxa" w:w="1296"/>
            <w:shd w:val="clear" w:color="auto" w:fill="F6F1E6"/>
          </w:tcPr>
          <w:p>
            <w:pPr>
              <w:spacing w:after="20"/>
              <w:jc w:val="right"/>
            </w:pPr>
            <w:r>
              <w:rPr>
                <w:b/>
                <w:color w:val="1C3A36"/>
                <w:sz w:val="17"/>
              </w:rPr>
              <w:t>100.0%</w:t>
            </w:r>
          </w:p>
        </w:tc>
      </w:tr>
    </w:tbl>
    <w:p>
      <w:pPr>
        <w:spacing w:after="40"/>
      </w:pPr>
    </w:p>
    <w:p>
      <w:pPr>
        <w:spacing w:after="200" w:before="0"/>
      </w:pPr>
      <w:r>
        <w:rPr>
          <w:b w:val="0"/>
          <w:i/>
          <w:color w:val="6E7B77"/>
          <w:sz w:val="17"/>
        </w:rPr>
        <w:t>Table 13.  The export leg shrinks as a share of the total, not because the company sells less abroad but because the administered domestic price rises faster than the export price falls. A reader who expects the opposite is disagreeing with one of those two paths, and section 1.9 prices both.</w:t>
      </w:r>
    </w:p>
    <w:p>
      <w:pPr>
        <w:spacing w:after="120" w:before="0"/>
      </w:pPr>
      <w:r>
        <w:rPr>
          <w:b w:val="0"/>
          <w:i/>
          <w:color w:val="1C3A36"/>
          <w:sz w:val="19"/>
        </w:rPr>
        <w:t>One allocation is the model's rather than the company's, and it is the largest in the study. The audited statements give a single materials line and do not split gas from everything else. Gas is set at three quarters of that line, which implies 1,292 cubic metres per tonne of ammonia — inside the auditor's own disclosed range of 1,025 to 1,771. A reader who prefers a different split should move the gas driver and watch the model reprice.</w:t>
      </w:r>
    </w:p>
    <w:p>
      <w:pPr>
        <w:keepNext/>
        <w:spacing w:after="80" w:before="200"/>
      </w:pPr>
      <w:r>
        <w:rPr>
          <w:b/>
          <w:i w:val="0"/>
          <w:color w:val="1C3A36"/>
          <w:sz w:val="24"/>
        </w:rPr>
        <w:t>1.7  The crux — the capital programme first, the price second</w:t>
      </w:r>
    </w:p>
    <w:p>
      <w:pPr>
        <w:spacing w:after="120" w:before="0"/>
      </w:pPr>
      <w:r>
        <w:rPr>
          <w:b w:val="0"/>
          <w:i w:val="0"/>
          <w:color w:val="1C3A36"/>
          <w:sz w:val="21"/>
        </w:rPr>
        <w:t>One judgement dominates. The new complex has a bank-approved cost of EGP 6,422 million plus US$278.4 million — about EGP 20.3 billion at today's rate, against a stock-market value of EGP 28.6 billion. EGP 5,654 million sat in construction at 31 March 2026 and the auditor put physical progress at 12.9% against a 37.0% plan.</w:t>
      </w:r>
    </w:p>
    <w:p>
      <w:pPr>
        <w:spacing w:after="120" w:before="0"/>
      </w:pPr>
      <w:r>
        <w:rPr>
          <w:b/>
          <w:i w:val="0"/>
          <w:color w:val="1C3A36"/>
          <w:sz w:val="21"/>
        </w:rPr>
        <w:t>Carried through, the programme is worth EGP 9.24 a share. Stopped, EGP 12.77. The difference, EGP 3.54 a share or EGP 7,026 million of equity, is the cost of the programme to shareholders on this model's assumptions. What decides it is whether the plant, once built, earns a return above the capital sunk into it. On the disclosed cost and the derived nameplate it does not.</w:t>
      </w:r>
    </w:p>
    <w:p>
      <w:pPr>
        <w:spacing w:after="120" w:before="0"/>
      </w:pPr>
      <w:r>
        <w:rPr>
          <w:b/>
          <w:i w:val="0"/>
          <w:color w:val="1C3A36"/>
          <w:sz w:val="21"/>
        </w:rPr>
        <w:t>What the two branches actually assume.  Neither is a prediction of what the board will do. They are two complete worlds, each priced the whole way through to a value per share on identical prices, volumes, currency and rates. The only thing that differs between them is the capital programme, which is what makes the distance between them a measurement of the programme rather than of anything else.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672"/>
      </w:tblGrid>
      <w:tr>
        <w:trPr>
          <w:cantSplit/>
          <w:tblHeader/>
        </w:trPr>
        <w:tc>
          <w:tcPr>
            <w:tcW w:type="dxa" w:w="2664"/>
            <w:shd w:val="clear" w:color="auto" w:fill="EAF0EE"/>
          </w:tcPr>
          <w:p>
            <w:pPr>
              <w:spacing w:after="20"/>
            </w:pPr>
            <w:r>
              <w:rPr>
                <w:b/>
                <w:color w:val="1C3A36"/>
                <w:sz w:val="17"/>
              </w:rPr>
            </w:r>
          </w:p>
        </w:tc>
        <w:tc>
          <w:tcPr>
            <w:tcW w:type="dxa" w:w="3744"/>
            <w:shd w:val="clear" w:color="auto" w:fill="EAF0EE"/>
          </w:tcPr>
          <w:p>
            <w:pPr>
              <w:spacing w:after="20"/>
            </w:pPr>
            <w:r>
              <w:rPr>
                <w:b/>
                <w:color w:val="1C3A36"/>
                <w:sz w:val="17"/>
              </w:rPr>
              <w:t>Programme carried through</w:t>
            </w:r>
          </w:p>
        </w:tc>
        <w:tc>
          <w:tcPr>
            <w:tcW w:type="dxa" w:w="3672"/>
            <w:shd w:val="clear" w:color="auto" w:fill="EAF0EE"/>
          </w:tcPr>
          <w:p>
            <w:pPr>
              <w:spacing w:after="20"/>
            </w:pPr>
            <w:r>
              <w:rPr>
                <w:b/>
                <w:color w:val="1C3A36"/>
                <w:sz w:val="17"/>
              </w:rPr>
              <w:t>Programme stopped</w:t>
            </w:r>
          </w:p>
        </w:tc>
      </w:tr>
      <w:tr>
        <w:trPr>
          <w:cantSplit/>
        </w:trPr>
        <w:tc>
          <w:tcPr>
            <w:tcW w:type="dxa" w:w="2664"/>
          </w:tcPr>
          <w:p>
            <w:pPr>
              <w:spacing w:after="20"/>
            </w:pPr>
            <w:r>
              <w:rPr>
                <w:color w:val="1C3A36"/>
                <w:sz w:val="17"/>
              </w:rPr>
              <w:t>The money still to spend</w:t>
            </w:r>
          </w:p>
        </w:tc>
        <w:tc>
          <w:tcPr>
            <w:tcW w:type="dxa" w:w="3744"/>
          </w:tcPr>
          <w:p>
            <w:pPr>
              <w:spacing w:after="20"/>
            </w:pPr>
            <w:r>
              <w:rPr>
                <w:color w:val="1C3A36"/>
                <w:sz w:val="17"/>
              </w:rPr>
              <w:t>EGP 14,688m leaves over the five forecast years</w:t>
            </w:r>
          </w:p>
        </w:tc>
        <w:tc>
          <w:tcPr>
            <w:tcW w:type="dxa" w:w="3672"/>
          </w:tcPr>
          <w:p>
            <w:pPr>
              <w:spacing w:after="20"/>
            </w:pPr>
            <w:r>
              <w:rPr>
                <w:color w:val="1C3A36"/>
                <w:sz w:val="17"/>
              </w:rPr>
              <w:t>Nothing further is spent</w:t>
            </w:r>
          </w:p>
        </w:tc>
      </w:tr>
      <w:tr>
        <w:trPr>
          <w:cantSplit/>
        </w:trPr>
        <w:tc>
          <w:tcPr>
            <w:tcW w:type="dxa" w:w="2664"/>
          </w:tcPr>
          <w:p>
            <w:pPr>
              <w:spacing w:after="20"/>
            </w:pPr>
            <w:r>
              <w:rPr>
                <w:color w:val="1C3A36"/>
                <w:sz w:val="17"/>
              </w:rPr>
              <w:t>The money already in the ground</w:t>
            </w:r>
          </w:p>
        </w:tc>
        <w:tc>
          <w:tcPr>
            <w:tcW w:type="dxa" w:w="3744"/>
          </w:tcPr>
          <w:p>
            <w:pPr>
              <w:spacing w:after="20"/>
            </w:pPr>
            <w:r>
              <w:rPr>
                <w:color w:val="1C3A36"/>
                <w:sz w:val="17"/>
              </w:rPr>
              <w:t>EGP 5,654m becomes part of a working plant</w:t>
            </w:r>
          </w:p>
        </w:tc>
        <w:tc>
          <w:tcPr>
            <w:tcW w:type="dxa" w:w="3672"/>
          </w:tcPr>
          <w:p>
            <w:pPr>
              <w:spacing w:after="20"/>
            </w:pPr>
            <w:r>
              <w:rPr>
                <w:color w:val="1C3A36"/>
                <w:sz w:val="17"/>
              </w:rPr>
              <w:t>EGP 5,654m is written off against nothing</w:t>
            </w:r>
          </w:p>
        </w:tc>
      </w:tr>
      <w:tr>
        <w:trPr>
          <w:cantSplit/>
        </w:trPr>
        <w:tc>
          <w:tcPr>
            <w:tcW w:type="dxa" w:w="2664"/>
          </w:tcPr>
          <w:p>
            <w:pPr>
              <w:spacing w:after="20"/>
            </w:pPr>
            <w:r>
              <w:rPr>
                <w:color w:val="1C3A36"/>
                <w:sz w:val="17"/>
              </w:rPr>
              <w:t>The cost of walking away</w:t>
            </w:r>
          </w:p>
        </w:tc>
        <w:tc>
          <w:tcPr>
            <w:tcW w:type="dxa" w:w="3744"/>
          </w:tcPr>
          <w:p>
            <w:pPr>
              <w:spacing w:after="20"/>
            </w:pPr>
            <w:r>
              <w:rPr>
                <w:color w:val="1C3A36"/>
                <w:sz w:val="17"/>
              </w:rPr>
              <w:t>None arises</w:t>
            </w:r>
          </w:p>
        </w:tc>
        <w:tc>
          <w:tcPr>
            <w:tcW w:type="dxa" w:w="3672"/>
          </w:tcPr>
          <w:p>
            <w:pPr>
              <w:spacing w:after="20"/>
            </w:pPr>
            <w:r>
              <w:rPr>
                <w:color w:val="1C3A36"/>
                <w:sz w:val="17"/>
              </w:rPr>
              <w:t>EGP 1,000m, paid once in the first forecast year</w:t>
            </w:r>
          </w:p>
        </w:tc>
      </w:tr>
      <w:tr>
        <w:trPr>
          <w:cantSplit/>
        </w:trPr>
        <w:tc>
          <w:tcPr>
            <w:tcW w:type="dxa" w:w="2664"/>
          </w:tcPr>
          <w:p>
            <w:pPr>
              <w:spacing w:after="20"/>
            </w:pPr>
            <w:r>
              <w:rPr>
                <w:color w:val="1C3A36"/>
                <w:sz w:val="17"/>
              </w:rPr>
              <w:t>What is produced afterwards</w:t>
            </w:r>
          </w:p>
        </w:tc>
        <w:tc>
          <w:tcPr>
            <w:tcW w:type="dxa" w:w="3744"/>
          </w:tcPr>
          <w:p>
            <w:pPr>
              <w:spacing w:after="20"/>
            </w:pPr>
            <w:r>
              <w:rPr>
                <w:color w:val="1C3A36"/>
                <w:sz w:val="17"/>
              </w:rPr>
              <w:t>Urea and existing nitrates, plus the new complex's nitric acid and ammonium nitrate</w:t>
            </w:r>
          </w:p>
        </w:tc>
        <w:tc>
          <w:tcPr>
            <w:tcW w:type="dxa" w:w="3672"/>
          </w:tcPr>
          <w:p>
            <w:pPr>
              <w:spacing w:after="20"/>
            </w:pPr>
            <w:r>
              <w:rPr>
                <w:color w:val="1C3A36"/>
                <w:sz w:val="17"/>
              </w:rPr>
              <w:t>Urea and existing nitrates, exactly as today</w:t>
            </w:r>
          </w:p>
        </w:tc>
      </w:tr>
      <w:tr>
        <w:trPr>
          <w:cantSplit/>
        </w:trPr>
        <w:tc>
          <w:tcPr>
            <w:tcW w:type="dxa" w:w="2664"/>
          </w:tcPr>
          <w:p>
            <w:pPr>
              <w:spacing w:after="20"/>
            </w:pPr>
            <w:r>
              <w:rPr>
                <w:color w:val="1C3A36"/>
                <w:sz w:val="17"/>
              </w:rPr>
              <w:t>When the new plant's earnings arrive</w:t>
            </w:r>
          </w:p>
        </w:tc>
        <w:tc>
          <w:tcPr>
            <w:tcW w:type="dxa" w:w="3744"/>
          </w:tcPr>
          <w:p>
            <w:pPr>
              <w:spacing w:after="20"/>
            </w:pPr>
            <w:r>
              <w:rPr>
                <w:color w:val="1C3A36"/>
                <w:sz w:val="17"/>
              </w:rPr>
              <w:t>After the forecast window closes — in the terminal value, at 50% of nameplate</w:t>
            </w:r>
          </w:p>
        </w:tc>
        <w:tc>
          <w:tcPr>
            <w:tcW w:type="dxa" w:w="3672"/>
          </w:tcPr>
          <w:p>
            <w:pPr>
              <w:spacing w:after="20"/>
            </w:pPr>
            <w:r>
              <w:rPr>
                <w:color w:val="1C3A36"/>
                <w:sz w:val="17"/>
              </w:rPr>
              <w:t>They never arrive</w:t>
            </w:r>
          </w:p>
        </w:tc>
      </w:tr>
      <w:tr>
        <w:trPr>
          <w:cantSplit/>
        </w:trPr>
        <w:tc>
          <w:tcPr>
            <w:tcW w:type="dxa" w:w="2664"/>
            <w:shd w:val="clear" w:color="auto" w:fill="F6F1E6"/>
          </w:tcPr>
          <w:p>
            <w:pPr>
              <w:spacing w:after="20"/>
            </w:pPr>
            <w:r>
              <w:rPr>
                <w:b/>
                <w:color w:val="1C3A36"/>
                <w:sz w:val="17"/>
              </w:rPr>
              <w:t>Value per share</w:t>
            </w:r>
          </w:p>
        </w:tc>
        <w:tc>
          <w:tcPr>
            <w:tcW w:type="dxa" w:w="3744"/>
            <w:shd w:val="clear" w:color="auto" w:fill="F6F1E6"/>
          </w:tcPr>
          <w:p>
            <w:pPr>
              <w:spacing w:after="20"/>
            </w:pPr>
            <w:r>
              <w:rPr>
                <w:b/>
                <w:color w:val="1C3A36"/>
                <w:sz w:val="17"/>
              </w:rPr>
              <w:t>EGP 9.24</w:t>
            </w:r>
          </w:p>
        </w:tc>
        <w:tc>
          <w:tcPr>
            <w:tcW w:type="dxa" w:w="3672"/>
            <w:shd w:val="clear" w:color="auto" w:fill="F6F1E6"/>
          </w:tcPr>
          <w:p>
            <w:pPr>
              <w:spacing w:after="20"/>
            </w:pPr>
            <w:r>
              <w:rPr>
                <w:b/>
                <w:color w:val="1C3A36"/>
                <w:sz w:val="17"/>
              </w:rPr>
              <w:t>EGP 12.77</w:t>
            </w:r>
          </w:p>
        </w:tc>
      </w:tr>
    </w:tbl>
    <w:p>
      <w:pPr>
        <w:spacing w:after="40"/>
      </w:pPr>
    </w:p>
    <w:p>
      <w:pPr>
        <w:spacing w:after="200" w:before="0"/>
      </w:pPr>
      <w:r>
        <w:rPr>
          <w:b w:val="0"/>
          <w:i/>
          <w:color w:val="6E7B77"/>
          <w:sz w:val="17"/>
        </w:rPr>
        <w:t>Table 14.  The two worlds, line by line. Every driver outside this table — urea prices, the gas bill, the exchange-rate path, the cost of capital — is the same in both.</w:t>
      </w:r>
    </w:p>
    <w:p>
      <w:pPr>
        <w:spacing w:after="120" w:before="0"/>
      </w:pPr>
      <w:r>
        <w:rPr>
          <w:b w:val="0"/>
          <w:i w:val="0"/>
          <w:color w:val="1C3A36"/>
          <w:sz w:val="21"/>
        </w:rPr>
        <w:t>Why stopping is worth more, in one line: the money leaves early and the earnings arrive late. The remaining EGP 14.7 billion goes out across the five forecast years, discounted at 25.6% in the first of them; the plant that money buys earns nothing until after the window closes, and that later stream is discounted at 15.9% for every year of the wait. Put the same point without the discounting and it is starker still: on the bank-approved cost and the nameplate this model derives, the finished complex earns 1.69% after tax on the money sunk into it, against capital that costs 15.9%. A plant returning less than a tenth of what its funding costs subtracts value by being built, however well it is run.</w:t>
      </w:r>
    </w:p>
    <w:p>
      <w:pPr>
        <w:spacing w:after="120" w:before="0"/>
      </w:pPr>
      <w:r>
        <w:rPr>
          <w:b w:val="0"/>
          <w:i/>
          <w:color w:val="1C3A36"/>
          <w:sz w:val="19"/>
        </w:rPr>
        <w:t>Three things this comparison is NOT, because each has been read into it before.  It is not a forecast that the programme will be abandoned; management has said it is building, and the carried-through branch is the one that follows the company's own stated plan. It is not a judgement that the plant is badly conceived — the arithmetic turns on a cost and a nameplate, and a reader who holds a different nameplate gets a different answer, which is exactly why section 1.9 reprices it. And it is not a range to average: there is no world in which the company half-builds a complex, so the midpoint of these two numbers describes nothing that can happen.</w:t>
      </w:r>
    </w:p>
    <w:p>
      <w:pPr>
        <w:spacing w:after="120" w:before="0"/>
      </w:pPr>
      <w:r>
        <w:rPr>
          <w:b w:val="0"/>
          <w:i w:val="0"/>
          <w:color w:val="1C3A36"/>
          <w:sz w:val="21"/>
        </w:rPr>
        <w:t>How to use the pair.  If you believe the company will finish the plant and that it will earn what this model assumes, the number is EGP 9.24. If you believe the money would be better not spent, it is EGP 12.77. The EGP 3.54 between them — EGP 7,026 million across all the shares — is the size of that single bet, and it is larger than either the multiple lens or the book-value lens moves for any other reason in this study. The falsifier is stated and dated: the nameplate this study derives is tested against KIMA's own annual report for FY2025/26.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04"/>
        <w:gridCol w:w="2520"/>
        <w:gridCol w:w="3456"/>
      </w:tblGrid>
      <w:tr>
        <w:trPr>
          <w:cantSplit/>
          <w:tblHeader/>
        </w:trPr>
        <w:tc>
          <w:tcPr>
            <w:tcW w:type="dxa" w:w="4104"/>
            <w:shd w:val="clear" w:color="auto" w:fill="EAF0EE"/>
          </w:tcPr>
          <w:p>
            <w:pPr>
              <w:spacing w:after="20"/>
            </w:pPr>
            <w:r>
              <w:rPr>
                <w:b/>
                <w:color w:val="1C3A36"/>
                <w:sz w:val="16"/>
              </w:rPr>
              <w:t>The capital programme</w:t>
            </w:r>
          </w:p>
        </w:tc>
        <w:tc>
          <w:tcPr>
            <w:tcW w:type="dxa" w:w="2520"/>
            <w:shd w:val="clear" w:color="auto" w:fill="EAF0EE"/>
          </w:tcPr>
          <w:p>
            <w:pPr>
              <w:spacing w:after="20"/>
            </w:pPr>
            <w:r>
              <w:rPr>
                <w:b/>
                <w:color w:val="1C3A36"/>
                <w:sz w:val="16"/>
              </w:rPr>
              <w:t>Value</w:t>
            </w:r>
          </w:p>
        </w:tc>
        <w:tc>
          <w:tcPr>
            <w:tcW w:type="dxa" w:w="3456"/>
            <w:shd w:val="clear" w:color="auto" w:fill="EAF0EE"/>
          </w:tcPr>
          <w:p>
            <w:pPr>
              <w:spacing w:after="20"/>
            </w:pPr>
            <w:r>
              <w:rPr>
                <w:b/>
                <w:color w:val="1C3A36"/>
                <w:sz w:val="16"/>
              </w:rPr>
              <w:t>Where it comes from</w:t>
            </w:r>
          </w:p>
        </w:tc>
      </w:tr>
      <w:tr>
        <w:trPr>
          <w:cantSplit/>
        </w:trPr>
        <w:tc>
          <w:tcPr>
            <w:tcW w:type="dxa" w:w="4104"/>
          </w:tcPr>
          <w:p>
            <w:pPr>
              <w:spacing w:after="20"/>
            </w:pPr>
            <w:r>
              <w:rPr>
                <w:color w:val="1C3A36"/>
                <w:sz w:val="16"/>
              </w:rPr>
              <w:t>Bank-approved cost</w:t>
            </w:r>
          </w:p>
        </w:tc>
        <w:tc>
          <w:tcPr>
            <w:tcW w:type="dxa" w:w="2520"/>
          </w:tcPr>
          <w:p>
            <w:pPr>
              <w:spacing w:after="20"/>
              <w:jc w:val="right"/>
            </w:pPr>
            <w:r>
              <w:rPr>
                <w:color w:val="1C3A36"/>
                <w:sz w:val="16"/>
              </w:rPr>
              <w:t>EGP 6,422m plus US$278.4m</w:t>
            </w:r>
          </w:p>
        </w:tc>
        <w:tc>
          <w:tcPr>
            <w:tcW w:type="dxa" w:w="3456"/>
          </w:tcPr>
          <w:p>
            <w:pPr>
              <w:spacing w:after="20"/>
            </w:pPr>
            <w:r>
              <w:rPr>
                <w:color w:val="1C3A36"/>
                <w:sz w:val="16"/>
              </w:rPr>
              <w:t>The facility signed on 25 June 2025</w:t>
            </w:r>
          </w:p>
        </w:tc>
      </w:tr>
      <w:tr>
        <w:trPr>
          <w:cantSplit/>
        </w:trPr>
        <w:tc>
          <w:tcPr>
            <w:tcW w:type="dxa" w:w="4104"/>
          </w:tcPr>
          <w:p>
            <w:pPr>
              <w:spacing w:after="20"/>
            </w:pPr>
            <w:r>
              <w:rPr>
                <w:color w:val="1C3A36"/>
                <w:sz w:val="16"/>
              </w:rPr>
              <w:t>Approved cost, one currency</w:t>
            </w:r>
          </w:p>
        </w:tc>
        <w:tc>
          <w:tcPr>
            <w:tcW w:type="dxa" w:w="2520"/>
          </w:tcPr>
          <w:p>
            <w:pPr>
              <w:spacing w:after="20"/>
              <w:jc w:val="right"/>
            </w:pPr>
            <w:r>
              <w:rPr>
                <w:color w:val="1C3A36"/>
                <w:sz w:val="16"/>
              </w:rPr>
              <w:t>EGP 20,342m</w:t>
            </w:r>
          </w:p>
        </w:tc>
        <w:tc>
          <w:tcPr>
            <w:tcW w:type="dxa" w:w="3456"/>
          </w:tcPr>
          <w:p>
            <w:pPr>
              <w:spacing w:after="20"/>
            </w:pPr>
            <w:r>
              <w:rPr>
                <w:color w:val="1C3A36"/>
                <w:sz w:val="16"/>
              </w:rPr>
              <w:t>At the rate prevailing when it was approved</w:t>
            </w:r>
          </w:p>
        </w:tc>
      </w:tr>
      <w:tr>
        <w:trPr>
          <w:cantSplit/>
        </w:trPr>
        <w:tc>
          <w:tcPr>
            <w:tcW w:type="dxa" w:w="4104"/>
          </w:tcPr>
          <w:p>
            <w:pPr>
              <w:spacing w:after="20"/>
            </w:pPr>
            <w:r>
              <w:rPr>
                <w:color w:val="1C3A36"/>
                <w:sz w:val="16"/>
              </w:rPr>
              <w:t>As a share of the whole company's market value</w:t>
            </w:r>
          </w:p>
        </w:tc>
        <w:tc>
          <w:tcPr>
            <w:tcW w:type="dxa" w:w="2520"/>
          </w:tcPr>
          <w:p>
            <w:pPr>
              <w:spacing w:after="20"/>
              <w:jc w:val="right"/>
            </w:pPr>
            <w:r>
              <w:rPr>
                <w:color w:val="1C3A36"/>
                <w:sz w:val="16"/>
              </w:rPr>
              <w:t>71.1%</w:t>
            </w:r>
          </w:p>
        </w:tc>
        <w:tc>
          <w:tcPr>
            <w:tcW w:type="dxa" w:w="3456"/>
          </w:tcPr>
          <w:p>
            <w:pPr>
              <w:spacing w:after="20"/>
            </w:pPr>
            <w:r>
              <w:rPr>
                <w:color w:val="1C3A36"/>
                <w:sz w:val="16"/>
              </w:rPr>
              <w:t>Against a market value of EGP 28,627m</w:t>
            </w:r>
          </w:p>
        </w:tc>
      </w:tr>
      <w:tr>
        <w:trPr>
          <w:cantSplit/>
        </w:trPr>
        <w:tc>
          <w:tcPr>
            <w:tcW w:type="dxa" w:w="4104"/>
          </w:tcPr>
          <w:p>
            <w:pPr>
              <w:spacing w:after="20"/>
            </w:pPr>
            <w:r>
              <w:rPr>
                <w:color w:val="1C3A36"/>
                <w:sz w:val="16"/>
              </w:rPr>
              <w:t>Spent by 31 March 2026</w:t>
            </w:r>
          </w:p>
        </w:tc>
        <w:tc>
          <w:tcPr>
            <w:tcW w:type="dxa" w:w="2520"/>
          </w:tcPr>
          <w:p>
            <w:pPr>
              <w:spacing w:after="20"/>
              <w:jc w:val="right"/>
            </w:pPr>
            <w:r>
              <w:rPr>
                <w:color w:val="1C3A36"/>
                <w:sz w:val="16"/>
              </w:rPr>
              <w:t>EGP 5,654m</w:t>
            </w:r>
          </w:p>
        </w:tc>
        <w:tc>
          <w:tcPr>
            <w:tcW w:type="dxa" w:w="3456"/>
          </w:tcPr>
          <w:p>
            <w:pPr>
              <w:spacing w:after="20"/>
            </w:pPr>
            <w:r>
              <w:rPr>
                <w:color w:val="1C3A36"/>
                <w:sz w:val="16"/>
              </w:rPr>
              <w:t>Construction in progress on the reviewed balance sheet</w:t>
            </w:r>
          </w:p>
        </w:tc>
      </w:tr>
      <w:tr>
        <w:trPr>
          <w:cantSplit/>
        </w:trPr>
        <w:tc>
          <w:tcPr>
            <w:tcW w:type="dxa" w:w="4104"/>
            <w:shd w:val="clear" w:color="auto" w:fill="F6F1E6"/>
          </w:tcPr>
          <w:p>
            <w:pPr>
              <w:spacing w:after="20"/>
            </w:pPr>
            <w:r>
              <w:rPr>
                <w:b/>
                <w:color w:val="1C3A36"/>
                <w:sz w:val="16"/>
              </w:rPr>
              <w:t>Money spent, as a share of the approved cost</w:t>
            </w:r>
          </w:p>
        </w:tc>
        <w:tc>
          <w:tcPr>
            <w:tcW w:type="dxa" w:w="2520"/>
            <w:shd w:val="clear" w:color="auto" w:fill="F6F1E6"/>
          </w:tcPr>
          <w:p>
            <w:pPr>
              <w:spacing w:after="20"/>
              <w:jc w:val="right"/>
            </w:pPr>
            <w:r>
              <w:rPr>
                <w:b/>
                <w:color w:val="1C3A36"/>
                <w:sz w:val="16"/>
              </w:rPr>
              <w:t>27.8%</w:t>
            </w:r>
          </w:p>
        </w:tc>
        <w:tc>
          <w:tcPr>
            <w:tcW w:type="dxa" w:w="3456"/>
            <w:shd w:val="clear" w:color="auto" w:fill="F6F1E6"/>
          </w:tcPr>
          <w:p>
            <w:pPr>
              <w:spacing w:after="20"/>
            </w:pPr>
            <w:r>
              <w:rPr>
                <w:b/>
                <w:color w:val="1C3A36"/>
                <w:sz w:val="16"/>
              </w:rPr>
              <w:t>Derived</w:t>
            </w:r>
          </w:p>
        </w:tc>
      </w:tr>
      <w:tr>
        <w:trPr>
          <w:cantSplit/>
        </w:trPr>
        <w:tc>
          <w:tcPr>
            <w:tcW w:type="dxa" w:w="4104"/>
          </w:tcPr>
          <w:p>
            <w:pPr>
              <w:spacing w:after="20"/>
            </w:pPr>
            <w:r>
              <w:rPr>
                <w:color w:val="1C3A36"/>
                <w:sz w:val="16"/>
              </w:rPr>
              <w:t>Physical progress reported</w:t>
            </w:r>
          </w:p>
        </w:tc>
        <w:tc>
          <w:tcPr>
            <w:tcW w:type="dxa" w:w="2520"/>
          </w:tcPr>
          <w:p>
            <w:pPr>
              <w:spacing w:after="20"/>
              <w:jc w:val="right"/>
            </w:pPr>
            <w:r>
              <w:rPr>
                <w:color w:val="1C3A36"/>
                <w:sz w:val="16"/>
              </w:rPr>
              <w:t>12.9%</w:t>
            </w:r>
          </w:p>
        </w:tc>
        <w:tc>
          <w:tcPr>
            <w:tcW w:type="dxa" w:w="3456"/>
          </w:tcPr>
          <w:p>
            <w:pPr>
              <w:spacing w:after="20"/>
            </w:pPr>
            <w:r>
              <w:rPr>
                <w:color w:val="1C3A36"/>
                <w:sz w:val="16"/>
              </w:rPr>
              <w:t>The auditor's own figure at September 2025</w:t>
            </w:r>
          </w:p>
        </w:tc>
      </w:tr>
      <w:tr>
        <w:trPr>
          <w:cantSplit/>
        </w:trPr>
        <w:tc>
          <w:tcPr>
            <w:tcW w:type="dxa" w:w="4104"/>
          </w:tcPr>
          <w:p>
            <w:pPr>
              <w:spacing w:after="20"/>
            </w:pPr>
            <w:r>
              <w:rPr>
                <w:color w:val="1C3A36"/>
                <w:sz w:val="16"/>
              </w:rPr>
              <w:t>Physical progress planned by the same date</w:t>
            </w:r>
          </w:p>
        </w:tc>
        <w:tc>
          <w:tcPr>
            <w:tcW w:type="dxa" w:w="2520"/>
          </w:tcPr>
          <w:p>
            <w:pPr>
              <w:spacing w:after="20"/>
              <w:jc w:val="right"/>
            </w:pPr>
            <w:r>
              <w:rPr>
                <w:color w:val="1C3A36"/>
                <w:sz w:val="16"/>
              </w:rPr>
              <w:t>37.0%</w:t>
            </w:r>
          </w:p>
        </w:tc>
        <w:tc>
          <w:tcPr>
            <w:tcW w:type="dxa" w:w="3456"/>
          </w:tcPr>
          <w:p>
            <w:pPr>
              <w:spacing w:after="20"/>
            </w:pPr>
            <w:r>
              <w:rPr>
                <w:color w:val="1C3A36"/>
                <w:sz w:val="16"/>
              </w:rPr>
              <w:t>The auditor's own figure</w:t>
            </w:r>
          </w:p>
        </w:tc>
      </w:tr>
      <w:tr>
        <w:trPr>
          <w:cantSplit/>
        </w:trPr>
        <w:tc>
          <w:tcPr>
            <w:tcW w:type="dxa" w:w="4104"/>
          </w:tcPr>
          <w:p>
            <w:pPr>
              <w:spacing w:after="20"/>
            </w:pPr>
            <w:r>
              <w:rPr>
                <w:color w:val="1C3A36"/>
                <w:sz w:val="16"/>
              </w:rPr>
              <w:t>Still to spend</w:t>
            </w:r>
          </w:p>
        </w:tc>
        <w:tc>
          <w:tcPr>
            <w:tcW w:type="dxa" w:w="2520"/>
          </w:tcPr>
          <w:p>
            <w:pPr>
              <w:spacing w:after="20"/>
              <w:jc w:val="right"/>
            </w:pPr>
            <w:r>
              <w:rPr>
                <w:color w:val="1C3A36"/>
                <w:sz w:val="16"/>
              </w:rPr>
              <w:t>EGP 14,688m</w:t>
            </w:r>
          </w:p>
        </w:tc>
        <w:tc>
          <w:tcPr>
            <w:tcW w:type="dxa" w:w="3456"/>
          </w:tcPr>
          <w:p>
            <w:pPr>
              <w:spacing w:after="20"/>
            </w:pPr>
            <w:r>
              <w:rPr>
                <w:color w:val="1C3A36"/>
                <w:sz w:val="16"/>
              </w:rPr>
              <w:t>Derived</w:t>
            </w:r>
          </w:p>
        </w:tc>
      </w:tr>
      <w:tr>
        <w:trPr>
          <w:cantSplit/>
        </w:trPr>
        <w:tc>
          <w:tcPr>
            <w:tcW w:type="dxa" w:w="4104"/>
          </w:tcPr>
          <w:p>
            <w:pPr>
              <w:spacing w:after="20"/>
            </w:pPr>
            <w:r>
              <w:rPr>
                <w:color w:val="1C3A36"/>
                <w:sz w:val="16"/>
              </w:rPr>
              <w:t>Derived nameplate</w:t>
            </w:r>
          </w:p>
        </w:tc>
        <w:tc>
          <w:tcPr>
            <w:tcW w:type="dxa" w:w="2520"/>
          </w:tcPr>
          <w:p>
            <w:pPr>
              <w:spacing w:after="20"/>
              <w:jc w:val="right"/>
            </w:pPr>
            <w:r>
              <w:rPr>
                <w:color w:val="1C3A36"/>
                <w:sz w:val="16"/>
              </w:rPr>
              <w:t>264,000 tonnes a year</w:t>
            </w:r>
          </w:p>
        </w:tc>
        <w:tc>
          <w:tcPr>
            <w:tcW w:type="dxa" w:w="3456"/>
          </w:tcPr>
          <w:p>
            <w:pPr>
              <w:spacing w:after="20"/>
            </w:pPr>
            <w:r>
              <w:rPr>
                <w:color w:val="1C3A36"/>
                <w:sz w:val="16"/>
              </w:rPr>
              <w:t>FLAGGED as derived: no filing states it</w:t>
            </w:r>
          </w:p>
        </w:tc>
      </w:tr>
      <w:tr>
        <w:trPr>
          <w:cantSplit/>
        </w:trPr>
        <w:tc>
          <w:tcPr>
            <w:tcW w:type="dxa" w:w="4104"/>
          </w:tcPr>
          <w:p>
            <w:pPr>
              <w:spacing w:after="20"/>
            </w:pPr>
            <w:r>
              <w:rPr>
                <w:color w:val="1C3A36"/>
                <w:sz w:val="16"/>
              </w:rPr>
              <w:t>Capital per annual tonne</w:t>
            </w:r>
          </w:p>
        </w:tc>
        <w:tc>
          <w:tcPr>
            <w:tcW w:type="dxa" w:w="2520"/>
          </w:tcPr>
          <w:p>
            <w:pPr>
              <w:spacing w:after="20"/>
              <w:jc w:val="right"/>
            </w:pPr>
            <w:r>
              <w:rPr>
                <w:color w:val="1C3A36"/>
                <w:sz w:val="16"/>
              </w:rPr>
              <w:t>EGP 77,052</w:t>
            </w:r>
          </w:p>
        </w:tc>
        <w:tc>
          <w:tcPr>
            <w:tcW w:type="dxa" w:w="3456"/>
          </w:tcPr>
          <w:p>
            <w:pPr>
              <w:spacing w:after="20"/>
            </w:pPr>
            <w:r>
              <w:rPr>
                <w:color w:val="1C3A36"/>
                <w:sz w:val="16"/>
              </w:rPr>
              <w:t>Approved cost over derived nameplate</w:t>
            </w:r>
          </w:p>
        </w:tc>
      </w:tr>
      <w:tr>
        <w:trPr>
          <w:cantSplit/>
        </w:trPr>
        <w:tc>
          <w:tcPr>
            <w:tcW w:type="dxa" w:w="4104"/>
          </w:tcPr>
          <w:p>
            <w:pPr>
              <w:spacing w:after="20"/>
            </w:pPr>
            <w:r>
              <w:rPr>
                <w:color w:val="1C3A36"/>
                <w:sz w:val="16"/>
              </w:rPr>
              <w:t>What it earns after tax in the terminal year, at half nameplate</w:t>
            </w:r>
          </w:p>
        </w:tc>
        <w:tc>
          <w:tcPr>
            <w:tcW w:type="dxa" w:w="2520"/>
          </w:tcPr>
          <w:p>
            <w:pPr>
              <w:spacing w:after="20"/>
              <w:jc w:val="right"/>
            </w:pPr>
            <w:r>
              <w:rPr>
                <w:color w:val="1C3A36"/>
                <w:sz w:val="16"/>
              </w:rPr>
              <w:t>EGP 343m</w:t>
            </w:r>
          </w:p>
        </w:tc>
        <w:tc>
          <w:tcPr>
            <w:tcW w:type="dxa" w:w="3456"/>
          </w:tcPr>
          <w:p>
            <w:pPr>
              <w:spacing w:after="20"/>
            </w:pPr>
            <w:r>
              <w:rPr>
                <w:color w:val="1C3A36"/>
                <w:sz w:val="16"/>
              </w:rPr>
              <w:t>The model's own terminal year</w:t>
            </w:r>
          </w:p>
        </w:tc>
      </w:tr>
      <w:tr>
        <w:trPr>
          <w:cantSplit/>
        </w:trPr>
        <w:tc>
          <w:tcPr>
            <w:tcW w:type="dxa" w:w="4104"/>
            <w:shd w:val="clear" w:color="auto" w:fill="F6F1E6"/>
          </w:tcPr>
          <w:p>
            <w:pPr>
              <w:spacing w:after="20"/>
            </w:pPr>
            <w:r>
              <w:rPr>
                <w:b/>
                <w:color w:val="1C3A36"/>
                <w:sz w:val="16"/>
              </w:rPr>
              <w:t>Return on the approved cost</w:t>
            </w:r>
          </w:p>
        </w:tc>
        <w:tc>
          <w:tcPr>
            <w:tcW w:type="dxa" w:w="2520"/>
            <w:shd w:val="clear" w:color="auto" w:fill="F6F1E6"/>
          </w:tcPr>
          <w:p>
            <w:pPr>
              <w:spacing w:after="20"/>
              <w:jc w:val="right"/>
            </w:pPr>
            <w:r>
              <w:rPr>
                <w:b/>
                <w:color w:val="1C3A36"/>
                <w:sz w:val="16"/>
              </w:rPr>
              <w:t>1.7%</w:t>
            </w:r>
          </w:p>
        </w:tc>
        <w:tc>
          <w:tcPr>
            <w:tcW w:type="dxa" w:w="3456"/>
            <w:shd w:val="clear" w:color="auto" w:fill="F6F1E6"/>
          </w:tcPr>
          <w:p>
            <w:pPr>
              <w:spacing w:after="20"/>
            </w:pPr>
            <w:r>
              <w:rPr>
                <w:b/>
                <w:color w:val="1C3A36"/>
                <w:sz w:val="16"/>
              </w:rPr>
              <w:t>Derived</w:t>
            </w:r>
          </w:p>
        </w:tc>
      </w:tr>
      <w:tr>
        <w:trPr>
          <w:cantSplit/>
        </w:trPr>
        <w:tc>
          <w:tcPr>
            <w:tcW w:type="dxa" w:w="4104"/>
            <w:shd w:val="clear" w:color="auto" w:fill="F6F1E6"/>
          </w:tcPr>
          <w:p>
            <w:pPr>
              <w:spacing w:after="20"/>
            </w:pPr>
            <w:r>
              <w:rPr>
                <w:b/>
                <w:color w:val="1C3A36"/>
                <w:sz w:val="16"/>
              </w:rPr>
              <w:t>Against a terminal cost of capital of</w:t>
            </w:r>
          </w:p>
        </w:tc>
        <w:tc>
          <w:tcPr>
            <w:tcW w:type="dxa" w:w="2520"/>
            <w:shd w:val="clear" w:color="auto" w:fill="F6F1E6"/>
          </w:tcPr>
          <w:p>
            <w:pPr>
              <w:spacing w:after="20"/>
              <w:jc w:val="right"/>
            </w:pPr>
            <w:r>
              <w:rPr>
                <w:b/>
                <w:color w:val="1C3A36"/>
                <w:sz w:val="16"/>
              </w:rPr>
              <w:t>15.9%</w:t>
            </w:r>
          </w:p>
        </w:tc>
        <w:tc>
          <w:tcPr>
            <w:tcW w:type="dxa" w:w="3456"/>
            <w:shd w:val="clear" w:color="auto" w:fill="F6F1E6"/>
          </w:tcPr>
          <w:p>
            <w:pPr>
              <w:spacing w:after="20"/>
            </w:pPr>
            <w:r>
              <w:rPr>
                <w:b/>
                <w:color w:val="1C3A36"/>
                <w:sz w:val="16"/>
              </w:rPr>
              <w:t>Section 1.8</w:t>
            </w:r>
          </w:p>
        </w:tc>
      </w:tr>
    </w:tbl>
    <w:p>
      <w:pPr>
        <w:spacing w:after="40"/>
      </w:pPr>
    </w:p>
    <w:p>
      <w:pPr>
        <w:spacing w:after="200" w:before="0"/>
      </w:pPr>
      <w:r>
        <w:rPr>
          <w:b w:val="0"/>
          <w:i/>
          <w:color w:val="6E7B77"/>
          <w:sz w:val="17"/>
        </w:rPr>
        <w:t>Table 15.  The two lines that matter are the fifth and the sixth. More than a quarter of the money has been spent against an eighth of the plant, and the whole of it earns a return an order of magnitude below what the capital costs. Neither number is a forecast: both are the company's own disclosures set against the model's own terminal year.</w:t>
      </w:r>
    </w:p>
    <w:p>
      <w:pPr>
        <w:spacing w:after="40"/>
        <w:jc w:val="center"/>
      </w:pPr>
      <w:r>
        <w:drawing>
          <wp:inline xmlns:a="http://schemas.openxmlformats.org/drawingml/2006/main" xmlns:pic="http://schemas.openxmlformats.org/drawingml/2006/picture">
            <wp:extent cx="6309360" cy="2382105"/>
            <wp:docPr id="7" name="Picture 7"/>
            <wp:cNvGraphicFramePr>
              <a:graphicFrameLocks noChangeAspect="1"/>
            </wp:cNvGraphicFramePr>
            <a:graphic>
              <a:graphicData uri="http://schemas.openxmlformats.org/drawingml/2006/picture">
                <pic:pic>
                  <pic:nvPicPr>
                    <pic:cNvPr id="0" name="fig14_programme.png"/>
                    <pic:cNvPicPr/>
                  </pic:nvPicPr>
                  <pic:blipFill>
                    <a:blip r:embed="rId15"/>
                    <a:stretch>
                      <a:fillRect/>
                    </a:stretch>
                  </pic:blipFill>
                  <pic:spPr>
                    <a:xfrm>
                      <a:off x="0" y="0"/>
                      <a:ext cx="6309360" cy="2382105"/>
                    </a:xfrm>
                    <a:prstGeom prst="rect"/>
                  </pic:spPr>
                </pic:pic>
              </a:graphicData>
            </a:graphic>
          </wp:inline>
        </w:drawing>
      </w:r>
    </w:p>
    <w:p>
      <w:pPr>
        <w:spacing w:after="200" w:before="0"/>
      </w:pPr>
      <w:r>
        <w:rPr>
          <w:b w:val="0"/>
          <w:i/>
          <w:color w:val="6E7B77"/>
          <w:sz w:val="17"/>
        </w:rPr>
        <w:t>Figure 7.  On the left, what has been spent against what has been built. On the right, what the finished plant earns against what the capital costs.</w:t>
      </w:r>
    </w:p>
    <w:p>
      <w:pPr>
        <w:keepNext/>
        <w:spacing w:after="80" w:before="200"/>
      </w:pPr>
      <w:r>
        <w:rPr>
          <w:b/>
          <w:i w:val="0"/>
          <w:color w:val="1C3A36"/>
          <w:sz w:val="24"/>
        </w:rPr>
        <w:t>What the company actually spends — the capital-expenditure record</w:t>
      </w:r>
    </w:p>
    <w:p>
      <w:pPr>
        <w:spacing w:after="120" w:before="0"/>
      </w:pPr>
      <w:r>
        <w:rPr>
          <w:b w:val="0"/>
          <w:i w:val="0"/>
          <w:color w:val="1C3A36"/>
          <w:sz w:val="21"/>
        </w:rPr>
        <w:t>Before any of the above can be read, one question has to be answered from the statements rather than assumed: is this a one-off build, or is it what this company spends? The cash-flow statements answer it directly. The investing section carries a single line — payments to acquire fixed assets, projects under construction — and it has two clean years before the programme started.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2232"/>
        <w:gridCol w:w="1656"/>
        <w:gridCol w:w="1152"/>
        <w:gridCol w:w="3240"/>
      </w:tblGrid>
      <w:tr>
        <w:trPr>
          <w:cantSplit/>
          <w:tblHeader/>
        </w:trPr>
        <w:tc>
          <w:tcPr>
            <w:tcW w:type="dxa" w:w="1800"/>
            <w:shd w:val="clear" w:color="auto" w:fill="EAF0EE"/>
          </w:tcPr>
          <w:p>
            <w:pPr>
              <w:spacing w:after="20"/>
            </w:pPr>
            <w:r>
              <w:rPr>
                <w:b/>
                <w:color w:val="1C3A36"/>
                <w:sz w:val="16"/>
              </w:rPr>
              <w:t>Year</w:t>
            </w:r>
          </w:p>
        </w:tc>
        <w:tc>
          <w:tcPr>
            <w:tcW w:type="dxa" w:w="2232"/>
            <w:shd w:val="clear" w:color="auto" w:fill="EAF0EE"/>
          </w:tcPr>
          <w:p>
            <w:pPr>
              <w:spacing w:after="20"/>
            </w:pPr>
            <w:r>
              <w:rPr>
                <w:b/>
                <w:color w:val="1C3A36"/>
                <w:sz w:val="16"/>
              </w:rPr>
              <w:t>Capital expenditure paid (EGP m)</w:t>
            </w:r>
          </w:p>
        </w:tc>
        <w:tc>
          <w:tcPr>
            <w:tcW w:type="dxa" w:w="1656"/>
            <w:shd w:val="clear" w:color="auto" w:fill="EAF0EE"/>
          </w:tcPr>
          <w:p>
            <w:pPr>
              <w:spacing w:after="20"/>
            </w:pPr>
            <w:r>
              <w:rPr>
                <w:b/>
                <w:color w:val="1C3A36"/>
                <w:sz w:val="16"/>
              </w:rPr>
              <w:t>Revenue (EGP m)</w:t>
            </w:r>
          </w:p>
        </w:tc>
        <w:tc>
          <w:tcPr>
            <w:tcW w:type="dxa" w:w="1152"/>
            <w:shd w:val="clear" w:color="auto" w:fill="EAF0EE"/>
          </w:tcPr>
          <w:p>
            <w:pPr>
              <w:spacing w:after="20"/>
            </w:pPr>
            <w:r>
              <w:rPr>
                <w:b/>
                <w:color w:val="1C3A36"/>
                <w:sz w:val="16"/>
              </w:rPr>
              <w:t>Of revenue</w:t>
            </w:r>
          </w:p>
        </w:tc>
        <w:tc>
          <w:tcPr>
            <w:tcW w:type="dxa" w:w="3240"/>
            <w:shd w:val="clear" w:color="auto" w:fill="EAF0EE"/>
          </w:tcPr>
          <w:p>
            <w:pPr>
              <w:spacing w:after="20"/>
            </w:pPr>
            <w:r>
              <w:rPr>
                <w:b/>
                <w:color w:val="1C3A36"/>
                <w:sz w:val="16"/>
              </w:rPr>
              <w:t>What it was</w:t>
            </w:r>
          </w:p>
        </w:tc>
      </w:tr>
      <w:tr>
        <w:trPr>
          <w:cantSplit/>
        </w:trPr>
        <w:tc>
          <w:tcPr>
            <w:tcW w:type="dxa" w:w="1800"/>
            <w:shd w:val="clear" w:color="auto" w:fill="F6F1E6"/>
          </w:tcPr>
          <w:p>
            <w:pPr>
              <w:spacing w:after="20"/>
            </w:pPr>
            <w:r>
              <w:rPr>
                <w:b/>
                <w:color w:val="1C3A36"/>
                <w:sz w:val="16"/>
              </w:rPr>
              <w:t>FY2021/22</w:t>
            </w:r>
          </w:p>
        </w:tc>
        <w:tc>
          <w:tcPr>
            <w:tcW w:type="dxa" w:w="2232"/>
            <w:shd w:val="clear" w:color="auto" w:fill="F6F1E6"/>
          </w:tcPr>
          <w:p>
            <w:pPr>
              <w:spacing w:after="20"/>
              <w:jc w:val="right"/>
            </w:pPr>
            <w:r>
              <w:rPr>
                <w:b/>
                <w:color w:val="1C3A36"/>
                <w:sz w:val="16"/>
              </w:rPr>
              <w:t>80.8</w:t>
            </w:r>
          </w:p>
        </w:tc>
        <w:tc>
          <w:tcPr>
            <w:tcW w:type="dxa" w:w="1656"/>
            <w:shd w:val="clear" w:color="auto" w:fill="F6F1E6"/>
          </w:tcPr>
          <w:p>
            <w:pPr>
              <w:spacing w:after="20"/>
              <w:jc w:val="right"/>
            </w:pPr>
            <w:r>
              <w:rPr>
                <w:b/>
                <w:color w:val="1C3A36"/>
                <w:sz w:val="16"/>
              </w:rPr>
              <w:t>4,441</w:t>
            </w:r>
          </w:p>
        </w:tc>
        <w:tc>
          <w:tcPr>
            <w:tcW w:type="dxa" w:w="1152"/>
            <w:shd w:val="clear" w:color="auto" w:fill="F6F1E6"/>
          </w:tcPr>
          <w:p>
            <w:pPr>
              <w:spacing w:after="20"/>
              <w:jc w:val="right"/>
            </w:pPr>
            <w:r>
              <w:rPr>
                <w:b/>
                <w:color w:val="1C3A36"/>
                <w:sz w:val="16"/>
              </w:rPr>
              <w:t>1.8%</w:t>
            </w:r>
          </w:p>
        </w:tc>
        <w:tc>
          <w:tcPr>
            <w:tcW w:type="dxa" w:w="3240"/>
            <w:shd w:val="clear" w:color="auto" w:fill="F6F1E6"/>
          </w:tcPr>
          <w:p>
            <w:pPr>
              <w:spacing w:after="20"/>
            </w:pPr>
            <w:r>
              <w:rPr>
                <w:b/>
                <w:color w:val="1C3A36"/>
                <w:sz w:val="16"/>
              </w:rPr>
              <w:t>Before the project</w:t>
            </w:r>
          </w:p>
        </w:tc>
      </w:tr>
      <w:tr>
        <w:trPr>
          <w:cantSplit/>
        </w:trPr>
        <w:tc>
          <w:tcPr>
            <w:tcW w:type="dxa" w:w="1800"/>
            <w:shd w:val="clear" w:color="auto" w:fill="F6F1E6"/>
          </w:tcPr>
          <w:p>
            <w:pPr>
              <w:spacing w:after="20"/>
            </w:pPr>
            <w:r>
              <w:rPr>
                <w:b/>
                <w:color w:val="1C3A36"/>
                <w:sz w:val="16"/>
              </w:rPr>
              <w:t>FY2022/23</w:t>
            </w:r>
          </w:p>
        </w:tc>
        <w:tc>
          <w:tcPr>
            <w:tcW w:type="dxa" w:w="2232"/>
            <w:shd w:val="clear" w:color="auto" w:fill="F6F1E6"/>
          </w:tcPr>
          <w:p>
            <w:pPr>
              <w:spacing w:after="20"/>
              <w:jc w:val="right"/>
            </w:pPr>
            <w:r>
              <w:rPr>
                <w:b/>
                <w:color w:val="1C3A36"/>
                <w:sz w:val="16"/>
              </w:rPr>
              <w:t>42.5</w:t>
            </w:r>
          </w:p>
        </w:tc>
        <w:tc>
          <w:tcPr>
            <w:tcW w:type="dxa" w:w="1656"/>
            <w:shd w:val="clear" w:color="auto" w:fill="F6F1E6"/>
          </w:tcPr>
          <w:p>
            <w:pPr>
              <w:spacing w:after="20"/>
              <w:jc w:val="right"/>
            </w:pPr>
            <w:r>
              <w:rPr>
                <w:b/>
                <w:color w:val="1C3A36"/>
                <w:sz w:val="16"/>
              </w:rPr>
              <w:t>6,612</w:t>
            </w:r>
          </w:p>
        </w:tc>
        <w:tc>
          <w:tcPr>
            <w:tcW w:type="dxa" w:w="1152"/>
            <w:shd w:val="clear" w:color="auto" w:fill="F6F1E6"/>
          </w:tcPr>
          <w:p>
            <w:pPr>
              <w:spacing w:after="20"/>
              <w:jc w:val="right"/>
            </w:pPr>
            <w:r>
              <w:rPr>
                <w:b/>
                <w:color w:val="1C3A36"/>
                <w:sz w:val="16"/>
              </w:rPr>
              <w:t>0.6%</w:t>
            </w:r>
          </w:p>
        </w:tc>
        <w:tc>
          <w:tcPr>
            <w:tcW w:type="dxa" w:w="3240"/>
            <w:shd w:val="clear" w:color="auto" w:fill="F6F1E6"/>
          </w:tcPr>
          <w:p>
            <w:pPr>
              <w:spacing w:after="20"/>
            </w:pPr>
            <w:r>
              <w:rPr>
                <w:b/>
                <w:color w:val="1C3A36"/>
                <w:sz w:val="16"/>
              </w:rPr>
              <w:t>Before the project</w:t>
            </w:r>
          </w:p>
        </w:tc>
      </w:tr>
      <w:tr>
        <w:trPr>
          <w:cantSplit/>
        </w:trPr>
        <w:tc>
          <w:tcPr>
            <w:tcW w:type="dxa" w:w="1800"/>
          </w:tcPr>
          <w:p>
            <w:pPr>
              <w:spacing w:after="20"/>
            </w:pPr>
            <w:r>
              <w:rPr>
                <w:color w:val="1C3A36"/>
                <w:sz w:val="16"/>
              </w:rPr>
              <w:t>FY2023/24</w:t>
            </w:r>
          </w:p>
        </w:tc>
        <w:tc>
          <w:tcPr>
            <w:tcW w:type="dxa" w:w="2232"/>
          </w:tcPr>
          <w:p>
            <w:pPr>
              <w:spacing w:after="20"/>
              <w:jc w:val="right"/>
            </w:pPr>
            <w:r>
              <w:rPr>
                <w:color w:val="1C3A36"/>
                <w:sz w:val="16"/>
              </w:rPr>
              <w:t>2,396.6</w:t>
            </w:r>
          </w:p>
        </w:tc>
        <w:tc>
          <w:tcPr>
            <w:tcW w:type="dxa" w:w="1656"/>
          </w:tcPr>
          <w:p>
            <w:pPr>
              <w:spacing w:after="20"/>
              <w:jc w:val="right"/>
            </w:pPr>
            <w:r>
              <w:rPr>
                <w:color w:val="1C3A36"/>
                <w:sz w:val="16"/>
              </w:rPr>
              <w:t>6,532</w:t>
            </w:r>
          </w:p>
        </w:tc>
        <w:tc>
          <w:tcPr>
            <w:tcW w:type="dxa" w:w="1152"/>
          </w:tcPr>
          <w:p>
            <w:pPr>
              <w:spacing w:after="20"/>
              <w:jc w:val="right"/>
            </w:pPr>
            <w:r>
              <w:rPr>
                <w:color w:val="1C3A36"/>
                <w:sz w:val="16"/>
              </w:rPr>
              <w:t>36.7%</w:t>
            </w:r>
          </w:p>
        </w:tc>
        <w:tc>
          <w:tcPr>
            <w:tcW w:type="dxa" w:w="3240"/>
          </w:tcPr>
          <w:p>
            <w:pPr>
              <w:spacing w:after="20"/>
            </w:pPr>
            <w:r>
              <w:rPr>
                <w:color w:val="1C3A36"/>
                <w:sz w:val="16"/>
              </w:rPr>
              <w:t>The build begins</w:t>
            </w:r>
          </w:p>
        </w:tc>
      </w:tr>
      <w:tr>
        <w:trPr>
          <w:cantSplit/>
        </w:trPr>
        <w:tc>
          <w:tcPr>
            <w:tcW w:type="dxa" w:w="1800"/>
          </w:tcPr>
          <w:p>
            <w:pPr>
              <w:spacing w:after="20"/>
            </w:pPr>
            <w:r>
              <w:rPr>
                <w:color w:val="1C3A36"/>
                <w:sz w:val="16"/>
              </w:rPr>
              <w:t>FY2024/25</w:t>
            </w:r>
          </w:p>
        </w:tc>
        <w:tc>
          <w:tcPr>
            <w:tcW w:type="dxa" w:w="2232"/>
          </w:tcPr>
          <w:p>
            <w:pPr>
              <w:spacing w:after="20"/>
              <w:jc w:val="right"/>
            </w:pPr>
            <w:r>
              <w:rPr>
                <w:color w:val="1C3A36"/>
                <w:sz w:val="16"/>
              </w:rPr>
              <w:t>1,545.1</w:t>
            </w:r>
          </w:p>
        </w:tc>
        <w:tc>
          <w:tcPr>
            <w:tcW w:type="dxa" w:w="1656"/>
          </w:tcPr>
          <w:p>
            <w:pPr>
              <w:spacing w:after="20"/>
              <w:jc w:val="right"/>
            </w:pPr>
            <w:r>
              <w:rPr>
                <w:color w:val="1C3A36"/>
                <w:sz w:val="16"/>
              </w:rPr>
              <w:t>8,603</w:t>
            </w:r>
          </w:p>
        </w:tc>
        <w:tc>
          <w:tcPr>
            <w:tcW w:type="dxa" w:w="1152"/>
          </w:tcPr>
          <w:p>
            <w:pPr>
              <w:spacing w:after="20"/>
              <w:jc w:val="right"/>
            </w:pPr>
            <w:r>
              <w:rPr>
                <w:color w:val="1C3A36"/>
                <w:sz w:val="16"/>
              </w:rPr>
              <w:t>18.0%</w:t>
            </w:r>
          </w:p>
        </w:tc>
        <w:tc>
          <w:tcPr>
            <w:tcW w:type="dxa" w:w="3240"/>
          </w:tcPr>
          <w:p>
            <w:pPr>
              <w:spacing w:after="20"/>
            </w:pPr>
            <w:r>
              <w:rPr>
                <w:color w:val="1C3A36"/>
                <w:sz w:val="16"/>
              </w:rPr>
              <w:t>Building</w:t>
            </w:r>
          </w:p>
        </w:tc>
      </w:tr>
      <w:tr>
        <w:trPr>
          <w:cantSplit/>
        </w:trPr>
        <w:tc>
          <w:tcPr>
            <w:tcW w:type="dxa" w:w="1800"/>
          </w:tcPr>
          <w:p>
            <w:pPr>
              <w:spacing w:after="20"/>
            </w:pPr>
            <w:r>
              <w:rPr>
                <w:color w:val="1C3A36"/>
                <w:sz w:val="16"/>
              </w:rPr>
              <w:t>9M FY2025/26</w:t>
            </w:r>
          </w:p>
        </w:tc>
        <w:tc>
          <w:tcPr>
            <w:tcW w:type="dxa" w:w="2232"/>
          </w:tcPr>
          <w:p>
            <w:pPr>
              <w:spacing w:after="20"/>
              <w:jc w:val="right"/>
            </w:pPr>
            <w:r>
              <w:rPr>
                <w:color w:val="1C3A36"/>
                <w:sz w:val="16"/>
              </w:rPr>
              <w:t>1,949.1</w:t>
            </w:r>
          </w:p>
        </w:tc>
        <w:tc>
          <w:tcPr>
            <w:tcW w:type="dxa" w:w="1656"/>
          </w:tcPr>
          <w:p>
            <w:pPr>
              <w:spacing w:after="20"/>
              <w:jc w:val="right"/>
            </w:pPr>
            <w:r>
              <w:rPr>
                <w:color w:val="1C3A36"/>
                <w:sz w:val="16"/>
              </w:rPr>
              <w:t>7,315</w:t>
            </w:r>
          </w:p>
        </w:tc>
        <w:tc>
          <w:tcPr>
            <w:tcW w:type="dxa" w:w="1152"/>
          </w:tcPr>
          <w:p>
            <w:pPr>
              <w:spacing w:after="20"/>
              <w:jc w:val="right"/>
            </w:pPr>
            <w:r>
              <w:rPr>
                <w:color w:val="1C3A36"/>
                <w:sz w:val="16"/>
              </w:rPr>
              <w:t>26.6%</w:t>
            </w:r>
          </w:p>
        </w:tc>
        <w:tc>
          <w:tcPr>
            <w:tcW w:type="dxa" w:w="3240"/>
          </w:tcPr>
          <w:p>
            <w:pPr>
              <w:spacing w:after="20"/>
            </w:pPr>
            <w:r>
              <w:rPr>
                <w:color w:val="1C3A36"/>
                <w:sz w:val="16"/>
              </w:rPr>
              <w:t>Nine months actual; a full year at this rate is EGP 2,599m</w:t>
            </w:r>
          </w:p>
        </w:tc>
      </w:tr>
    </w:tbl>
    <w:p>
      <w:pPr>
        <w:spacing w:after="40"/>
      </w:pPr>
    </w:p>
    <w:p>
      <w:pPr>
        <w:spacing w:after="200" w:before="0"/>
      </w:pPr>
      <w:r>
        <w:rPr>
          <w:b w:val="0"/>
          <w:i/>
          <w:color w:val="6E7B77"/>
          <w:sz w:val="17"/>
        </w:rPr>
        <w:t>Table 16.  The two shaded years are the answer. With nothing being built, this plant cost EGP 80.8m and then EGP 42.5m a year to keep running — pooled, 1.1% of revenue. Everything above that is the new complex.</w:t>
      </w:r>
    </w:p>
    <w:p>
      <w:pPr>
        <w:spacing w:after="120" w:before="0"/>
      </w:pPr>
      <w:r>
        <w:rPr>
          <w:b/>
          <w:i w:val="0"/>
          <w:color w:val="1C3A36"/>
          <w:sz w:val="21"/>
        </w:rPr>
        <w:t>Three things follow, and the first two correct this study rather than confirm it. First, the capital expenditure in the forecast IS a one-off bulk: EGP 14,688 million across five years against EGP 14,688 million still to spend on the approved cost, after which it stops. Second, it does not repeat inside any horizon this study can see — the disclosed depreciation rate on the plant's machinery is 3.95% a year, an asset life of about 25 years, so the replacement cycle sits far beyond the terminal year. Third, and this is the correction: maintenance capital expenditure is now set at the 1.1% of revenue the company has actually paid, not at a three per cent mature-plant standard. That standard was an assertion, it was 2.7 times the pooled rate of the two pre-project years and 1.6 times the higher of them, and no disclosure supported it.</w:t>
      </w:r>
    </w:p>
    <w:p>
      <w:pPr>
        <w:spacing w:after="120" w:before="0"/>
      </w:pPr>
      <w:r>
        <w:rPr>
          <w:b w:val="0"/>
          <w:i w:val="0"/>
          <w:color w:val="1C3A36"/>
          <w:sz w:val="21"/>
        </w:rPr>
        <w:t>The project path is anchored the same way. The company spent EGP 1,545.1m in the last audited year and EGP 1,949.1m in nine months of this one — a full year at that rate is EGP 2,599m, and that is where the forecast now opens. The remaining years complete the approved cost inside the window, because the terminal year only earns if the plant is finished.</w:t>
      </w:r>
    </w:p>
    <w:p>
      <w:pPr>
        <w:spacing w:after="120" w:before="0"/>
      </w:pPr>
      <w:r>
        <w:rPr>
          <w:b w:val="0"/>
          <w:i/>
          <w:color w:val="1C3A36"/>
          <w:sz w:val="19"/>
        </w:rPr>
        <w:t>The honest counter-argument is that the two pre-project years flatter the plant: it was newly built, and new plant does not need much. The upper framing of the same driver is replacement-rate maintenance — gross fixed assets at that same 3.95% machinery rate, or 6.1% of revenue. Both are published: the observed rate is the central and the replacement rate is the downside, and they are worth EGP 1.00 a share between them. They are not averaged.</w:t>
      </w:r>
    </w:p>
    <w:p>
      <w:pPr>
        <w:keepNext/>
        <w:spacing w:after="80" w:before="200"/>
      </w:pPr>
      <w:r>
        <w:rPr>
          <w:b/>
          <w:i w:val="0"/>
          <w:color w:val="1C3A36"/>
          <w:sz w:val="24"/>
        </w:rPr>
        <w:t>The asset-conversion cycle — disclosed, then projected from it</w:t>
      </w:r>
    </w:p>
    <w:p>
      <w:pPr>
        <w:spacing w:after="120" w:before="0"/>
      </w:pPr>
      <w:r>
        <w:rPr>
          <w:b w:val="0"/>
          <w:i w:val="0"/>
          <w:color w:val="1C3A36"/>
          <w:sz w:val="21"/>
        </w:rPr>
        <w:t>Working capital is not a percentage of revenue in this model. It is three day counts taken from the audited statements and applied to the forecast revenue and cost of sales, so that every pound of it traces to a receivable, an inventory or a payable rather than to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656"/>
        <w:gridCol w:w="1656"/>
        <w:gridCol w:w="1656"/>
        <w:gridCol w:w="2232"/>
      </w:tblGrid>
      <w:tr>
        <w:trPr>
          <w:cantSplit/>
          <w:tblHeader/>
        </w:trPr>
        <w:tc>
          <w:tcPr>
            <w:tcW w:type="dxa" w:w="2880"/>
            <w:shd w:val="clear" w:color="auto" w:fill="EAF0EE"/>
          </w:tcPr>
          <w:p>
            <w:pPr>
              <w:spacing w:after="20"/>
            </w:pPr>
            <w:r>
              <w:rPr>
                <w:b/>
                <w:color w:val="1C3A36"/>
                <w:sz w:val="17"/>
              </w:rPr>
              <w:t>Days</w:t>
            </w:r>
          </w:p>
        </w:tc>
        <w:tc>
          <w:tcPr>
            <w:tcW w:type="dxa" w:w="1656"/>
            <w:shd w:val="clear" w:color="auto" w:fill="EAF0EE"/>
          </w:tcPr>
          <w:p>
            <w:pPr>
              <w:spacing w:after="20"/>
            </w:pPr>
            <w:r>
              <w:rPr>
                <w:b/>
                <w:color w:val="1C3A36"/>
                <w:sz w:val="17"/>
              </w:rPr>
              <w:t>FY2022/23</w:t>
            </w:r>
          </w:p>
        </w:tc>
        <w:tc>
          <w:tcPr>
            <w:tcW w:type="dxa" w:w="1656"/>
            <w:shd w:val="clear" w:color="auto" w:fill="EAF0EE"/>
          </w:tcPr>
          <w:p>
            <w:pPr>
              <w:spacing w:after="20"/>
            </w:pPr>
            <w:r>
              <w:rPr>
                <w:b/>
                <w:color w:val="1C3A36"/>
                <w:sz w:val="17"/>
              </w:rPr>
              <w:t>FY2023/24</w:t>
            </w:r>
          </w:p>
        </w:tc>
        <w:tc>
          <w:tcPr>
            <w:tcW w:type="dxa" w:w="1656"/>
            <w:shd w:val="clear" w:color="auto" w:fill="EAF0EE"/>
          </w:tcPr>
          <w:p>
            <w:pPr>
              <w:spacing w:after="20"/>
            </w:pPr>
            <w:r>
              <w:rPr>
                <w:b/>
                <w:color w:val="1C3A36"/>
                <w:sz w:val="17"/>
              </w:rPr>
              <w:t>FY2024/25</w:t>
            </w:r>
          </w:p>
        </w:tc>
        <w:tc>
          <w:tcPr>
            <w:tcW w:type="dxa" w:w="2232"/>
            <w:shd w:val="clear" w:color="auto" w:fill="EAF0EE"/>
          </w:tcPr>
          <w:p>
            <w:pPr>
              <w:spacing w:after="20"/>
            </w:pPr>
            <w:r>
              <w:rPr>
                <w:b/>
                <w:color w:val="1C3A36"/>
                <w:sz w:val="17"/>
              </w:rPr>
              <w:t>Carried forward</w:t>
            </w:r>
          </w:p>
        </w:tc>
      </w:tr>
      <w:tr>
        <w:trPr>
          <w:cantSplit/>
        </w:trPr>
        <w:tc>
          <w:tcPr>
            <w:tcW w:type="dxa" w:w="2880"/>
          </w:tcPr>
          <w:p>
            <w:pPr>
              <w:spacing w:after="20"/>
            </w:pPr>
            <w:r>
              <w:rPr>
                <w:color w:val="1C3A36"/>
                <w:sz w:val="17"/>
              </w:rPr>
              <w:t>Receivable days</w:t>
            </w:r>
          </w:p>
        </w:tc>
        <w:tc>
          <w:tcPr>
            <w:tcW w:type="dxa" w:w="1656"/>
          </w:tcPr>
          <w:p>
            <w:pPr>
              <w:spacing w:after="20"/>
              <w:jc w:val="right"/>
            </w:pPr>
            <w:r>
              <w:rPr>
                <w:color w:val="1C3A36"/>
                <w:sz w:val="17"/>
              </w:rPr>
              <w:t>44.1</w:t>
            </w:r>
          </w:p>
        </w:tc>
        <w:tc>
          <w:tcPr>
            <w:tcW w:type="dxa" w:w="1656"/>
          </w:tcPr>
          <w:p>
            <w:pPr>
              <w:spacing w:after="20"/>
              <w:jc w:val="right"/>
            </w:pPr>
            <w:r>
              <w:rPr>
                <w:color w:val="1C3A36"/>
                <w:sz w:val="17"/>
              </w:rPr>
              <w:t>48.0</w:t>
            </w:r>
          </w:p>
        </w:tc>
        <w:tc>
          <w:tcPr>
            <w:tcW w:type="dxa" w:w="1656"/>
          </w:tcPr>
          <w:p>
            <w:pPr>
              <w:spacing w:after="20"/>
              <w:jc w:val="right"/>
            </w:pPr>
            <w:r>
              <w:rPr>
                <w:color w:val="1C3A36"/>
                <w:sz w:val="17"/>
              </w:rPr>
              <w:t>26.8</w:t>
            </w:r>
          </w:p>
        </w:tc>
        <w:tc>
          <w:tcPr>
            <w:tcW w:type="dxa" w:w="2232"/>
          </w:tcPr>
          <w:p>
            <w:pPr>
              <w:spacing w:after="20"/>
              <w:jc w:val="right"/>
            </w:pPr>
            <w:r>
              <w:rPr>
                <w:color w:val="1C3A36"/>
                <w:sz w:val="17"/>
              </w:rPr>
              <w:t>26.8</w:t>
            </w:r>
          </w:p>
        </w:tc>
      </w:tr>
      <w:tr>
        <w:trPr>
          <w:cantSplit/>
        </w:trPr>
        <w:tc>
          <w:tcPr>
            <w:tcW w:type="dxa" w:w="2880"/>
          </w:tcPr>
          <w:p>
            <w:pPr>
              <w:spacing w:after="20"/>
            </w:pPr>
            <w:r>
              <w:rPr>
                <w:color w:val="1C3A36"/>
                <w:sz w:val="17"/>
              </w:rPr>
              <w:t>Inventory days</w:t>
            </w:r>
          </w:p>
        </w:tc>
        <w:tc>
          <w:tcPr>
            <w:tcW w:type="dxa" w:w="1656"/>
          </w:tcPr>
          <w:p>
            <w:pPr>
              <w:spacing w:after="20"/>
              <w:jc w:val="right"/>
            </w:pPr>
            <w:r>
              <w:rPr>
                <w:color w:val="1C3A36"/>
                <w:sz w:val="17"/>
              </w:rPr>
              <w:t>142.1</w:t>
            </w:r>
          </w:p>
        </w:tc>
        <w:tc>
          <w:tcPr>
            <w:tcW w:type="dxa" w:w="1656"/>
          </w:tcPr>
          <w:p>
            <w:pPr>
              <w:spacing w:after="20"/>
              <w:jc w:val="right"/>
            </w:pPr>
            <w:r>
              <w:rPr>
                <w:color w:val="1C3A36"/>
                <w:sz w:val="17"/>
              </w:rPr>
              <w:t>134.1</w:t>
            </w:r>
          </w:p>
        </w:tc>
        <w:tc>
          <w:tcPr>
            <w:tcW w:type="dxa" w:w="1656"/>
          </w:tcPr>
          <w:p>
            <w:pPr>
              <w:spacing w:after="20"/>
              <w:jc w:val="right"/>
            </w:pPr>
            <w:r>
              <w:rPr>
                <w:color w:val="1C3A36"/>
                <w:sz w:val="17"/>
              </w:rPr>
              <w:t>165.2</w:t>
            </w:r>
          </w:p>
        </w:tc>
        <w:tc>
          <w:tcPr>
            <w:tcW w:type="dxa" w:w="2232"/>
          </w:tcPr>
          <w:p>
            <w:pPr>
              <w:spacing w:after="20"/>
              <w:jc w:val="right"/>
            </w:pPr>
            <w:r>
              <w:rPr>
                <w:color w:val="1C3A36"/>
                <w:sz w:val="17"/>
              </w:rPr>
              <w:t>165.2</w:t>
            </w:r>
          </w:p>
        </w:tc>
      </w:tr>
      <w:tr>
        <w:trPr>
          <w:cantSplit/>
        </w:trPr>
        <w:tc>
          <w:tcPr>
            <w:tcW w:type="dxa" w:w="2880"/>
          </w:tcPr>
          <w:p>
            <w:pPr>
              <w:spacing w:after="20"/>
            </w:pPr>
            <w:r>
              <w:rPr>
                <w:color w:val="1C3A36"/>
                <w:sz w:val="17"/>
              </w:rPr>
              <w:t>Payable days</w:t>
            </w:r>
          </w:p>
        </w:tc>
        <w:tc>
          <w:tcPr>
            <w:tcW w:type="dxa" w:w="1656"/>
          </w:tcPr>
          <w:p>
            <w:pPr>
              <w:spacing w:after="20"/>
              <w:jc w:val="right"/>
            </w:pPr>
            <w:r>
              <w:rPr>
                <w:color w:val="1C3A36"/>
                <w:sz w:val="17"/>
              </w:rPr>
              <w:t>139.7</w:t>
            </w:r>
          </w:p>
        </w:tc>
        <w:tc>
          <w:tcPr>
            <w:tcW w:type="dxa" w:w="1656"/>
          </w:tcPr>
          <w:p>
            <w:pPr>
              <w:spacing w:after="20"/>
              <w:jc w:val="right"/>
            </w:pPr>
            <w:r>
              <w:rPr>
                <w:color w:val="1C3A36"/>
                <w:sz w:val="17"/>
              </w:rPr>
              <w:t>131.8</w:t>
            </w:r>
          </w:p>
        </w:tc>
        <w:tc>
          <w:tcPr>
            <w:tcW w:type="dxa" w:w="1656"/>
          </w:tcPr>
          <w:p>
            <w:pPr>
              <w:spacing w:after="20"/>
              <w:jc w:val="right"/>
            </w:pPr>
            <w:r>
              <w:rPr>
                <w:color w:val="1C3A36"/>
                <w:sz w:val="17"/>
              </w:rPr>
              <w:t>83.2</w:t>
            </w:r>
          </w:p>
        </w:tc>
        <w:tc>
          <w:tcPr>
            <w:tcW w:type="dxa" w:w="2232"/>
          </w:tcPr>
          <w:p>
            <w:pPr>
              <w:spacing w:after="20"/>
              <w:jc w:val="right"/>
            </w:pPr>
            <w:r>
              <w:rPr>
                <w:color w:val="1C3A36"/>
                <w:sz w:val="17"/>
              </w:rPr>
              <w:t>83.2</w:t>
            </w:r>
          </w:p>
        </w:tc>
      </w:tr>
      <w:tr>
        <w:trPr>
          <w:cantSplit/>
        </w:trPr>
        <w:tc>
          <w:tcPr>
            <w:tcW w:type="dxa" w:w="2880"/>
            <w:shd w:val="clear" w:color="auto" w:fill="F6F1E6"/>
          </w:tcPr>
          <w:p>
            <w:pPr>
              <w:spacing w:after="20"/>
            </w:pPr>
            <w:r>
              <w:rPr>
                <w:b/>
                <w:color w:val="1C3A36"/>
                <w:sz w:val="17"/>
              </w:rPr>
              <w:t>Cash-conversion cycle</w:t>
            </w:r>
          </w:p>
        </w:tc>
        <w:tc>
          <w:tcPr>
            <w:tcW w:type="dxa" w:w="1656"/>
            <w:shd w:val="clear" w:color="auto" w:fill="F6F1E6"/>
          </w:tcPr>
          <w:p>
            <w:pPr>
              <w:spacing w:after="20"/>
              <w:jc w:val="right"/>
            </w:pPr>
            <w:r>
              <w:rPr>
                <w:b/>
                <w:color w:val="1C3A36"/>
                <w:sz w:val="17"/>
              </w:rPr>
              <w:t>46.5</w:t>
            </w:r>
          </w:p>
        </w:tc>
        <w:tc>
          <w:tcPr>
            <w:tcW w:type="dxa" w:w="1656"/>
            <w:shd w:val="clear" w:color="auto" w:fill="F6F1E6"/>
          </w:tcPr>
          <w:p>
            <w:pPr>
              <w:spacing w:after="20"/>
              <w:jc w:val="right"/>
            </w:pPr>
            <w:r>
              <w:rPr>
                <w:b/>
                <w:color w:val="1C3A36"/>
                <w:sz w:val="17"/>
              </w:rPr>
              <w:t>50.3</w:t>
            </w:r>
          </w:p>
        </w:tc>
        <w:tc>
          <w:tcPr>
            <w:tcW w:type="dxa" w:w="1656"/>
            <w:shd w:val="clear" w:color="auto" w:fill="F6F1E6"/>
          </w:tcPr>
          <w:p>
            <w:pPr>
              <w:spacing w:after="20"/>
              <w:jc w:val="right"/>
            </w:pPr>
            <w:r>
              <w:rPr>
                <w:b/>
                <w:color w:val="1C3A36"/>
                <w:sz w:val="17"/>
              </w:rPr>
              <w:t>108.9</w:t>
            </w:r>
          </w:p>
        </w:tc>
        <w:tc>
          <w:tcPr>
            <w:tcW w:type="dxa" w:w="2232"/>
            <w:shd w:val="clear" w:color="auto" w:fill="F6F1E6"/>
          </w:tcPr>
          <w:p>
            <w:pPr>
              <w:spacing w:after="20"/>
              <w:jc w:val="right"/>
            </w:pPr>
            <w:r>
              <w:rPr>
                <w:b/>
                <w:color w:val="1C3A36"/>
                <w:sz w:val="17"/>
              </w:rPr>
              <w:t>108.9</w:t>
            </w:r>
          </w:p>
        </w:tc>
      </w:tr>
      <w:tr>
        <w:trPr>
          <w:cantSplit/>
        </w:trPr>
        <w:tc>
          <w:tcPr>
            <w:tcW w:type="dxa" w:w="2880"/>
          </w:tcPr>
          <w:p>
            <w:pPr>
              <w:spacing w:after="20"/>
            </w:pPr>
            <w:r>
              <w:rPr>
                <w:color w:val="1C3A36"/>
                <w:sz w:val="17"/>
              </w:rPr>
              <w:t>Working capital (EGP m)</w:t>
            </w:r>
          </w:p>
        </w:tc>
        <w:tc>
          <w:tcPr>
            <w:tcW w:type="dxa" w:w="1656"/>
          </w:tcPr>
          <w:p>
            <w:pPr>
              <w:spacing w:after="20"/>
              <w:jc w:val="right"/>
            </w:pPr>
            <w:r>
              <w:rPr>
                <w:color w:val="1C3A36"/>
                <w:sz w:val="17"/>
              </w:rPr>
              <w:t>823</w:t>
            </w:r>
          </w:p>
        </w:tc>
        <w:tc>
          <w:tcPr>
            <w:tcW w:type="dxa" w:w="1656"/>
          </w:tcPr>
          <w:p>
            <w:pPr>
              <w:spacing w:after="20"/>
              <w:jc w:val="right"/>
            </w:pPr>
            <w:r>
              <w:rPr>
                <w:color w:val="1C3A36"/>
                <w:sz w:val="17"/>
              </w:rPr>
              <w:t>887</w:t>
            </w:r>
          </w:p>
        </w:tc>
        <w:tc>
          <w:tcPr>
            <w:tcW w:type="dxa" w:w="1656"/>
          </w:tcPr>
          <w:p>
            <w:pPr>
              <w:spacing w:after="20"/>
              <w:jc w:val="right"/>
            </w:pPr>
            <w:r>
              <w:rPr>
                <w:color w:val="1C3A36"/>
                <w:sz w:val="17"/>
              </w:rPr>
              <w:t>1,823</w:t>
            </w:r>
          </w:p>
        </w:tc>
        <w:tc>
          <w:tcPr>
            <w:tcW w:type="dxa" w:w="2232"/>
          </w:tcPr>
          <w:p>
            <w:pPr>
              <w:spacing w:after="20"/>
              <w:jc w:val="right"/>
            </w:pPr>
            <w:r>
              <w:rPr>
                <w:color w:val="1C3A36"/>
                <w:sz w:val="17"/>
              </w:rPr>
              <w:t>2,352</w:t>
            </w:r>
          </w:p>
        </w:tc>
      </w:tr>
      <w:tr>
        <w:trPr>
          <w:cantSplit/>
        </w:trPr>
        <w:tc>
          <w:tcPr>
            <w:tcW w:type="dxa" w:w="2880"/>
            <w:shd w:val="clear" w:color="auto" w:fill="F6F1E6"/>
          </w:tcPr>
          <w:p>
            <w:pPr>
              <w:spacing w:after="20"/>
            </w:pPr>
            <w:r>
              <w:rPr>
                <w:b/>
                <w:color w:val="1C3A36"/>
                <w:sz w:val="17"/>
              </w:rPr>
              <w:t>As a share of revenue</w:t>
            </w:r>
          </w:p>
        </w:tc>
        <w:tc>
          <w:tcPr>
            <w:tcW w:type="dxa" w:w="1656"/>
            <w:shd w:val="clear" w:color="auto" w:fill="F6F1E6"/>
          </w:tcPr>
          <w:p>
            <w:pPr>
              <w:spacing w:after="20"/>
              <w:jc w:val="right"/>
            </w:pPr>
            <w:r>
              <w:rPr>
                <w:b/>
                <w:color w:val="1C3A36"/>
                <w:sz w:val="17"/>
              </w:rPr>
              <w:t>12.4%</w:t>
            </w:r>
          </w:p>
        </w:tc>
        <w:tc>
          <w:tcPr>
            <w:tcW w:type="dxa" w:w="1656"/>
            <w:shd w:val="clear" w:color="auto" w:fill="F6F1E6"/>
          </w:tcPr>
          <w:p>
            <w:pPr>
              <w:spacing w:after="20"/>
              <w:jc w:val="right"/>
            </w:pPr>
            <w:r>
              <w:rPr>
                <w:b/>
                <w:color w:val="1C3A36"/>
                <w:sz w:val="17"/>
              </w:rPr>
              <w:t>13.6%</w:t>
            </w:r>
          </w:p>
        </w:tc>
        <w:tc>
          <w:tcPr>
            <w:tcW w:type="dxa" w:w="1656"/>
            <w:shd w:val="clear" w:color="auto" w:fill="F6F1E6"/>
          </w:tcPr>
          <w:p>
            <w:pPr>
              <w:spacing w:after="20"/>
              <w:jc w:val="right"/>
            </w:pPr>
            <w:r>
              <w:rPr>
                <w:b/>
                <w:color w:val="1C3A36"/>
                <w:sz w:val="17"/>
              </w:rPr>
              <w:t>21.2%</w:t>
            </w:r>
          </w:p>
        </w:tc>
        <w:tc>
          <w:tcPr>
            <w:tcW w:type="dxa" w:w="2232"/>
            <w:shd w:val="clear" w:color="auto" w:fill="F6F1E6"/>
          </w:tcPr>
          <w:p>
            <w:pPr>
              <w:spacing w:after="20"/>
              <w:jc w:val="right"/>
            </w:pPr>
            <w:r>
              <w:rPr>
                <w:b/>
                <w:color w:val="1C3A36"/>
                <w:sz w:val="17"/>
              </w:rPr>
              <w:t>18.6%</w:t>
            </w:r>
          </w:p>
        </w:tc>
      </w:tr>
    </w:tbl>
    <w:p>
      <w:pPr>
        <w:spacing w:after="40"/>
      </w:pPr>
    </w:p>
    <w:p>
      <w:pPr>
        <w:spacing w:after="200" w:before="0"/>
      </w:pPr>
      <w:r>
        <w:rPr>
          <w:b w:val="0"/>
          <w:i/>
          <w:color w:val="6E7B77"/>
          <w:sz w:val="17"/>
        </w:rPr>
        <w:t>Table 17.  Inventory is the whole story: 165.2 days of cost of sales sat in stock at the last audited date, against 26.8 days of receivables. A plant a thousand kilometres from its export port carries its working capital in warehouses, and the auditor's inability to satisfy itself on the slow-moving provision is a caveat about exactly this line.</w:t>
      </w:r>
    </w:p>
    <w:p>
      <w:pPr>
        <w:spacing w:after="120" w:before="0"/>
      </w:pPr>
      <w:r>
        <w:rPr>
          <w:b w:val="0"/>
          <w:i w:val="0"/>
          <w:color w:val="1C3A36"/>
          <w:sz w:val="21"/>
        </w:rPr>
        <w:t>The second-order crux is the long-run export price, and the third is the rate at which a perpetuity of Egyptian pounds is capitalised. Both are observable — one prints daily on a listed futures contract, the other can be read against the sovereign's own borrowing cost — which is why section 1.9 sensitises them in those units rather than in percentage-point abstractions.</w:t>
      </w:r>
    </w:p>
    <w:p>
      <w:pPr>
        <w:keepNext/>
        <w:spacing w:after="80" w:before="200"/>
      </w:pPr>
      <w:r>
        <w:rPr>
          <w:b/>
          <w:i w:val="0"/>
          <w:color w:val="1C3A36"/>
          <w:sz w:val="24"/>
        </w:rPr>
        <w:t>1.8  Macro and country — rates, the pound, and the sourced cost of capital</w:t>
      </w:r>
    </w:p>
    <w:p>
      <w:pPr>
        <w:spacing w:after="120" w:before="0"/>
      </w:pPr>
      <w:r>
        <w:rPr>
          <w:b w:val="0"/>
          <w:i w:val="0"/>
          <w:color w:val="1C3A36"/>
          <w:sz w:val="21"/>
        </w:rPr>
        <w:t>Sovereign risk enters exactly once. The local government bond yield is reduced by Egypt's own default spread before a country-loaded equity premium is added back, because charging the same risk in both places would count it twice. Both premium bases the underlying data supports are published, and neither is mixed with the other's risk-free rate.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512"/>
        <w:gridCol w:w="1512"/>
        <w:gridCol w:w="4248"/>
      </w:tblGrid>
      <w:tr>
        <w:trPr>
          <w:cantSplit/>
          <w:tblHeader/>
        </w:trPr>
        <w:tc>
          <w:tcPr>
            <w:tcW w:type="dxa" w:w="2664"/>
            <w:shd w:val="clear" w:color="auto" w:fill="EAF0EE"/>
          </w:tcPr>
          <w:p>
            <w:pPr>
              <w:spacing w:after="20"/>
            </w:pPr>
            <w:r>
              <w:rPr>
                <w:b/>
                <w:color w:val="1C3A36"/>
                <w:sz w:val="17"/>
              </w:rPr>
              <w:t>Component</w:t>
            </w:r>
          </w:p>
        </w:tc>
        <w:tc>
          <w:tcPr>
            <w:tcW w:type="dxa" w:w="1512"/>
            <w:shd w:val="clear" w:color="auto" w:fill="EAF0EE"/>
          </w:tcPr>
          <w:p>
            <w:pPr>
              <w:spacing w:after="20"/>
            </w:pPr>
            <w:r>
              <w:rPr>
                <w:b/>
                <w:color w:val="1C3A36"/>
                <w:sz w:val="17"/>
              </w:rPr>
              <w:t>Rating basis</w:t>
            </w:r>
          </w:p>
        </w:tc>
        <w:tc>
          <w:tcPr>
            <w:tcW w:type="dxa" w:w="1512"/>
            <w:shd w:val="clear" w:color="auto" w:fill="EAF0EE"/>
          </w:tcPr>
          <w:p>
            <w:pPr>
              <w:spacing w:after="20"/>
            </w:pPr>
            <w:r>
              <w:rPr>
                <w:b/>
                <w:color w:val="1C3A36"/>
                <w:sz w:val="17"/>
              </w:rPr>
              <w:t>CDS basis</w:t>
            </w:r>
          </w:p>
        </w:tc>
        <w:tc>
          <w:tcPr>
            <w:tcW w:type="dxa" w:w="4248"/>
            <w:shd w:val="clear" w:color="auto" w:fill="EAF0EE"/>
          </w:tcPr>
          <w:p>
            <w:pPr>
              <w:spacing w:after="20"/>
            </w:pPr>
            <w:r>
              <w:rPr>
                <w:b/>
                <w:color w:val="1C3A36"/>
                <w:sz w:val="17"/>
              </w:rPr>
              <w:t>Source</w:t>
            </w:r>
          </w:p>
        </w:tc>
      </w:tr>
      <w:tr>
        <w:trPr>
          <w:cantSplit/>
        </w:trPr>
        <w:tc>
          <w:tcPr>
            <w:tcW w:type="dxa" w:w="2664"/>
          </w:tcPr>
          <w:p>
            <w:pPr>
              <w:spacing w:after="20"/>
            </w:pPr>
            <w:r>
              <w:rPr>
                <w:color w:val="1C3A36"/>
                <w:sz w:val="17"/>
              </w:rPr>
              <w:t>Local ten-year government yield</w:t>
            </w:r>
          </w:p>
        </w:tc>
        <w:tc>
          <w:tcPr>
            <w:tcW w:type="dxa" w:w="1512"/>
          </w:tcPr>
          <w:p>
            <w:pPr>
              <w:spacing w:after="20"/>
              <w:jc w:val="right"/>
            </w:pPr>
            <w:r>
              <w:rPr>
                <w:color w:val="1C3A36"/>
                <w:sz w:val="17"/>
              </w:rPr>
              <w:t>23.00%</w:t>
            </w:r>
          </w:p>
        </w:tc>
        <w:tc>
          <w:tcPr>
            <w:tcW w:type="dxa" w:w="1512"/>
          </w:tcPr>
          <w:p>
            <w:pPr>
              <w:spacing w:after="20"/>
              <w:jc w:val="right"/>
            </w:pPr>
            <w:r>
              <w:rPr>
                <w:color w:val="1C3A36"/>
                <w:sz w:val="17"/>
              </w:rPr>
              <w:t>23.00%</w:t>
            </w:r>
          </w:p>
        </w:tc>
        <w:tc>
          <w:tcPr>
            <w:tcW w:type="dxa" w:w="4248"/>
          </w:tcPr>
          <w:p>
            <w:pPr>
              <w:spacing w:after="20"/>
            </w:pPr>
            <w:r>
              <w:rPr>
                <w:color w:val="1C3A36"/>
                <w:sz w:val="17"/>
              </w:rPr>
              <w:t>Market quote, 6 August 2026, corroborated by a treasury bond listed at a 23.10% coupon</w:t>
            </w:r>
          </w:p>
        </w:tc>
      </w:tr>
      <w:tr>
        <w:trPr>
          <w:cantSplit/>
        </w:trPr>
        <w:tc>
          <w:tcPr>
            <w:tcW w:type="dxa" w:w="2664"/>
          </w:tcPr>
          <w:p>
            <w:pPr>
              <w:spacing w:after="20"/>
            </w:pPr>
            <w:r>
              <w:rPr>
                <w:color w:val="1C3A36"/>
                <w:sz w:val="17"/>
              </w:rPr>
              <w:t>Less sovereign default spread</w:t>
            </w:r>
          </w:p>
        </w:tc>
        <w:tc>
          <w:tcPr>
            <w:tcW w:type="dxa" w:w="1512"/>
          </w:tcPr>
          <w:p>
            <w:pPr>
              <w:spacing w:after="20"/>
              <w:jc w:val="right"/>
            </w:pPr>
            <w:r>
              <w:rPr>
                <w:color w:val="1C3A36"/>
                <w:sz w:val="17"/>
              </w:rPr>
              <w:t>6.37%</w:t>
            </w:r>
          </w:p>
        </w:tc>
        <w:tc>
          <w:tcPr>
            <w:tcW w:type="dxa" w:w="1512"/>
          </w:tcPr>
          <w:p>
            <w:pPr>
              <w:spacing w:after="20"/>
              <w:jc w:val="right"/>
            </w:pPr>
            <w:r>
              <w:rPr>
                <w:color w:val="1C3A36"/>
                <w:sz w:val="17"/>
              </w:rPr>
              <w:t>3.41%</w:t>
            </w:r>
          </w:p>
        </w:tc>
        <w:tc>
          <w:tcPr>
            <w:tcW w:type="dxa" w:w="4248"/>
          </w:tcPr>
          <w:p>
            <w:pPr>
              <w:spacing w:after="20"/>
            </w:pPr>
            <w:r>
              <w:rPr>
                <w:color w:val="1C3A36"/>
                <w:sz w:val="17"/>
              </w:rPr>
              <w:t>Country-premium workbook, Egypt row</w:t>
            </w:r>
          </w:p>
        </w:tc>
      </w:tr>
      <w:tr>
        <w:trPr>
          <w:cantSplit/>
        </w:trPr>
        <w:tc>
          <w:tcPr>
            <w:tcW w:type="dxa" w:w="2664"/>
            <w:shd w:val="clear" w:color="auto" w:fill="F6F1E6"/>
          </w:tcPr>
          <w:p>
            <w:pPr>
              <w:spacing w:after="20"/>
            </w:pPr>
            <w:r>
              <w:rPr>
                <w:b/>
                <w:color w:val="1C3A36"/>
                <w:sz w:val="17"/>
              </w:rPr>
              <w:t>Normalised risk-free rate</w:t>
            </w:r>
          </w:p>
        </w:tc>
        <w:tc>
          <w:tcPr>
            <w:tcW w:type="dxa" w:w="1512"/>
            <w:shd w:val="clear" w:color="auto" w:fill="F6F1E6"/>
          </w:tcPr>
          <w:p>
            <w:pPr>
              <w:spacing w:after="20"/>
              <w:jc w:val="right"/>
            </w:pPr>
            <w:r>
              <w:rPr>
                <w:b/>
                <w:color w:val="1C3A36"/>
                <w:sz w:val="17"/>
              </w:rPr>
              <w:t>16.63%</w:t>
            </w:r>
          </w:p>
        </w:tc>
        <w:tc>
          <w:tcPr>
            <w:tcW w:type="dxa" w:w="1512"/>
            <w:shd w:val="clear" w:color="auto" w:fill="F6F1E6"/>
          </w:tcPr>
          <w:p>
            <w:pPr>
              <w:spacing w:after="20"/>
              <w:jc w:val="right"/>
            </w:pPr>
            <w:r>
              <w:rPr>
                <w:b/>
                <w:color w:val="1C3A36"/>
                <w:sz w:val="17"/>
              </w:rPr>
              <w:t>19.59%</w:t>
            </w:r>
          </w:p>
        </w:tc>
        <w:tc>
          <w:tcPr>
            <w:tcW w:type="dxa" w:w="4248"/>
            <w:shd w:val="clear" w:color="auto" w:fill="F6F1E6"/>
          </w:tcPr>
          <w:p>
            <w:pPr>
              <w:spacing w:after="20"/>
            </w:pPr>
            <w:r>
              <w:rPr>
                <w:b/>
                <w:color w:val="1C3A36"/>
                <w:sz w:val="17"/>
              </w:rPr>
              <w:t>Built, not quoted</w:t>
            </w:r>
          </w:p>
        </w:tc>
      </w:tr>
      <w:tr>
        <w:trPr>
          <w:cantSplit/>
        </w:trPr>
        <w:tc>
          <w:tcPr>
            <w:tcW w:type="dxa" w:w="2664"/>
          </w:tcPr>
          <w:p>
            <w:pPr>
              <w:spacing w:after="20"/>
            </w:pPr>
            <w:r>
              <w:rPr>
                <w:color w:val="1C3A36"/>
                <w:sz w:val="17"/>
              </w:rPr>
              <w:t>Equity risk premium</w:t>
            </w:r>
          </w:p>
        </w:tc>
        <w:tc>
          <w:tcPr>
            <w:tcW w:type="dxa" w:w="1512"/>
          </w:tcPr>
          <w:p>
            <w:pPr>
              <w:spacing w:after="20"/>
              <w:jc w:val="right"/>
            </w:pPr>
            <w:r>
              <w:rPr>
                <w:color w:val="1C3A36"/>
                <w:sz w:val="17"/>
              </w:rPr>
              <w:t>13.94%</w:t>
            </w:r>
          </w:p>
        </w:tc>
        <w:tc>
          <w:tcPr>
            <w:tcW w:type="dxa" w:w="1512"/>
          </w:tcPr>
          <w:p>
            <w:pPr>
              <w:spacing w:after="20"/>
              <w:jc w:val="right"/>
            </w:pPr>
            <w:r>
              <w:rPr>
                <w:color w:val="1C3A36"/>
                <w:sz w:val="17"/>
              </w:rPr>
              <w:t>9.41%</w:t>
            </w:r>
          </w:p>
        </w:tc>
        <w:tc>
          <w:tcPr>
            <w:tcW w:type="dxa" w:w="4248"/>
          </w:tcPr>
          <w:p>
            <w:pPr>
              <w:spacing w:after="20"/>
            </w:pPr>
            <w:r>
              <w:rPr>
                <w:color w:val="1C3A36"/>
                <w:sz w:val="17"/>
              </w:rPr>
              <w:t>Mature-market 4.23% plus the Egypt country premium</w:t>
            </w:r>
          </w:p>
        </w:tc>
      </w:tr>
      <w:tr>
        <w:trPr>
          <w:cantSplit/>
        </w:trPr>
        <w:tc>
          <w:tcPr>
            <w:tcW w:type="dxa" w:w="2664"/>
          </w:tcPr>
          <w:p>
            <w:pPr>
              <w:spacing w:after="20"/>
            </w:pPr>
            <w:r>
              <w:rPr>
                <w:color w:val="1C3A36"/>
                <w:sz w:val="17"/>
              </w:rPr>
              <w:t>Beta</w:t>
            </w:r>
          </w:p>
        </w:tc>
        <w:tc>
          <w:tcPr>
            <w:tcW w:type="dxa" w:w="1512"/>
          </w:tcPr>
          <w:p>
            <w:pPr>
              <w:spacing w:after="20"/>
              <w:jc w:val="right"/>
            </w:pPr>
            <w:r>
              <w:rPr>
                <w:color w:val="1C3A36"/>
                <w:sz w:val="17"/>
              </w:rPr>
              <w:t>1.020</w:t>
            </w:r>
          </w:p>
        </w:tc>
        <w:tc>
          <w:tcPr>
            <w:tcW w:type="dxa" w:w="1512"/>
          </w:tcPr>
          <w:p>
            <w:pPr>
              <w:spacing w:after="20"/>
              <w:jc w:val="right"/>
            </w:pPr>
            <w:r>
              <w:rPr>
                <w:color w:val="1C3A36"/>
                <w:sz w:val="17"/>
              </w:rPr>
              <w:t>1.020</w:t>
            </w:r>
          </w:p>
        </w:tc>
        <w:tc>
          <w:tcPr>
            <w:tcW w:type="dxa" w:w="4248"/>
          </w:tcPr>
          <w:p>
            <w:pPr>
              <w:spacing w:after="20"/>
            </w:pPr>
            <w:r>
              <w:rPr>
                <w:color w:val="1C3A36"/>
                <w:sz w:val="17"/>
              </w:rPr>
              <w:t>Own-stock weekly regression, 256 observations, R-squared 0.248, standard error 0.191</w:t>
            </w:r>
          </w:p>
        </w:tc>
      </w:tr>
      <w:tr>
        <w:trPr>
          <w:cantSplit/>
        </w:trPr>
        <w:tc>
          <w:tcPr>
            <w:tcW w:type="dxa" w:w="2664"/>
            <w:shd w:val="clear" w:color="auto" w:fill="F6F1E6"/>
          </w:tcPr>
          <w:p>
            <w:pPr>
              <w:spacing w:after="20"/>
            </w:pPr>
            <w:r>
              <w:rPr>
                <w:b/>
                <w:color w:val="1C3A36"/>
                <w:sz w:val="17"/>
              </w:rPr>
              <w:t>Cost of equity</w:t>
            </w:r>
          </w:p>
        </w:tc>
        <w:tc>
          <w:tcPr>
            <w:tcW w:type="dxa" w:w="1512"/>
            <w:shd w:val="clear" w:color="auto" w:fill="F6F1E6"/>
          </w:tcPr>
          <w:p>
            <w:pPr>
              <w:spacing w:after="20"/>
              <w:jc w:val="right"/>
            </w:pPr>
            <w:r>
              <w:rPr>
                <w:b/>
                <w:color w:val="1C3A36"/>
                <w:sz w:val="17"/>
              </w:rPr>
              <w:t>30.65%</w:t>
            </w:r>
          </w:p>
        </w:tc>
        <w:tc>
          <w:tcPr>
            <w:tcW w:type="dxa" w:w="1512"/>
            <w:shd w:val="clear" w:color="auto" w:fill="F6F1E6"/>
          </w:tcPr>
          <w:p>
            <w:pPr>
              <w:spacing w:after="20"/>
              <w:jc w:val="right"/>
            </w:pPr>
            <w:r>
              <w:rPr>
                <w:b/>
                <w:color w:val="1C3A36"/>
                <w:sz w:val="17"/>
              </w:rPr>
              <w:t>29.08%</w:t>
            </w:r>
          </w:p>
        </w:tc>
        <w:tc>
          <w:tcPr>
            <w:tcW w:type="dxa" w:w="4248"/>
            <w:shd w:val="clear" w:color="auto" w:fill="F6F1E6"/>
          </w:tcPr>
          <w:p>
            <w:pPr>
              <w:spacing w:after="20"/>
            </w:pPr>
            <w:r>
              <w:rPr>
                <w:b/>
                <w:color w:val="1C3A36"/>
                <w:sz w:val="17"/>
              </w:rPr>
            </w:r>
          </w:p>
        </w:tc>
      </w:tr>
      <w:tr>
        <w:trPr>
          <w:cantSplit/>
        </w:trPr>
        <w:tc>
          <w:tcPr>
            <w:tcW w:type="dxa" w:w="2664"/>
          </w:tcPr>
          <w:p>
            <w:pPr>
              <w:spacing w:after="20"/>
            </w:pPr>
            <w:r>
              <w:rPr>
                <w:color w:val="1C3A36"/>
                <w:sz w:val="17"/>
              </w:rPr>
              <w:t>Cost of debt after tax, year one</w:t>
            </w:r>
          </w:p>
        </w:tc>
        <w:tc>
          <w:tcPr>
            <w:tcW w:type="dxa" w:w="1512"/>
          </w:tcPr>
          <w:p>
            <w:pPr>
              <w:spacing w:after="20"/>
              <w:jc w:val="right"/>
            </w:pPr>
            <w:r>
              <w:rPr>
                <w:color w:val="1C3A36"/>
                <w:sz w:val="17"/>
              </w:rPr>
              <w:t>18.86%</w:t>
            </w:r>
          </w:p>
        </w:tc>
        <w:tc>
          <w:tcPr>
            <w:tcW w:type="dxa" w:w="1512"/>
          </w:tcPr>
          <w:p>
            <w:pPr>
              <w:spacing w:after="20"/>
              <w:jc w:val="right"/>
            </w:pPr>
            <w:r>
              <w:rPr>
                <w:color w:val="1C3A36"/>
                <w:sz w:val="17"/>
              </w:rPr>
              <w:t>18.86%</w:t>
            </w:r>
          </w:p>
        </w:tc>
        <w:tc>
          <w:tcPr>
            <w:tcW w:type="dxa" w:w="4248"/>
          </w:tcPr>
          <w:p>
            <w:pPr>
              <w:spacing w:after="20"/>
            </w:pPr>
            <w:r>
              <w:rPr>
                <w:color w:val="1C3A36"/>
                <w:sz w:val="17"/>
              </w:rPr>
              <w:t>99.7% dollar, carried at local-equivalent cost on that year's currency wedge of 11.3%</w:t>
            </w:r>
          </w:p>
        </w:tc>
      </w:tr>
      <w:tr>
        <w:trPr>
          <w:cantSplit/>
        </w:trPr>
        <w:tc>
          <w:tcPr>
            <w:tcW w:type="dxa" w:w="2664"/>
          </w:tcPr>
          <w:p>
            <w:pPr>
              <w:spacing w:after="20"/>
            </w:pPr>
            <w:r>
              <w:rPr>
                <w:color w:val="1C3A36"/>
                <w:sz w:val="17"/>
              </w:rPr>
              <w:t>Weights, equity and debt</w:t>
            </w:r>
          </w:p>
        </w:tc>
        <w:tc>
          <w:tcPr>
            <w:tcW w:type="dxa" w:w="1512"/>
          </w:tcPr>
          <w:p>
            <w:pPr>
              <w:spacing w:after="20"/>
              <w:jc w:val="right"/>
            </w:pPr>
            <w:r>
              <w:rPr>
                <w:color w:val="1C3A36"/>
                <w:sz w:val="17"/>
              </w:rPr>
              <w:t>66.2% / 33.8%</w:t>
            </w:r>
          </w:p>
        </w:tc>
        <w:tc>
          <w:tcPr>
            <w:tcW w:type="dxa" w:w="1512"/>
          </w:tcPr>
          <w:p>
            <w:pPr>
              <w:spacing w:after="20"/>
              <w:jc w:val="right"/>
            </w:pPr>
            <w:r>
              <w:rPr>
                <w:color w:val="1C3A36"/>
                <w:sz w:val="17"/>
              </w:rPr>
              <w:t>66.2% / 33.8%</w:t>
            </w:r>
          </w:p>
        </w:tc>
        <w:tc>
          <w:tcPr>
            <w:tcW w:type="dxa" w:w="4248"/>
          </w:tcPr>
          <w:p>
            <w:pPr>
              <w:spacing w:after="20"/>
            </w:pPr>
            <w:r>
              <w:rPr>
                <w:color w:val="1C3A36"/>
                <w:sz w:val="17"/>
              </w:rPr>
              <w:t>Market-value equity, never book</w:t>
            </w:r>
          </w:p>
        </w:tc>
      </w:tr>
      <w:tr>
        <w:trPr>
          <w:cantSplit/>
        </w:trPr>
        <w:tc>
          <w:tcPr>
            <w:tcW w:type="dxa" w:w="2664"/>
            <w:shd w:val="clear" w:color="auto" w:fill="F6F1E6"/>
          </w:tcPr>
          <w:p>
            <w:pPr>
              <w:spacing w:after="20"/>
            </w:pPr>
            <w:r>
              <w:rPr>
                <w:b/>
                <w:color w:val="1C3A36"/>
                <w:sz w:val="17"/>
              </w:rPr>
              <w:t>Cost of capital, year one</w:t>
            </w:r>
          </w:p>
        </w:tc>
        <w:tc>
          <w:tcPr>
            <w:tcW w:type="dxa" w:w="1512"/>
            <w:shd w:val="clear" w:color="auto" w:fill="F6F1E6"/>
          </w:tcPr>
          <w:p>
            <w:pPr>
              <w:spacing w:after="20"/>
              <w:jc w:val="right"/>
            </w:pPr>
            <w:r>
              <w:rPr>
                <w:b/>
                <w:color w:val="1C3A36"/>
                <w:sz w:val="17"/>
              </w:rPr>
              <w:t>26.66%</w:t>
            </w:r>
          </w:p>
        </w:tc>
        <w:tc>
          <w:tcPr>
            <w:tcW w:type="dxa" w:w="1512"/>
            <w:shd w:val="clear" w:color="auto" w:fill="F6F1E6"/>
          </w:tcPr>
          <w:p>
            <w:pPr>
              <w:spacing w:after="20"/>
              <w:jc w:val="right"/>
            </w:pPr>
            <w:r>
              <w:rPr>
                <w:b/>
                <w:color w:val="1C3A36"/>
                <w:sz w:val="17"/>
              </w:rPr>
              <w:t>25.63%</w:t>
            </w:r>
          </w:p>
        </w:tc>
        <w:tc>
          <w:tcPr>
            <w:tcW w:type="dxa" w:w="4248"/>
            <w:shd w:val="clear" w:color="auto" w:fill="F6F1E6"/>
          </w:tcPr>
          <w:p>
            <w:pPr>
              <w:spacing w:after="20"/>
            </w:pPr>
            <w:r>
              <w:rPr>
                <w:b/>
                <w:color w:val="1C3A36"/>
                <w:sz w:val="17"/>
              </w:rPr>
              <w:t>The swap basis is carried into the valuation, as the market's own live pricing of the sovereign's credit against a rating judgement updated in steps. It is 104 basis points BELOW the rating basis, so the choice is not the conservative one and is not made on that ground; section 1.9 prices what the other basis is worth</w:t>
            </w:r>
          </w:p>
        </w:tc>
      </w:tr>
    </w:tbl>
    <w:p>
      <w:pPr>
        <w:spacing w:after="40"/>
      </w:pPr>
    </w:p>
    <w:p>
      <w:pPr>
        <w:spacing w:after="200" w:before="0"/>
      </w:pPr>
      <w:r>
        <w:rPr>
          <w:b w:val="0"/>
          <w:i/>
          <w:color w:val="6E7B77"/>
          <w:sz w:val="17"/>
        </w:rPr>
        <w:t>Table 18.  The cost of capital, built rather than assumed, on both premium bases.</w:t>
      </w:r>
    </w:p>
    <w:p>
      <w:pPr>
        <w:keepNext/>
        <w:spacing w:after="80" w:before="200"/>
      </w:pPr>
      <w:r>
        <w:rPr>
          <w:b/>
          <w:i w:val="0"/>
          <w:color w:val="1C3A36"/>
          <w:sz w:val="24"/>
        </w:rPr>
        <w:t>The cost of debt — three pieces of evidence, not an assumption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5184"/>
        <w:gridCol w:w="2016"/>
      </w:tblGrid>
      <w:tr>
        <w:trPr>
          <w:cantSplit/>
          <w:tblHeader/>
        </w:trPr>
        <w:tc>
          <w:tcPr>
            <w:tcW w:type="dxa" w:w="2736"/>
            <w:shd w:val="clear" w:color="auto" w:fill="EAF0EE"/>
          </w:tcPr>
          <w:p>
            <w:pPr>
              <w:spacing w:after="20"/>
            </w:pPr>
            <w:r>
              <w:rPr>
                <w:b/>
                <w:color w:val="1C3A36"/>
                <w:sz w:val="17"/>
              </w:rPr>
              <w:t>Evidence</w:t>
            </w:r>
          </w:p>
        </w:tc>
        <w:tc>
          <w:tcPr>
            <w:tcW w:type="dxa" w:w="5184"/>
            <w:shd w:val="clear" w:color="auto" w:fill="EAF0EE"/>
          </w:tcPr>
          <w:p>
            <w:pPr>
              <w:spacing w:after="20"/>
            </w:pPr>
            <w:r>
              <w:rPr>
                <w:b/>
                <w:color w:val="1C3A36"/>
                <w:sz w:val="17"/>
              </w:rPr>
              <w:t>What it shows</w:t>
            </w:r>
          </w:p>
        </w:tc>
        <w:tc>
          <w:tcPr>
            <w:tcW w:type="dxa" w:w="2016"/>
            <w:shd w:val="clear" w:color="auto" w:fill="EAF0EE"/>
          </w:tcPr>
          <w:p>
            <w:pPr>
              <w:spacing w:after="20"/>
            </w:pPr>
            <w:r>
              <w:rPr>
                <w:b/>
                <w:color w:val="1C3A36"/>
                <w:sz w:val="17"/>
              </w:rPr>
              <w:t>Rate</w:t>
            </w:r>
          </w:p>
        </w:tc>
      </w:tr>
      <w:tr>
        <w:trPr>
          <w:cantSplit/>
        </w:trPr>
        <w:tc>
          <w:tcPr>
            <w:tcW w:type="dxa" w:w="2736"/>
          </w:tcPr>
          <w:p>
            <w:pPr>
              <w:spacing w:after="20"/>
            </w:pPr>
            <w:r>
              <w:rPr>
                <w:color w:val="1C3A36"/>
                <w:sz w:val="17"/>
              </w:rPr>
              <w:t>The holding-company facility</w:t>
            </w:r>
          </w:p>
        </w:tc>
        <w:tc>
          <w:tcPr>
            <w:tcW w:type="dxa" w:w="5184"/>
          </w:tcPr>
          <w:p>
            <w:pPr>
              <w:spacing w:after="20"/>
            </w:pPr>
            <w:r>
              <w:rPr>
                <w:color w:val="1C3A36"/>
                <w:sz w:val="17"/>
              </w:rPr>
              <w:t>EGP 500 million drawn in FY2024/25 carried EGP 96.9 million of interest — the company's own latest local-currency borrowing</w:t>
            </w:r>
          </w:p>
        </w:tc>
        <w:tc>
          <w:tcPr>
            <w:tcW w:type="dxa" w:w="2016"/>
          </w:tcPr>
          <w:p>
            <w:pPr>
              <w:spacing w:after="20"/>
              <w:jc w:val="right"/>
            </w:pPr>
            <w:r>
              <w:rPr>
                <w:color w:val="1C3A36"/>
                <w:sz w:val="17"/>
              </w:rPr>
              <w:t>19.40%</w:t>
            </w:r>
          </w:p>
        </w:tc>
      </w:tr>
      <w:tr>
        <w:trPr>
          <w:cantSplit/>
        </w:trPr>
        <w:tc>
          <w:tcPr>
            <w:tcW w:type="dxa" w:w="2736"/>
          </w:tcPr>
          <w:p>
            <w:pPr>
              <w:spacing w:after="20"/>
            </w:pPr>
            <w:r>
              <w:rPr>
                <w:color w:val="1C3A36"/>
                <w:sz w:val="17"/>
              </w:rPr>
              <w:t>The project loan</w:t>
            </w:r>
          </w:p>
        </w:tc>
        <w:tc>
          <w:tcPr>
            <w:tcW w:type="dxa" w:w="5184"/>
          </w:tcPr>
          <w:p>
            <w:pPr>
              <w:spacing w:after="20"/>
            </w:pPr>
            <w:r>
              <w:rPr>
                <w:color w:val="1C3A36"/>
                <w:sz w:val="17"/>
              </w:rPr>
              <w:t>EGP 1,338.0 million of interest on a mean dollar balance of about US$233 million</w:t>
            </w:r>
          </w:p>
        </w:tc>
        <w:tc>
          <w:tcPr>
            <w:tcW w:type="dxa" w:w="2016"/>
          </w:tcPr>
          <w:p>
            <w:pPr>
              <w:spacing w:after="20"/>
              <w:jc w:val="right"/>
            </w:pPr>
            <w:r>
              <w:rPr>
                <w:color w:val="1C3A36"/>
                <w:sz w:val="17"/>
              </w:rPr>
              <w:t>11.70% in dollars</w:t>
            </w:r>
          </w:p>
        </w:tc>
      </w:tr>
      <w:tr>
        <w:trPr>
          <w:cantSplit/>
        </w:trPr>
        <w:tc>
          <w:tcPr>
            <w:tcW w:type="dxa" w:w="2736"/>
          </w:tcPr>
          <w:p>
            <w:pPr>
              <w:spacing w:after="20"/>
            </w:pPr>
            <w:r>
              <w:rPr>
                <w:color w:val="1C3A36"/>
                <w:sz w:val="17"/>
              </w:rPr>
              <w:t>The new facility</w:t>
            </w:r>
          </w:p>
        </w:tc>
        <w:tc>
          <w:tcPr>
            <w:tcW w:type="dxa" w:w="5184"/>
          </w:tcPr>
          <w:p>
            <w:pPr>
              <w:spacing w:after="20"/>
            </w:pPr>
            <w:r>
              <w:rPr>
                <w:color w:val="1C3A36"/>
                <w:sz w:val="17"/>
              </w:rPr>
              <w:t>US$82.9 million plus EGP 5,931 million, signed 25 June 2025 and amortising to 2035 and 2036 — the same dual-currency structure forward</w:t>
            </w:r>
          </w:p>
        </w:tc>
        <w:tc>
          <w:tcPr>
            <w:tcW w:type="dxa" w:w="2016"/>
          </w:tcPr>
          <w:p>
            <w:pPr>
              <w:spacing w:after="20"/>
              <w:jc w:val="right"/>
            </w:pPr>
            <w:r>
              <w:rPr>
                <w:color w:val="1C3A36"/>
                <w:sz w:val="17"/>
              </w:rPr>
              <w:t>same structure</w:t>
            </w:r>
          </w:p>
        </w:tc>
      </w:tr>
    </w:tbl>
    <w:p>
      <w:pPr>
        <w:spacing w:after="40"/>
      </w:pPr>
    </w:p>
    <w:p>
      <w:pPr>
        <w:spacing w:after="120" w:before="0"/>
      </w:pPr>
      <w:r>
        <w:rPr>
          <w:b w:val="0"/>
          <w:i w:val="0"/>
          <w:color w:val="1C3A36"/>
          <w:sz w:val="21"/>
        </w:rPr>
        <w:t>The pound tranche of the project loan was repaid in June 2024, so 99.7% of the book is dollar-denominated. A dollar coupon cannot be dropped into a cost of capital denominated in pounds: the company earns pounds and must buy dollars to service it. The dollar cost of 11.7% is therefore grossed up, year by year, by the depreciation the study's own currency path implies in that year — 11.3% in FY2026/27, giving a local-equivalent 24.35%, gliding to 4.5% in FY2030/31 and 16.72% — and to 4.5% on the long-run dollar cost of 9.0% in the terminal year, 13.90% on the dollar leg (13.91% once the 0.3% local facility is blended in). The wedge is the one the revenue build uses, so the debt and the currency cannot quietly disagree.</w:t>
      </w:r>
    </w:p>
    <w:p>
      <w:pPr>
        <w:spacing w:after="120" w:before="0"/>
      </w:pPr>
      <w:r>
        <w:rPr>
          <w:b w:val="0"/>
          <w:i w:val="0"/>
          <w:color w:val="1C3A36"/>
          <w:sz w:val="19"/>
        </w:rPr>
        <w:t>Two things about that construction are disclosed rather than argued, because the cost-of-capital build tests for both. The company's own local-currency facility carries 19.40% against a 23.00% sovereign ten-year yield: a same-currency corporate borrowing below its sovereign. It is the company's disclosed rate on a state-bank facility and is used as disclosed. A same-currency borrower does not normally borrow below its sovereign, so the construction with every leg floored at the 23.00% sovereign yield plus the company's own spread over the policy rate — which its facilities print as nil — is priced in the table below: EGP 6.76 a share on the carried-through cash-flow lens against EGP 9.24, a difference of EGP -2.47. The lower disclosed rates raise the answer, so the choice made leans toward the traded price, not away from it.</w:t>
      </w:r>
    </w:p>
    <w:p>
      <w:pPr>
        <w:keepNext/>
        <w:spacing w:after="80" w:before="200"/>
      </w:pPr>
      <w:r>
        <w:rPr>
          <w:b/>
          <w:i w:val="0"/>
          <w:color w:val="1C3A36"/>
          <w:sz w:val="24"/>
        </w:rPr>
        <w:t>Where this construction is contested, and what the alternative is worth</w:t>
      </w:r>
    </w:p>
    <w:p>
      <w:pPr>
        <w:spacing w:after="120" w:before="0"/>
      </w:pPr>
      <w:r>
        <w:rPr>
          <w:b w:val="0"/>
          <w:i w:val="0"/>
          <w:color w:val="1C3A36"/>
          <w:sz w:val="21"/>
        </w:rPr>
        <w:t>A spot cost of capital embeds today's 14.3% inflation in every future year, while the terminal value grows at the central bank's longest-horizon target of 7.0%. Capitalising one at the other is a units mismatch, and on a company whose value sits in its terminal year it would be the largest error in the study. The rate therefore glides to a terminal rate built from its own components: 7.0% inflation — the same figure terminal growth is set at, so the perpetuity neither grows nor shrinks in real terms — compounded with a 2.0% real rate gives a normalised risk-free rate of 9.00%, and the terminal cost of capital is 15.88%. Discount factors compound the glide year by year rather than raising one rate to a power. The earlier edition of this study discounted a 7.0%-growth perpetuity at a terminal rate built on the shorter-horizon 7.0% target, which assumed a real decline of about two per cent a year for ever that nothing disclosed; that is corrected here.</w:t>
      </w:r>
    </w:p>
    <w:p>
      <w:pPr>
        <w:spacing w:after="40"/>
        <w:jc w:val="center"/>
      </w:pPr>
      <w:r>
        <w:drawing>
          <wp:inline xmlns:a="http://schemas.openxmlformats.org/drawingml/2006/main" xmlns:pic="http://schemas.openxmlformats.org/drawingml/2006/picture">
            <wp:extent cx="6309360" cy="2575249"/>
            <wp:docPr id="8" name="Picture 8"/>
            <wp:cNvGraphicFramePr>
              <a:graphicFrameLocks noChangeAspect="1"/>
            </wp:cNvGraphicFramePr>
            <a:graphic>
              <a:graphicData uri="http://schemas.openxmlformats.org/drawingml/2006/picture">
                <pic:pic>
                  <pic:nvPicPr>
                    <pic:cNvPr id="0" name="fig7_glide.png"/>
                    <pic:cNvPicPr/>
                  </pic:nvPicPr>
                  <pic:blipFill>
                    <a:blip r:embed="rId16"/>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8.  The rate glides from its spot build to a terminal rate made from its own parts. The dotted line is the rate the traded price implies.</w:t>
      </w:r>
    </w:p>
    <w:p>
      <w:pPr>
        <w:spacing w:after="120" w:before="0"/>
      </w:pPr>
      <w:r>
        <w:rPr>
          <w:b w:val="0"/>
          <w:i w:val="0"/>
          <w:color w:val="1C3A36"/>
          <w:sz w:val="21"/>
        </w:rPr>
        <w:t>Thirteen choices in the construction above are legitimately arguable, and every one of them has been priced rather than defended in prose. Each row below is a complete re-run of the model with that single component moved and everything else held, so the figure in the third column is what this study would have published had it made the other choice.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563"/>
        <w:gridCol w:w="950"/>
        <w:gridCol w:w="950"/>
        <w:gridCol w:w="3139"/>
      </w:tblGrid>
      <w:tr>
        <w:trPr>
          <w:cantSplit/>
          <w:tblHeader/>
        </w:trPr>
        <w:tc>
          <w:tcPr>
            <w:tcW w:type="dxa" w:w="2477"/>
            <w:shd w:val="clear" w:color="auto" w:fill="EAF0EE"/>
          </w:tcPr>
          <w:p>
            <w:pPr>
              <w:spacing w:after="20"/>
            </w:pPr>
            <w:r>
              <w:rPr>
                <w:b/>
                <w:color w:val="1C3A36"/>
                <w:sz w:val="15"/>
              </w:rPr>
              <w:t>Choice made</w:t>
            </w:r>
          </w:p>
        </w:tc>
        <w:tc>
          <w:tcPr>
            <w:tcW w:type="dxa" w:w="2563"/>
            <w:shd w:val="clear" w:color="auto" w:fill="EAF0EE"/>
          </w:tcPr>
          <w:p>
            <w:pPr>
              <w:spacing w:after="20"/>
            </w:pPr>
            <w:r>
              <w:rPr>
                <w:b/>
                <w:color w:val="1C3A36"/>
                <w:sz w:val="15"/>
              </w:rPr>
              <w:t>The alternative</w:t>
            </w:r>
          </w:p>
        </w:tc>
        <w:tc>
          <w:tcPr>
            <w:tcW w:type="dxa" w:w="950"/>
            <w:shd w:val="clear" w:color="auto" w:fill="EAF0EE"/>
          </w:tcPr>
          <w:p>
            <w:pPr>
              <w:spacing w:after="20"/>
            </w:pPr>
            <w:r>
              <w:rPr>
                <w:b/>
                <w:color w:val="1C3A36"/>
                <w:sz w:val="15"/>
              </w:rPr>
              <w:t>On the alternative</w:t>
            </w:r>
          </w:p>
        </w:tc>
        <w:tc>
          <w:tcPr>
            <w:tcW w:type="dxa" w:w="950"/>
            <w:shd w:val="clear" w:color="auto" w:fill="EAF0EE"/>
          </w:tcPr>
          <w:p>
            <w:pPr>
              <w:spacing w:after="20"/>
            </w:pPr>
            <w:r>
              <w:rPr>
                <w:b/>
                <w:color w:val="1C3A36"/>
                <w:sz w:val="15"/>
              </w:rPr>
              <w:t>Against EGP 9.24</w:t>
            </w:r>
          </w:p>
        </w:tc>
        <w:tc>
          <w:tcPr>
            <w:tcW w:type="dxa" w:w="3139"/>
            <w:shd w:val="clear" w:color="auto" w:fill="EAF0EE"/>
          </w:tcPr>
          <w:p>
            <w:pPr>
              <w:spacing w:after="20"/>
            </w:pPr>
            <w:r>
              <w:rPr>
                <w:b/>
                <w:color w:val="1C3A36"/>
                <w:sz w:val="15"/>
              </w:rPr>
              <w:t>Why we keep ours</w:t>
            </w:r>
          </w:p>
        </w:tc>
      </w:tr>
      <w:tr>
        <w:trPr>
          <w:cantSplit/>
        </w:trPr>
        <w:tc>
          <w:tcPr>
            <w:tcW w:type="dxa" w:w="2477"/>
          </w:tcPr>
          <w:p>
            <w:pPr>
              <w:spacing w:after="20"/>
            </w:pPr>
            <w:r>
              <w:rPr>
                <w:color w:val="1C3A36"/>
                <w:sz w:val="15"/>
              </w:rPr>
              <w:t>No export duty, because Ministerial Decision 340 of 2026 cancelled the levy with effect from 1 August 2026 — five weeks before this study's strike</w:t>
            </w:r>
          </w:p>
        </w:tc>
        <w:tc>
          <w:tcPr>
            <w:tcW w:type="dxa" w:w="2563"/>
          </w:tcPr>
          <w:p>
            <w:pPr>
              <w:spacing w:after="20"/>
            </w:pPr>
            <w:r>
              <w:rPr>
                <w:color w:val="1C3A36"/>
                <w:sz w:val="15"/>
              </w:rPr>
              <w:t>The 10% ad-valorem duty back, charged on every export tonne for ever (6.0079), or at half that rate (7.6216)</w:t>
            </w:r>
          </w:p>
        </w:tc>
        <w:tc>
          <w:tcPr>
            <w:tcW w:type="dxa" w:w="950"/>
          </w:tcPr>
          <w:p>
            <w:pPr>
              <w:spacing w:after="20"/>
              <w:jc w:val="right"/>
            </w:pPr>
            <w:r>
              <w:rPr>
                <w:color w:val="1C3A36"/>
                <w:sz w:val="15"/>
              </w:rPr>
              <w:t>6.01</w:t>
            </w:r>
          </w:p>
        </w:tc>
        <w:tc>
          <w:tcPr>
            <w:tcW w:type="dxa" w:w="950"/>
          </w:tcPr>
          <w:p>
            <w:pPr>
              <w:spacing w:after="20"/>
              <w:jc w:val="right"/>
            </w:pPr>
            <w:r>
              <w:rPr>
                <w:color w:val="1C3A36"/>
                <w:sz w:val="15"/>
              </w:rPr>
              <w:t>-3.23</w:t>
            </w:r>
          </w:p>
        </w:tc>
        <w:tc>
          <w:tcPr>
            <w:tcW w:type="dxa" w:w="3139"/>
          </w:tcPr>
          <w:p>
            <w:pPr>
              <w:spacing w:after="20"/>
            </w:pPr>
            <w:r>
              <w:rPr>
                <w:color w:val="1C3A36"/>
                <w:sz w:val="15"/>
              </w:rPr>
              <w:t>THIS IS THE LARGEST SINGLE LINE IN THE STUDY AND IT TURNED OVER TWICE. The instrument was found in June and adopted: Decree 258 of 2026, 10% ad valorem on the FOB invoice value of nitrogen fertiliser exports, carrying no stated expiry of its own. It was then CANCELLED — Ministerial Decision 340 of 2026, effective 1 August 2026, striking down Decisions 190, 203 and 258 together. The Egyptian Customs Authority issued Circular 46 of 2026 to govern shipments whose declarations were opened before the levy ceased, which is the administrative trace a real cancellation leaves behind. This study strikes on 3 September, so the rate in force at the strike is NIL and the duty belonged to a window that had closed. IT WAS MISSED BECAUSE IT WAS SEARCHED FOR IN ENGLISH. Three searches found nothing and NOT FOUND WAS REPORTED AS NOT TRUE, on an Egyptian ministerial decision whose register, customs circular and trade coverage are all Arabic. Absence of evidence produced by looking in the wrong language is not evidence of absence, and five forecast years of a repealed duty is what it cost — EGP 2.98 a share against a gap of 9.21. THE ALTERNATIVE IS NOW THE DUTY'S RETURN, which is the honest direction to price it in: it was imposed once this year and can be imposed again, and a reader is entitled to see what the largest line in the study is worth if it comes back. PURE AMMONIUM NITRATE ABOVE 34.2% NITROGEN AND FREE-ZONE SHIPMENTS WERE EXEMPT while it ran, and the duty was applied to the UREA export leg alone, where urea is not exempt. What would improve the citation: the Gazette text of Decision 340 itself rather than the decree register and the customs circular that implement it.</w:t>
            </w:r>
          </w:p>
        </w:tc>
      </w:tr>
      <w:tr>
        <w:trPr>
          <w:cantSplit/>
        </w:trPr>
        <w:tc>
          <w:tcPr>
            <w:tcW w:type="dxa" w:w="2477"/>
          </w:tcPr>
          <w:p>
            <w:pPr>
              <w:spacing w:after="20"/>
            </w:pPr>
            <w:r>
              <w:rPr>
                <w:color w:val="1C3A36"/>
                <w:sz w:val="15"/>
              </w:rPr>
              <w:t>The new complex's granulated ammonium nitrate priced at the SAME PRODUCT'S OWN DISCLOSED REALISED PRICE — EGP 20,000/t from note 20, carried on the currency exactly as the existing nitrate business is</w:t>
            </w:r>
          </w:p>
        </w:tc>
        <w:tc>
          <w:tcPr>
            <w:tcW w:type="dxa" w:w="2563"/>
          </w:tcPr>
          <w:p>
            <w:pPr>
              <w:spacing w:after="20"/>
            </w:pPr>
            <w:r>
              <w:rPr>
                <w:color w:val="1C3A36"/>
                <w:sz w:val="15"/>
              </w:rPr>
              <w:t>Priced at the retired typed US$280/t, the weakest-sourced input in a 304-input register, whose source string was four words long and named no assessor, series, date or basis (8.5859)</w:t>
            </w:r>
          </w:p>
        </w:tc>
        <w:tc>
          <w:tcPr>
            <w:tcW w:type="dxa" w:w="950"/>
          </w:tcPr>
          <w:p>
            <w:pPr>
              <w:spacing w:after="20"/>
              <w:jc w:val="right"/>
            </w:pPr>
            <w:r>
              <w:rPr>
                <w:color w:val="1C3A36"/>
                <w:sz w:val="15"/>
              </w:rPr>
              <w:t>8.59</w:t>
            </w:r>
          </w:p>
        </w:tc>
        <w:tc>
          <w:tcPr>
            <w:tcW w:type="dxa" w:w="950"/>
          </w:tcPr>
          <w:p>
            <w:pPr>
              <w:spacing w:after="20"/>
              <w:jc w:val="right"/>
            </w:pPr>
            <w:r>
              <w:rPr>
                <w:color w:val="1C3A36"/>
                <w:sz w:val="15"/>
              </w:rPr>
              <w:t>-0.65</w:t>
            </w:r>
          </w:p>
        </w:tc>
        <w:tc>
          <w:tcPr>
            <w:tcW w:type="dxa" w:w="3139"/>
          </w:tcPr>
          <w:p>
            <w:pPr>
              <w:spacing w:after="20"/>
            </w:pPr>
            <w:r>
              <w:rPr>
                <w:color w:val="1C3A36"/>
                <w:sz w:val="15"/>
              </w:rPr>
              <w:t>THE STUDY PRICES ONE PRODUCT TWICE, 31% APART, AND THE TERMINAL TAKES THE LOWER. The existing granulated nitrate is carried at the disclosed EGP 20,000/t; the new complex's identical output is carried at a typed US$280/t whose source string is four words long and names no assessor, series, date or basis. The study set out at length why the terminal tonne's COST had to come off the auditor's own product cost table for this exact product -- granulated ammonium nitrate at EGP 4,076.31/t -- rather than from a ratio, and then took the price from a guess. The same principle, applied to one side of the margin only, and the side it was not applied to is the one 31% below the company's own realised figure. IT IS PRICED AND NOT ADOPTED. Two things are unresolved from what this desk holds: the disclosed figure is a LOCAL realised price while the new complex's output is modelled as export, and a mid-cycle price is by construction below a realised one. A search for an assessed mid-cycle ammonium nitrate series returned vendor subscription databases only, which is not a source this house uses, and what qualitative reporting there is points UP for 2026 on gas and Hormuz supply risk rather than down. Replacing an unsourced number with another unsourced number that happens to raise the value is not a correction, so the conservative figure stands and the reader is shown what it costs. What would settle it: an assessed FOB Egypt or Black Sea series with its assessor and date, or a note 20 splitting nitrate revenue into local and export.</w:t>
            </w:r>
          </w:p>
        </w:tc>
      </w:tr>
      <w:tr>
        <w:trPr>
          <w:cantSplit/>
        </w:trPr>
        <w:tc>
          <w:tcPr>
            <w:tcW w:type="dxa" w:w="2477"/>
          </w:tcPr>
          <w:p>
            <w:pPr>
              <w:spacing w:after="20"/>
            </w:pPr>
            <w:r>
              <w:rPr>
                <w:color w:val="1C3A36"/>
                <w:sz w:val="15"/>
              </w:rPr>
              <w:t>Country risk priced off the sovereign's traded default swap</w:t>
            </w:r>
          </w:p>
        </w:tc>
        <w:tc>
          <w:tcPr>
            <w:tcW w:type="dxa" w:w="2563"/>
          </w:tcPr>
          <w:p>
            <w:pPr>
              <w:spacing w:after="20"/>
            </w:pPr>
            <w:r>
              <w:rPr>
                <w:color w:val="1C3A36"/>
                <w:sz w:val="15"/>
              </w:rPr>
              <w:t>Priced off the sovereign's credit rating instead, which is the wider of the two spreads and gives a cost of capital 104 basis points higher</w:t>
            </w:r>
          </w:p>
        </w:tc>
        <w:tc>
          <w:tcPr>
            <w:tcW w:type="dxa" w:w="950"/>
          </w:tcPr>
          <w:p>
            <w:pPr>
              <w:spacing w:after="20"/>
              <w:jc w:val="right"/>
            </w:pPr>
            <w:r>
              <w:rPr>
                <w:color w:val="1C3A36"/>
                <w:sz w:val="15"/>
              </w:rPr>
              <w:t>6.05</w:t>
            </w:r>
          </w:p>
        </w:tc>
        <w:tc>
          <w:tcPr>
            <w:tcW w:type="dxa" w:w="950"/>
          </w:tcPr>
          <w:p>
            <w:pPr>
              <w:spacing w:after="20"/>
              <w:jc w:val="right"/>
            </w:pPr>
            <w:r>
              <w:rPr>
                <w:color w:val="1C3A36"/>
                <w:sz w:val="15"/>
              </w:rPr>
              <w:t>-3.19</w:t>
            </w:r>
          </w:p>
        </w:tc>
        <w:tc>
          <w:tcPr>
            <w:tcW w:type="dxa" w:w="3139"/>
          </w:tcPr>
          <w:p>
            <w:pPr>
              <w:spacing w:after="20"/>
            </w:pPr>
            <w:r>
              <w:rPr>
                <w:color w:val="1C3A36"/>
                <w:sz w:val="15"/>
              </w:rPr>
              <w:t>The swap basis is the market's own live pricing of this sovereign's credit, against a rating judgement updated in steps. It is the NARROWER spread, so this is not the conservative choice and is not made on that ground; the rating basis is priced here rather than argued about. Both are published in full in section 1.8 and neither is ever mixed with the other's risk-free rate.</w:t>
            </w:r>
          </w:p>
        </w:tc>
      </w:tr>
      <w:tr>
        <w:trPr>
          <w:cantSplit/>
        </w:trPr>
        <w:tc>
          <w:tcPr>
            <w:tcW w:type="dxa" w:w="2477"/>
          </w:tcPr>
          <w:p>
            <w:pPr>
              <w:spacing w:after="20"/>
            </w:pPr>
            <w:r>
              <w:rPr>
                <w:color w:val="1C3A36"/>
                <w:sz w:val="15"/>
              </w:rPr>
              <w:t>A cost of capital that glides from its spot build to a terminal rate made from its own long-run components</w:t>
            </w:r>
          </w:p>
        </w:tc>
        <w:tc>
          <w:tcPr>
            <w:tcW w:type="dxa" w:w="2563"/>
          </w:tcPr>
          <w:p>
            <w:pPr>
              <w:spacing w:after="20"/>
            </w:pPr>
            <w:r>
              <w:rPr>
                <w:color w:val="1C3A36"/>
                <w:sz w:val="15"/>
              </w:rPr>
              <w:t>One flat spot rate applied to every explicit year and to the perpetuity</w:t>
            </w:r>
          </w:p>
        </w:tc>
        <w:tc>
          <w:tcPr>
            <w:tcW w:type="dxa" w:w="950"/>
          </w:tcPr>
          <w:p>
            <w:pPr>
              <w:spacing w:after="20"/>
              <w:jc w:val="right"/>
            </w:pPr>
            <w:r>
              <w:rPr>
                <w:color w:val="1C3A36"/>
                <w:sz w:val="15"/>
              </w:rPr>
              <w:t>3.15</w:t>
            </w:r>
          </w:p>
        </w:tc>
        <w:tc>
          <w:tcPr>
            <w:tcW w:type="dxa" w:w="950"/>
          </w:tcPr>
          <w:p>
            <w:pPr>
              <w:spacing w:after="20"/>
              <w:jc w:val="right"/>
            </w:pPr>
            <w:r>
              <w:rPr>
                <w:color w:val="1C3A36"/>
                <w:sz w:val="15"/>
              </w:rPr>
              <w:t>-6.09</w:t>
            </w:r>
          </w:p>
        </w:tc>
        <w:tc>
          <w:tcPr>
            <w:tcW w:type="dxa" w:w="3139"/>
          </w:tcPr>
          <w:p>
            <w:pPr>
              <w:spacing w:after="20"/>
            </w:pPr>
            <w:r>
              <w:rPr>
                <w:color w:val="1C3A36"/>
                <w:sz w:val="15"/>
              </w:rPr>
              <w:t>A spot rate carries today's inflation print into a perpetuity growing at the central bank's target. That is a units mismatch, and on a company whose value sits in its terminal year it would be the largest single error in the study.</w:t>
            </w:r>
          </w:p>
        </w:tc>
      </w:tr>
      <w:tr>
        <w:trPr>
          <w:cantSplit/>
        </w:trPr>
        <w:tc>
          <w:tcPr>
            <w:tcW w:type="dxa" w:w="2477"/>
          </w:tcPr>
          <w:p>
            <w:pPr>
              <w:spacing w:after="20"/>
            </w:pPr>
            <w:r>
              <w:rPr>
                <w:color w:val="1C3A36"/>
                <w:sz w:val="15"/>
              </w:rPr>
              <w:t>Terminal growth at the central bank's medium-term inflation target</w:t>
            </w:r>
          </w:p>
        </w:tc>
        <w:tc>
          <w:tcPr>
            <w:tcW w:type="dxa" w:w="2563"/>
          </w:tcPr>
          <w:p>
            <w:pPr>
              <w:spacing w:after="20"/>
            </w:pPr>
            <w:r>
              <w:rPr>
                <w:color w:val="1C3A36"/>
                <w:sz w:val="15"/>
              </w:rPr>
              <w:t>Two percentage points below it, which is negative real maintenance growth</w:t>
            </w:r>
          </w:p>
        </w:tc>
        <w:tc>
          <w:tcPr>
            <w:tcW w:type="dxa" w:w="950"/>
          </w:tcPr>
          <w:p>
            <w:pPr>
              <w:spacing w:after="20"/>
              <w:jc w:val="right"/>
            </w:pPr>
            <w:r>
              <w:rPr>
                <w:color w:val="1C3A36"/>
                <w:sz w:val="15"/>
              </w:rPr>
              <w:t>5.85</w:t>
            </w:r>
          </w:p>
        </w:tc>
        <w:tc>
          <w:tcPr>
            <w:tcW w:type="dxa" w:w="950"/>
          </w:tcPr>
          <w:p>
            <w:pPr>
              <w:spacing w:after="20"/>
              <w:jc w:val="right"/>
            </w:pPr>
            <w:r>
              <w:rPr>
                <w:color w:val="1C3A36"/>
                <w:sz w:val="15"/>
              </w:rPr>
              <w:t>-3.39</w:t>
            </w:r>
          </w:p>
        </w:tc>
        <w:tc>
          <w:tcPr>
            <w:tcW w:type="dxa" w:w="3139"/>
          </w:tcPr>
          <w:p>
            <w:pPr>
              <w:spacing w:after="20"/>
            </w:pPr>
            <w:r>
              <w:rPr>
                <w:color w:val="1C3A36"/>
                <w:sz w:val="15"/>
              </w:rPr>
              <w:t>Nominal maintenance growth with no real growth is the neutral assumption for a single plant at steady state. Below inflation implies the asset shrinks in real terms every year forever, which the maintenance capital expenditure in the model is sized to prevent.</w:t>
            </w:r>
          </w:p>
        </w:tc>
      </w:tr>
      <w:tr>
        <w:trPr>
          <w:cantSplit/>
        </w:trPr>
        <w:tc>
          <w:tcPr>
            <w:tcW w:type="dxa" w:w="2477"/>
          </w:tcPr>
          <w:p>
            <w:pPr>
              <w:spacing w:after="20"/>
            </w:pPr>
            <w:r>
              <w:rPr>
                <w:color w:val="1C3A36"/>
                <w:sz w:val="15"/>
              </w:rPr>
              <w:t>The cost of debt at the company's own disclosed rates — 19.4% on the local facility, 11.7% in dollars on the project loan carried at local-equivalent cost on the derived currency path, 24.4% in year one gliding to 13.9% at the terminal</w:t>
            </w:r>
          </w:p>
        </w:tc>
        <w:tc>
          <w:tcPr>
            <w:tcW w:type="dxa" w:w="2563"/>
          </w:tcPr>
          <w:p>
            <w:pPr>
              <w:spacing w:after="20"/>
            </w:pPr>
            <w:r>
              <w:rPr>
                <w:color w:val="1C3A36"/>
                <w:sz w:val="15"/>
              </w:rPr>
              <w:t>Every leg floored at the 23.00% sovereign ten-year yield — the company's own facilities print no spread above the policy rate, so no spread is added</w:t>
            </w:r>
          </w:p>
        </w:tc>
        <w:tc>
          <w:tcPr>
            <w:tcW w:type="dxa" w:w="950"/>
          </w:tcPr>
          <w:p>
            <w:pPr>
              <w:spacing w:after="20"/>
              <w:jc w:val="right"/>
            </w:pPr>
            <w:r>
              <w:rPr>
                <w:color w:val="1C3A36"/>
                <w:sz w:val="15"/>
              </w:rPr>
              <w:t>6.76</w:t>
            </w:r>
          </w:p>
        </w:tc>
        <w:tc>
          <w:tcPr>
            <w:tcW w:type="dxa" w:w="950"/>
          </w:tcPr>
          <w:p>
            <w:pPr>
              <w:spacing w:after="20"/>
              <w:jc w:val="right"/>
            </w:pPr>
            <w:r>
              <w:rPr>
                <w:color w:val="1C3A36"/>
                <w:sz w:val="15"/>
              </w:rPr>
              <w:t>-2.47</w:t>
            </w:r>
          </w:p>
        </w:tc>
        <w:tc>
          <w:tcPr>
            <w:tcW w:type="dxa" w:w="3139"/>
          </w:tcPr>
          <w:p>
            <w:pPr>
              <w:spacing w:after="20"/>
            </w:pPr>
            <w:r>
              <w:rPr>
                <w:color w:val="1C3A36"/>
                <w:sz w:val="15"/>
              </w:rPr>
              <w:t>A same-currency corporate cannot normally borrow below its sovereign, and the local facility does (its dollar leg sits below the normalised risk-free rate in 0 of the five explicit years). The disclosed rates are what the company actually pays on state-bank facilities and are used as disclosed; the floored construction is published beside them, not averaged in.</w:t>
            </w:r>
          </w:p>
        </w:tc>
      </w:tr>
      <w:tr>
        <w:trPr>
          <w:cantSplit/>
        </w:trPr>
        <w:tc>
          <w:tcPr>
            <w:tcW w:type="dxa" w:w="2477"/>
          </w:tcPr>
          <w:p>
            <w:pPr>
              <w:spacing w:after="20"/>
            </w:pPr>
            <w:r>
              <w:rPr>
                <w:color w:val="1C3A36"/>
                <w:sz w:val="15"/>
              </w:rPr>
              <w:t>Beta from the five-year weekly regression of the share against the published EGX30 index</w:t>
            </w:r>
          </w:p>
        </w:tc>
        <w:tc>
          <w:tcPr>
            <w:tcW w:type="dxa" w:w="2563"/>
          </w:tcPr>
          <w:p>
            <w:pPr>
              <w:spacing w:after="20"/>
            </w:pPr>
            <w:r>
              <w:rPr>
                <w:color w:val="1C3A36"/>
                <w:sz w:val="15"/>
              </w:rPr>
              <w:t>The lower bound of that regression's own 90% confidence interval</w:t>
            </w:r>
          </w:p>
        </w:tc>
        <w:tc>
          <w:tcPr>
            <w:tcW w:type="dxa" w:w="950"/>
          </w:tcPr>
          <w:p>
            <w:pPr>
              <w:spacing w:after="20"/>
              <w:jc w:val="right"/>
            </w:pPr>
            <w:r>
              <w:rPr>
                <w:color w:val="1C3A36"/>
                <w:sz w:val="15"/>
              </w:rPr>
              <w:t>10.73</w:t>
            </w:r>
          </w:p>
        </w:tc>
        <w:tc>
          <w:tcPr>
            <w:tcW w:type="dxa" w:w="950"/>
          </w:tcPr>
          <w:p>
            <w:pPr>
              <w:spacing w:after="20"/>
              <w:jc w:val="right"/>
            </w:pPr>
            <w:r>
              <w:rPr>
                <w:color w:val="1C3A36"/>
                <w:sz w:val="15"/>
              </w:rPr>
              <w:t>+1.49</w:t>
            </w:r>
          </w:p>
        </w:tc>
        <w:tc>
          <w:tcPr>
            <w:tcW w:type="dxa" w:w="3139"/>
          </w:tcPr>
          <w:p>
            <w:pPr>
              <w:spacing w:after="20"/>
            </w:pPr>
            <w:r>
              <w:rPr>
                <w:color w:val="1C3A36"/>
                <w:sz w:val="15"/>
              </w:rPr>
              <w:t>The regression passes all three conditions of the usability test, so the point estimate is adopted; the interval is wide because the share is thinly traded, and the lower bound is priced here rather than argued away.</w:t>
            </w:r>
          </w:p>
        </w:tc>
      </w:tr>
      <w:tr>
        <w:trPr>
          <w:cantSplit/>
        </w:trPr>
        <w:tc>
          <w:tcPr>
            <w:tcW w:type="dxa" w:w="2477"/>
          </w:tcPr>
          <w:p>
            <w:pPr>
              <w:spacing w:after="20"/>
            </w:pPr>
            <w:r>
              <w:rPr>
                <w:color w:val="1C3A36"/>
                <w:sz w:val="15"/>
              </w:rPr>
              <w:t>Gas at the realised price the company's own loss disclosure implies</w:t>
            </w:r>
          </w:p>
        </w:tc>
        <w:tc>
          <w:tcPr>
            <w:tcW w:type="dxa" w:w="2563"/>
          </w:tcPr>
          <w:p>
            <w:pPr>
              <w:spacing w:after="20"/>
            </w:pPr>
            <w:r>
              <w:rPr>
                <w:color w:val="1C3A36"/>
                <w:sz w:val="15"/>
              </w:rPr>
              <w:t>The contract formula price in the operating agreement, which is higher</w:t>
            </w:r>
          </w:p>
        </w:tc>
        <w:tc>
          <w:tcPr>
            <w:tcW w:type="dxa" w:w="950"/>
          </w:tcPr>
          <w:p>
            <w:pPr>
              <w:spacing w:after="20"/>
              <w:jc w:val="right"/>
            </w:pPr>
            <w:r>
              <w:rPr>
                <w:color w:val="1C3A36"/>
                <w:sz w:val="15"/>
              </w:rPr>
              <w:t>5.99</w:t>
            </w:r>
          </w:p>
        </w:tc>
        <w:tc>
          <w:tcPr>
            <w:tcW w:type="dxa" w:w="950"/>
          </w:tcPr>
          <w:p>
            <w:pPr>
              <w:spacing w:after="20"/>
              <w:jc w:val="right"/>
            </w:pPr>
            <w:r>
              <w:rPr>
                <w:color w:val="1C3A36"/>
                <w:sz w:val="15"/>
              </w:rPr>
              <w:t>-3.25</w:t>
            </w:r>
          </w:p>
        </w:tc>
        <w:tc>
          <w:tcPr>
            <w:tcW w:type="dxa" w:w="3139"/>
          </w:tcPr>
          <w:p>
            <w:pPr>
              <w:spacing w:after="20"/>
            </w:pPr>
            <w:r>
              <w:rPr>
                <w:color w:val="1C3A36"/>
                <w:sz w:val="15"/>
              </w:rPr>
              <w:t>The realised price is what the company actually paid on its own numbers. The contract price is carried as the downside case rather than as the central assumption, because a company that has been paying less than its contract for three years is evidence, not an exception.</w:t>
            </w:r>
          </w:p>
        </w:tc>
      </w:tr>
      <w:tr>
        <w:trPr>
          <w:cantSplit/>
        </w:trPr>
        <w:tc>
          <w:tcPr>
            <w:tcW w:type="dxa" w:w="2477"/>
          </w:tcPr>
          <w:p>
            <w:pPr>
              <w:spacing w:after="20"/>
            </w:pPr>
            <w:r>
              <w:rPr>
                <w:color w:val="1C3A36"/>
                <w:sz w:val="15"/>
              </w:rPr>
              <w:t>The new complex earning at half its derived nameplate in the terminal year</w:t>
            </w:r>
          </w:p>
        </w:tc>
        <w:tc>
          <w:tcPr>
            <w:tcW w:type="dxa" w:w="2563"/>
          </w:tcPr>
          <w:p>
            <w:pPr>
              <w:spacing w:after="20"/>
            </w:pPr>
            <w:r>
              <w:rPr>
                <w:color w:val="1C3A36"/>
                <w:sz w:val="15"/>
              </w:rPr>
              <w:t>Seventy per cent, which is what a well-run nitrate line achieves</w:t>
            </w:r>
          </w:p>
        </w:tc>
        <w:tc>
          <w:tcPr>
            <w:tcW w:type="dxa" w:w="950"/>
          </w:tcPr>
          <w:p>
            <w:pPr>
              <w:spacing w:after="20"/>
              <w:jc w:val="right"/>
            </w:pPr>
            <w:r>
              <w:rPr>
                <w:color w:val="1C3A36"/>
                <w:sz w:val="15"/>
              </w:rPr>
              <w:t>10.06</w:t>
            </w:r>
          </w:p>
        </w:tc>
        <w:tc>
          <w:tcPr>
            <w:tcW w:type="dxa" w:w="950"/>
          </w:tcPr>
          <w:p>
            <w:pPr>
              <w:spacing w:after="20"/>
              <w:jc w:val="right"/>
            </w:pPr>
            <w:r>
              <w:rPr>
                <w:color w:val="1C3A36"/>
                <w:sz w:val="15"/>
              </w:rPr>
              <w:t>+0.83</w:t>
            </w:r>
          </w:p>
        </w:tc>
        <w:tc>
          <w:tcPr>
            <w:tcW w:type="dxa" w:w="3139"/>
          </w:tcPr>
          <w:p>
            <w:pPr>
              <w:spacing w:after="20"/>
            </w:pPr>
            <w:r>
              <w:rPr>
                <w:color w:val="1C3A36"/>
                <w:sz w:val="15"/>
              </w:rPr>
              <w:t>Half is the observed record of the existing plant against its own plate under the same gas constraint. Assuming the new line does better than the old one on the same feedstock would need evidence no filing provides.</w:t>
            </w:r>
          </w:p>
        </w:tc>
      </w:tr>
      <w:tr>
        <w:trPr>
          <w:cantSplit/>
        </w:trPr>
        <w:tc>
          <w:tcPr>
            <w:tcW w:type="dxa" w:w="2477"/>
          </w:tcPr>
          <w:p>
            <w:pPr>
              <w:spacing w:after="20"/>
            </w:pPr>
            <w:r>
              <w:rPr>
                <w:color w:val="1C3A36"/>
                <w:sz w:val="15"/>
              </w:rPr>
              <w:t>Maintenance capital expenditure at the company's own observed pre-project rate of 1.12% of revenue</w:t>
            </w:r>
          </w:p>
        </w:tc>
        <w:tc>
          <w:tcPr>
            <w:tcW w:type="dxa" w:w="2563"/>
          </w:tcPr>
          <w:p>
            <w:pPr>
              <w:spacing w:after="20"/>
            </w:pPr>
            <w:r>
              <w:rPr>
                <w:color w:val="1C3A36"/>
                <w:sz w:val="15"/>
              </w:rPr>
              <w:t>Replacement-rate maintenance: gross fixed assets at the disclosed 3.95% machinery depreciation rate, or 6.11% of revenue</w:t>
            </w:r>
          </w:p>
        </w:tc>
        <w:tc>
          <w:tcPr>
            <w:tcW w:type="dxa" w:w="950"/>
          </w:tcPr>
          <w:p>
            <w:pPr>
              <w:spacing w:after="20"/>
              <w:jc w:val="right"/>
            </w:pPr>
            <w:r>
              <w:rPr>
                <w:color w:val="1C3A36"/>
                <w:sz w:val="15"/>
              </w:rPr>
              <w:t>8.24</w:t>
            </w:r>
          </w:p>
        </w:tc>
        <w:tc>
          <w:tcPr>
            <w:tcW w:type="dxa" w:w="950"/>
          </w:tcPr>
          <w:p>
            <w:pPr>
              <w:spacing w:after="20"/>
              <w:jc w:val="right"/>
            </w:pPr>
            <w:r>
              <w:rPr>
                <w:color w:val="1C3A36"/>
                <w:sz w:val="15"/>
              </w:rPr>
              <w:t>-1.00</w:t>
            </w:r>
          </w:p>
        </w:tc>
        <w:tc>
          <w:tcPr>
            <w:tcW w:type="dxa" w:w="3139"/>
          </w:tcPr>
          <w:p>
            <w:pPr>
              <w:spacing w:after="20"/>
            </w:pPr>
            <w:r>
              <w:rPr>
                <w:color w:val="1C3A36"/>
                <w:sz w:val="15"/>
              </w:rPr>
              <w:t>The observed rate is what this company has actually paid to keep this plant running in the two years when it was not building anything. The replacement-rate framing is the honest upper bound — a plant cannot spend a fifth of its depreciation forever — and it is carried as the downside case rather than averaged into the central.</w:t>
            </w:r>
          </w:p>
        </w:tc>
      </w:tr>
      <w:tr>
        <w:trPr>
          <w:cantSplit/>
        </w:trPr>
        <w:tc>
          <w:tcPr>
            <w:tcW w:type="dxa" w:w="2477"/>
          </w:tcPr>
          <w:p>
            <w:pPr>
              <w:spacing w:after="20"/>
            </w:pPr>
            <w:r>
              <w:rPr>
                <w:color w:val="1C3A36"/>
                <w:sz w:val="15"/>
              </w:rPr>
              <w:t>Capital maintenance charged at what replacing the plant costs today, on the 4.45-year average age the accounts MEASURE — accumulated depreciation over the year's own charge</w:t>
            </w:r>
          </w:p>
        </w:tc>
        <w:tc>
          <w:tcPr>
            <w:tcW w:type="dxa" w:w="2563"/>
          </w:tcPr>
          <w:p>
            <w:pPr>
              <w:spacing w:after="20"/>
            </w:pPr>
            <w:r>
              <w:rPr>
                <w:color w:val="1C3A36"/>
                <w:sz w:val="15"/>
              </w:rPr>
              <w:t>Half the 22.1-year life the same accounts imply, 11.04 years, which is what has to be assumed where a company does not disclose enough to measure it</w:t>
            </w:r>
          </w:p>
        </w:tc>
        <w:tc>
          <w:tcPr>
            <w:tcW w:type="dxa" w:w="950"/>
          </w:tcPr>
          <w:p>
            <w:pPr>
              <w:spacing w:after="20"/>
              <w:jc w:val="right"/>
            </w:pPr>
            <w:r>
              <w:rPr>
                <w:color w:val="1C3A36"/>
                <w:sz w:val="15"/>
              </w:rPr>
              <w:t>6.28</w:t>
            </w:r>
          </w:p>
        </w:tc>
        <w:tc>
          <w:tcPr>
            <w:tcW w:type="dxa" w:w="950"/>
          </w:tcPr>
          <w:p>
            <w:pPr>
              <w:spacing w:after="20"/>
              <w:jc w:val="right"/>
            </w:pPr>
            <w:r>
              <w:rPr>
                <w:color w:val="1C3A36"/>
                <w:sz w:val="15"/>
              </w:rPr>
              <w:t>-2.96</w:t>
            </w:r>
          </w:p>
        </w:tc>
        <w:tc>
          <w:tcPr>
            <w:tcW w:type="dxa" w:w="3139"/>
          </w:tcPr>
          <w:p>
            <w:pPr>
              <w:spacing w:after="20"/>
            </w:pPr>
            <w:r>
              <w:rPr>
                <w:color w:val="1C3A36"/>
                <w:sz w:val="15"/>
              </w:rPr>
              <w:t>This is the largest contested number inside the TERMINAL, and the third largest of the ten alternatives priced here — behind the gas price and the discount-rate glide, both of which are about the forecast rather than about the terminal. It is a question about THIS BASE rather than about method. Half the life is the right assumption for a plant in steady state, where the average asset is half worn out. This one is not: only 1.3% of the base is fully depreciated and still in production, and a second complex is still being built, so the measured age is a quarter of the life rather than half. The measured figure is adopted BECAUSE it is measured, and the assumed one is published beside it so a reader can see what the disclosure is worth. THIS ROW REPLACED THE TERMINAL REINVESTMENT ROW, which priced a return on capital that no longer enters the terminal at all: under the sanctioned construction there is no reinvestment rate to contest, and this module's own gate caught the dead alternative the moment it scored zero.</w:t>
            </w:r>
          </w:p>
        </w:tc>
      </w:tr>
      <w:tr>
        <w:trPr>
          <w:cantSplit/>
        </w:trPr>
        <w:tc>
          <w:tcPr>
            <w:tcW w:type="dxa" w:w="2477"/>
          </w:tcPr>
          <w:p>
            <w:pPr>
              <w:spacing w:after="20"/>
            </w:pPr>
            <w:r>
              <w:rPr>
                <w:color w:val="1C3A36"/>
                <w:sz w:val="15"/>
              </w:rPr>
              <w:t>Gas consumption at 1,292 cubic metres a tonne of ammonia — the rate implied by allocating three quarters of the single disclosed materials line to gas, which carries the plant's disclosed losses as well as its standard usage</w:t>
            </w:r>
          </w:p>
        </w:tc>
        <w:tc>
          <w:tcPr>
            <w:tcW w:type="dxa" w:w="2563"/>
          </w:tcPr>
          <w:p>
            <w:pPr>
              <w:spacing w:after="20"/>
            </w:pPr>
            <w:r>
              <w:rPr>
                <w:color w:val="1C3A36"/>
                <w:sz w:val="15"/>
              </w:rPr>
              <w:t>The auditor's own disclosed STANDARD rate of 1,200 cubic metres a tonne, which is what the plant consumes when it runs to specification and excludes the losses</w:t>
            </w:r>
          </w:p>
        </w:tc>
        <w:tc>
          <w:tcPr>
            <w:tcW w:type="dxa" w:w="950"/>
          </w:tcPr>
          <w:p>
            <w:pPr>
              <w:spacing w:after="20"/>
              <w:jc w:val="right"/>
            </w:pPr>
            <w:r>
              <w:rPr>
                <w:color w:val="1C3A36"/>
                <w:sz w:val="15"/>
              </w:rPr>
              <w:t>10.25</w:t>
            </w:r>
          </w:p>
        </w:tc>
        <w:tc>
          <w:tcPr>
            <w:tcW w:type="dxa" w:w="950"/>
          </w:tcPr>
          <w:p>
            <w:pPr>
              <w:spacing w:after="20"/>
              <w:jc w:val="right"/>
            </w:pPr>
            <w:r>
              <w:rPr>
                <w:color w:val="1C3A36"/>
                <w:sz w:val="15"/>
              </w:rPr>
              <w:t>+1.01</w:t>
            </w:r>
          </w:p>
        </w:tc>
        <w:tc>
          <w:tcPr>
            <w:tcW w:type="dxa" w:w="3139"/>
          </w:tcPr>
          <w:p>
            <w:pPr>
              <w:spacing w:after="20"/>
            </w:pPr>
            <w:r>
              <w:rPr>
                <w:color w:val="1C3A36"/>
                <w:sz w:val="15"/>
              </w:rPr>
              <w:t>The disclosed standard is the cleaner number and it is not what this plant does: the same auditor's report discloses 38,480,270 cubic metres of gas LOST in FY2024/25, which over that year's ammonia output is a further 120.9 cubic metres a tonne. Standard plus disclosed loss is 1,320.9 and the modelled rate sits between the two. The higher figure is adopted because a model of what this plant actually consumes has to carry the losses; the standard is priced here because it is a disclosed primary figure and a reader is entitled to see what adopting it would be worth. It is the only alternative in this table that was found by an audit run from OUTSIDE the study rather than chosen by it, which is the argument for that audit.</w:t>
            </w:r>
          </w:p>
        </w:tc>
      </w:tr>
      <w:tr>
        <w:trPr>
          <w:cantSplit/>
        </w:trPr>
        <w:tc>
          <w:tcPr>
            <w:tcW w:type="dxa" w:w="2477"/>
          </w:tcPr>
          <w:p>
            <w:pPr>
              <w:spacing w:after="20"/>
            </w:pPr>
            <w:r>
              <w:rPr>
                <w:color w:val="1C3A36"/>
                <w:sz w:val="15"/>
              </w:rPr>
              <w:t>Project spending anchored on the observed run rate: the nine-month actual extended to a full year</w:t>
            </w:r>
          </w:p>
        </w:tc>
        <w:tc>
          <w:tcPr>
            <w:tcW w:type="dxa" w:w="2563"/>
          </w:tcPr>
          <w:p>
            <w:pPr>
              <w:spacing w:after="20"/>
            </w:pPr>
            <w:r>
              <w:rPr>
                <w:color w:val="1C3A36"/>
                <w:sz w:val="15"/>
              </w:rPr>
              <w:t>The faster profile the first issue of this study used, opening at EGP 3,000m</w:t>
            </w:r>
          </w:p>
        </w:tc>
        <w:tc>
          <w:tcPr>
            <w:tcW w:type="dxa" w:w="950"/>
          </w:tcPr>
          <w:p>
            <w:pPr>
              <w:spacing w:after="20"/>
              <w:jc w:val="right"/>
            </w:pPr>
            <w:r>
              <w:rPr>
                <w:color w:val="1C3A36"/>
                <w:sz w:val="15"/>
              </w:rPr>
              <w:t>9.03</w:t>
            </w:r>
          </w:p>
        </w:tc>
        <w:tc>
          <w:tcPr>
            <w:tcW w:type="dxa" w:w="950"/>
          </w:tcPr>
          <w:p>
            <w:pPr>
              <w:spacing w:after="20"/>
              <w:jc w:val="right"/>
            </w:pPr>
            <w:r>
              <w:rPr>
                <w:color w:val="1C3A36"/>
                <w:sz w:val="15"/>
              </w:rPr>
              <w:t>-0.20</w:t>
            </w:r>
          </w:p>
        </w:tc>
        <w:tc>
          <w:tcPr>
            <w:tcW w:type="dxa" w:w="3139"/>
          </w:tcPr>
          <w:p>
            <w:pPr>
              <w:spacing w:after="20"/>
            </w:pPr>
            <w:r>
              <w:rPr>
                <w:color w:val="1C3A36"/>
                <w:sz w:val="15"/>
              </w:rPr>
              <w:t>The company has never spent EGP 3,000m in a year on this project. The observed rate is a disclosed, dated figure and the total still completes the approved cost inside the forecast window.</w:t>
            </w:r>
          </w:p>
        </w:tc>
      </w:tr>
    </w:tbl>
    <w:p>
      <w:pPr>
        <w:spacing w:after="40"/>
      </w:pPr>
    </w:p>
    <w:p>
      <w:pPr>
        <w:spacing w:after="200" w:before="0"/>
      </w:pPr>
      <w:r>
        <w:rPr>
          <w:b w:val="0"/>
          <w:i/>
          <w:color w:val="6E7B77"/>
          <w:sz w:val="17"/>
        </w:rPr>
        <w:t>Table 19.  The two that move the answer most are glide (-6.09) and terminal growth (-3.39); none of the 13, and no combination of them, closes the gap to the traded price.</w:t>
      </w:r>
    </w:p>
    <w:p>
      <w:pPr>
        <w:keepNext/>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6309360" cy="2961536"/>
            <wp:docPr id="9" name="Picture 9"/>
            <wp:cNvGraphicFramePr>
              <a:graphicFrameLocks noChangeAspect="1"/>
            </wp:cNvGraphicFramePr>
            <a:graphic>
              <a:graphicData uri="http://schemas.openxmlformats.org/drawingml/2006/picture">
                <pic:pic>
                  <pic:nvPicPr>
                    <pic:cNvPr id="0" name="fig5_crux.png"/>
                    <pic:cNvPicPr/>
                  </pic:nvPicPr>
                  <pic:blipFill>
                    <a:blip r:embed="rId17"/>
                    <a:stretch>
                      <a:fillRect/>
                    </a:stretch>
                  </pic:blipFill>
                  <pic:spPr>
                    <a:xfrm>
                      <a:off x="0" y="0"/>
                      <a:ext cx="6309360" cy="2961536"/>
                    </a:xfrm>
                    <a:prstGeom prst="rect"/>
                  </pic:spPr>
                </pic:pic>
              </a:graphicData>
            </a:graphic>
          </wp:inline>
        </w:drawing>
      </w:r>
    </w:p>
    <w:p>
      <w:pPr>
        <w:spacing w:after="200" w:before="0"/>
      </w:pPr>
      <w:r>
        <w:rPr>
          <w:b w:val="0"/>
          <w:i/>
          <w:color w:val="6E7B77"/>
          <w:sz w:val="17"/>
        </w:rPr>
        <w:t>Figure 9.  Value per share across the two observable inputs that decide it. Every cell is a complete revaluation, not an interpolation.</w:t>
      </w:r>
    </w:p>
    <w:p>
      <w:pPr>
        <w:spacing w:after="120" w:before="0"/>
      </w:pPr>
      <w:r>
        <w:rPr>
          <w:b w:val="0"/>
          <w:i w:val="0"/>
          <w:color w:val="1C3A36"/>
          <w:sz w:val="21"/>
        </w:rPr>
        <w:t>The same grid in numbers. Each column is a long-run export price in dollars a tonne, each row a terminal cost of capital, and each cell a full re-run of the model — the segment build, the waterfall, the terminal year and the bridge — not a multiplier applied to the central answer.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83"/>
        <w:gridCol w:w="1483"/>
        <w:gridCol w:w="1483"/>
        <w:gridCol w:w="1483"/>
        <w:gridCol w:w="1483"/>
      </w:tblGrid>
      <w:tr>
        <w:trPr>
          <w:cantSplit/>
          <w:tblHeader/>
        </w:trPr>
        <w:tc>
          <w:tcPr>
            <w:tcW w:type="dxa" w:w="2520"/>
            <w:shd w:val="clear" w:color="auto" w:fill="EAF0EE"/>
          </w:tcPr>
          <w:p>
            <w:pPr>
              <w:spacing w:after="20"/>
            </w:pPr>
            <w:r>
              <w:rPr>
                <w:b/>
                <w:color w:val="1C3A36"/>
                <w:sz w:val="17"/>
              </w:rPr>
              <w:t>Terminal cost of capital</w:t>
            </w:r>
          </w:p>
        </w:tc>
        <w:tc>
          <w:tcPr>
            <w:tcW w:type="dxa" w:w="1483"/>
            <w:shd w:val="clear" w:color="auto" w:fill="EAF0EE"/>
          </w:tcPr>
          <w:p>
            <w:pPr>
              <w:spacing w:after="20"/>
            </w:pPr>
            <w:r>
              <w:rPr>
                <w:b/>
                <w:color w:val="1C3A36"/>
                <w:sz w:val="17"/>
              </w:rPr>
              <w:t>US$380/t</w:t>
            </w:r>
          </w:p>
        </w:tc>
        <w:tc>
          <w:tcPr>
            <w:tcW w:type="dxa" w:w="1483"/>
            <w:shd w:val="clear" w:color="auto" w:fill="EAF0EE"/>
          </w:tcPr>
          <w:p>
            <w:pPr>
              <w:spacing w:after="20"/>
            </w:pPr>
            <w:r>
              <w:rPr>
                <w:b/>
                <w:color w:val="1C3A36"/>
                <w:sz w:val="17"/>
              </w:rPr>
              <w:t>US$420/t</w:t>
            </w:r>
          </w:p>
        </w:tc>
        <w:tc>
          <w:tcPr>
            <w:tcW w:type="dxa" w:w="1483"/>
            <w:shd w:val="clear" w:color="auto" w:fill="EAF0EE"/>
          </w:tcPr>
          <w:p>
            <w:pPr>
              <w:spacing w:after="20"/>
            </w:pPr>
            <w:r>
              <w:rPr>
                <w:b/>
                <w:color w:val="1C3A36"/>
                <w:sz w:val="17"/>
              </w:rPr>
              <w:t>US$460/t</w:t>
            </w:r>
          </w:p>
        </w:tc>
        <w:tc>
          <w:tcPr>
            <w:tcW w:type="dxa" w:w="1483"/>
            <w:shd w:val="clear" w:color="auto" w:fill="EAF0EE"/>
          </w:tcPr>
          <w:p>
            <w:pPr>
              <w:spacing w:after="20"/>
            </w:pPr>
            <w:r>
              <w:rPr>
                <w:b/>
                <w:color w:val="1C3A36"/>
                <w:sz w:val="17"/>
              </w:rPr>
              <w:t>US$500/t</w:t>
            </w:r>
          </w:p>
        </w:tc>
        <w:tc>
          <w:tcPr>
            <w:tcW w:type="dxa" w:w="1483"/>
            <w:shd w:val="clear" w:color="auto" w:fill="EAF0EE"/>
          </w:tcPr>
          <w:p>
            <w:pPr>
              <w:spacing w:after="20"/>
            </w:pPr>
            <w:r>
              <w:rPr>
                <w:b/>
                <w:color w:val="1C3A36"/>
                <w:sz w:val="17"/>
              </w:rPr>
              <w:t>US$540/t</w:t>
            </w:r>
          </w:p>
        </w:tc>
      </w:tr>
      <w:tr>
        <w:trPr>
          <w:cantSplit/>
        </w:trPr>
        <w:tc>
          <w:tcPr>
            <w:tcW w:type="dxa" w:w="2520"/>
          </w:tcPr>
          <w:p>
            <w:pPr>
              <w:spacing w:after="20"/>
            </w:pPr>
            <w:r>
              <w:rPr>
                <w:color w:val="1C3A36"/>
                <w:sz w:val="17"/>
              </w:rPr>
              <w:t>17.0%</w:t>
            </w:r>
          </w:p>
        </w:tc>
        <w:tc>
          <w:tcPr>
            <w:tcW w:type="dxa" w:w="1483"/>
          </w:tcPr>
          <w:p>
            <w:pPr>
              <w:spacing w:after="20"/>
              <w:jc w:val="right"/>
            </w:pPr>
            <w:r>
              <w:rPr>
                <w:color w:val="1C3A36"/>
                <w:sz w:val="17"/>
              </w:rPr>
              <w:t>-0.30</w:t>
            </w:r>
          </w:p>
        </w:tc>
        <w:tc>
          <w:tcPr>
            <w:tcW w:type="dxa" w:w="1483"/>
          </w:tcPr>
          <w:p>
            <w:pPr>
              <w:spacing w:after="20"/>
              <w:jc w:val="right"/>
            </w:pPr>
            <w:r>
              <w:rPr>
                <w:color w:val="1C3A36"/>
                <w:sz w:val="17"/>
              </w:rPr>
              <w:t>2.23</w:t>
            </w:r>
          </w:p>
        </w:tc>
        <w:tc>
          <w:tcPr>
            <w:tcW w:type="dxa" w:w="1483"/>
          </w:tcPr>
          <w:p>
            <w:pPr>
              <w:spacing w:after="20"/>
              <w:jc w:val="right"/>
            </w:pPr>
            <w:r>
              <w:rPr>
                <w:color w:val="1C3A36"/>
                <w:sz w:val="17"/>
              </w:rPr>
              <w:t>4.76</w:t>
            </w:r>
          </w:p>
        </w:tc>
        <w:tc>
          <w:tcPr>
            <w:tcW w:type="dxa" w:w="1483"/>
          </w:tcPr>
          <w:p>
            <w:pPr>
              <w:spacing w:after="20"/>
              <w:jc w:val="right"/>
            </w:pPr>
            <w:r>
              <w:rPr>
                <w:color w:val="1C3A36"/>
                <w:sz w:val="17"/>
              </w:rPr>
              <w:t>7.28</w:t>
            </w:r>
          </w:p>
        </w:tc>
        <w:tc>
          <w:tcPr>
            <w:tcW w:type="dxa" w:w="1483"/>
          </w:tcPr>
          <w:p>
            <w:pPr>
              <w:spacing w:after="20"/>
              <w:jc w:val="right"/>
            </w:pPr>
            <w:r>
              <w:rPr>
                <w:color w:val="1C3A36"/>
                <w:sz w:val="17"/>
              </w:rPr>
              <w:t>9.81</w:t>
            </w:r>
          </w:p>
        </w:tc>
      </w:tr>
      <w:tr>
        <w:trPr>
          <w:cantSplit/>
        </w:trPr>
        <w:tc>
          <w:tcPr>
            <w:tcW w:type="dxa" w:w="2520"/>
          </w:tcPr>
          <w:p>
            <w:pPr>
              <w:spacing w:after="20"/>
            </w:pPr>
            <w:r>
              <w:rPr>
                <w:color w:val="1C3A36"/>
                <w:sz w:val="17"/>
              </w:rPr>
              <w:t>18.5%</w:t>
            </w:r>
          </w:p>
        </w:tc>
        <w:tc>
          <w:tcPr>
            <w:tcW w:type="dxa" w:w="1483"/>
          </w:tcPr>
          <w:p>
            <w:pPr>
              <w:spacing w:after="20"/>
              <w:jc w:val="right"/>
            </w:pPr>
            <w:r>
              <w:rPr>
                <w:color w:val="1C3A36"/>
                <w:sz w:val="17"/>
              </w:rPr>
              <w:t>-0.67</w:t>
            </w:r>
          </w:p>
        </w:tc>
        <w:tc>
          <w:tcPr>
            <w:tcW w:type="dxa" w:w="1483"/>
          </w:tcPr>
          <w:p>
            <w:pPr>
              <w:spacing w:after="20"/>
              <w:jc w:val="right"/>
            </w:pPr>
            <w:r>
              <w:rPr>
                <w:color w:val="1C3A36"/>
                <w:sz w:val="17"/>
              </w:rPr>
              <w:t>1.65</w:t>
            </w:r>
          </w:p>
        </w:tc>
        <w:tc>
          <w:tcPr>
            <w:tcW w:type="dxa" w:w="1483"/>
          </w:tcPr>
          <w:p>
            <w:pPr>
              <w:spacing w:after="20"/>
              <w:jc w:val="right"/>
            </w:pPr>
            <w:r>
              <w:rPr>
                <w:color w:val="1C3A36"/>
                <w:sz w:val="17"/>
              </w:rPr>
              <w:t>3.97</w:t>
            </w:r>
          </w:p>
        </w:tc>
        <w:tc>
          <w:tcPr>
            <w:tcW w:type="dxa" w:w="1483"/>
          </w:tcPr>
          <w:p>
            <w:pPr>
              <w:spacing w:after="20"/>
              <w:jc w:val="right"/>
            </w:pPr>
            <w:r>
              <w:rPr>
                <w:color w:val="1C3A36"/>
                <w:sz w:val="17"/>
              </w:rPr>
              <w:t>6.29</w:t>
            </w:r>
          </w:p>
        </w:tc>
        <w:tc>
          <w:tcPr>
            <w:tcW w:type="dxa" w:w="1483"/>
          </w:tcPr>
          <w:p>
            <w:pPr>
              <w:spacing w:after="20"/>
              <w:jc w:val="right"/>
            </w:pPr>
            <w:r>
              <w:rPr>
                <w:color w:val="1C3A36"/>
                <w:sz w:val="17"/>
              </w:rPr>
              <w:t>8.61</w:t>
            </w:r>
          </w:p>
        </w:tc>
      </w:tr>
      <w:tr>
        <w:trPr>
          <w:cantSplit/>
        </w:trPr>
        <w:tc>
          <w:tcPr>
            <w:tcW w:type="dxa" w:w="2520"/>
          </w:tcPr>
          <w:p>
            <w:pPr>
              <w:spacing w:after="20"/>
            </w:pPr>
            <w:r>
              <w:rPr>
                <w:color w:val="1C3A36"/>
                <w:sz w:val="17"/>
              </w:rPr>
              <w:t>20.4%</w:t>
            </w:r>
          </w:p>
        </w:tc>
        <w:tc>
          <w:tcPr>
            <w:tcW w:type="dxa" w:w="1483"/>
          </w:tcPr>
          <w:p>
            <w:pPr>
              <w:spacing w:after="20"/>
              <w:jc w:val="right"/>
            </w:pPr>
            <w:r>
              <w:rPr>
                <w:color w:val="1C3A36"/>
                <w:sz w:val="17"/>
              </w:rPr>
              <w:t>-1.02</w:t>
            </w:r>
          </w:p>
        </w:tc>
        <w:tc>
          <w:tcPr>
            <w:tcW w:type="dxa" w:w="1483"/>
          </w:tcPr>
          <w:p>
            <w:pPr>
              <w:spacing w:after="20"/>
              <w:jc w:val="right"/>
            </w:pPr>
            <w:r>
              <w:rPr>
                <w:color w:val="1C3A36"/>
                <w:sz w:val="17"/>
              </w:rPr>
              <w:t>1.10</w:t>
            </w:r>
          </w:p>
        </w:tc>
        <w:tc>
          <w:tcPr>
            <w:tcW w:type="dxa" w:w="1483"/>
          </w:tcPr>
          <w:p>
            <w:pPr>
              <w:spacing w:after="20"/>
              <w:jc w:val="right"/>
            </w:pPr>
            <w:r>
              <w:rPr>
                <w:color w:val="1C3A36"/>
                <w:sz w:val="17"/>
              </w:rPr>
              <w:t>3.22</w:t>
            </w:r>
          </w:p>
        </w:tc>
        <w:tc>
          <w:tcPr>
            <w:tcW w:type="dxa" w:w="1483"/>
          </w:tcPr>
          <w:p>
            <w:pPr>
              <w:spacing w:after="20"/>
              <w:jc w:val="right"/>
            </w:pPr>
            <w:r>
              <w:rPr>
                <w:color w:val="1C3A36"/>
                <w:sz w:val="17"/>
              </w:rPr>
              <w:t>5.35</w:t>
            </w:r>
          </w:p>
        </w:tc>
        <w:tc>
          <w:tcPr>
            <w:tcW w:type="dxa" w:w="1483"/>
          </w:tcPr>
          <w:p>
            <w:pPr>
              <w:spacing w:after="20"/>
              <w:jc w:val="right"/>
            </w:pPr>
            <w:r>
              <w:rPr>
                <w:color w:val="1C3A36"/>
                <w:sz w:val="17"/>
              </w:rPr>
              <w:t>7.47</w:t>
            </w:r>
          </w:p>
        </w:tc>
      </w:tr>
      <w:tr>
        <w:trPr>
          <w:cantSplit/>
        </w:trPr>
        <w:tc>
          <w:tcPr>
            <w:tcW w:type="dxa" w:w="2520"/>
          </w:tcPr>
          <w:p>
            <w:pPr>
              <w:spacing w:after="20"/>
            </w:pPr>
            <w:r>
              <w:rPr>
                <w:color w:val="1C3A36"/>
                <w:sz w:val="17"/>
              </w:rPr>
              <w:t>22.0%</w:t>
            </w:r>
          </w:p>
        </w:tc>
        <w:tc>
          <w:tcPr>
            <w:tcW w:type="dxa" w:w="1483"/>
          </w:tcPr>
          <w:p>
            <w:pPr>
              <w:spacing w:after="20"/>
              <w:jc w:val="right"/>
            </w:pPr>
            <w:r>
              <w:rPr>
                <w:color w:val="1C3A36"/>
                <w:sz w:val="17"/>
              </w:rPr>
              <w:t>-1.25</w:t>
            </w:r>
          </w:p>
        </w:tc>
        <w:tc>
          <w:tcPr>
            <w:tcW w:type="dxa" w:w="1483"/>
          </w:tcPr>
          <w:p>
            <w:pPr>
              <w:spacing w:after="20"/>
              <w:jc w:val="right"/>
            </w:pPr>
            <w:r>
              <w:rPr>
                <w:color w:val="1C3A36"/>
                <w:sz w:val="17"/>
              </w:rPr>
              <w:t>0.75</w:t>
            </w:r>
          </w:p>
        </w:tc>
        <w:tc>
          <w:tcPr>
            <w:tcW w:type="dxa" w:w="1483"/>
          </w:tcPr>
          <w:p>
            <w:pPr>
              <w:spacing w:after="20"/>
              <w:jc w:val="right"/>
            </w:pPr>
            <w:r>
              <w:rPr>
                <w:color w:val="1C3A36"/>
                <w:sz w:val="17"/>
              </w:rPr>
              <w:t>2.74</w:t>
            </w:r>
          </w:p>
        </w:tc>
        <w:tc>
          <w:tcPr>
            <w:tcW w:type="dxa" w:w="1483"/>
          </w:tcPr>
          <w:p>
            <w:pPr>
              <w:spacing w:after="20"/>
              <w:jc w:val="right"/>
            </w:pPr>
            <w:r>
              <w:rPr>
                <w:color w:val="1C3A36"/>
                <w:sz w:val="17"/>
              </w:rPr>
              <w:t>4.74</w:t>
            </w:r>
          </w:p>
        </w:tc>
        <w:tc>
          <w:tcPr>
            <w:tcW w:type="dxa" w:w="1483"/>
          </w:tcPr>
          <w:p>
            <w:pPr>
              <w:spacing w:after="20"/>
              <w:jc w:val="right"/>
            </w:pPr>
            <w:r>
              <w:rPr>
                <w:color w:val="1C3A36"/>
                <w:sz w:val="17"/>
              </w:rPr>
              <w:t>6.74</w:t>
            </w:r>
          </w:p>
        </w:tc>
      </w:tr>
      <w:tr>
        <w:trPr>
          <w:cantSplit/>
        </w:trPr>
        <w:tc>
          <w:tcPr>
            <w:tcW w:type="dxa" w:w="2520"/>
          </w:tcPr>
          <w:p>
            <w:pPr>
              <w:spacing w:after="20"/>
            </w:pPr>
            <w:r>
              <w:rPr>
                <w:color w:val="1C3A36"/>
                <w:sz w:val="17"/>
              </w:rPr>
              <w:t>24.0%</w:t>
            </w:r>
          </w:p>
        </w:tc>
        <w:tc>
          <w:tcPr>
            <w:tcW w:type="dxa" w:w="1483"/>
          </w:tcPr>
          <w:p>
            <w:pPr>
              <w:spacing w:after="20"/>
              <w:jc w:val="right"/>
            </w:pPr>
            <w:r>
              <w:rPr>
                <w:color w:val="1C3A36"/>
                <w:sz w:val="17"/>
              </w:rPr>
              <w:t>-1.48</w:t>
            </w:r>
          </w:p>
        </w:tc>
        <w:tc>
          <w:tcPr>
            <w:tcW w:type="dxa" w:w="1483"/>
          </w:tcPr>
          <w:p>
            <w:pPr>
              <w:spacing w:after="20"/>
              <w:jc w:val="right"/>
            </w:pPr>
            <w:r>
              <w:rPr>
                <w:color w:val="1C3A36"/>
                <w:sz w:val="17"/>
              </w:rPr>
              <w:t>0.40</w:t>
            </w:r>
          </w:p>
        </w:tc>
        <w:tc>
          <w:tcPr>
            <w:tcW w:type="dxa" w:w="1483"/>
          </w:tcPr>
          <w:p>
            <w:pPr>
              <w:spacing w:after="20"/>
              <w:jc w:val="right"/>
            </w:pPr>
            <w:r>
              <w:rPr>
                <w:color w:val="1C3A36"/>
                <w:sz w:val="17"/>
              </w:rPr>
              <w:t>2.27</w:t>
            </w:r>
          </w:p>
        </w:tc>
        <w:tc>
          <w:tcPr>
            <w:tcW w:type="dxa" w:w="1483"/>
          </w:tcPr>
          <w:p>
            <w:pPr>
              <w:spacing w:after="20"/>
              <w:jc w:val="right"/>
            </w:pPr>
            <w:r>
              <w:rPr>
                <w:color w:val="1C3A36"/>
                <w:sz w:val="17"/>
              </w:rPr>
              <w:t>4.14</w:t>
            </w:r>
          </w:p>
        </w:tc>
        <w:tc>
          <w:tcPr>
            <w:tcW w:type="dxa" w:w="1483"/>
          </w:tcPr>
          <w:p>
            <w:pPr>
              <w:spacing w:after="20"/>
              <w:jc w:val="right"/>
            </w:pPr>
            <w:r>
              <w:rPr>
                <w:color w:val="1C3A36"/>
                <w:sz w:val="17"/>
              </w:rPr>
              <w:t>6.02</w:t>
            </w:r>
          </w:p>
        </w:tc>
      </w:tr>
    </w:tbl>
    <w:p>
      <w:pPr>
        <w:spacing w:after="40"/>
      </w:pPr>
    </w:p>
    <w:p>
      <w:pPr>
        <w:spacing w:after="200" w:before="0"/>
      </w:pPr>
      <w:r>
        <w:rPr>
          <w:b w:val="0"/>
          <w:i/>
          <w:color w:val="6E7B77"/>
          <w:sz w:val="17"/>
        </w:rPr>
        <w:t>Table 20.  The highest cell in the grid is EGP 9.81, at a long-run export price above today's spot and a terminal rate below the sovereign's own short-term yield. Reaching EGP 14.41 requires leaving the grid altogether, which is what the reverse calculation in the headline does explicitly.</w:t>
      </w:r>
    </w:p>
    <w:p>
      <w:pPr>
        <w:spacing w:after="120" w:before="0"/>
      </w:pPr>
      <w:r>
        <w:rPr>
          <w:b w:val="0"/>
          <w:i w:val="0"/>
          <w:color w:val="1C3A36"/>
          <w:sz w:val="21"/>
        </w:rPr>
        <w:t>Each anchor below is varied independently around its own base, so the swings do not add. Every one is the difference between two complete re-runs of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3384"/>
        <w:gridCol w:w="2160"/>
        <w:gridCol w:w="1152"/>
      </w:tblGrid>
      <w:tr>
        <w:trPr>
          <w:cantSplit/>
          <w:tblHeader/>
        </w:trPr>
        <w:tc>
          <w:tcPr>
            <w:tcW w:type="dxa" w:w="2736"/>
            <w:shd w:val="clear" w:color="auto" w:fill="EAF0EE"/>
          </w:tcPr>
          <w:p>
            <w:pPr>
              <w:spacing w:after="20"/>
            </w:pPr>
            <w:r>
              <w:rPr>
                <w:b/>
                <w:color w:val="1C3A36"/>
                <w:sz w:val="16"/>
              </w:rPr>
              <w:t>What moves</w:t>
            </w:r>
          </w:p>
        </w:tc>
        <w:tc>
          <w:tcPr>
            <w:tcW w:type="dxa" w:w="3384"/>
            <w:shd w:val="clear" w:color="auto" w:fill="EAF0EE"/>
          </w:tcPr>
          <w:p>
            <w:pPr>
              <w:spacing w:after="20"/>
            </w:pPr>
            <w:r>
              <w:rPr>
                <w:b/>
                <w:color w:val="1C3A36"/>
                <w:sz w:val="16"/>
              </w:rPr>
              <w:t>Range tested</w:t>
            </w:r>
          </w:p>
        </w:tc>
        <w:tc>
          <w:tcPr>
            <w:tcW w:type="dxa" w:w="2160"/>
            <w:shd w:val="clear" w:color="auto" w:fill="EAF0EE"/>
          </w:tcPr>
          <w:p>
            <w:pPr>
              <w:spacing w:after="20"/>
            </w:pPr>
            <w:r>
              <w:rPr>
                <w:b/>
                <w:color w:val="1C3A36"/>
                <w:sz w:val="16"/>
              </w:rPr>
              <w:t>Fair value span (EGP/share)</w:t>
            </w:r>
          </w:p>
        </w:tc>
        <w:tc>
          <w:tcPr>
            <w:tcW w:type="dxa" w:w="1152"/>
            <w:shd w:val="clear" w:color="auto" w:fill="EAF0EE"/>
          </w:tcPr>
          <w:p>
            <w:pPr>
              <w:spacing w:after="20"/>
            </w:pPr>
            <w:r>
              <w:rPr>
                <w:b/>
                <w:color w:val="1C3A36"/>
                <w:sz w:val="16"/>
              </w:rPr>
              <w:t>Swing</w:t>
            </w:r>
          </w:p>
        </w:tc>
      </w:tr>
      <w:tr>
        <w:trPr>
          <w:cantSplit/>
        </w:trPr>
        <w:tc>
          <w:tcPr>
            <w:tcW w:type="dxa" w:w="2736"/>
            <w:shd w:val="clear" w:color="auto" w:fill="F6F1E6"/>
          </w:tcPr>
          <w:p>
            <w:pPr>
              <w:spacing w:after="20"/>
            </w:pPr>
            <w:r>
              <w:rPr>
                <w:b/>
                <w:color w:val="1C3A36"/>
                <w:sz w:val="16"/>
              </w:rPr>
              <w:t>Long-run export price</w:t>
            </w:r>
          </w:p>
        </w:tc>
        <w:tc>
          <w:tcPr>
            <w:tcW w:type="dxa" w:w="3384"/>
            <w:shd w:val="clear" w:color="auto" w:fill="F6F1E6"/>
          </w:tcPr>
          <w:p>
            <w:pPr>
              <w:spacing w:after="20"/>
            </w:pPr>
            <w:r>
              <w:rPr>
                <w:b/>
                <w:color w:val="1C3A36"/>
                <w:sz w:val="16"/>
              </w:rPr>
              <w:t>US$380 to US$540 a tonne</w:t>
            </w:r>
          </w:p>
        </w:tc>
        <w:tc>
          <w:tcPr>
            <w:tcW w:type="dxa" w:w="2160"/>
            <w:shd w:val="clear" w:color="auto" w:fill="F6F1E6"/>
          </w:tcPr>
          <w:p>
            <w:pPr>
              <w:spacing w:after="20"/>
              <w:jc w:val="right"/>
            </w:pPr>
            <w:r>
              <w:rPr>
                <w:b/>
                <w:color w:val="1C3A36"/>
                <w:sz w:val="16"/>
              </w:rPr>
              <w:t>-1.02 to 7.47</w:t>
            </w:r>
          </w:p>
        </w:tc>
        <w:tc>
          <w:tcPr>
            <w:tcW w:type="dxa" w:w="1152"/>
            <w:shd w:val="clear" w:color="auto" w:fill="F6F1E6"/>
          </w:tcPr>
          <w:p>
            <w:pPr>
              <w:spacing w:after="20"/>
              <w:jc w:val="right"/>
            </w:pPr>
            <w:r>
              <w:rPr>
                <w:b/>
                <w:color w:val="1C3A36"/>
                <w:sz w:val="16"/>
              </w:rPr>
              <w:t>8.50</w:t>
            </w:r>
          </w:p>
        </w:tc>
      </w:tr>
      <w:tr>
        <w:trPr>
          <w:cantSplit/>
        </w:trPr>
        <w:tc>
          <w:tcPr>
            <w:tcW w:type="dxa" w:w="2736"/>
          </w:tcPr>
          <w:p>
            <w:pPr>
              <w:spacing w:after="20"/>
            </w:pPr>
            <w:r>
              <w:rPr>
                <w:color w:val="1C3A36"/>
                <w:sz w:val="16"/>
              </w:rPr>
              <w:t>The capital programme</w:t>
            </w:r>
          </w:p>
        </w:tc>
        <w:tc>
          <w:tcPr>
            <w:tcW w:type="dxa" w:w="3384"/>
          </w:tcPr>
          <w:p>
            <w:pPr>
              <w:spacing w:after="20"/>
            </w:pPr>
            <w:r>
              <w:rPr>
                <w:color w:val="1C3A36"/>
                <w:sz w:val="16"/>
              </w:rPr>
              <w:t>Carried through against stopped</w:t>
            </w:r>
          </w:p>
        </w:tc>
        <w:tc>
          <w:tcPr>
            <w:tcW w:type="dxa" w:w="2160"/>
          </w:tcPr>
          <w:p>
            <w:pPr>
              <w:spacing w:after="20"/>
              <w:jc w:val="right"/>
            </w:pPr>
            <w:r>
              <w:rPr>
                <w:color w:val="1C3A36"/>
                <w:sz w:val="16"/>
              </w:rPr>
              <w:t>9.24 to 12.77</w:t>
            </w:r>
          </w:p>
        </w:tc>
        <w:tc>
          <w:tcPr>
            <w:tcW w:type="dxa" w:w="1152"/>
          </w:tcPr>
          <w:p>
            <w:pPr>
              <w:spacing w:after="20"/>
              <w:jc w:val="right"/>
            </w:pPr>
            <w:r>
              <w:rPr>
                <w:color w:val="1C3A36"/>
                <w:sz w:val="16"/>
              </w:rPr>
              <w:t>3.54</w:t>
            </w:r>
          </w:p>
        </w:tc>
      </w:tr>
      <w:tr>
        <w:trPr>
          <w:cantSplit/>
        </w:trPr>
        <w:tc>
          <w:tcPr>
            <w:tcW w:type="dxa" w:w="2736"/>
          </w:tcPr>
          <w:p>
            <w:pPr>
              <w:spacing w:after="20"/>
            </w:pPr>
            <w:r>
              <w:rPr>
                <w:color w:val="1C3A36"/>
                <w:sz w:val="16"/>
              </w:rPr>
              <w:t>Terminal growth</w:t>
            </w:r>
          </w:p>
        </w:tc>
        <w:tc>
          <w:tcPr>
            <w:tcW w:type="dxa" w:w="3384"/>
          </w:tcPr>
          <w:p>
            <w:pPr>
              <w:spacing w:after="20"/>
            </w:pPr>
            <w:r>
              <w:rPr>
                <w:color w:val="1C3A36"/>
                <w:sz w:val="16"/>
              </w:rPr>
              <w:t>7.0% against 3.0%</w:t>
            </w:r>
          </w:p>
        </w:tc>
        <w:tc>
          <w:tcPr>
            <w:tcW w:type="dxa" w:w="2160"/>
          </w:tcPr>
          <w:p>
            <w:pPr>
              <w:spacing w:after="20"/>
              <w:jc w:val="right"/>
            </w:pPr>
            <w:r>
              <w:rPr>
                <w:color w:val="1C3A36"/>
                <w:sz w:val="16"/>
              </w:rPr>
              <w:t>5.85 to 9.24</w:t>
            </w:r>
          </w:p>
        </w:tc>
        <w:tc>
          <w:tcPr>
            <w:tcW w:type="dxa" w:w="1152"/>
          </w:tcPr>
          <w:p>
            <w:pPr>
              <w:spacing w:after="20"/>
              <w:jc w:val="right"/>
            </w:pPr>
            <w:r>
              <w:rPr>
                <w:color w:val="1C3A36"/>
                <w:sz w:val="16"/>
              </w:rPr>
              <w:t>3.39</w:t>
            </w:r>
          </w:p>
        </w:tc>
      </w:tr>
      <w:tr>
        <w:trPr>
          <w:cantSplit/>
        </w:trPr>
        <w:tc>
          <w:tcPr>
            <w:tcW w:type="dxa" w:w="2736"/>
          </w:tcPr>
          <w:p>
            <w:pPr>
              <w:spacing w:after="20"/>
            </w:pPr>
            <w:r>
              <w:rPr>
                <w:color w:val="1C3A36"/>
                <w:sz w:val="16"/>
              </w:rPr>
              <w:t>Gas price</w:t>
            </w:r>
          </w:p>
        </w:tc>
        <w:tc>
          <w:tcPr>
            <w:tcW w:type="dxa" w:w="3384"/>
          </w:tcPr>
          <w:p>
            <w:pPr>
              <w:spacing w:after="20"/>
            </w:pPr>
            <w:r>
              <w:rPr>
                <w:color w:val="1C3A36"/>
                <w:sz w:val="16"/>
              </w:rPr>
              <w:t>The realised price against the contract formula price</w:t>
            </w:r>
          </w:p>
        </w:tc>
        <w:tc>
          <w:tcPr>
            <w:tcW w:type="dxa" w:w="2160"/>
          </w:tcPr>
          <w:p>
            <w:pPr>
              <w:spacing w:after="20"/>
              <w:jc w:val="right"/>
            </w:pPr>
            <w:r>
              <w:rPr>
                <w:color w:val="1C3A36"/>
                <w:sz w:val="16"/>
              </w:rPr>
              <w:t>5.99 to 9.24</w:t>
            </w:r>
          </w:p>
        </w:tc>
        <w:tc>
          <w:tcPr>
            <w:tcW w:type="dxa" w:w="1152"/>
          </w:tcPr>
          <w:p>
            <w:pPr>
              <w:spacing w:after="20"/>
              <w:jc w:val="right"/>
            </w:pPr>
            <w:r>
              <w:rPr>
                <w:color w:val="1C3A36"/>
                <w:sz w:val="16"/>
              </w:rPr>
              <w:t>3.25</w:t>
            </w:r>
          </w:p>
        </w:tc>
      </w:tr>
      <w:tr>
        <w:trPr>
          <w:cantSplit/>
        </w:trPr>
        <w:tc>
          <w:tcPr>
            <w:tcW w:type="dxa" w:w="2736"/>
          </w:tcPr>
          <w:p>
            <w:pPr>
              <w:spacing w:after="20"/>
            </w:pPr>
            <w:r>
              <w:rPr>
                <w:color w:val="1C3A36"/>
                <w:sz w:val="16"/>
              </w:rPr>
              <w:t>Country-risk basis</w:t>
            </w:r>
          </w:p>
        </w:tc>
        <w:tc>
          <w:tcPr>
            <w:tcW w:type="dxa" w:w="3384"/>
          </w:tcPr>
          <w:p>
            <w:pPr>
              <w:spacing w:after="20"/>
            </w:pPr>
            <w:r>
              <w:rPr>
                <w:color w:val="1C3A36"/>
                <w:sz w:val="16"/>
              </w:rPr>
              <w:t>Rating spread against traded default swap</w:t>
            </w:r>
          </w:p>
        </w:tc>
        <w:tc>
          <w:tcPr>
            <w:tcW w:type="dxa" w:w="2160"/>
          </w:tcPr>
          <w:p>
            <w:pPr>
              <w:spacing w:after="20"/>
              <w:jc w:val="right"/>
            </w:pPr>
            <w:r>
              <w:rPr>
                <w:color w:val="1C3A36"/>
                <w:sz w:val="16"/>
              </w:rPr>
              <w:t>6.05 to 9.24</w:t>
            </w:r>
          </w:p>
        </w:tc>
        <w:tc>
          <w:tcPr>
            <w:tcW w:type="dxa" w:w="1152"/>
          </w:tcPr>
          <w:p>
            <w:pPr>
              <w:spacing w:after="20"/>
              <w:jc w:val="right"/>
            </w:pPr>
            <w:r>
              <w:rPr>
                <w:color w:val="1C3A36"/>
                <w:sz w:val="16"/>
              </w:rPr>
              <w:t>3.19</w:t>
            </w:r>
          </w:p>
        </w:tc>
      </w:tr>
      <w:tr>
        <w:trPr>
          <w:cantSplit/>
        </w:trPr>
        <w:tc>
          <w:tcPr>
            <w:tcW w:type="dxa" w:w="2736"/>
          </w:tcPr>
          <w:p>
            <w:pPr>
              <w:spacing w:after="20"/>
            </w:pPr>
            <w:r>
              <w:rPr>
                <w:color w:val="1C3A36"/>
                <w:sz w:val="16"/>
              </w:rPr>
              <w:t>Terminal cost of capital</w:t>
            </w:r>
          </w:p>
        </w:tc>
        <w:tc>
          <w:tcPr>
            <w:tcW w:type="dxa" w:w="3384"/>
          </w:tcPr>
          <w:p>
            <w:pPr>
              <w:spacing w:after="20"/>
            </w:pPr>
            <w:r>
              <w:rPr>
                <w:color w:val="1C3A36"/>
                <w:sz w:val="16"/>
              </w:rPr>
              <w:t>17.0% to 24.0%</w:t>
            </w:r>
          </w:p>
        </w:tc>
        <w:tc>
          <w:tcPr>
            <w:tcW w:type="dxa" w:w="2160"/>
          </w:tcPr>
          <w:p>
            <w:pPr>
              <w:spacing w:after="20"/>
              <w:jc w:val="right"/>
            </w:pPr>
            <w:r>
              <w:rPr>
                <w:color w:val="1C3A36"/>
                <w:sz w:val="16"/>
              </w:rPr>
              <w:t>2.27 to 4.76</w:t>
            </w:r>
          </w:p>
        </w:tc>
        <w:tc>
          <w:tcPr>
            <w:tcW w:type="dxa" w:w="1152"/>
          </w:tcPr>
          <w:p>
            <w:pPr>
              <w:spacing w:after="20"/>
              <w:jc w:val="right"/>
            </w:pPr>
            <w:r>
              <w:rPr>
                <w:color w:val="1C3A36"/>
                <w:sz w:val="16"/>
              </w:rPr>
              <w:t>2.49</w:t>
            </w:r>
          </w:p>
        </w:tc>
      </w:tr>
      <w:tr>
        <w:trPr>
          <w:cantSplit/>
        </w:trPr>
        <w:tc>
          <w:tcPr>
            <w:tcW w:type="dxa" w:w="2736"/>
          </w:tcPr>
          <w:p>
            <w:pPr>
              <w:spacing w:after="20"/>
            </w:pPr>
            <w:r>
              <w:rPr>
                <w:color w:val="1C3A36"/>
                <w:sz w:val="16"/>
              </w:rPr>
              <w:t>Cost of debt</w:t>
            </w:r>
          </w:p>
        </w:tc>
        <w:tc>
          <w:tcPr>
            <w:tcW w:type="dxa" w:w="3384"/>
          </w:tcPr>
          <w:p>
            <w:pPr>
              <w:spacing w:after="20"/>
            </w:pPr>
            <w:r>
              <w:rPr>
                <w:color w:val="1C3A36"/>
                <w:sz w:val="16"/>
              </w:rPr>
              <w:t>Disclosed rates against every leg floored at the 23.00% sovereign yield</w:t>
            </w:r>
          </w:p>
        </w:tc>
        <w:tc>
          <w:tcPr>
            <w:tcW w:type="dxa" w:w="2160"/>
          </w:tcPr>
          <w:p>
            <w:pPr>
              <w:spacing w:after="20"/>
              <w:jc w:val="right"/>
            </w:pPr>
            <w:r>
              <w:rPr>
                <w:color w:val="1C3A36"/>
                <w:sz w:val="16"/>
              </w:rPr>
              <w:t>6.76 to 9.24</w:t>
            </w:r>
          </w:p>
        </w:tc>
        <w:tc>
          <w:tcPr>
            <w:tcW w:type="dxa" w:w="1152"/>
          </w:tcPr>
          <w:p>
            <w:pPr>
              <w:spacing w:after="20"/>
              <w:jc w:val="right"/>
            </w:pPr>
            <w:r>
              <w:rPr>
                <w:color w:val="1C3A36"/>
                <w:sz w:val="16"/>
              </w:rPr>
              <w:t>2.47</w:t>
            </w:r>
          </w:p>
        </w:tc>
      </w:tr>
      <w:tr>
        <w:trPr>
          <w:cantSplit/>
        </w:trPr>
        <w:tc>
          <w:tcPr>
            <w:tcW w:type="dxa" w:w="2736"/>
          </w:tcPr>
          <w:p>
            <w:pPr>
              <w:spacing w:after="20"/>
            </w:pPr>
            <w:r>
              <w:rPr>
                <w:color w:val="1C3A36"/>
                <w:sz w:val="16"/>
              </w:rPr>
              <w:t>Beta</w:t>
            </w:r>
          </w:p>
        </w:tc>
        <w:tc>
          <w:tcPr>
            <w:tcW w:type="dxa" w:w="3384"/>
          </w:tcPr>
          <w:p>
            <w:pPr>
              <w:spacing w:after="20"/>
            </w:pPr>
            <w:r>
              <w:rPr>
                <w:color w:val="1C3A36"/>
                <w:sz w:val="16"/>
              </w:rPr>
              <w:t>1.020 against the lower bound of its own ninety-per-cent interval, 0.717</w:t>
            </w:r>
          </w:p>
        </w:tc>
        <w:tc>
          <w:tcPr>
            <w:tcW w:type="dxa" w:w="2160"/>
          </w:tcPr>
          <w:p>
            <w:pPr>
              <w:spacing w:after="20"/>
              <w:jc w:val="right"/>
            </w:pPr>
            <w:r>
              <w:rPr>
                <w:color w:val="1C3A36"/>
                <w:sz w:val="16"/>
              </w:rPr>
              <w:t>9.24 to 10.73</w:t>
            </w:r>
          </w:p>
        </w:tc>
        <w:tc>
          <w:tcPr>
            <w:tcW w:type="dxa" w:w="1152"/>
          </w:tcPr>
          <w:p>
            <w:pPr>
              <w:spacing w:after="20"/>
              <w:jc w:val="right"/>
            </w:pPr>
            <w:r>
              <w:rPr>
                <w:color w:val="1C3A36"/>
                <w:sz w:val="16"/>
              </w:rPr>
              <w:t>1.49</w:t>
            </w:r>
          </w:p>
        </w:tc>
      </w:tr>
      <w:tr>
        <w:trPr>
          <w:cantSplit/>
        </w:trPr>
        <w:tc>
          <w:tcPr>
            <w:tcW w:type="dxa" w:w="2736"/>
          </w:tcPr>
          <w:p>
            <w:pPr>
              <w:spacing w:after="20"/>
            </w:pPr>
            <w:r>
              <w:rPr>
                <w:color w:val="1C3A36"/>
                <w:sz w:val="16"/>
              </w:rPr>
              <w:t>Maintenance capital expenditure</w:t>
            </w:r>
          </w:p>
        </w:tc>
        <w:tc>
          <w:tcPr>
            <w:tcW w:type="dxa" w:w="3384"/>
          </w:tcPr>
          <w:p>
            <w:pPr>
              <w:spacing w:after="20"/>
            </w:pPr>
            <w:r>
              <w:rPr>
                <w:color w:val="1C3A36"/>
                <w:sz w:val="16"/>
              </w:rPr>
              <w:t>1.1% of revenue against 0.7%</w:t>
            </w:r>
          </w:p>
        </w:tc>
        <w:tc>
          <w:tcPr>
            <w:tcW w:type="dxa" w:w="2160"/>
          </w:tcPr>
          <w:p>
            <w:pPr>
              <w:spacing w:after="20"/>
              <w:jc w:val="right"/>
            </w:pPr>
            <w:r>
              <w:rPr>
                <w:color w:val="1C3A36"/>
                <w:sz w:val="16"/>
              </w:rPr>
              <w:t>8.24 to 9.24</w:t>
            </w:r>
          </w:p>
        </w:tc>
        <w:tc>
          <w:tcPr>
            <w:tcW w:type="dxa" w:w="1152"/>
          </w:tcPr>
          <w:p>
            <w:pPr>
              <w:spacing w:after="20"/>
              <w:jc w:val="right"/>
            </w:pPr>
            <w:r>
              <w:rPr>
                <w:color w:val="1C3A36"/>
                <w:sz w:val="16"/>
              </w:rPr>
              <w:t>1.00</w:t>
            </w:r>
          </w:p>
        </w:tc>
      </w:tr>
      <w:tr>
        <w:trPr>
          <w:cantSplit/>
        </w:trPr>
        <w:tc>
          <w:tcPr>
            <w:tcW w:type="dxa" w:w="2736"/>
          </w:tcPr>
          <w:p>
            <w:pPr>
              <w:spacing w:after="20"/>
            </w:pPr>
            <w:r>
              <w:rPr>
                <w:color w:val="1C3A36"/>
                <w:sz w:val="16"/>
              </w:rPr>
              <w:t>Project utilisation in the terminal year</w:t>
            </w:r>
          </w:p>
        </w:tc>
        <w:tc>
          <w:tcPr>
            <w:tcW w:type="dxa" w:w="3384"/>
          </w:tcPr>
          <w:p>
            <w:pPr>
              <w:spacing w:after="20"/>
            </w:pPr>
            <w:r>
              <w:rPr>
                <w:color w:val="1C3A36"/>
                <w:sz w:val="16"/>
              </w:rPr>
              <w:t>50.0% against 70.0%</w:t>
            </w:r>
          </w:p>
        </w:tc>
        <w:tc>
          <w:tcPr>
            <w:tcW w:type="dxa" w:w="2160"/>
          </w:tcPr>
          <w:p>
            <w:pPr>
              <w:spacing w:after="20"/>
              <w:jc w:val="right"/>
            </w:pPr>
            <w:r>
              <w:rPr>
                <w:color w:val="1C3A36"/>
                <w:sz w:val="16"/>
              </w:rPr>
              <w:t>9.24 to 10.06</w:t>
            </w:r>
          </w:p>
        </w:tc>
        <w:tc>
          <w:tcPr>
            <w:tcW w:type="dxa" w:w="1152"/>
          </w:tcPr>
          <w:p>
            <w:pPr>
              <w:spacing w:after="20"/>
              <w:jc w:val="right"/>
            </w:pPr>
            <w:r>
              <w:rPr>
                <w:color w:val="1C3A36"/>
                <w:sz w:val="16"/>
              </w:rPr>
              <w:t>0.83</w:t>
            </w:r>
          </w:p>
        </w:tc>
      </w:tr>
    </w:tbl>
    <w:p>
      <w:pPr>
        <w:spacing w:after="40"/>
      </w:pPr>
    </w:p>
    <w:p>
      <w:pPr>
        <w:spacing w:after="200" w:before="0"/>
      </w:pPr>
      <w:r>
        <w:rPr>
          <w:b w:val="0"/>
          <w:i/>
          <w:color w:val="6E7B77"/>
          <w:sz w:val="17"/>
        </w:rPr>
        <w:t>Table 21.  Ranked by the size of the swing. The capital programme dominates everything else on this company, which is why it and not the discount rate is the study's contested judgement, and why it is published both ways rather than averaged.</w:t>
      </w:r>
    </w:p>
    <w:p>
      <w:pPr>
        <w:spacing w:after="120" w:before="0"/>
      </w:pPr>
      <w:r>
        <w:rPr>
          <w:b w:val="0"/>
          <w:i w:val="0"/>
          <w:color w:val="1C3A36"/>
          <w:sz w:val="19"/>
        </w:rPr>
        <w:t>The beta deserves a note of its own, because it is the one input in the cost of capital that comes from a statistical estimate rather than from a quote or a disclosure. It is 1.020, from 256 weekly observations over 4.9 years of the share against the published EGX30 index — the index of the exchange the share is listed on, as of 2026-09-08 — on the exchange's own Sunday-to-Thursday week. The regression explains 24.8% of the variation with a standard error of 0.191, so all three conditions of the usability test are met and the estimate is adopted rather than defaulted; the Blume-adjusted cross-check is 1.013. The interval is wide, 0.71 to 1.33 at ninety per cent, because the share is thinly traded, and the lower bound is priced with the other contested constructions in section 1.8 rather than argued away: at 0.72 the answer is EGP 10.73 instead of EGP 9.24. The earlier edition of this study regressed the share against an equal-weight basket of the Egyptian names this series happens to cover; that basket is a coverage artefact and not a market, and the figure it produced (1.053) is withdrawn.</w:t>
      </w:r>
    </w:p>
    <w:p>
      <w:pPr>
        <w:keepNext/>
        <w:spacing w:after="120" w:before="280"/>
      </w:pPr>
      <w:r>
        <w:rPr>
          <w:b/>
          <w:i w:val="0"/>
          <w:color w:val="1C3A36"/>
          <w:sz w:val="30"/>
        </w:rPr>
        <w:t>2  Technical and price structure</w:t>
      </w:r>
    </w:p>
    <w:p>
      <w:pPr>
        <w:spacing w:after="120" w:before="0"/>
      </w:pPr>
      <w:r>
        <w:rPr>
          <w:b w:val="0"/>
          <w:i w:val="0"/>
          <w:color w:val="1C3A36"/>
          <w:sz w:val="21"/>
        </w:rPr>
        <w:t>The shares closed at EGP 14.23 on 2026-09-06, 7.4% below their fifty-two-week high of EGP 15.37 and 45.6% above the low of EGP 9.77. The relative strength index reads 55.8 and the average true range is EGP 0.42, or 3.0% of the price a session — a stock that moves about three per cent on an ordinary 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3168"/>
        <w:gridCol w:w="3600"/>
      </w:tblGrid>
      <w:tr>
        <w:trPr>
          <w:cantSplit/>
          <w:tblHeader/>
        </w:trPr>
        <w:tc>
          <w:tcPr>
            <w:tcW w:type="dxa" w:w="3168"/>
            <w:shd w:val="clear" w:color="auto" w:fill="EAF0EE"/>
          </w:tcPr>
          <w:p>
            <w:pPr>
              <w:spacing w:after="20"/>
            </w:pPr>
            <w:r>
              <w:rPr>
                <w:b/>
                <w:color w:val="1C3A36"/>
                <w:sz w:val="17"/>
              </w:rPr>
              <w:t>Level</w:t>
            </w:r>
          </w:p>
        </w:tc>
        <w:tc>
          <w:tcPr>
            <w:tcW w:type="dxa" w:w="3168"/>
            <w:shd w:val="clear" w:color="auto" w:fill="EAF0EE"/>
          </w:tcPr>
          <w:p>
            <w:pPr>
              <w:spacing w:after="20"/>
            </w:pPr>
            <w:r>
              <w:rPr>
                <w:b/>
                <w:color w:val="1C3A36"/>
                <w:sz w:val="17"/>
              </w:rPr>
              <w:t>Price (EGP)</w:t>
            </w:r>
          </w:p>
        </w:tc>
        <w:tc>
          <w:tcPr>
            <w:tcW w:type="dxa" w:w="3600"/>
            <w:shd w:val="clear" w:color="auto" w:fill="EAF0EE"/>
          </w:tcPr>
          <w:p>
            <w:pPr>
              <w:spacing w:after="20"/>
            </w:pPr>
            <w:r>
              <w:rPr>
                <w:b/>
                <w:color w:val="1C3A36"/>
                <w:sz w:val="17"/>
              </w:rPr>
              <w:t>Distance from the close</w:t>
            </w:r>
          </w:p>
        </w:tc>
      </w:tr>
      <w:tr>
        <w:trPr>
          <w:cantSplit/>
        </w:trPr>
        <w:tc>
          <w:tcPr>
            <w:tcW w:type="dxa" w:w="3168"/>
          </w:tcPr>
          <w:p>
            <w:pPr>
              <w:spacing w:after="20"/>
            </w:pPr>
            <w:r>
              <w:rPr>
                <w:color w:val="1C3A36"/>
                <w:sz w:val="17"/>
              </w:rPr>
              <w:t>Resistance 1</w:t>
            </w:r>
          </w:p>
        </w:tc>
        <w:tc>
          <w:tcPr>
            <w:tcW w:type="dxa" w:w="3168"/>
          </w:tcPr>
          <w:p>
            <w:pPr>
              <w:spacing w:after="20"/>
              <w:jc w:val="right"/>
            </w:pPr>
            <w:r>
              <w:rPr>
                <w:color w:val="1C3A36"/>
                <w:sz w:val="17"/>
              </w:rPr>
              <w:t>14.92</w:t>
            </w:r>
          </w:p>
        </w:tc>
        <w:tc>
          <w:tcPr>
            <w:tcW w:type="dxa" w:w="3600"/>
          </w:tcPr>
          <w:p>
            <w:pPr>
              <w:spacing w:after="20"/>
              <w:jc w:val="right"/>
            </w:pPr>
            <w:r>
              <w:rPr>
                <w:color w:val="1C3A36"/>
                <w:sz w:val="17"/>
              </w:rPr>
              <w:t>4.8%</w:t>
            </w:r>
          </w:p>
        </w:tc>
      </w:tr>
      <w:tr>
        <w:trPr>
          <w:cantSplit/>
        </w:trPr>
        <w:tc>
          <w:tcPr>
            <w:tcW w:type="dxa" w:w="3168"/>
          </w:tcPr>
          <w:p>
            <w:pPr>
              <w:spacing w:after="20"/>
            </w:pPr>
            <w:r>
              <w:rPr>
                <w:color w:val="1C3A36"/>
                <w:sz w:val="17"/>
              </w:rPr>
              <w:t>Resistance 2</w:t>
            </w:r>
          </w:p>
        </w:tc>
        <w:tc>
          <w:tcPr>
            <w:tcW w:type="dxa" w:w="3168"/>
          </w:tcPr>
          <w:p>
            <w:pPr>
              <w:spacing w:after="20"/>
              <w:jc w:val="right"/>
            </w:pPr>
            <w:r>
              <w:rPr>
                <w:color w:val="1C3A36"/>
                <w:sz w:val="17"/>
              </w:rPr>
              <w:t>15.37</w:t>
            </w:r>
          </w:p>
        </w:tc>
        <w:tc>
          <w:tcPr>
            <w:tcW w:type="dxa" w:w="3600"/>
          </w:tcPr>
          <w:p>
            <w:pPr>
              <w:spacing w:after="20"/>
              <w:jc w:val="right"/>
            </w:pPr>
            <w:r>
              <w:rPr>
                <w:color w:val="1C3A36"/>
                <w:sz w:val="17"/>
              </w:rPr>
              <w:t>8.0%</w:t>
            </w:r>
          </w:p>
        </w:tc>
      </w:tr>
      <w:tr>
        <w:trPr>
          <w:cantSplit/>
        </w:trPr>
        <w:tc>
          <w:tcPr>
            <w:tcW w:type="dxa" w:w="3168"/>
          </w:tcPr>
          <w:p>
            <w:pPr>
              <w:spacing w:after="20"/>
            </w:pPr>
            <w:r>
              <w:rPr>
                <w:color w:val="1C3A36"/>
                <w:sz w:val="17"/>
              </w:rPr>
              <w:t>Resistance 3</w:t>
            </w:r>
          </w:p>
        </w:tc>
        <w:tc>
          <w:tcPr>
            <w:tcW w:type="dxa" w:w="3168"/>
          </w:tcPr>
          <w:p>
            <w:pPr>
              <w:spacing w:after="20"/>
              <w:jc w:val="right"/>
            </w:pPr>
            <w:r>
              <w:rPr>
                <w:color w:val="1C3A36"/>
                <w:sz w:val="17"/>
              </w:rPr>
              <w:t>16.00</w:t>
            </w:r>
          </w:p>
        </w:tc>
        <w:tc>
          <w:tcPr>
            <w:tcW w:type="dxa" w:w="3600"/>
          </w:tcPr>
          <w:p>
            <w:pPr>
              <w:spacing w:after="20"/>
              <w:jc w:val="right"/>
            </w:pPr>
            <w:r>
              <w:rPr>
                <w:color w:val="1C3A36"/>
                <w:sz w:val="17"/>
              </w:rPr>
              <w:t>12.4%</w:t>
            </w:r>
          </w:p>
        </w:tc>
      </w:tr>
      <w:tr>
        <w:trPr>
          <w:cantSplit/>
        </w:trPr>
        <w:tc>
          <w:tcPr>
            <w:tcW w:type="dxa" w:w="3168"/>
          </w:tcPr>
          <w:p>
            <w:pPr>
              <w:spacing w:after="20"/>
            </w:pPr>
            <w:r>
              <w:rPr>
                <w:color w:val="1C3A36"/>
                <w:sz w:val="17"/>
              </w:rPr>
              <w:t>Support 1</w:t>
            </w:r>
          </w:p>
        </w:tc>
        <w:tc>
          <w:tcPr>
            <w:tcW w:type="dxa" w:w="3168"/>
          </w:tcPr>
          <w:p>
            <w:pPr>
              <w:spacing w:after="20"/>
              <w:jc w:val="right"/>
            </w:pPr>
            <w:r>
              <w:rPr>
                <w:color w:val="1C3A36"/>
                <w:sz w:val="17"/>
              </w:rPr>
              <w:t>13.87</w:t>
            </w:r>
          </w:p>
        </w:tc>
        <w:tc>
          <w:tcPr>
            <w:tcW w:type="dxa" w:w="3600"/>
          </w:tcPr>
          <w:p>
            <w:pPr>
              <w:spacing w:after="20"/>
              <w:jc w:val="right"/>
            </w:pPr>
            <w:r>
              <w:rPr>
                <w:color w:val="1C3A36"/>
                <w:sz w:val="17"/>
              </w:rPr>
              <w:t>-2.5%</w:t>
            </w:r>
          </w:p>
        </w:tc>
      </w:tr>
      <w:tr>
        <w:trPr>
          <w:cantSplit/>
        </w:trPr>
        <w:tc>
          <w:tcPr>
            <w:tcW w:type="dxa" w:w="3168"/>
          </w:tcPr>
          <w:p>
            <w:pPr>
              <w:spacing w:after="20"/>
            </w:pPr>
            <w:r>
              <w:rPr>
                <w:color w:val="1C3A36"/>
                <w:sz w:val="17"/>
              </w:rPr>
              <w:t>Support 2</w:t>
            </w:r>
          </w:p>
        </w:tc>
        <w:tc>
          <w:tcPr>
            <w:tcW w:type="dxa" w:w="3168"/>
          </w:tcPr>
          <w:p>
            <w:pPr>
              <w:spacing w:after="20"/>
              <w:jc w:val="right"/>
            </w:pPr>
            <w:r>
              <w:rPr>
                <w:color w:val="1C3A36"/>
                <w:sz w:val="17"/>
              </w:rPr>
              <w:t>12.49</w:t>
            </w:r>
          </w:p>
        </w:tc>
        <w:tc>
          <w:tcPr>
            <w:tcW w:type="dxa" w:w="3600"/>
          </w:tcPr>
          <w:p>
            <w:pPr>
              <w:spacing w:after="20"/>
              <w:jc w:val="right"/>
            </w:pPr>
            <w:r>
              <w:rPr>
                <w:color w:val="1C3A36"/>
                <w:sz w:val="17"/>
              </w:rPr>
              <w:t>-12.2%</w:t>
            </w:r>
          </w:p>
        </w:tc>
      </w:tr>
      <w:tr>
        <w:trPr>
          <w:cantSplit/>
        </w:trPr>
        <w:tc>
          <w:tcPr>
            <w:tcW w:type="dxa" w:w="3168"/>
          </w:tcPr>
          <w:p>
            <w:pPr>
              <w:spacing w:after="20"/>
            </w:pPr>
            <w:r>
              <w:rPr>
                <w:color w:val="1C3A36"/>
                <w:sz w:val="17"/>
              </w:rPr>
              <w:t>Support 3</w:t>
            </w:r>
          </w:p>
        </w:tc>
        <w:tc>
          <w:tcPr>
            <w:tcW w:type="dxa" w:w="3168"/>
          </w:tcPr>
          <w:p>
            <w:pPr>
              <w:spacing w:after="20"/>
              <w:jc w:val="right"/>
            </w:pPr>
            <w:r>
              <w:rPr>
                <w:color w:val="1C3A36"/>
                <w:sz w:val="17"/>
              </w:rPr>
              <w:t>11.13</w:t>
            </w:r>
          </w:p>
        </w:tc>
        <w:tc>
          <w:tcPr>
            <w:tcW w:type="dxa" w:w="3600"/>
          </w:tcPr>
          <w:p>
            <w:pPr>
              <w:spacing w:after="20"/>
              <w:jc w:val="right"/>
            </w:pPr>
            <w:r>
              <w:rPr>
                <w:color w:val="1C3A36"/>
                <w:sz w:val="17"/>
              </w:rPr>
              <w:t>-21.8%</w:t>
            </w:r>
          </w:p>
        </w:tc>
      </w:tr>
    </w:tbl>
    <w:p>
      <w:pPr>
        <w:spacing w:after="40"/>
      </w:pPr>
    </w:p>
    <w:p>
      <w:pPr>
        <w:spacing w:after="200" w:before="0"/>
      </w:pPr>
      <w:r>
        <w:rPr>
          <w:b w:val="0"/>
          <w:i/>
          <w:color w:val="6E7B77"/>
          <w:sz w:val="17"/>
        </w:rPr>
        <w:t>Table 22.  Levels are computed from recency-weighted pivot clusters in the same cleaned price history the rest of the study uses; the first of each is the nearest to the close. Nothing here is fitted and nothing is hand-drawn.</w:t>
      </w:r>
    </w:p>
    <w:p>
      <w:pPr>
        <w:spacing w:after="40"/>
        <w:jc w:val="center"/>
      </w:pPr>
      <w:r>
        <w:drawing>
          <wp:inline xmlns:a="http://schemas.openxmlformats.org/drawingml/2006/main" xmlns:pic="http://schemas.openxmlformats.org/drawingml/2006/picture">
            <wp:extent cx="6309360" cy="2704011"/>
            <wp:docPr id="10" name="Picture 10"/>
            <wp:cNvGraphicFramePr>
              <a:graphicFrameLocks noChangeAspect="1"/>
            </wp:cNvGraphicFramePr>
            <a:graphic>
              <a:graphicData uri="http://schemas.openxmlformats.org/drawingml/2006/picture">
                <pic:pic>
                  <pic:nvPicPr>
                    <pic:cNvPr id="0" name="fig11_technical.png"/>
                    <pic:cNvPicPr/>
                  </pic:nvPicPr>
                  <pic:blipFill>
                    <a:blip r:embed="rId18"/>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10.  Price structure — moving averages and the computed level ladder.</w:t>
      </w:r>
    </w:p>
    <w:p>
      <w:pPr>
        <w:spacing w:after="120" w:before="0"/>
      </w:pPr>
      <w:r>
        <w:rPr>
          <w:b w:val="0"/>
          <w:i w:val="0"/>
          <w:color w:val="1C3A36"/>
          <w:sz w:val="21"/>
        </w:rPr>
        <w:t>A technical read cannot speak to whether a business is worth owning, and this one makes no fundamental claim. What it does say is that the price sits in the upper part of its own year, with the nearest resistance about seven per cent above and the nearest support about eleven per cent below — an asymmetry worth knowing when reading the probability map that follows.</w:t>
      </w:r>
    </w:p>
    <w:p>
      <w:pPr>
        <w:keepNext/>
        <w:spacing w:after="120" w:before="280"/>
      </w:pPr>
      <w:r>
        <w:rPr>
          <w:b/>
          <w:i w:val="0"/>
          <w:color w:val="1C3A36"/>
          <w:sz w:val="30"/>
        </w:rPr>
        <w:t>3  A probabilistic price map</w:t>
      </w:r>
    </w:p>
    <w:p>
      <w:pPr>
        <w:spacing w:after="120" w:before="0"/>
      </w:pPr>
      <w:r>
        <w:rPr>
          <w:b w:val="0"/>
          <w:i w:val="0"/>
          <w:color w:val="1C3A36"/>
          <w:sz w:val="21"/>
        </w:rPr>
        <w:t>This is a map of where the traded price may go, not of what the business is worth. It comes from fifty thousand simulated paths anchored on the 2026-08-06 close of EGP 13.98, drifting at the carry the market itself sets — the local risk-free rate less the dividend yield, which is zero here because nothing was distributed in either of the last two years. That anchor is the last session in the price history this map was simulated from, and it is EARLIER than the 2026-09-03 close of EGP 14.41 the valuation is struck against: the two run on different clocks and a fresh price moves the valuation without re-running the simulation. Read every percentile below against EGP 13.98, not against the price on the masthead.</w:t>
      </w:r>
    </w:p>
    <w:p>
      <w:pPr>
        <w:spacing w:after="40"/>
        <w:jc w:val="center"/>
      </w:pPr>
      <w:r>
        <w:drawing>
          <wp:inline xmlns:a="http://schemas.openxmlformats.org/drawingml/2006/main" xmlns:pic="http://schemas.openxmlformats.org/drawingml/2006/picture">
            <wp:extent cx="6309360" cy="2704011"/>
            <wp:docPr id="11" name="Picture 11"/>
            <wp:cNvGraphicFramePr>
              <a:graphicFrameLocks noChangeAspect="1"/>
            </wp:cNvGraphicFramePr>
            <a:graphic>
              <a:graphicData uri="http://schemas.openxmlformats.org/drawingml/2006/picture">
                <pic:pic>
                  <pic:nvPicPr>
                    <pic:cNvPr id="0" name="fig10_fan.png"/>
                    <pic:cNvPicPr/>
                  </pic:nvPicPr>
                  <pic:blipFill>
                    <a:blip r:embed="rId19"/>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11.  The middle of the simulated distribution over time, to 2026-11-08. The shaded bands hold half and ninety per cent of the paths.</w:t>
      </w:r>
    </w:p>
    <w:p>
      <w:pPr>
        <w:keepNext/>
        <w:spacing w:after="80" w:before="200"/>
      </w:pPr>
      <w:r>
        <w:rPr>
          <w:b/>
          <w:i w:val="0"/>
          <w:color w:val="1C3A36"/>
          <w:sz w:val="24"/>
        </w:rPr>
        <w:t>Percentile map (Egyptian pounds a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240"/>
        <w:gridCol w:w="3240"/>
      </w:tblGrid>
      <w:tr>
        <w:trPr>
          <w:cantSplit/>
          <w:tblHeader/>
        </w:trPr>
        <w:tc>
          <w:tcPr>
            <w:tcW w:type="dxa" w:w="3456"/>
            <w:shd w:val="clear" w:color="auto" w:fill="EAF0EE"/>
          </w:tcPr>
          <w:p>
            <w:pPr>
              <w:spacing w:after="20"/>
            </w:pPr>
            <w:r>
              <w:rPr>
                <w:b/>
                <w:color w:val="1C3A36"/>
                <w:sz w:val="17"/>
              </w:rPr>
              <w:t>Percentile</w:t>
            </w:r>
          </w:p>
        </w:tc>
        <w:tc>
          <w:tcPr>
            <w:tcW w:type="dxa" w:w="3240"/>
            <w:shd w:val="clear" w:color="auto" w:fill="EAF0EE"/>
          </w:tcPr>
          <w:p>
            <w:pPr>
              <w:spacing w:after="20"/>
            </w:pPr>
            <w:r>
              <w:rPr>
                <w:b/>
                <w:color w:val="1C3A36"/>
                <w:sz w:val="17"/>
              </w:rPr>
              <w:t>One month, to 2026-09-06</w:t>
            </w:r>
          </w:p>
        </w:tc>
        <w:tc>
          <w:tcPr>
            <w:tcW w:type="dxa" w:w="3240"/>
            <w:shd w:val="clear" w:color="auto" w:fill="EAF0EE"/>
          </w:tcPr>
          <w:p>
            <w:pPr>
              <w:spacing w:after="20"/>
            </w:pPr>
            <w:r>
              <w:rPr>
                <w:b/>
                <w:color w:val="1C3A36"/>
                <w:sz w:val="17"/>
              </w:rPr>
              <w:t>Three months, to 2026-11-08</w:t>
            </w:r>
          </w:p>
        </w:tc>
      </w:tr>
      <w:tr>
        <w:trPr>
          <w:cantSplit/>
        </w:trPr>
        <w:tc>
          <w:tcPr>
            <w:tcW w:type="dxa" w:w="3456"/>
          </w:tcPr>
          <w:p>
            <w:pPr>
              <w:spacing w:after="20"/>
            </w:pPr>
            <w:r>
              <w:rPr>
                <w:color w:val="1C3A36"/>
                <w:sz w:val="17"/>
              </w:rPr>
              <w:t>Percentile 5</w:t>
            </w:r>
          </w:p>
        </w:tc>
        <w:tc>
          <w:tcPr>
            <w:tcW w:type="dxa" w:w="3240"/>
          </w:tcPr>
          <w:p>
            <w:pPr>
              <w:spacing w:after="20"/>
              <w:jc w:val="right"/>
            </w:pPr>
            <w:r>
              <w:rPr>
                <w:color w:val="1C3A36"/>
                <w:sz w:val="17"/>
              </w:rPr>
              <w:t>12.12</w:t>
            </w:r>
          </w:p>
        </w:tc>
        <w:tc>
          <w:tcPr>
            <w:tcW w:type="dxa" w:w="3240"/>
          </w:tcPr>
          <w:p>
            <w:pPr>
              <w:spacing w:after="20"/>
              <w:jc w:val="right"/>
            </w:pPr>
            <w:r>
              <w:rPr>
                <w:color w:val="1C3A36"/>
                <w:sz w:val="17"/>
              </w:rPr>
              <w:t>10.84</w:t>
            </w:r>
          </w:p>
        </w:tc>
      </w:tr>
      <w:tr>
        <w:trPr>
          <w:cantSplit/>
        </w:trPr>
        <w:tc>
          <w:tcPr>
            <w:tcW w:type="dxa" w:w="3456"/>
          </w:tcPr>
          <w:p>
            <w:pPr>
              <w:spacing w:after="20"/>
            </w:pPr>
            <w:r>
              <w:rPr>
                <w:color w:val="1C3A36"/>
                <w:sz w:val="17"/>
              </w:rPr>
              <w:t>Percentile 25</w:t>
            </w:r>
          </w:p>
        </w:tc>
        <w:tc>
          <w:tcPr>
            <w:tcW w:type="dxa" w:w="3240"/>
          </w:tcPr>
          <w:p>
            <w:pPr>
              <w:spacing w:after="20"/>
              <w:jc w:val="right"/>
            </w:pPr>
            <w:r>
              <w:rPr>
                <w:color w:val="1C3A36"/>
                <w:sz w:val="17"/>
              </w:rPr>
              <w:t>13.45</w:t>
            </w:r>
          </w:p>
        </w:tc>
        <w:tc>
          <w:tcPr>
            <w:tcW w:type="dxa" w:w="3240"/>
          </w:tcPr>
          <w:p>
            <w:pPr>
              <w:spacing w:after="20"/>
              <w:jc w:val="right"/>
            </w:pPr>
            <w:r>
              <w:rPr>
                <w:color w:val="1C3A36"/>
                <w:sz w:val="17"/>
              </w:rPr>
              <w:t>13.21</w:t>
            </w:r>
          </w:p>
        </w:tc>
      </w:tr>
      <w:tr>
        <w:trPr>
          <w:cantSplit/>
        </w:trPr>
        <w:tc>
          <w:tcPr>
            <w:tcW w:type="dxa" w:w="3456"/>
          </w:tcPr>
          <w:p>
            <w:pPr>
              <w:spacing w:after="20"/>
            </w:pPr>
            <w:r>
              <w:rPr>
                <w:color w:val="1C3A36"/>
                <w:sz w:val="17"/>
              </w:rPr>
              <w:t>Percentile 50</w:t>
            </w:r>
          </w:p>
        </w:tc>
        <w:tc>
          <w:tcPr>
            <w:tcW w:type="dxa" w:w="3240"/>
          </w:tcPr>
          <w:p>
            <w:pPr>
              <w:spacing w:after="20"/>
              <w:jc w:val="right"/>
            </w:pPr>
            <w:r>
              <w:rPr>
                <w:color w:val="1C3A36"/>
                <w:sz w:val="17"/>
              </w:rPr>
              <w:t>14.26</w:t>
            </w:r>
          </w:p>
        </w:tc>
        <w:tc>
          <w:tcPr>
            <w:tcW w:type="dxa" w:w="3240"/>
          </w:tcPr>
          <w:p>
            <w:pPr>
              <w:spacing w:after="20"/>
              <w:jc w:val="right"/>
            </w:pPr>
            <w:r>
              <w:rPr>
                <w:color w:val="1C3A36"/>
                <w:sz w:val="17"/>
              </w:rPr>
              <w:t>14.77</w:t>
            </w:r>
          </w:p>
        </w:tc>
      </w:tr>
      <w:tr>
        <w:trPr>
          <w:cantSplit/>
        </w:trPr>
        <w:tc>
          <w:tcPr>
            <w:tcW w:type="dxa" w:w="3456"/>
          </w:tcPr>
          <w:p>
            <w:pPr>
              <w:spacing w:after="20"/>
            </w:pPr>
            <w:r>
              <w:rPr>
                <w:color w:val="1C3A36"/>
                <w:sz w:val="17"/>
              </w:rPr>
              <w:t>Percentile 75</w:t>
            </w:r>
          </w:p>
        </w:tc>
        <w:tc>
          <w:tcPr>
            <w:tcW w:type="dxa" w:w="3240"/>
          </w:tcPr>
          <w:p>
            <w:pPr>
              <w:spacing w:after="20"/>
              <w:jc w:val="right"/>
            </w:pPr>
            <w:r>
              <w:rPr>
                <w:color w:val="1C3A36"/>
                <w:sz w:val="17"/>
              </w:rPr>
              <w:t>15.11</w:t>
            </w:r>
          </w:p>
        </w:tc>
        <w:tc>
          <w:tcPr>
            <w:tcW w:type="dxa" w:w="3240"/>
          </w:tcPr>
          <w:p>
            <w:pPr>
              <w:spacing w:after="20"/>
              <w:jc w:val="right"/>
            </w:pPr>
            <w:r>
              <w:rPr>
                <w:color w:val="1C3A36"/>
                <w:sz w:val="17"/>
              </w:rPr>
              <w:t>16.50</w:t>
            </w:r>
          </w:p>
        </w:tc>
      </w:tr>
      <w:tr>
        <w:trPr>
          <w:cantSplit/>
        </w:trPr>
        <w:tc>
          <w:tcPr>
            <w:tcW w:type="dxa" w:w="3456"/>
          </w:tcPr>
          <w:p>
            <w:pPr>
              <w:spacing w:after="20"/>
            </w:pPr>
            <w:r>
              <w:rPr>
                <w:color w:val="1C3A36"/>
                <w:sz w:val="17"/>
              </w:rPr>
              <w:t>Percentile 95</w:t>
            </w:r>
          </w:p>
        </w:tc>
        <w:tc>
          <w:tcPr>
            <w:tcW w:type="dxa" w:w="3240"/>
          </w:tcPr>
          <w:p>
            <w:pPr>
              <w:spacing w:after="20"/>
              <w:jc w:val="right"/>
            </w:pPr>
            <w:r>
              <w:rPr>
                <w:color w:val="1C3A36"/>
                <w:sz w:val="17"/>
              </w:rPr>
              <w:t>16.77</w:t>
            </w:r>
          </w:p>
        </w:tc>
        <w:tc>
          <w:tcPr>
            <w:tcW w:type="dxa" w:w="3240"/>
          </w:tcPr>
          <w:p>
            <w:pPr>
              <w:spacing w:after="20"/>
              <w:jc w:val="right"/>
            </w:pPr>
            <w:r>
              <w:rPr>
                <w:color w:val="1C3A36"/>
                <w:sz w:val="17"/>
              </w:rPr>
              <w:t>20.09</w:t>
            </w:r>
          </w:p>
        </w:tc>
      </w:tr>
      <w:tr>
        <w:trPr>
          <w:cantSplit/>
        </w:trPr>
        <w:tc>
          <w:tcPr>
            <w:tcW w:type="dxa" w:w="3456"/>
            <w:shd w:val="clear" w:color="auto" w:fill="F6F1E6"/>
          </w:tcPr>
          <w:p>
            <w:pPr>
              <w:spacing w:after="20"/>
            </w:pPr>
            <w:r>
              <w:rPr>
                <w:b/>
                <w:color w:val="1C3A36"/>
                <w:sz w:val="17"/>
              </w:rPr>
              <w:t>Probability the price ends above EGP 13.98, the close it was struck at on 2026-08-06</w:t>
            </w:r>
          </w:p>
        </w:tc>
        <w:tc>
          <w:tcPr>
            <w:tcW w:type="dxa" w:w="3240"/>
            <w:shd w:val="clear" w:color="auto" w:fill="F6F1E6"/>
          </w:tcPr>
          <w:p>
            <w:pPr>
              <w:spacing w:after="20"/>
              <w:jc w:val="right"/>
            </w:pPr>
            <w:r>
              <w:rPr>
                <w:b/>
                <w:color w:val="1C3A36"/>
                <w:sz w:val="17"/>
              </w:rPr>
              <w:t>59.1%</w:t>
            </w:r>
          </w:p>
        </w:tc>
        <w:tc>
          <w:tcPr>
            <w:tcW w:type="dxa" w:w="3240"/>
            <w:shd w:val="clear" w:color="auto" w:fill="F6F1E6"/>
          </w:tcPr>
          <w:p>
            <w:pPr>
              <w:spacing w:after="20"/>
              <w:jc w:val="right"/>
            </w:pPr>
            <w:r>
              <w:rPr>
                <w:b/>
                <w:color w:val="1C3A36"/>
                <w:sz w:val="17"/>
              </w:rPr>
              <w:t>63.1%</w:t>
            </w:r>
          </w:p>
        </w:tc>
      </w:tr>
    </w:tbl>
    <w:p>
      <w:pPr>
        <w:spacing w:after="40"/>
      </w:pPr>
    </w:p>
    <w:p>
      <w:pPr>
        <w:spacing w:after="200" w:before="0"/>
      </w:pPr>
      <w:r>
        <w:rPr>
          <w:b w:val="0"/>
          <w:i/>
          <w:color w:val="6E7B77"/>
          <w:sz w:val="17"/>
        </w:rPr>
        <w:t>Table 23.  The map says where the price may end. It is not a forecast of where it will end, and the probability in the last row is the share of paths finishing above the anchor, not a claim about direction. THE ANCHOR IS NOT THE VALUATION PRICE: the price distribution is struck on the price history and the valuation on the latest close, and they are a month apart here — two clocks, both dated, never mixed.</w:t>
      </w:r>
    </w:p>
    <w:p>
      <w:pPr>
        <w:spacing w:after="40"/>
        <w:jc w:val="center"/>
      </w:pPr>
      <w:r>
        <w:drawing>
          <wp:inline xmlns:a="http://schemas.openxmlformats.org/drawingml/2006/main" xmlns:pic="http://schemas.openxmlformats.org/drawingml/2006/picture">
            <wp:extent cx="6035040" cy="2311292"/>
            <wp:docPr id="12" name="Picture 12"/>
            <wp:cNvGraphicFramePr>
              <a:graphicFrameLocks noChangeAspect="1"/>
            </wp:cNvGraphicFramePr>
            <a:graphic>
              <a:graphicData uri="http://schemas.openxmlformats.org/drawingml/2006/picture">
                <pic:pic>
                  <pic:nvPicPr>
                    <pic:cNvPr id="0" name="fig12_dist1m.png"/>
                    <pic:cNvPicPr/>
                  </pic:nvPicPr>
                  <pic:blipFill>
                    <a:blip r:embed="rId20"/>
                    <a:stretch>
                      <a:fillRect/>
                    </a:stretch>
                  </pic:blipFill>
                  <pic:spPr>
                    <a:xfrm>
                      <a:off x="0" y="0"/>
                      <a:ext cx="6035040" cy="2311292"/>
                    </a:xfrm>
                    <a:prstGeom prst="rect"/>
                  </pic:spPr>
                </pic:pic>
              </a:graphicData>
            </a:graphic>
          </wp:inline>
        </w:drawing>
      </w:r>
    </w:p>
    <w:p>
      <w:pPr>
        <w:spacing w:after="200" w:before="0"/>
      </w:pPr>
      <w:r>
        <w:rPr>
          <w:b w:val="0"/>
          <w:i/>
          <w:color w:val="6E7B77"/>
          <w:sz w:val="17"/>
        </w:rPr>
        <w:t>Figure 12.  The shape of the distribution at one month, to 2026-09-06.</w:t>
      </w:r>
    </w:p>
    <w:p>
      <w:pPr>
        <w:spacing w:after="40"/>
        <w:jc w:val="center"/>
      </w:pPr>
      <w:r>
        <w:drawing>
          <wp:inline xmlns:a="http://schemas.openxmlformats.org/drawingml/2006/main" xmlns:pic="http://schemas.openxmlformats.org/drawingml/2006/picture">
            <wp:extent cx="6035040" cy="2311292"/>
            <wp:docPr id="13" name="Picture 13"/>
            <wp:cNvGraphicFramePr>
              <a:graphicFrameLocks noChangeAspect="1"/>
            </wp:cNvGraphicFramePr>
            <a:graphic>
              <a:graphicData uri="http://schemas.openxmlformats.org/drawingml/2006/picture">
                <pic:pic>
                  <pic:nvPicPr>
                    <pic:cNvPr id="0" name="fig13_dist3m.png"/>
                    <pic:cNvPicPr/>
                  </pic:nvPicPr>
                  <pic:blipFill>
                    <a:blip r:embed="rId21"/>
                    <a:stretch>
                      <a:fillRect/>
                    </a:stretch>
                  </pic:blipFill>
                  <pic:spPr>
                    <a:xfrm>
                      <a:off x="0" y="0"/>
                      <a:ext cx="6035040" cy="2311292"/>
                    </a:xfrm>
                    <a:prstGeom prst="rect"/>
                  </pic:spPr>
                </pic:pic>
              </a:graphicData>
            </a:graphic>
          </wp:inline>
        </w:drawing>
      </w:r>
    </w:p>
    <w:p>
      <w:pPr>
        <w:spacing w:after="200" w:before="0"/>
      </w:pPr>
      <w:r>
        <w:rPr>
          <w:b w:val="0"/>
          <w:i/>
          <w:color w:val="6E7B77"/>
          <w:sz w:val="17"/>
        </w:rPr>
        <w:t>Figure 13.  And at three months, to 2026-11-08. The right tail is longer than the left because the price cannot fall below zero and can rise without a bound — which is why the median sits below the mean and why the ladder below, not the median, is the more useful line.</w:t>
      </w:r>
    </w:p>
    <w:p>
      <w:pPr>
        <w:keepNext/>
        <w:spacing w:after="80" w:before="200"/>
      </w:pPr>
      <w:r>
        <w:rPr>
          <w:b/>
          <w:i w:val="0"/>
          <w:color w:val="1C3A36"/>
          <w:sz w:val="24"/>
        </w:rPr>
        <w:t>Level-touch ladder</w:t>
      </w:r>
    </w:p>
    <w:p>
      <w:pPr>
        <w:spacing w:after="120" w:before="0"/>
      </w:pPr>
      <w:r>
        <w:rPr>
          <w:b w:val="0"/>
          <w:i w:val="0"/>
          <w:color w:val="1C3A36"/>
          <w:sz w:val="21"/>
        </w:rPr>
        <w:t>The percentile map says where the price may END. This ladder says how likely it is to TRADE THROUGH a level at any point before the check date, which is a different and usually larger number.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240"/>
        <w:gridCol w:w="3240"/>
      </w:tblGrid>
      <w:tr>
        <w:trPr>
          <w:cantSplit/>
          <w:tblHeader/>
        </w:trPr>
        <w:tc>
          <w:tcPr>
            <w:tcW w:type="dxa" w:w="3456"/>
            <w:shd w:val="clear" w:color="auto" w:fill="EAF0EE"/>
          </w:tcPr>
          <w:p>
            <w:pPr>
              <w:spacing w:after="20"/>
            </w:pPr>
            <w:r>
              <w:rPr>
                <w:b/>
                <w:color w:val="1C3A36"/>
                <w:sz w:val="17"/>
              </w:rPr>
              <w:t>Level</w:t>
            </w:r>
          </w:p>
        </w:tc>
        <w:tc>
          <w:tcPr>
            <w:tcW w:type="dxa" w:w="3240"/>
            <w:shd w:val="clear" w:color="auto" w:fill="EAF0EE"/>
          </w:tcPr>
          <w:p>
            <w:pPr>
              <w:spacing w:after="20"/>
            </w:pPr>
            <w:r>
              <w:rPr>
                <w:b/>
                <w:color w:val="1C3A36"/>
                <w:sz w:val="17"/>
              </w:rPr>
              <w:t>One month</w:t>
            </w:r>
          </w:p>
        </w:tc>
        <w:tc>
          <w:tcPr>
            <w:tcW w:type="dxa" w:w="3240"/>
            <w:shd w:val="clear" w:color="auto" w:fill="EAF0EE"/>
          </w:tcPr>
          <w:p>
            <w:pPr>
              <w:spacing w:after="20"/>
            </w:pPr>
            <w:r>
              <w:rPr>
                <w:b/>
                <w:color w:val="1C3A36"/>
                <w:sz w:val="17"/>
              </w:rPr>
              <w:t>Three months</w:t>
            </w:r>
          </w:p>
        </w:tc>
      </w:tr>
      <w:tr>
        <w:trPr>
          <w:cantSplit/>
        </w:trPr>
        <w:tc>
          <w:tcPr>
            <w:tcW w:type="dxa" w:w="3456"/>
          </w:tcPr>
          <w:p>
            <w:pPr>
              <w:spacing w:after="20"/>
            </w:pPr>
            <w:r>
              <w:rPr>
                <w:color w:val="1C3A36"/>
                <w:sz w:val="17"/>
              </w:rPr>
              <w:t>Up 5%</w:t>
            </w:r>
          </w:p>
        </w:tc>
        <w:tc>
          <w:tcPr>
            <w:tcW w:type="dxa" w:w="3240"/>
          </w:tcPr>
          <w:p>
            <w:pPr>
              <w:spacing w:after="20"/>
              <w:jc w:val="right"/>
            </w:pPr>
            <w:r>
              <w:rPr>
                <w:color w:val="1C3A36"/>
                <w:sz w:val="17"/>
              </w:rPr>
              <w:t>56.9%</w:t>
            </w:r>
          </w:p>
        </w:tc>
        <w:tc>
          <w:tcPr>
            <w:tcW w:type="dxa" w:w="3240"/>
          </w:tcPr>
          <w:p>
            <w:pPr>
              <w:spacing w:after="20"/>
              <w:jc w:val="right"/>
            </w:pPr>
            <w:r>
              <w:rPr>
                <w:color w:val="1C3A36"/>
                <w:sz w:val="17"/>
              </w:rPr>
              <w:t>79.8%</w:t>
            </w:r>
          </w:p>
        </w:tc>
      </w:tr>
      <w:tr>
        <w:trPr>
          <w:cantSplit/>
        </w:trPr>
        <w:tc>
          <w:tcPr>
            <w:tcW w:type="dxa" w:w="3456"/>
          </w:tcPr>
          <w:p>
            <w:pPr>
              <w:spacing w:after="20"/>
            </w:pPr>
            <w:r>
              <w:rPr>
                <w:color w:val="1C3A36"/>
                <w:sz w:val="17"/>
              </w:rPr>
              <w:t>Up 10%</w:t>
            </w:r>
          </w:p>
        </w:tc>
        <w:tc>
          <w:tcPr>
            <w:tcW w:type="dxa" w:w="3240"/>
          </w:tcPr>
          <w:p>
            <w:pPr>
              <w:spacing w:after="20"/>
              <w:jc w:val="right"/>
            </w:pPr>
            <w:r>
              <w:rPr>
                <w:color w:val="1C3A36"/>
                <w:sz w:val="17"/>
              </w:rPr>
              <w:t>30.1%</w:t>
            </w:r>
          </w:p>
        </w:tc>
        <w:tc>
          <w:tcPr>
            <w:tcW w:type="dxa" w:w="3240"/>
          </w:tcPr>
          <w:p>
            <w:pPr>
              <w:spacing w:after="20"/>
              <w:jc w:val="right"/>
            </w:pPr>
            <w:r>
              <w:rPr>
                <w:color w:val="1C3A36"/>
                <w:sz w:val="17"/>
              </w:rPr>
              <w:t>62.6%</w:t>
            </w:r>
          </w:p>
        </w:tc>
      </w:tr>
      <w:tr>
        <w:trPr>
          <w:cantSplit/>
        </w:trPr>
        <w:tc>
          <w:tcPr>
            <w:tcW w:type="dxa" w:w="3456"/>
          </w:tcPr>
          <w:p>
            <w:pPr>
              <w:spacing w:after="20"/>
            </w:pPr>
            <w:r>
              <w:rPr>
                <w:color w:val="1C3A36"/>
                <w:sz w:val="17"/>
              </w:rPr>
              <w:t>Up 15%</w:t>
            </w:r>
          </w:p>
        </w:tc>
        <w:tc>
          <w:tcPr>
            <w:tcW w:type="dxa" w:w="3240"/>
          </w:tcPr>
          <w:p>
            <w:pPr>
              <w:spacing w:after="20"/>
              <w:jc w:val="right"/>
            </w:pPr>
            <w:r>
              <w:rPr>
                <w:color w:val="1C3A36"/>
                <w:sz w:val="17"/>
              </w:rPr>
              <w:t>15.0%</w:t>
            </w:r>
          </w:p>
        </w:tc>
        <w:tc>
          <w:tcPr>
            <w:tcW w:type="dxa" w:w="3240"/>
          </w:tcPr>
          <w:p>
            <w:pPr>
              <w:spacing w:after="20"/>
              <w:jc w:val="right"/>
            </w:pPr>
            <w:r>
              <w:rPr>
                <w:color w:val="1C3A36"/>
                <w:sz w:val="17"/>
              </w:rPr>
              <w:t>47.4%</w:t>
            </w:r>
          </w:p>
        </w:tc>
      </w:tr>
      <w:tr>
        <w:trPr>
          <w:cantSplit/>
        </w:trPr>
        <w:tc>
          <w:tcPr>
            <w:tcW w:type="dxa" w:w="3456"/>
          </w:tcPr>
          <w:p>
            <w:pPr>
              <w:spacing w:after="20"/>
            </w:pPr>
            <w:r>
              <w:rPr>
                <w:color w:val="1C3A36"/>
                <w:sz w:val="17"/>
              </w:rPr>
              <w:t>Up 20%</w:t>
            </w:r>
          </w:p>
        </w:tc>
        <w:tc>
          <w:tcPr>
            <w:tcW w:type="dxa" w:w="3240"/>
          </w:tcPr>
          <w:p>
            <w:pPr>
              <w:spacing w:after="20"/>
              <w:jc w:val="right"/>
            </w:pPr>
            <w:r>
              <w:rPr>
                <w:color w:val="1C3A36"/>
                <w:sz w:val="17"/>
              </w:rPr>
              <w:t>7.6%</w:t>
            </w:r>
          </w:p>
        </w:tc>
        <w:tc>
          <w:tcPr>
            <w:tcW w:type="dxa" w:w="3240"/>
          </w:tcPr>
          <w:p>
            <w:pPr>
              <w:spacing w:after="20"/>
              <w:jc w:val="right"/>
            </w:pPr>
            <w:r>
              <w:rPr>
                <w:color w:val="1C3A36"/>
                <w:sz w:val="17"/>
              </w:rPr>
              <w:t>35.1%</w:t>
            </w:r>
          </w:p>
        </w:tc>
      </w:tr>
      <w:tr>
        <w:trPr>
          <w:cantSplit/>
        </w:trPr>
        <w:tc>
          <w:tcPr>
            <w:tcW w:type="dxa" w:w="3456"/>
          </w:tcPr>
          <w:p>
            <w:pPr>
              <w:spacing w:after="20"/>
            </w:pPr>
            <w:r>
              <w:rPr>
                <w:color w:val="1C3A36"/>
                <w:sz w:val="17"/>
              </w:rPr>
              <w:t>Down 5%</w:t>
            </w:r>
          </w:p>
        </w:tc>
        <w:tc>
          <w:tcPr>
            <w:tcW w:type="dxa" w:w="3240"/>
          </w:tcPr>
          <w:p>
            <w:pPr>
              <w:spacing w:after="20"/>
              <w:jc w:val="right"/>
            </w:pPr>
            <w:r>
              <w:rPr>
                <w:color w:val="1C3A36"/>
                <w:sz w:val="17"/>
              </w:rPr>
              <w:t>40.3%</w:t>
            </w:r>
          </w:p>
        </w:tc>
        <w:tc>
          <w:tcPr>
            <w:tcW w:type="dxa" w:w="3240"/>
          </w:tcPr>
          <w:p>
            <w:pPr>
              <w:spacing w:after="20"/>
              <w:jc w:val="right"/>
            </w:pPr>
            <w:r>
              <w:rPr>
                <w:color w:val="1C3A36"/>
                <w:sz w:val="17"/>
              </w:rPr>
              <w:t>60.3%</w:t>
            </w:r>
          </w:p>
        </w:tc>
      </w:tr>
      <w:tr>
        <w:trPr>
          <w:cantSplit/>
        </w:trPr>
        <w:tc>
          <w:tcPr>
            <w:tcW w:type="dxa" w:w="3456"/>
          </w:tcPr>
          <w:p>
            <w:pPr>
              <w:spacing w:after="20"/>
            </w:pPr>
            <w:r>
              <w:rPr>
                <w:color w:val="1C3A36"/>
                <w:sz w:val="17"/>
              </w:rPr>
              <w:t>Down 10%</w:t>
            </w:r>
          </w:p>
        </w:tc>
        <w:tc>
          <w:tcPr>
            <w:tcW w:type="dxa" w:w="3240"/>
          </w:tcPr>
          <w:p>
            <w:pPr>
              <w:spacing w:after="20"/>
              <w:jc w:val="right"/>
            </w:pPr>
            <w:r>
              <w:rPr>
                <w:color w:val="1C3A36"/>
                <w:sz w:val="17"/>
              </w:rPr>
              <w:t>16.3%</w:t>
            </w:r>
          </w:p>
        </w:tc>
        <w:tc>
          <w:tcPr>
            <w:tcW w:type="dxa" w:w="3240"/>
          </w:tcPr>
          <w:p>
            <w:pPr>
              <w:spacing w:after="20"/>
              <w:jc w:val="right"/>
            </w:pPr>
            <w:r>
              <w:rPr>
                <w:color w:val="1C3A36"/>
                <w:sz w:val="17"/>
              </w:rPr>
              <w:t>37.5%</w:t>
            </w:r>
          </w:p>
        </w:tc>
      </w:tr>
      <w:tr>
        <w:trPr>
          <w:cantSplit/>
        </w:trPr>
        <w:tc>
          <w:tcPr>
            <w:tcW w:type="dxa" w:w="3456"/>
          </w:tcPr>
          <w:p>
            <w:pPr>
              <w:spacing w:after="20"/>
            </w:pPr>
            <w:r>
              <w:rPr>
                <w:color w:val="1C3A36"/>
                <w:sz w:val="17"/>
              </w:rPr>
              <w:t>Down 15%</w:t>
            </w:r>
          </w:p>
        </w:tc>
        <w:tc>
          <w:tcPr>
            <w:tcW w:type="dxa" w:w="3240"/>
          </w:tcPr>
          <w:p>
            <w:pPr>
              <w:spacing w:after="20"/>
              <w:jc w:val="right"/>
            </w:pPr>
            <w:r>
              <w:rPr>
                <w:color w:val="1C3A36"/>
                <w:sz w:val="17"/>
              </w:rPr>
              <w:t>6.2%</w:t>
            </w:r>
          </w:p>
        </w:tc>
        <w:tc>
          <w:tcPr>
            <w:tcW w:type="dxa" w:w="3240"/>
          </w:tcPr>
          <w:p>
            <w:pPr>
              <w:spacing w:after="20"/>
              <w:jc w:val="right"/>
            </w:pPr>
            <w:r>
              <w:rPr>
                <w:color w:val="1C3A36"/>
                <w:sz w:val="17"/>
              </w:rPr>
              <w:t>22.2%</w:t>
            </w:r>
          </w:p>
        </w:tc>
      </w:tr>
      <w:tr>
        <w:trPr>
          <w:cantSplit/>
        </w:trPr>
        <w:tc>
          <w:tcPr>
            <w:tcW w:type="dxa" w:w="3456"/>
          </w:tcPr>
          <w:p>
            <w:pPr>
              <w:spacing w:after="20"/>
            </w:pPr>
            <w:r>
              <w:rPr>
                <w:color w:val="1C3A36"/>
                <w:sz w:val="17"/>
              </w:rPr>
              <w:t>Down 20%</w:t>
            </w:r>
          </w:p>
        </w:tc>
        <w:tc>
          <w:tcPr>
            <w:tcW w:type="dxa" w:w="3240"/>
          </w:tcPr>
          <w:p>
            <w:pPr>
              <w:spacing w:after="20"/>
              <w:jc w:val="right"/>
            </w:pPr>
            <w:r>
              <w:rPr>
                <w:color w:val="1C3A36"/>
                <w:sz w:val="17"/>
              </w:rPr>
              <w:t>2.4%</w:t>
            </w:r>
          </w:p>
        </w:tc>
        <w:tc>
          <w:tcPr>
            <w:tcW w:type="dxa" w:w="3240"/>
          </w:tcPr>
          <w:p>
            <w:pPr>
              <w:spacing w:after="20"/>
              <w:jc w:val="right"/>
            </w:pPr>
            <w:r>
              <w:rPr>
                <w:color w:val="1C3A36"/>
                <w:sz w:val="17"/>
              </w:rPr>
              <w:t>13.0%</w:t>
            </w:r>
          </w:p>
        </w:tc>
      </w:tr>
    </w:tbl>
    <w:p>
      <w:pPr>
        <w:spacing w:after="40"/>
      </w:pPr>
    </w:p>
    <w:p>
      <w:pPr>
        <w:spacing w:after="200" w:before="0"/>
      </w:pPr>
      <w:r>
        <w:rPr>
          <w:b w:val="0"/>
          <w:i/>
          <w:color w:val="6E7B77"/>
          <w:sz w:val="17"/>
        </w:rPr>
        <w:t>Table 24.  Probability of touching each level at any point before the check date.</w:t>
      </w:r>
    </w:p>
    <w:p>
      <w:pPr>
        <w:spacing w:after="120" w:before="0"/>
      </w:pPr>
      <w:r>
        <w:rPr>
          <w:b w:val="0"/>
          <w:i w:val="0"/>
          <w:color w:val="1C3A36"/>
          <w:sz w:val="21"/>
        </w:rPr>
        <w:t>How this has done, in plain terms. Over 57 resolved three-month forecasts on this share the price finished inside the ninety-per-cent band 94.7% of the time, inside the eighty-per-cent band 87.7% and inside the fifty-per-cent band 56.1% — against the ninety, eighty and fifty they promise. The record earns no flag either way. By the count ladder this house uses it is a long record, and the ninety-per-cent band ran 1.45 times the width of a naive band anchored on the carry alone — a width disclosed beside the record and never used as a threshold, because a wider band is not automatically a wrong one.</w:t>
      </w:r>
    </w:p>
    <w:p>
      <w:pPr>
        <w:spacing w:after="120" w:before="0"/>
      </w:pPr>
      <w:r>
        <w:rPr>
          <w:b w:val="0"/>
          <w:i w:val="0"/>
          <w:color w:val="1C3A36"/>
          <w:sz w:val="21"/>
        </w:rPr>
        <w:t>Two honest limits. The bands are wide because this share is volatile — an annualised 46.8% at the anchor date — and a wide band that is right is worth more than a narrow one that is wrong. And the map says nothing about value: a price can stay far above what a business is worth for a very long time, and on a stock with a six per cent free float it can do so on modest volume.</w:t>
      </w:r>
    </w:p>
    <w:p>
      <w:pPr>
        <w:keepNext/>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224"/>
        <w:gridCol w:w="3456"/>
        <w:gridCol w:w="2952"/>
      </w:tblGrid>
      <w:tr>
        <w:trPr>
          <w:cantSplit/>
          <w:tblHeader/>
        </w:trPr>
        <w:tc>
          <w:tcPr>
            <w:tcW w:type="dxa" w:w="2448"/>
            <w:shd w:val="clear" w:color="auto" w:fill="EAF0EE"/>
          </w:tcPr>
          <w:p>
            <w:pPr>
              <w:spacing w:after="20"/>
            </w:pPr>
            <w:r>
              <w:rPr>
                <w:b/>
                <w:color w:val="1C3A36"/>
                <w:sz w:val="16"/>
              </w:rPr>
              <w:t>Lens</w:t>
            </w:r>
          </w:p>
        </w:tc>
        <w:tc>
          <w:tcPr>
            <w:tcW w:type="dxa" w:w="1224"/>
            <w:shd w:val="clear" w:color="auto" w:fill="EAF0EE"/>
          </w:tcPr>
          <w:p>
            <w:pPr>
              <w:spacing w:after="20"/>
            </w:pPr>
            <w:r>
              <w:rPr>
                <w:b/>
                <w:color w:val="1C3A36"/>
                <w:sz w:val="16"/>
              </w:rPr>
              <w:t>EGP/share</w:t>
            </w:r>
          </w:p>
        </w:tc>
        <w:tc>
          <w:tcPr>
            <w:tcW w:type="dxa" w:w="3456"/>
            <w:shd w:val="clear" w:color="auto" w:fill="EAF0EE"/>
          </w:tcPr>
          <w:p>
            <w:pPr>
              <w:spacing w:after="20"/>
            </w:pPr>
            <w:r>
              <w:rPr>
                <w:b/>
                <w:color w:val="1C3A36"/>
                <w:sz w:val="16"/>
              </w:rPr>
              <w:t>What it assumes that the others do not</w:t>
            </w:r>
          </w:p>
        </w:tc>
        <w:tc>
          <w:tcPr>
            <w:tcW w:type="dxa" w:w="2952"/>
            <w:shd w:val="clear" w:color="auto" w:fill="EAF0EE"/>
          </w:tcPr>
          <w:p>
            <w:pPr>
              <w:spacing w:after="20"/>
            </w:pPr>
            <w:r>
              <w:rPr>
                <w:b/>
                <w:color w:val="1C3A36"/>
                <w:sz w:val="16"/>
              </w:rPr>
              <w:t>Which assumption drives its gap to the cash-flow lens</w:t>
            </w:r>
          </w:p>
        </w:tc>
      </w:tr>
      <w:tr>
        <w:trPr>
          <w:cantSplit/>
        </w:trPr>
        <w:tc>
          <w:tcPr>
            <w:tcW w:type="dxa" w:w="2448"/>
          </w:tcPr>
          <w:p>
            <w:pPr>
              <w:spacing w:after="20"/>
            </w:pPr>
            <w:r>
              <w:rPr>
                <w:color w:val="1C3A36"/>
                <w:sz w:val="16"/>
              </w:rPr>
              <w:t>Cash flow — carried through</w:t>
            </w:r>
          </w:p>
        </w:tc>
        <w:tc>
          <w:tcPr>
            <w:tcW w:type="dxa" w:w="1224"/>
          </w:tcPr>
          <w:p>
            <w:pPr>
              <w:spacing w:after="20"/>
              <w:jc w:val="right"/>
            </w:pPr>
            <w:r>
              <w:rPr>
                <w:color w:val="1C3A36"/>
                <w:sz w:val="16"/>
              </w:rPr>
              <w:t>9.24</w:t>
            </w:r>
          </w:p>
        </w:tc>
        <w:tc>
          <w:tcPr>
            <w:tcW w:type="dxa" w:w="3456"/>
          </w:tcPr>
          <w:p>
            <w:pPr>
              <w:spacing w:after="20"/>
            </w:pPr>
            <w:r>
              <w:rPr>
                <w:color w:val="1C3A36"/>
                <w:sz w:val="16"/>
              </w:rPr>
              <w:t>That the capital programme is completed and earns at half its derived nameplate</w:t>
            </w:r>
          </w:p>
        </w:tc>
        <w:tc>
          <w:tcPr>
            <w:tcW w:type="dxa" w:w="2952"/>
          </w:tcPr>
          <w:p>
            <w:pPr>
              <w:spacing w:after="20"/>
            </w:pPr>
            <w:r>
              <w:rPr>
                <w:color w:val="1C3A36"/>
                <w:sz w:val="16"/>
              </w:rPr>
              <w:t>—</w:t>
            </w:r>
          </w:p>
        </w:tc>
      </w:tr>
      <w:tr>
        <w:trPr>
          <w:cantSplit/>
        </w:trPr>
        <w:tc>
          <w:tcPr>
            <w:tcW w:type="dxa" w:w="2448"/>
          </w:tcPr>
          <w:p>
            <w:pPr>
              <w:spacing w:after="20"/>
            </w:pPr>
            <w:r>
              <w:rPr>
                <w:color w:val="1C3A36"/>
                <w:sz w:val="16"/>
              </w:rPr>
              <w:t>Cash flow — stopped</w:t>
            </w:r>
          </w:p>
        </w:tc>
        <w:tc>
          <w:tcPr>
            <w:tcW w:type="dxa" w:w="1224"/>
          </w:tcPr>
          <w:p>
            <w:pPr>
              <w:spacing w:after="20"/>
              <w:jc w:val="right"/>
            </w:pPr>
            <w:r>
              <w:rPr>
                <w:color w:val="1C3A36"/>
                <w:sz w:val="16"/>
              </w:rPr>
              <w:t>12.77</w:t>
            </w:r>
          </w:p>
        </w:tc>
        <w:tc>
          <w:tcPr>
            <w:tcW w:type="dxa" w:w="3456"/>
          </w:tcPr>
          <w:p>
            <w:pPr>
              <w:spacing w:after="20"/>
            </w:pPr>
            <w:r>
              <w:rPr>
                <w:color w:val="1C3A36"/>
                <w:sz w:val="16"/>
              </w:rPr>
              <w:t>That the board stops after one further year and runs the plant it owns</w:t>
            </w:r>
          </w:p>
        </w:tc>
        <w:tc>
          <w:tcPr>
            <w:tcW w:type="dxa" w:w="2952"/>
          </w:tcPr>
          <w:p>
            <w:pPr>
              <w:spacing w:after="20"/>
            </w:pPr>
            <w:r>
              <w:rPr>
                <w:color w:val="1C3A36"/>
                <w:sz w:val="16"/>
              </w:rPr>
              <w:t>The programme alone: EGP 3.54</w:t>
            </w:r>
          </w:p>
        </w:tc>
      </w:tr>
      <w:tr>
        <w:trPr>
          <w:cantSplit/>
        </w:trPr>
        <w:tc>
          <w:tcPr>
            <w:tcW w:type="dxa" w:w="2448"/>
          </w:tcPr>
          <w:p>
            <w:pPr>
              <w:spacing w:after="20"/>
            </w:pPr>
            <w:r>
              <w:rPr>
                <w:color w:val="1C3A36"/>
                <w:sz w:val="16"/>
              </w:rPr>
              <w:t>Book value — the disclosed floor</w:t>
            </w:r>
          </w:p>
        </w:tc>
        <w:tc>
          <w:tcPr>
            <w:tcW w:type="dxa" w:w="1224"/>
          </w:tcPr>
          <w:p>
            <w:pPr>
              <w:spacing w:after="20"/>
              <w:jc w:val="right"/>
            </w:pPr>
            <w:r>
              <w:rPr>
                <w:color w:val="1C3A36"/>
                <w:sz w:val="16"/>
              </w:rPr>
              <w:t>8.16</w:t>
            </w:r>
          </w:p>
        </w:tc>
        <w:tc>
          <w:tcPr>
            <w:tcW w:type="dxa" w:w="3456"/>
          </w:tcPr>
          <w:p>
            <w:pPr>
              <w:spacing w:after="20"/>
            </w:pPr>
            <w:r>
              <w:rPr>
                <w:color w:val="1C3A36"/>
                <w:sz w:val="16"/>
              </w:rPr>
              <w:t>Shareholders' funds per share as filed. Not a valuation and never weighted into one</w:t>
            </w:r>
          </w:p>
        </w:tc>
        <w:tc>
          <w:tcPr>
            <w:tcW w:type="dxa" w:w="2952"/>
          </w:tcPr>
          <w:p>
            <w:pPr>
              <w:spacing w:after="20"/>
            </w:pPr>
            <w:r>
              <w:rPr>
                <w:color w:val="1C3A36"/>
                <w:sz w:val="16"/>
              </w:rPr>
              <w:t>On the return this book actually earns (6.9% against a cost of equity of 29.08%) the justified multiple of it is zero — the floor is what the assets are carried at, not what they earn</w:t>
            </w:r>
          </w:p>
        </w:tc>
      </w:tr>
      <w:tr>
        <w:trPr>
          <w:cantSplit/>
        </w:trPr>
        <w:tc>
          <w:tcPr>
            <w:tcW w:type="dxa" w:w="2448"/>
          </w:tcPr>
          <w:p>
            <w:pPr>
              <w:spacing w:after="20"/>
            </w:pPr>
            <w:r>
              <w:rPr>
                <w:color w:val="1C3A36"/>
                <w:sz w:val="16"/>
              </w:rPr>
              <w:t>Relative multiples</w:t>
            </w:r>
          </w:p>
        </w:tc>
        <w:tc>
          <w:tcPr>
            <w:tcW w:type="dxa" w:w="1224"/>
          </w:tcPr>
          <w:p>
            <w:pPr>
              <w:spacing w:after="20"/>
              <w:jc w:val="right"/>
            </w:pPr>
            <w:r>
              <w:rPr>
                <w:color w:val="1C3A36"/>
                <w:sz w:val="16"/>
              </w:rPr>
              <w:t>19.93</w:t>
            </w:r>
          </w:p>
        </w:tc>
        <w:tc>
          <w:tcPr>
            <w:tcW w:type="dxa" w:w="3456"/>
          </w:tcPr>
          <w:p>
            <w:pPr>
              <w:spacing w:after="20"/>
            </w:pPr>
            <w:r>
              <w:rPr>
                <w:color w:val="1C3A36"/>
                <w:sz w:val="16"/>
              </w:rPr>
              <w:t>That a peer multiple on forward operating profit captures the whole business</w:t>
            </w:r>
          </w:p>
        </w:tc>
        <w:tc>
          <w:tcPr>
            <w:tcW w:type="dxa" w:w="2952"/>
          </w:tcPr>
          <w:p>
            <w:pPr>
              <w:spacing w:after="20"/>
            </w:pPr>
            <w:r>
              <w:rPr>
                <w:color w:val="1C3A36"/>
                <w:sz w:val="16"/>
              </w:rPr>
              <w:t>It ignores capital expenditure entirely; that is the whole gap</w:t>
            </w:r>
          </w:p>
        </w:tc>
      </w:tr>
      <w:tr>
        <w:trPr>
          <w:cantSplit/>
        </w:trPr>
        <w:tc>
          <w:tcPr>
            <w:tcW w:type="dxa" w:w="2448"/>
          </w:tcPr>
          <w:p>
            <w:pPr>
              <w:spacing w:after="20"/>
            </w:pPr>
            <w:r>
              <w:rPr>
                <w:color w:val="1C3A36"/>
                <w:sz w:val="16"/>
              </w:rPr>
              <w:t>Normalised earnings power</w:t>
            </w:r>
          </w:p>
        </w:tc>
        <w:tc>
          <w:tcPr>
            <w:tcW w:type="dxa" w:w="1224"/>
          </w:tcPr>
          <w:p>
            <w:pPr>
              <w:spacing w:after="20"/>
              <w:jc w:val="right"/>
            </w:pPr>
            <w:r>
              <w:rPr>
                <w:color w:val="1C3A36"/>
                <w:sz w:val="16"/>
              </w:rPr>
              <w:t>7.37</w:t>
            </w:r>
          </w:p>
        </w:tc>
        <w:tc>
          <w:tcPr>
            <w:tcW w:type="dxa" w:w="3456"/>
          </w:tcPr>
          <w:p>
            <w:pPr>
              <w:spacing w:after="20"/>
            </w:pPr>
            <w:r>
              <w:rPr>
                <w:color w:val="1C3A36"/>
                <w:sz w:val="16"/>
              </w:rPr>
              <w:t>That an average year is the right year, and the balance sheet is stable</w:t>
            </w:r>
          </w:p>
        </w:tc>
        <w:tc>
          <w:tcPr>
            <w:tcW w:type="dxa" w:w="2952"/>
          </w:tcPr>
          <w:p>
            <w:pPr>
              <w:spacing w:after="20"/>
            </w:pPr>
            <w:r>
              <w:rPr>
                <w:color w:val="1C3A36"/>
                <w:sz w:val="16"/>
              </w:rPr>
              <w:t>Mid-cycle pricing plus the same blindness to the capital programme</w:t>
            </w:r>
          </w:p>
        </w:tc>
      </w:tr>
    </w:tbl>
    <w:p>
      <w:pPr>
        <w:spacing w:after="40"/>
      </w:pPr>
    </w:p>
    <w:p>
      <w:pPr>
        <w:spacing w:after="200" w:before="0"/>
      </w:pPr>
      <w:r>
        <w:rPr>
          <w:b w:val="0"/>
          <w:i/>
          <w:color w:val="6E7B77"/>
          <w:sz w:val="17"/>
        </w:rPr>
        <w:t>Table 25.  The divergence is structured, not random. Every lens that lands above the cash-flow reading does so by not asking what the capital programme costs.</w:t>
      </w:r>
    </w:p>
    <w:p>
      <w:pPr>
        <w:spacing w:after="120" w:before="0"/>
      </w:pPr>
      <w:r>
        <w:rPr>
          <w:b w:val="0"/>
          <w:i w:val="0"/>
          <w:color w:val="1C3A36"/>
          <w:sz w:val="21"/>
        </w:rPr>
        <w:t>The reading we take from this is not that four lenses agree — they do not, and a study that made them agree would have hidden the thing worth knowing. It is that they disagree in one direction and for one reason. The three lenses that land above the cash-flow reading all reach their answer by declining to charge the capital programme against the years in which it is actually spent: the multiple lens capitalises a forward operating profit that is struck before capital expenditure, the normalised lens values a steady state the company is not in, and the book lens values what has already been paid for. Each is a legitimate question. None of them is the question that decides this company.</w:t>
      </w:r>
    </w:p>
    <w:p>
      <w:pPr>
        <w:spacing w:after="120" w:before="0"/>
      </w:pPr>
      <w:r>
        <w:rPr>
          <w:b w:val="0"/>
          <w:i w:val="0"/>
          <w:color w:val="1C3A36"/>
          <w:sz w:val="21"/>
        </w:rPr>
        <w:t>Our own reading therefore sits at the conservative end of the field, and the field's upper bound of EGP 19.93 should be read as what the shares would be worth if the programme were free — which it is not. The multiple lens does reach EGP 14.41, and that is the whole point of it: at the multiple Egyptian fertilizer producers actually trade at, a reader who ignores the capital programme gets the market's answer. The cash-flow lens, which does not ignore it, does not. The gap is reported as the flat discount rate that would close it, about 15.0% against a sovereign ten-year yield of 23.0%, so that a reader who disagrees can see precisely what they are disagreeing with rather than being asked to accept a conclusion.</w:t>
      </w:r>
    </w:p>
    <w:p>
      <w:pPr>
        <w:spacing w:after="120" w:before="0"/>
      </w:pPr>
      <w:r>
        <w:rPr>
          <w:b w:val="0"/>
          <w:i/>
          <w:color w:val="1C3A36"/>
          <w:sz w:val="19"/>
        </w:rPr>
        <w:t>No rating and no price target is expressed here or anywhere else in this document. What is published is a field of fair values, the reasoning behind each, and the probability map around today's price.</w:t>
      </w:r>
    </w:p>
    <w:p>
      <w:pPr>
        <w:keepNext/>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4320"/>
        <w:gridCol w:w="3024"/>
      </w:tblGrid>
      <w:tr>
        <w:trPr>
          <w:cantSplit/>
          <w:tblHeader/>
        </w:trPr>
        <w:tc>
          <w:tcPr>
            <w:tcW w:type="dxa" w:w="2736"/>
            <w:shd w:val="clear" w:color="auto" w:fill="EAF0EE"/>
          </w:tcPr>
          <w:p>
            <w:pPr>
              <w:spacing w:after="20"/>
            </w:pPr>
            <w:r>
              <w:rPr>
                <w:b/>
                <w:color w:val="1C3A36"/>
                <w:sz w:val="16"/>
              </w:rPr>
              <w:t>Catalyst</w:t>
            </w:r>
          </w:p>
        </w:tc>
        <w:tc>
          <w:tcPr>
            <w:tcW w:type="dxa" w:w="4320"/>
            <w:shd w:val="clear" w:color="auto" w:fill="EAF0EE"/>
          </w:tcPr>
          <w:p>
            <w:pPr>
              <w:spacing w:after="20"/>
            </w:pPr>
            <w:r>
              <w:rPr>
                <w:b/>
                <w:color w:val="1C3A36"/>
                <w:sz w:val="16"/>
              </w:rPr>
              <w:t>Why it matters</w:t>
            </w:r>
          </w:p>
        </w:tc>
        <w:tc>
          <w:tcPr>
            <w:tcW w:type="dxa" w:w="3024"/>
            <w:shd w:val="clear" w:color="auto" w:fill="EAF0EE"/>
          </w:tcPr>
          <w:p>
            <w:pPr>
              <w:spacing w:after="20"/>
            </w:pPr>
            <w:r>
              <w:rPr>
                <w:b/>
                <w:color w:val="1C3A36"/>
                <w:sz w:val="16"/>
              </w:rPr>
              <w:t>What to watch</w:t>
            </w:r>
          </w:p>
        </w:tc>
      </w:tr>
      <w:tr>
        <w:trPr>
          <w:cantSplit/>
        </w:trPr>
        <w:tc>
          <w:tcPr>
            <w:tcW w:type="dxa" w:w="2736"/>
          </w:tcPr>
          <w:p>
            <w:pPr>
              <w:spacing w:after="20"/>
            </w:pPr>
            <w:r>
              <w:rPr>
                <w:color w:val="1C3A36"/>
                <w:sz w:val="16"/>
              </w:rPr>
              <w:t>A dated capacity disclosure for the new complex</w:t>
            </w:r>
          </w:p>
        </w:tc>
        <w:tc>
          <w:tcPr>
            <w:tcW w:type="dxa" w:w="4320"/>
          </w:tcPr>
          <w:p>
            <w:pPr>
              <w:spacing w:after="20"/>
            </w:pPr>
            <w:r>
              <w:rPr>
                <w:color w:val="1C3A36"/>
                <w:sz w:val="16"/>
              </w:rPr>
              <w:t>The nameplate used in this study is derived from the ammonia design plate because no filing states it, and it is the input the terminal value is most sensitive to after the discount rate.</w:t>
            </w:r>
          </w:p>
        </w:tc>
        <w:tc>
          <w:tcPr>
            <w:tcW w:type="dxa" w:w="3024"/>
          </w:tcPr>
          <w:p>
            <w:pPr>
              <w:spacing w:after="20"/>
            </w:pPr>
            <w:r>
              <w:rPr>
                <w:color w:val="1C3A36"/>
                <w:sz w:val="16"/>
              </w:rPr>
              <w:t>The annual report's note on the project, or any prospectus for the facility drawn to build it</w:t>
            </w:r>
          </w:p>
        </w:tc>
      </w:tr>
      <w:tr>
        <w:trPr>
          <w:cantSplit/>
        </w:trPr>
        <w:tc>
          <w:tcPr>
            <w:tcW w:type="dxa" w:w="2736"/>
          </w:tcPr>
          <w:p>
            <w:pPr>
              <w:spacing w:after="20"/>
            </w:pPr>
            <w:r>
              <w:rPr>
                <w:color w:val="1C3A36"/>
                <w:sz w:val="16"/>
              </w:rPr>
              <w:t>Physical progress moving back toward plan</w:t>
            </w:r>
          </w:p>
        </w:tc>
        <w:tc>
          <w:tcPr>
            <w:tcW w:type="dxa" w:w="4320"/>
          </w:tcPr>
          <w:p>
            <w:pPr>
              <w:spacing w:after="20"/>
            </w:pPr>
            <w:r>
              <w:rPr>
                <w:color w:val="1C3A36"/>
                <w:sz w:val="16"/>
              </w:rPr>
              <w:t>Progress ran 12.9% against a 37.0% plan while more than a quarter of the money had been spent. Closing that gap shortens the construction window and brings the terminal contribution forward.</w:t>
            </w:r>
          </w:p>
        </w:tc>
        <w:tc>
          <w:tcPr>
            <w:tcW w:type="dxa" w:w="3024"/>
          </w:tcPr>
          <w:p>
            <w:pPr>
              <w:spacing w:after="20"/>
            </w:pPr>
            <w:r>
              <w:rPr>
                <w:color w:val="1C3A36"/>
                <w:sz w:val="16"/>
              </w:rPr>
              <w:t>The percentage-of-completion figure the auditor discloses each year, against construction in progress on the balance sheet</w:t>
            </w:r>
          </w:p>
        </w:tc>
      </w:tr>
      <w:tr>
        <w:trPr>
          <w:cantSplit/>
        </w:trPr>
        <w:tc>
          <w:tcPr>
            <w:tcW w:type="dxa" w:w="2736"/>
          </w:tcPr>
          <w:p>
            <w:pPr>
              <w:spacing w:after="20"/>
            </w:pPr>
            <w:r>
              <w:rPr>
                <w:color w:val="1C3A36"/>
                <w:sz w:val="16"/>
              </w:rPr>
              <w:t>A structural fix to industrial gas supply</w:t>
            </w:r>
          </w:p>
        </w:tc>
        <w:tc>
          <w:tcPr>
            <w:tcW w:type="dxa" w:w="4320"/>
          </w:tcPr>
          <w:p>
            <w:pPr>
              <w:spacing w:after="20"/>
            </w:pPr>
            <w:r>
              <w:rPr>
                <w:color w:val="1C3A36"/>
                <w:sz w:val="16"/>
              </w:rPr>
              <w:t>Every tonne not made is fixed cost with no revenue against it. The stoppage cost was EGP 164.5m in the last audited year and EGP 152.7m the year before.</w:t>
            </w:r>
          </w:p>
        </w:tc>
        <w:tc>
          <w:tcPr>
            <w:tcW w:type="dxa" w:w="3024"/>
          </w:tcPr>
          <w:p>
            <w:pPr>
              <w:spacing w:after="20"/>
            </w:pPr>
            <w:r>
              <w:rPr>
                <w:color w:val="1C3A36"/>
                <w:sz w:val="16"/>
              </w:rPr>
              <w:t>The disclosed stoppage cost, and the summer curtailment months in the quarterly production numbers</w:t>
            </w:r>
          </w:p>
        </w:tc>
      </w:tr>
      <w:tr>
        <w:trPr>
          <w:cantSplit/>
        </w:trPr>
        <w:tc>
          <w:tcPr>
            <w:tcW w:type="dxa" w:w="2736"/>
          </w:tcPr>
          <w:p>
            <w:pPr>
              <w:spacing w:after="20"/>
            </w:pPr>
            <w:r>
              <w:rPr>
                <w:color w:val="1C3A36"/>
                <w:sz w:val="16"/>
              </w:rPr>
              <w:t>A price regime the market treats as permanent</w:t>
            </w:r>
          </w:p>
        </w:tc>
        <w:tc>
          <w:tcPr>
            <w:tcW w:type="dxa" w:w="4320"/>
          </w:tcPr>
          <w:p>
            <w:pPr>
              <w:spacing w:after="20"/>
            </w:pPr>
            <w:r>
              <w:rPr>
                <w:color w:val="1C3A36"/>
                <w:sz w:val="16"/>
              </w:rPr>
              <w:t>The study assumes mean reversion from a war-tightened level toward the cash cost of the marginal gas-based producer. A decade above today's spot is a different company.</w:t>
            </w:r>
          </w:p>
        </w:tc>
        <w:tc>
          <w:tcPr>
            <w:tcW w:type="dxa" w:w="3024"/>
          </w:tcPr>
          <w:p>
            <w:pPr>
              <w:spacing w:after="20"/>
            </w:pPr>
            <w:r>
              <w:rPr>
                <w:color w:val="1C3A36"/>
                <w:sz w:val="16"/>
              </w:rPr>
              <w:t>The Egyptian free-on-board quote against the model's path, and any change in the export duty that sits between the two</w:t>
            </w:r>
          </w:p>
        </w:tc>
      </w:tr>
      <w:tr>
        <w:trPr>
          <w:cantSplit/>
        </w:trPr>
        <w:tc>
          <w:tcPr>
            <w:tcW w:type="dxa" w:w="2736"/>
          </w:tcPr>
          <w:p>
            <w:pPr>
              <w:spacing w:after="20"/>
            </w:pPr>
            <w:r>
              <w:rPr>
                <w:color w:val="1C3A36"/>
                <w:sz w:val="16"/>
              </w:rPr>
              <w:t>The debt moving into the currency the company earns</w:t>
            </w:r>
          </w:p>
        </w:tc>
        <w:tc>
          <w:tcPr>
            <w:tcW w:type="dxa" w:w="4320"/>
          </w:tcPr>
          <w:p>
            <w:pPr>
              <w:spacing w:after="20"/>
            </w:pPr>
            <w:r>
              <w:rPr>
                <w:color w:val="1C3A36"/>
                <w:sz w:val="16"/>
              </w:rPr>
              <w:t>99.7% of the book is dollar-denominated against a revenue stream that is largely priced in dollars but settled in pounds. A single quarter's translation swing this year was larger than the whole nine-month profit.</w:t>
            </w:r>
          </w:p>
        </w:tc>
        <w:tc>
          <w:tcPr>
            <w:tcW w:type="dxa" w:w="3024"/>
          </w:tcPr>
          <w:p>
            <w:pPr>
              <w:spacing w:after="20"/>
            </w:pPr>
            <w:r>
              <w:rPr>
                <w:color w:val="1C3A36"/>
                <w:sz w:val="16"/>
              </w:rPr>
              <w:t>Any refinancing announcement, and the currency split in the borrowings note</w:t>
            </w:r>
          </w:p>
        </w:tc>
      </w:tr>
      <w:tr>
        <w:trPr>
          <w:cantSplit/>
        </w:trPr>
        <w:tc>
          <w:tcPr>
            <w:tcW w:type="dxa" w:w="2736"/>
          </w:tcPr>
          <w:p>
            <w:pPr>
              <w:spacing w:after="20"/>
            </w:pPr>
            <w:r>
              <w:rPr>
                <w:color w:val="1C3A36"/>
                <w:sz w:val="16"/>
              </w:rPr>
              <w:t>The first dividend</w:t>
            </w:r>
          </w:p>
        </w:tc>
        <w:tc>
          <w:tcPr>
            <w:tcW w:type="dxa" w:w="4320"/>
          </w:tcPr>
          <w:p>
            <w:pPr>
              <w:spacing w:after="20"/>
            </w:pPr>
            <w:r>
              <w:rPr>
                <w:color w:val="1C3A36"/>
                <w:sz w:val="16"/>
              </w:rPr>
              <w:t>Nothing was distributed in either of the last two years. A distribution would say the board considers the capital programme funded.</w:t>
            </w:r>
          </w:p>
        </w:tc>
        <w:tc>
          <w:tcPr>
            <w:tcW w:type="dxa" w:w="3024"/>
          </w:tcPr>
          <w:p>
            <w:pPr>
              <w:spacing w:after="20"/>
            </w:pPr>
            <w:r>
              <w:rPr>
                <w:color w:val="1C3A36"/>
                <w:sz w:val="16"/>
              </w:rPr>
              <w:t>The appropriation statement in the annual accounts</w:t>
            </w:r>
          </w:p>
        </w:tc>
      </w:tr>
      <w:tr>
        <w:trPr>
          <w:cantSplit/>
        </w:trPr>
        <w:tc>
          <w:tcPr>
            <w:tcW w:type="dxa" w:w="2736"/>
          </w:tcPr>
          <w:p>
            <w:pPr>
              <w:spacing w:after="20"/>
            </w:pPr>
            <w:r>
              <w:rPr>
                <w:color w:val="1C3A36"/>
                <w:sz w:val="16"/>
              </w:rPr>
              <w:t>The next disclosed quarter against this study's own forecast</w:t>
            </w:r>
          </w:p>
        </w:tc>
        <w:tc>
          <w:tcPr>
            <w:tcW w:type="dxa" w:w="4320"/>
          </w:tcPr>
          <w:p>
            <w:pPr>
              <w:spacing w:after="20"/>
            </w:pPr>
            <w:r>
              <w:rPr>
                <w:color w:val="1C3A36"/>
                <w:sz w:val="16"/>
              </w:rPr>
              <w:t>This study forecasts the year to June 2026 from nine reviewed months. The fourth quarter is a direct test of that construction.</w:t>
            </w:r>
          </w:p>
        </w:tc>
        <w:tc>
          <w:tcPr>
            <w:tcW w:type="dxa" w:w="3024"/>
          </w:tcPr>
          <w:p>
            <w:pPr>
              <w:spacing w:after="20"/>
            </w:pPr>
            <w:r>
              <w:rPr>
                <w:color w:val="1C3A36"/>
                <w:sz w:val="16"/>
              </w:rPr>
              <w:t>Revenue against EGP 10,379m and gross margin against 43.9% for the full year</w:t>
            </w:r>
          </w:p>
        </w:tc>
      </w:tr>
    </w:tbl>
    <w:p>
      <w:pPr>
        <w:spacing w:after="40"/>
      </w:pPr>
    </w:p>
    <w:p>
      <w:pPr>
        <w:spacing w:after="200" w:before="0"/>
      </w:pPr>
      <w:r>
        <w:rPr>
          <w:b w:val="0"/>
          <w:i/>
          <w:color w:val="6E7B77"/>
          <w:sz w:val="17"/>
        </w:rPr>
        <w:t>Table 26.  Each of these is observable from a disclosure the company already makes. None of them requires an estimate to detect.</w:t>
      </w:r>
    </w:p>
    <w:p>
      <w:pPr>
        <w:keepNext/>
        <w:spacing w:after="120" w:before="280"/>
      </w:pPr>
      <w:r>
        <w:rPr>
          <w:b/>
          <w:i w:val="0"/>
          <w:color w:val="1C3A36"/>
          <w:sz w:val="30"/>
        </w:rPr>
        <w:t>6  Reading the probability zones</w:t>
      </w:r>
    </w:p>
    <w:p>
      <w:pPr>
        <w:spacing w:after="120" w:before="0"/>
      </w:pPr>
      <w:r>
        <w:rPr>
          <w:b w:val="0"/>
          <w:i w:val="0"/>
          <w:color w:val="1C3A36"/>
          <w:sz w:val="21"/>
        </w:rPr>
        <w:t>Three zones, and what each would mean. The boundaries are the quartiles of the three-month distribution in section 3, not levels chosen for the purpose.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304"/>
        <w:gridCol w:w="5256"/>
      </w:tblGrid>
      <w:tr>
        <w:trPr>
          <w:cantSplit/>
          <w:tblHeader/>
        </w:trPr>
        <w:tc>
          <w:tcPr>
            <w:tcW w:type="dxa" w:w="2520"/>
            <w:shd w:val="clear" w:color="auto" w:fill="EAF0EE"/>
          </w:tcPr>
          <w:p>
            <w:pPr>
              <w:spacing w:after="20"/>
            </w:pPr>
            <w:r>
              <w:rPr>
                <w:b/>
                <w:color w:val="1C3A36"/>
                <w:sz w:val="16"/>
              </w:rPr>
              <w:t>Zone</w:t>
            </w:r>
          </w:p>
        </w:tc>
        <w:tc>
          <w:tcPr>
            <w:tcW w:type="dxa" w:w="2304"/>
            <w:shd w:val="clear" w:color="auto" w:fill="EAF0EE"/>
          </w:tcPr>
          <w:p>
            <w:pPr>
              <w:spacing w:after="20"/>
            </w:pPr>
            <w:r>
              <w:rPr>
                <w:b/>
                <w:color w:val="1C3A36"/>
                <w:sz w:val="16"/>
              </w:rPr>
              <w:t>Three-month range (EGP)</w:t>
            </w:r>
          </w:p>
        </w:tc>
        <w:tc>
          <w:tcPr>
            <w:tcW w:type="dxa" w:w="5256"/>
            <w:shd w:val="clear" w:color="auto" w:fill="EAF0EE"/>
          </w:tcPr>
          <w:p>
            <w:pPr>
              <w:spacing w:after="20"/>
            </w:pPr>
            <w:r>
              <w:rPr>
                <w:b/>
                <w:color w:val="1C3A36"/>
                <w:sz w:val="16"/>
              </w:rPr>
              <w:t>How to read it</w:t>
            </w:r>
          </w:p>
        </w:tc>
      </w:tr>
      <w:tr>
        <w:trPr>
          <w:cantSplit/>
        </w:trPr>
        <w:tc>
          <w:tcPr>
            <w:tcW w:type="dxa" w:w="2520"/>
          </w:tcPr>
          <w:p>
            <w:pPr>
              <w:spacing w:after="20"/>
            </w:pPr>
            <w:r>
              <w:rPr>
                <w:color w:val="1C3A36"/>
                <w:sz w:val="16"/>
              </w:rPr>
              <w:t>Below the lower quartile</w:t>
            </w:r>
          </w:p>
        </w:tc>
        <w:tc>
          <w:tcPr>
            <w:tcW w:type="dxa" w:w="2304"/>
          </w:tcPr>
          <w:p>
            <w:pPr>
              <w:spacing w:after="20"/>
              <w:jc w:val="right"/>
            </w:pPr>
            <w:r>
              <w:rPr>
                <w:color w:val="1C3A36"/>
                <w:sz w:val="16"/>
              </w:rPr>
              <w:t>under 13.21</w:t>
            </w:r>
          </w:p>
        </w:tc>
        <w:tc>
          <w:tcPr>
            <w:tcW w:type="dxa" w:w="5256"/>
          </w:tcPr>
          <w:p>
            <w:pPr>
              <w:spacing w:after="20"/>
            </w:pPr>
            <w:r>
              <w:rPr>
                <w:color w:val="1C3A36"/>
                <w:sz w:val="16"/>
              </w:rPr>
              <w:t>The price would be moving toward the upper end of what the four lenses support, and the gap this study reports would be closing from the price side rather than from the value side.</w:t>
            </w:r>
          </w:p>
        </w:tc>
      </w:tr>
      <w:tr>
        <w:trPr>
          <w:cantSplit/>
        </w:trPr>
        <w:tc>
          <w:tcPr>
            <w:tcW w:type="dxa" w:w="2520"/>
          </w:tcPr>
          <w:p>
            <w:pPr>
              <w:spacing w:after="20"/>
            </w:pPr>
            <w:r>
              <w:rPr>
                <w:color w:val="1C3A36"/>
                <w:sz w:val="16"/>
              </w:rPr>
              <w:t>The ordinary range</w:t>
            </w:r>
          </w:p>
        </w:tc>
        <w:tc>
          <w:tcPr>
            <w:tcW w:type="dxa" w:w="2304"/>
          </w:tcPr>
          <w:p>
            <w:pPr>
              <w:spacing w:after="20"/>
              <w:jc w:val="right"/>
            </w:pPr>
            <w:r>
              <w:rPr>
                <w:color w:val="1C3A36"/>
                <w:sz w:val="16"/>
              </w:rPr>
              <w:t>13.21 to 16.50</w:t>
            </w:r>
          </w:p>
        </w:tc>
        <w:tc>
          <w:tcPr>
            <w:tcW w:type="dxa" w:w="5256"/>
          </w:tcPr>
          <w:p>
            <w:pPr>
              <w:spacing w:after="20"/>
            </w:pPr>
            <w:r>
              <w:rPr>
                <w:color w:val="1C3A36"/>
                <w:sz w:val="16"/>
              </w:rPr>
              <w:t>Half the simulated paths end here. Nothing inside it would tell a reader anything about value, in either direction.</w:t>
            </w:r>
          </w:p>
        </w:tc>
      </w:tr>
      <w:tr>
        <w:trPr>
          <w:cantSplit/>
        </w:trPr>
        <w:tc>
          <w:tcPr>
            <w:tcW w:type="dxa" w:w="2520"/>
          </w:tcPr>
          <w:p>
            <w:pPr>
              <w:spacing w:after="20"/>
            </w:pPr>
            <w:r>
              <w:rPr>
                <w:color w:val="1C3A36"/>
                <w:sz w:val="16"/>
              </w:rPr>
              <w:t>Above the upper quartile</w:t>
            </w:r>
          </w:p>
        </w:tc>
        <w:tc>
          <w:tcPr>
            <w:tcW w:type="dxa" w:w="2304"/>
          </w:tcPr>
          <w:p>
            <w:pPr>
              <w:spacing w:after="20"/>
              <w:jc w:val="right"/>
            </w:pPr>
            <w:r>
              <w:rPr>
                <w:color w:val="1C3A36"/>
                <w:sz w:val="16"/>
              </w:rPr>
              <w:t>16.50 to 20.09</w:t>
            </w:r>
          </w:p>
        </w:tc>
        <w:tc>
          <w:tcPr>
            <w:tcW w:type="dxa" w:w="5256"/>
          </w:tcPr>
          <w:p>
            <w:pPr>
              <w:spacing w:after="20"/>
            </w:pPr>
            <w:r>
              <w:rPr>
                <w:color w:val="1C3A36"/>
                <w:sz w:val="16"/>
              </w:rPr>
              <w:t>The market would be paying more for a business whose sustainable return on equity is 6.9% against a cost of equity of 29.1%, with the capital programme still unfinished.</w:t>
            </w:r>
          </w:p>
        </w:tc>
      </w:tr>
      <w:tr>
        <w:trPr>
          <w:cantSplit/>
        </w:trPr>
        <w:tc>
          <w:tcPr>
            <w:tcW w:type="dxa" w:w="2520"/>
          </w:tcPr>
          <w:p>
            <w:pPr>
              <w:spacing w:after="20"/>
            </w:pPr>
            <w:r>
              <w:rPr>
                <w:color w:val="1C3A36"/>
                <w:sz w:val="16"/>
              </w:rPr>
              <w:t>Above the ninety-fifth percentile</w:t>
            </w:r>
          </w:p>
        </w:tc>
        <w:tc>
          <w:tcPr>
            <w:tcW w:type="dxa" w:w="2304"/>
          </w:tcPr>
          <w:p>
            <w:pPr>
              <w:spacing w:after="20"/>
              <w:jc w:val="right"/>
            </w:pPr>
            <w:r>
              <w:rPr>
                <w:color w:val="1C3A36"/>
                <w:sz w:val="16"/>
              </w:rPr>
              <w:t>over 20.09</w:t>
            </w:r>
          </w:p>
        </w:tc>
        <w:tc>
          <w:tcPr>
            <w:tcW w:type="dxa" w:w="5256"/>
          </w:tcPr>
          <w:p>
            <w:pPr>
              <w:spacing w:after="20"/>
            </w:pPr>
            <w:r>
              <w:rPr>
                <w:color w:val="1C3A36"/>
                <w:sz w:val="16"/>
              </w:rPr>
              <w:t>One path in twenty. On a free float of about six per cent this can happen on modest volume, which is a fact about the register rather than about the business.</w:t>
            </w:r>
          </w:p>
        </w:tc>
      </w:tr>
      <w:tr>
        <w:trPr>
          <w:cantSplit/>
        </w:trPr>
        <w:tc>
          <w:tcPr>
            <w:tcW w:type="dxa" w:w="2520"/>
            <w:shd w:val="clear" w:color="auto" w:fill="F6F1E6"/>
          </w:tcPr>
          <w:p>
            <w:pPr>
              <w:spacing w:after="20"/>
            </w:pPr>
            <w:r>
              <w:rPr>
                <w:b/>
                <w:color w:val="1C3A36"/>
                <w:sz w:val="16"/>
              </w:rPr>
              <w:t>What none of the zones says</w:t>
            </w:r>
          </w:p>
        </w:tc>
        <w:tc>
          <w:tcPr>
            <w:tcW w:type="dxa" w:w="2304"/>
            <w:shd w:val="clear" w:color="auto" w:fill="F6F1E6"/>
          </w:tcPr>
          <w:p>
            <w:pPr>
              <w:spacing w:after="20"/>
              <w:jc w:val="right"/>
            </w:pPr>
            <w:r>
              <w:rPr>
                <w:b/>
                <w:color w:val="1C3A36"/>
                <w:sz w:val="16"/>
              </w:rPr>
              <w:t>—</w:t>
            </w:r>
          </w:p>
        </w:tc>
        <w:tc>
          <w:tcPr>
            <w:tcW w:type="dxa" w:w="5256"/>
            <w:shd w:val="clear" w:color="auto" w:fill="F6F1E6"/>
          </w:tcPr>
          <w:p>
            <w:pPr>
              <w:spacing w:after="20"/>
            </w:pPr>
            <w:r>
              <w:rPr>
                <w:b/>
                <w:color w:val="1C3A36"/>
                <w:sz w:val="16"/>
              </w:rPr>
              <w:t>Where the price will go. The distribution is a map of dispersion around today's price and carries no view of value; the value work is sections 1 and 4.</w:t>
            </w:r>
          </w:p>
        </w:tc>
      </w:tr>
    </w:tbl>
    <w:p>
      <w:pPr>
        <w:spacing w:after="40"/>
      </w:pPr>
    </w:p>
    <w:p>
      <w:pPr>
        <w:spacing w:after="200" w:before="0"/>
      </w:pPr>
      <w:r>
        <w:rPr>
          <w:b w:val="0"/>
          <w:i/>
          <w:color w:val="6E7B77"/>
          <w:sz w:val="17"/>
        </w:rPr>
        <w:t>Table 27.  Zones, not targets.</w:t>
      </w:r>
    </w:p>
    <w:p>
      <w:pPr>
        <w:spacing w:after="120" w:before="0"/>
      </w:pPr>
      <w:r>
        <w:rPr>
          <w:b w:val="0"/>
          <w:i w:val="0"/>
          <w:color w:val="1C3A36"/>
          <w:sz w:val="21"/>
        </w:rPr>
        <w:t>The single most useful line in section 3 is the ladder rather than the map: there is a 13.0% chance of touching twenty per cent below today's price at some point in three months, against 35.1% of touching twenty per cent above. A reader who cares about the path, not just the destination, should read that pair together — and should note that the two are close to each other even though the median path drifts up, which is what a wide, right-skewed distribution looks like from the inside.</w:t>
      </w:r>
    </w:p>
    <w:p>
      <w:pPr>
        <w:keepNext/>
        <w:spacing w:after="120" w:before="280"/>
      </w:pPr>
      <w:r>
        <w:rPr>
          <w:b/>
          <w:i w:val="0"/>
          <w:color w:val="1C3A36"/>
          <w:sz w:val="30"/>
        </w:rPr>
        <w:t>7  Caveats and what would change our mind</w:t>
      </w:r>
    </w:p>
    <w:p>
      <w:pPr>
        <w:spacing w:after="120" w:before="0"/>
      </w:pPr>
      <w:r>
        <w:rPr>
          <w:b w:val="0"/>
          <w:i w:val="0"/>
          <w:color w:val="1C3A36"/>
          <w:sz w:val="21"/>
        </w:rPr>
        <w:t>The auditor's reports carry a formal basis for qualification in every year examined. They are not boilerplate and they are part of the evidence: fixed assets whose useful lives and residual values have not been reassessed as the standard requires; inventory whose slow-moving provision the auditor could not satisfy itself was sufficient; a shortfall of 1,648 tonnes of urea between warehouse records and the physical count at Damietta; supplier and customer balances unconfirmed; and, on the capital programme, a holding-company committee finding of severe deficiencies in the award process. A reader who discounts this study should discount the statements underneath it first.</w:t>
      </w:r>
    </w:p>
    <w:p>
      <w:pPr>
        <w:spacing w:after="120" w:before="0"/>
      </w:pPr>
      <w:r>
        <w:rPr>
          <w:b w:val="0"/>
          <w:i w:val="0"/>
          <w:color w:val="1C3A36"/>
          <w:sz w:val="21"/>
        </w:rPr>
        <w:t>The largest modelled allocation is the gas share of the cost stack. The statements give one materials line of EGP 4,399m and do not split gas from the rest. Gas is set at 75.0% of it, which implies 1,292 cubic metres a tonne of ammonia — inside the auditor's own disclosed 1,025 to 1,771 range, but a choice nonetheless. The alternative gas price is priced in section 1.8 and is worth EGP 3.25 a share.</w:t>
      </w:r>
    </w:p>
    <w:p>
      <w:pPr>
        <w:spacing w:after="120" w:before="0"/>
      </w:pPr>
      <w:r>
        <w:rPr>
          <w:b w:val="0"/>
          <w:i w:val="0"/>
          <w:color w:val="1C3A36"/>
          <w:sz w:val="21"/>
        </w:rPr>
        <w:t>Maintenance capital expenditure is the driver this study got wrong on its first issue and has since re-anchored. It was set at three per cent of revenue on the assertion that the company's own observed spending was abnormally low; the cash-flow statements show two pre-project years at 1.1% of revenue, and that is now the central. The correction is worth EGP 0.38 a share on its own. The replacement-rate framing at 6.1% is published beside it as the downside rather than averaged in.</w:t>
      </w:r>
    </w:p>
    <w:p>
      <w:pPr>
        <w:spacing w:after="120" w:before="0"/>
      </w:pPr>
      <w:r>
        <w:rPr>
          <w:b w:val="0"/>
          <w:i w:val="0"/>
          <w:color w:val="1C3A36"/>
          <w:sz w:val="21"/>
        </w:rPr>
        <w:t>The terminal charge for keeping the plant intact is the largest single judgement left in the model, and it is now a measurement rather than an assumption. Earlier editions charged the terminal by reinvesting a share of profit set by growth over an assumed return on capital — a construction that, read as a capital programme, rebuilds the entire asset base every 14.3 years, which is a fact about the pound rather than about a urea plant. It now charges what replacing the plant costs at today's prices: the book depreciation charge escalated over the average age of the base. THAT AGE IS READ OFF THE ACCOUNTS rather than assumed — accumulated depreciation over the year's own charge is the charge-weighted average age under straight-line depreciation, and it comes to 4.45 years against the 22.07-year replacement cycle the same note implies. This base is a quarter worn rather than half: only EGP 220 million of it, 1.3% of the depreciable cost, is fully depreciated and still in production. Where a company discloses too little to measure the age, half the life has to be assumed instead, and on this base that assumption is worth EGP 2.96 a share — the sixth largest of the ten priced alternatives, behind only the gas price and the discount-rate glide, and the reason the measurement was worth making.</w:t>
      </w:r>
    </w:p>
    <w:p>
      <w:pPr>
        <w:spacing w:after="120" w:before="0"/>
      </w:pPr>
      <w:r>
        <w:rPr>
          <w:b w:val="0"/>
          <w:i w:val="0"/>
          <w:color w:val="1C3A36"/>
          <w:sz w:val="21"/>
        </w:rPr>
        <w:t>The new plant's capacity is derived, not disclosed. No filing states it. It is built from the ammonia design plate less the draw of urea at its own plate, converted at the nitrate route's ammonia ratio. Every figure that depends on it is flagged as derived wherever it appears, and the utilisation applied to it is sensitised in both directions.</w:t>
      </w:r>
    </w:p>
    <w:p>
      <w:pPr>
        <w:spacing w:after="120" w:before="0"/>
      </w:pPr>
      <w:r>
        <w:rPr>
          <w:b w:val="0"/>
          <w:i w:val="0"/>
          <w:color w:val="1C3A36"/>
          <w:sz w:val="21"/>
        </w:rPr>
        <w:t>Terminal value is 79.8% of enterprise value on the carried-through case and 61.3% on the stopped case. The explicit years are a construction window: free cash flow to the firm is positive in 5 of the five years and negative in the other 0, and their present value is EGP 5,005 million against a terminal block of EGP 19,711 million. That is a real characteristic of an asset being rebuilt, not a modelling artefact — but it does mean the answer rests more heavily on one year than most studies do.</w:t>
      </w:r>
    </w:p>
    <w:p>
      <w:pPr>
        <w:spacing w:after="120" w:before="0"/>
      </w:pPr>
      <w:r>
        <w:rPr>
          <w:b w:val="0"/>
          <w:i w:val="0"/>
          <w:color w:val="1C3A36"/>
          <w:sz w:val="21"/>
        </w:rPr>
        <w:t>The forecast for the year to June 2026 rests on nine reviewed months and one run-rated quarter. The fourth quarter is run-rated on the third quarter's revenue with a 3.0% haircut for the summer gas curtailment, and the translation line is set to zero because a currency swing is not forecastable. That last choice matters: the nine-month translation loss was larger than the nine-month profit.</w:t>
      </w:r>
    </w:p>
    <w:p>
      <w:pPr>
        <w:spacing w:after="120" w:before="0"/>
      </w:pPr>
      <w:r>
        <w:rPr>
          <w:b w:val="0"/>
          <w:i w:val="0"/>
          <w:color w:val="1C3A36"/>
          <w:sz w:val="21"/>
        </w:rPr>
        <w:t>The currency of discounting is unresolved and is the largest single judgement after the capital programme. This is a company that sells most of its output in dollars, borrows almost entirely in dollars, and reports in pounds. The study discounts pound cash flows at a pound rate throughout and carries the dollar debt at local-equivalent cost using the same depreciation wedge that drives the revenue path, so the two cannot quietly disagree. A dollar valuation would be a different study, not a different number.</w:t>
      </w:r>
    </w:p>
    <w:p>
      <w:pPr>
        <w:spacing w:after="120" w:before="0"/>
      </w:pPr>
      <w:r>
        <w:rPr>
          <w:b w:val="0"/>
          <w:i w:val="0"/>
          <w:color w:val="1C3A36"/>
          <w:sz w:val="21"/>
        </w:rPr>
        <w:t>The concentration risks are plain and are not diversifiable inside this company: one product, one site, one feedstock, one regulator setting both the domestic price and the export duty, and a single offtake arrangement covering roughly two thirds of production. The state and its related institutions hold about 69.8% of the shares and the free float is about 6.2%, so the traded price is set in a thin market. That is worth remembering when comparing it with any valuation, including this one.</w:t>
      </w:r>
    </w:p>
    <w:p>
      <w:pPr>
        <w:spacing w:after="120" w:before="0"/>
      </w:pPr>
      <w:r>
        <w:rPr>
          <w:b w:val="0"/>
          <w:i w:val="0"/>
          <w:color w:val="1C3A36"/>
          <w:sz w:val="21"/>
        </w:rPr>
        <w:t>The subsidised quota is a legal obligation the company has not been able to meet. It delivered 147,000 tonnes of a 322,000-tonne requirement over fourteen months. The forecast does not assume that gap closes, but it also does not price a penalty for it, because none is disclosed.</w:t>
      </w:r>
    </w:p>
    <w:p>
      <w:pPr>
        <w:spacing w:after="120" w:before="0"/>
      </w:pPr>
      <w:r>
        <w:rPr>
          <w:b w:val="0"/>
          <w:i w:val="0"/>
          <w:color w:val="1C3A36"/>
          <w:sz w:val="21"/>
        </w:rPr>
        <w:t>The share count is taken from the capital note rather than from the exchange, whose page is behind an automated challenge. Two third-party sources carry figures inconsistent with the note and with each other; both are recorded in the bibliography as documented discrepancies and neither is used anywhere in the build.</w:t>
      </w:r>
    </w:p>
    <w:p>
      <w:pPr>
        <w:spacing w:after="120" w:before="0"/>
      </w:pPr>
      <w:r>
        <w:rPr>
          <w:b w:val="0"/>
          <w:i w:val="0"/>
          <w:color w:val="1C3A36"/>
          <w:sz w:val="21"/>
        </w:rPr>
        <w:t>The method itself has been tested on this company's own history before being trusted on its future. Rebuilt as it would have stood at each of 13 year-ends from June 2012 to June 2024 and projected one to five years ahead — 55 tested cases over eighteen fiscal years of the company's own audited statements — it forecast revenue and cost of sales better than simply assuming no change, and it did NOT forecast net profit better than assuming no change: on the profit line its average miss was 1.6 times the miss of carrying last year's figure forward, and it came in below the outturn in 73.9% of cases. Two lines account for most of that. The company capitalises the currency translation of its dollar project loans into the plant rather than charging it to profit, so a mechanical currency charge on the debt overstated the loss in every devaluation year; and a statutory-rate tax formula cannot see a company that has paid almost no current tax since the new complex started. No correction factor was adopted from that record: every one that passed its own test made the following year worse. What it changed in this edition is stated in the terminal-rate discussion above and in the currency path, and years three to five of the forecast are published in Appendix A as ranges built from the record's own error distribution rather than as points.</w:t>
      </w:r>
    </w:p>
    <w:p>
      <w:pPr>
        <w:spacing w:after="120" w:before="0"/>
      </w:pPr>
      <w:r>
        <w:rPr>
          <w:b w:val="0"/>
          <w:i w:val="0"/>
          <w:color w:val="1C3A36"/>
          <w:sz w:val="21"/>
        </w:rPr>
        <w:t>What would change our mind, specifically. Upward: a disclosed capacity for the new complex that earns above the cost of capital on the approved cost; the programme completing near that cost rather than above it; a sustained export price regime above the top of the tested grid; a refinancing that moves the debt into pounds; or evidence that Egyptian equity risk is genuinely priced below its own sovereign — which would revalue every Egyptian equity, not only this one. Downward: the contract gas price replacing the realised price; a further slip in physical progress against money spent; or a translation loss on the scale of this year's repeating.</w:t>
      </w:r>
    </w:p>
    <w:p>
      <w:pPr>
        <w:keepNext/>
        <w:spacing w:after="120" w:before="280"/>
      </w:pPr>
      <w:r>
        <w:rPr>
          <w:b/>
          <w:i w:val="0"/>
          <w:color w:val="1C3A36"/>
          <w:sz w:val="30"/>
        </w:rPr>
        <w:t>Appendix A  Financial statements</w:t>
      </w:r>
    </w:p>
    <w:p>
      <w:pPr>
        <w:keepNext/>
        <w:spacing w:after="80" w:before="200"/>
      </w:pPr>
      <w:r>
        <w:rPr>
          <w:b/>
          <w:i w:val="0"/>
          <w:color w:val="1C3A36"/>
          <w:sz w:val="24"/>
        </w:rPr>
        <w:t>A.1  Income statement — three years historical and five years forecast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893"/>
        <w:gridCol w:w="893"/>
        <w:gridCol w:w="893"/>
        <w:gridCol w:w="893"/>
        <w:gridCol w:w="893"/>
        <w:gridCol w:w="893"/>
        <w:gridCol w:w="893"/>
        <w:gridCol w:w="893"/>
        <w:gridCol w:w="893"/>
      </w:tblGrid>
      <w:tr>
        <w:trPr>
          <w:cantSplit/>
          <w:tblHeader/>
        </w:trPr>
        <w:tc>
          <w:tcPr>
            <w:tcW w:type="dxa" w:w="2045"/>
            <w:shd w:val="clear" w:color="auto" w:fill="EAF0EE"/>
          </w:tcPr>
          <w:p>
            <w:pPr>
              <w:spacing w:after="20"/>
            </w:pPr>
            <w:r>
              <w:rPr>
                <w:b/>
                <w:color w:val="1C3A36"/>
                <w:sz w:val="14"/>
              </w:rPr>
              <w:t>EGP million</w:t>
            </w:r>
          </w:p>
        </w:tc>
        <w:tc>
          <w:tcPr>
            <w:tcW w:type="dxa" w:w="893"/>
            <w:shd w:val="clear" w:color="auto" w:fill="EAF0EE"/>
          </w:tcPr>
          <w:p>
            <w:pPr>
              <w:spacing w:after="20"/>
            </w:pPr>
            <w:r>
              <w:rPr>
                <w:b/>
                <w:color w:val="1C3A36"/>
                <w:sz w:val="14"/>
              </w:rPr>
              <w:t>FY2022/23</w:t>
            </w:r>
          </w:p>
        </w:tc>
        <w:tc>
          <w:tcPr>
            <w:tcW w:type="dxa" w:w="893"/>
            <w:shd w:val="clear" w:color="auto" w:fill="EAF0EE"/>
          </w:tcPr>
          <w:p>
            <w:pPr>
              <w:spacing w:after="20"/>
            </w:pPr>
            <w:r>
              <w:rPr>
                <w:b/>
                <w:color w:val="1C3A36"/>
                <w:sz w:val="14"/>
              </w:rPr>
              <w:t>FY2023/24</w:t>
            </w:r>
          </w:p>
        </w:tc>
        <w:tc>
          <w:tcPr>
            <w:tcW w:type="dxa" w:w="893"/>
            <w:shd w:val="clear" w:color="auto" w:fill="EAF0EE"/>
          </w:tcPr>
          <w:p>
            <w:pPr>
              <w:spacing w:after="20"/>
            </w:pPr>
            <w:r>
              <w:rPr>
                <w:b/>
                <w:color w:val="1C3A36"/>
                <w:sz w:val="14"/>
              </w:rPr>
              <w:t>FY2024/25</w:t>
            </w:r>
          </w:p>
        </w:tc>
        <w:tc>
          <w:tcPr>
            <w:tcW w:type="dxa" w:w="893"/>
            <w:shd w:val="clear" w:color="auto" w:fill="EAF0EE"/>
          </w:tcPr>
          <w:p>
            <w:pPr>
              <w:spacing w:after="20"/>
            </w:pPr>
            <w:r>
              <w:rPr>
                <w:b/>
                <w:color w:val="1C3A36"/>
                <w:sz w:val="14"/>
              </w:rPr>
              <w:t>FY2025/26E</w:t>
            </w:r>
          </w:p>
        </w:tc>
        <w:tc>
          <w:tcPr>
            <w:tcW w:type="dxa" w:w="893"/>
            <w:shd w:val="clear" w:color="auto" w:fill="EAF0EE"/>
          </w:tcPr>
          <w:p>
            <w:pPr>
              <w:spacing w:after="20"/>
            </w:pPr>
            <w:r>
              <w:rPr>
                <w:b/>
                <w:color w:val="1C3A36"/>
                <w:sz w:val="14"/>
              </w:rPr>
              <w:t>FY2026/27</w:t>
            </w:r>
          </w:p>
        </w:tc>
        <w:tc>
          <w:tcPr>
            <w:tcW w:type="dxa" w:w="893"/>
            <w:shd w:val="clear" w:color="auto" w:fill="EAF0EE"/>
          </w:tcPr>
          <w:p>
            <w:pPr>
              <w:spacing w:after="20"/>
            </w:pPr>
            <w:r>
              <w:rPr>
                <w:b/>
                <w:color w:val="1C3A36"/>
                <w:sz w:val="14"/>
              </w:rPr>
              <w:t>FY2027/28</w:t>
            </w:r>
          </w:p>
        </w:tc>
        <w:tc>
          <w:tcPr>
            <w:tcW w:type="dxa" w:w="893"/>
            <w:shd w:val="clear" w:color="auto" w:fill="EAF0EE"/>
          </w:tcPr>
          <w:p>
            <w:pPr>
              <w:spacing w:after="20"/>
            </w:pPr>
            <w:r>
              <w:rPr>
                <w:b/>
                <w:color w:val="1C3A36"/>
                <w:sz w:val="14"/>
              </w:rPr>
              <w:t>FY2028/29</w:t>
            </w:r>
          </w:p>
        </w:tc>
        <w:tc>
          <w:tcPr>
            <w:tcW w:type="dxa" w:w="893"/>
            <w:shd w:val="clear" w:color="auto" w:fill="EAF0EE"/>
          </w:tcPr>
          <w:p>
            <w:pPr>
              <w:spacing w:after="20"/>
            </w:pPr>
            <w:r>
              <w:rPr>
                <w:b/>
                <w:color w:val="1C3A36"/>
                <w:sz w:val="14"/>
              </w:rPr>
              <w:t>FY2029/30</w:t>
            </w:r>
          </w:p>
        </w:tc>
        <w:tc>
          <w:tcPr>
            <w:tcW w:type="dxa" w:w="893"/>
            <w:shd w:val="clear" w:color="auto" w:fill="EAF0EE"/>
          </w:tcPr>
          <w:p>
            <w:pPr>
              <w:spacing w:after="20"/>
            </w:pPr>
            <w:r>
              <w:rPr>
                <w:b/>
                <w:color w:val="1C3A36"/>
                <w:sz w:val="14"/>
              </w:rPr>
              <w:t>FY2030/31</w:t>
            </w:r>
          </w:p>
        </w:tc>
      </w:tr>
      <w:tr>
        <w:trPr>
          <w:cantSplit/>
        </w:trPr>
        <w:tc>
          <w:tcPr>
            <w:tcW w:type="dxa" w:w="2045"/>
          </w:tcPr>
          <w:p>
            <w:pPr>
              <w:spacing w:after="20"/>
            </w:pPr>
            <w:r>
              <w:rPr>
                <w:color w:val="1C3A36"/>
                <w:sz w:val="14"/>
              </w:rPr>
              <w:t>Revenue</w:t>
            </w:r>
          </w:p>
        </w:tc>
        <w:tc>
          <w:tcPr>
            <w:tcW w:type="dxa" w:w="893"/>
          </w:tcPr>
          <w:p>
            <w:pPr>
              <w:spacing w:after="20"/>
              <w:jc w:val="right"/>
            </w:pPr>
            <w:r>
              <w:rPr>
                <w:color w:val="1C3A36"/>
                <w:sz w:val="14"/>
              </w:rPr>
              <w:t>6,612</w:t>
            </w:r>
          </w:p>
        </w:tc>
        <w:tc>
          <w:tcPr>
            <w:tcW w:type="dxa" w:w="893"/>
          </w:tcPr>
          <w:p>
            <w:pPr>
              <w:spacing w:after="20"/>
              <w:jc w:val="right"/>
            </w:pPr>
            <w:r>
              <w:rPr>
                <w:color w:val="1C3A36"/>
                <w:sz w:val="14"/>
              </w:rPr>
              <w:t>6,532</w:t>
            </w:r>
          </w:p>
        </w:tc>
        <w:tc>
          <w:tcPr>
            <w:tcW w:type="dxa" w:w="893"/>
          </w:tcPr>
          <w:p>
            <w:pPr>
              <w:spacing w:after="20"/>
              <w:jc w:val="right"/>
            </w:pPr>
            <w:r>
              <w:rPr>
                <w:color w:val="1C3A36"/>
                <w:sz w:val="14"/>
              </w:rPr>
              <w:t>8,603</w:t>
            </w:r>
          </w:p>
        </w:tc>
        <w:tc>
          <w:tcPr>
            <w:tcW w:type="dxa" w:w="893"/>
          </w:tcPr>
          <w:p>
            <w:pPr>
              <w:spacing w:after="20"/>
              <w:jc w:val="right"/>
            </w:pPr>
            <w:r>
              <w:rPr>
                <w:color w:val="1C3A36"/>
                <w:sz w:val="14"/>
              </w:rPr>
              <w:t>10,379</w:t>
            </w:r>
          </w:p>
        </w:tc>
        <w:tc>
          <w:tcPr>
            <w:tcW w:type="dxa" w:w="893"/>
          </w:tcPr>
          <w:p>
            <w:pPr>
              <w:spacing w:after="20"/>
              <w:jc w:val="right"/>
            </w:pPr>
            <w:r>
              <w:rPr>
                <w:color w:val="1C3A36"/>
                <w:sz w:val="14"/>
              </w:rPr>
              <w:t>12,643</w:t>
            </w:r>
          </w:p>
        </w:tc>
        <w:tc>
          <w:tcPr>
            <w:tcW w:type="dxa" w:w="893"/>
          </w:tcPr>
          <w:p>
            <w:pPr>
              <w:spacing w:after="20"/>
              <w:jc w:val="right"/>
            </w:pPr>
            <w:r>
              <w:rPr>
                <w:color w:val="1C3A36"/>
                <w:sz w:val="14"/>
              </w:rPr>
              <w:t>13,736</w:t>
            </w:r>
          </w:p>
        </w:tc>
        <w:tc>
          <w:tcPr>
            <w:tcW w:type="dxa" w:w="893"/>
          </w:tcPr>
          <w:p>
            <w:pPr>
              <w:spacing w:after="20"/>
              <w:jc w:val="right"/>
            </w:pPr>
            <w:r>
              <w:rPr>
                <w:color w:val="1C3A36"/>
                <w:sz w:val="14"/>
              </w:rPr>
              <w:t>14,611</w:t>
            </w:r>
          </w:p>
        </w:tc>
        <w:tc>
          <w:tcPr>
            <w:tcW w:type="dxa" w:w="893"/>
          </w:tcPr>
          <w:p>
            <w:pPr>
              <w:spacing w:after="20"/>
              <w:jc w:val="right"/>
            </w:pPr>
            <w:r>
              <w:rPr>
                <w:color w:val="1C3A36"/>
                <w:sz w:val="14"/>
              </w:rPr>
              <w:t>15,424</w:t>
            </w:r>
          </w:p>
        </w:tc>
        <w:tc>
          <w:tcPr>
            <w:tcW w:type="dxa" w:w="893"/>
          </w:tcPr>
          <w:p>
            <w:pPr>
              <w:spacing w:after="20"/>
              <w:jc w:val="right"/>
            </w:pPr>
            <w:r>
              <w:rPr>
                <w:color w:val="1C3A36"/>
                <w:sz w:val="14"/>
              </w:rPr>
              <w:t>16,239</w:t>
            </w:r>
          </w:p>
        </w:tc>
      </w:tr>
      <w:tr>
        <w:trPr>
          <w:cantSplit/>
        </w:trPr>
        <w:tc>
          <w:tcPr>
            <w:tcW w:type="dxa" w:w="2045"/>
          </w:tcPr>
          <w:p>
            <w:pPr>
              <w:spacing w:after="20"/>
            </w:pPr>
            <w:r>
              <w:rPr>
                <w:color w:val="1C3A36"/>
                <w:sz w:val="14"/>
              </w:rPr>
              <w:t>Cost of sales</w:t>
            </w:r>
          </w:p>
        </w:tc>
        <w:tc>
          <w:tcPr>
            <w:tcW w:type="dxa" w:w="893"/>
          </w:tcPr>
          <w:p>
            <w:pPr>
              <w:spacing w:after="20"/>
              <w:jc w:val="right"/>
            </w:pPr>
            <w:r>
              <w:rPr>
                <w:color w:val="1C3A36"/>
                <w:sz w:val="14"/>
              </w:rPr>
              <w:t>3,574</w:t>
            </w:r>
          </w:p>
        </w:tc>
        <w:tc>
          <w:tcPr>
            <w:tcW w:type="dxa" w:w="893"/>
          </w:tcPr>
          <w:p>
            <w:pPr>
              <w:spacing w:after="20"/>
              <w:jc w:val="right"/>
            </w:pPr>
            <w:r>
              <w:rPr>
                <w:color w:val="1C3A36"/>
                <w:sz w:val="14"/>
              </w:rPr>
              <w:t>4,396</w:t>
            </w:r>
          </w:p>
        </w:tc>
        <w:tc>
          <w:tcPr>
            <w:tcW w:type="dxa" w:w="893"/>
          </w:tcPr>
          <w:p>
            <w:pPr>
              <w:spacing w:after="20"/>
              <w:jc w:val="right"/>
            </w:pPr>
            <w:r>
              <w:rPr>
                <w:color w:val="1C3A36"/>
                <w:sz w:val="14"/>
              </w:rPr>
              <w:t>5,300</w:t>
            </w:r>
          </w:p>
        </w:tc>
        <w:tc>
          <w:tcPr>
            <w:tcW w:type="dxa" w:w="893"/>
          </w:tcPr>
          <w:p>
            <w:pPr>
              <w:spacing w:after="20"/>
              <w:jc w:val="right"/>
            </w:pPr>
            <w:r>
              <w:rPr>
                <w:color w:val="1C3A36"/>
                <w:sz w:val="14"/>
              </w:rPr>
              <w:t>5,825</w:t>
            </w:r>
          </w:p>
        </w:tc>
        <w:tc>
          <w:tcPr>
            <w:tcW w:type="dxa" w:w="893"/>
          </w:tcPr>
          <w:p>
            <w:pPr>
              <w:spacing w:after="20"/>
              <w:jc w:val="right"/>
            </w:pPr>
            <w:r>
              <w:rPr>
                <w:color w:val="1C3A36"/>
                <w:sz w:val="14"/>
              </w:rPr>
              <w:t>6,337</w:t>
            </w:r>
          </w:p>
        </w:tc>
        <w:tc>
          <w:tcPr>
            <w:tcW w:type="dxa" w:w="893"/>
          </w:tcPr>
          <w:p>
            <w:pPr>
              <w:spacing w:after="20"/>
              <w:jc w:val="right"/>
            </w:pPr>
            <w:r>
              <w:rPr>
                <w:color w:val="1C3A36"/>
                <w:sz w:val="14"/>
              </w:rPr>
              <w:t>6,982</w:t>
            </w:r>
          </w:p>
        </w:tc>
        <w:tc>
          <w:tcPr>
            <w:tcW w:type="dxa" w:w="893"/>
          </w:tcPr>
          <w:p>
            <w:pPr>
              <w:spacing w:after="20"/>
              <w:jc w:val="right"/>
            </w:pPr>
            <w:r>
              <w:rPr>
                <w:color w:val="1C3A36"/>
                <w:sz w:val="14"/>
              </w:rPr>
              <w:t>7,558</w:t>
            </w:r>
          </w:p>
        </w:tc>
        <w:tc>
          <w:tcPr>
            <w:tcW w:type="dxa" w:w="893"/>
          </w:tcPr>
          <w:p>
            <w:pPr>
              <w:spacing w:after="20"/>
              <w:jc w:val="right"/>
            </w:pPr>
            <w:r>
              <w:rPr>
                <w:color w:val="1C3A36"/>
                <w:sz w:val="14"/>
              </w:rPr>
              <w:t>8,118</w:t>
            </w:r>
          </w:p>
        </w:tc>
        <w:tc>
          <w:tcPr>
            <w:tcW w:type="dxa" w:w="893"/>
          </w:tcPr>
          <w:p>
            <w:pPr>
              <w:spacing w:after="20"/>
              <w:jc w:val="right"/>
            </w:pPr>
            <w:r>
              <w:rPr>
                <w:color w:val="1C3A36"/>
                <w:sz w:val="14"/>
              </w:rPr>
              <w:t>8,683</w:t>
            </w:r>
          </w:p>
        </w:tc>
      </w:tr>
      <w:tr>
        <w:trPr>
          <w:cantSplit/>
        </w:trPr>
        <w:tc>
          <w:tcPr>
            <w:tcW w:type="dxa" w:w="2045"/>
            <w:shd w:val="clear" w:color="auto" w:fill="F6F1E6"/>
          </w:tcPr>
          <w:p>
            <w:pPr>
              <w:spacing w:after="20"/>
            </w:pPr>
            <w:r>
              <w:rPr>
                <w:b/>
                <w:color w:val="1C3A36"/>
                <w:sz w:val="14"/>
              </w:rPr>
              <w:t>Gross profit</w:t>
            </w:r>
          </w:p>
        </w:tc>
        <w:tc>
          <w:tcPr>
            <w:tcW w:type="dxa" w:w="893"/>
            <w:shd w:val="clear" w:color="auto" w:fill="F6F1E6"/>
          </w:tcPr>
          <w:p>
            <w:pPr>
              <w:spacing w:after="20"/>
              <w:jc w:val="right"/>
            </w:pPr>
            <w:r>
              <w:rPr>
                <w:b/>
                <w:color w:val="1C3A36"/>
                <w:sz w:val="14"/>
              </w:rPr>
              <w:t>3,038</w:t>
            </w:r>
          </w:p>
        </w:tc>
        <w:tc>
          <w:tcPr>
            <w:tcW w:type="dxa" w:w="893"/>
            <w:shd w:val="clear" w:color="auto" w:fill="F6F1E6"/>
          </w:tcPr>
          <w:p>
            <w:pPr>
              <w:spacing w:after="20"/>
              <w:jc w:val="right"/>
            </w:pPr>
            <w:r>
              <w:rPr>
                <w:b/>
                <w:color w:val="1C3A36"/>
                <w:sz w:val="14"/>
              </w:rPr>
              <w:t>2,136</w:t>
            </w:r>
          </w:p>
        </w:tc>
        <w:tc>
          <w:tcPr>
            <w:tcW w:type="dxa" w:w="893"/>
            <w:shd w:val="clear" w:color="auto" w:fill="F6F1E6"/>
          </w:tcPr>
          <w:p>
            <w:pPr>
              <w:spacing w:after="20"/>
              <w:jc w:val="right"/>
            </w:pPr>
            <w:r>
              <w:rPr>
                <w:b/>
                <w:color w:val="1C3A36"/>
                <w:sz w:val="14"/>
              </w:rPr>
              <w:t>3,302</w:t>
            </w:r>
          </w:p>
        </w:tc>
        <w:tc>
          <w:tcPr>
            <w:tcW w:type="dxa" w:w="893"/>
            <w:shd w:val="clear" w:color="auto" w:fill="F6F1E6"/>
          </w:tcPr>
          <w:p>
            <w:pPr>
              <w:spacing w:after="20"/>
              <w:jc w:val="right"/>
            </w:pPr>
            <w:r>
              <w:rPr>
                <w:b/>
                <w:color w:val="1C3A36"/>
                <w:sz w:val="14"/>
              </w:rPr>
              <w:t>4,554</w:t>
            </w:r>
          </w:p>
        </w:tc>
        <w:tc>
          <w:tcPr>
            <w:tcW w:type="dxa" w:w="893"/>
            <w:shd w:val="clear" w:color="auto" w:fill="F6F1E6"/>
          </w:tcPr>
          <w:p>
            <w:pPr>
              <w:spacing w:after="20"/>
              <w:jc w:val="right"/>
            </w:pPr>
            <w:r>
              <w:rPr>
                <w:b/>
                <w:color w:val="1C3A36"/>
                <w:sz w:val="14"/>
              </w:rPr>
              <w:t>6,306</w:t>
            </w:r>
          </w:p>
        </w:tc>
        <w:tc>
          <w:tcPr>
            <w:tcW w:type="dxa" w:w="893"/>
            <w:shd w:val="clear" w:color="auto" w:fill="F6F1E6"/>
          </w:tcPr>
          <w:p>
            <w:pPr>
              <w:spacing w:after="20"/>
              <w:jc w:val="right"/>
            </w:pPr>
            <w:r>
              <w:rPr>
                <w:b/>
                <w:color w:val="1C3A36"/>
                <w:sz w:val="14"/>
              </w:rPr>
              <w:t>6,754</w:t>
            </w:r>
          </w:p>
        </w:tc>
        <w:tc>
          <w:tcPr>
            <w:tcW w:type="dxa" w:w="893"/>
            <w:shd w:val="clear" w:color="auto" w:fill="F6F1E6"/>
          </w:tcPr>
          <w:p>
            <w:pPr>
              <w:spacing w:after="20"/>
              <w:jc w:val="right"/>
            </w:pPr>
            <w:r>
              <w:rPr>
                <w:b/>
                <w:color w:val="1C3A36"/>
                <w:sz w:val="14"/>
              </w:rPr>
              <w:t>7,053</w:t>
            </w:r>
          </w:p>
        </w:tc>
        <w:tc>
          <w:tcPr>
            <w:tcW w:type="dxa" w:w="893"/>
            <w:shd w:val="clear" w:color="auto" w:fill="F6F1E6"/>
          </w:tcPr>
          <w:p>
            <w:pPr>
              <w:spacing w:after="20"/>
              <w:jc w:val="right"/>
            </w:pPr>
            <w:r>
              <w:rPr>
                <w:b/>
                <w:color w:val="1C3A36"/>
                <w:sz w:val="14"/>
              </w:rPr>
              <w:t>7,307</w:t>
            </w:r>
          </w:p>
        </w:tc>
        <w:tc>
          <w:tcPr>
            <w:tcW w:type="dxa" w:w="893"/>
            <w:shd w:val="clear" w:color="auto" w:fill="F6F1E6"/>
          </w:tcPr>
          <w:p>
            <w:pPr>
              <w:spacing w:after="20"/>
              <w:jc w:val="right"/>
            </w:pPr>
            <w:r>
              <w:rPr>
                <w:b/>
                <w:color w:val="1C3A36"/>
                <w:sz w:val="14"/>
              </w:rPr>
              <w:t>7,556</w:t>
            </w:r>
          </w:p>
        </w:tc>
      </w:tr>
      <w:tr>
        <w:trPr>
          <w:cantSplit/>
        </w:trPr>
        <w:tc>
          <w:tcPr>
            <w:tcW w:type="dxa" w:w="2045"/>
          </w:tcPr>
          <w:p>
            <w:pPr>
              <w:spacing w:after="20"/>
            </w:pPr>
            <w:r>
              <w:rPr>
                <w:color w:val="1C3A36"/>
                <w:sz w:val="14"/>
              </w:rPr>
              <w:t>Selling and distribution</w:t>
            </w:r>
          </w:p>
        </w:tc>
        <w:tc>
          <w:tcPr>
            <w:tcW w:type="dxa" w:w="893"/>
          </w:tcPr>
          <w:p>
            <w:pPr>
              <w:spacing w:after="20"/>
              <w:jc w:val="right"/>
            </w:pPr>
            <w:r>
              <w:rPr>
                <w:color w:val="1C3A36"/>
                <w:sz w:val="14"/>
              </w:rPr>
              <w:t>474</w:t>
            </w:r>
          </w:p>
        </w:tc>
        <w:tc>
          <w:tcPr>
            <w:tcW w:type="dxa" w:w="893"/>
          </w:tcPr>
          <w:p>
            <w:pPr>
              <w:spacing w:after="20"/>
              <w:jc w:val="right"/>
            </w:pPr>
            <w:r>
              <w:rPr>
                <w:color w:val="1C3A36"/>
                <w:sz w:val="14"/>
              </w:rPr>
              <w:t>563</w:t>
            </w:r>
          </w:p>
        </w:tc>
        <w:tc>
          <w:tcPr>
            <w:tcW w:type="dxa" w:w="893"/>
          </w:tcPr>
          <w:p>
            <w:pPr>
              <w:spacing w:after="20"/>
              <w:jc w:val="right"/>
            </w:pPr>
            <w:r>
              <w:rPr>
                <w:color w:val="1C3A36"/>
                <w:sz w:val="14"/>
              </w:rPr>
              <w:t>786</w:t>
            </w:r>
          </w:p>
        </w:tc>
        <w:tc>
          <w:tcPr>
            <w:tcW w:type="dxa" w:w="893"/>
          </w:tcPr>
          <w:p>
            <w:pPr>
              <w:spacing w:after="20"/>
              <w:jc w:val="right"/>
            </w:pPr>
            <w:r>
              <w:rPr>
                <w:color w:val="1C3A36"/>
                <w:sz w:val="14"/>
              </w:rPr>
              <w:t>980</w:t>
            </w:r>
          </w:p>
        </w:tc>
        <w:tc>
          <w:tcPr>
            <w:tcW w:type="dxa" w:w="893"/>
          </w:tcPr>
          <w:p>
            <w:pPr>
              <w:spacing w:after="20"/>
              <w:jc w:val="right"/>
            </w:pPr>
            <w:r>
              <w:rPr>
                <w:color w:val="1C3A36"/>
                <w:sz w:val="14"/>
              </w:rPr>
              <w:t>856</w:t>
            </w:r>
          </w:p>
        </w:tc>
        <w:tc>
          <w:tcPr>
            <w:tcW w:type="dxa" w:w="893"/>
          </w:tcPr>
          <w:p>
            <w:pPr>
              <w:spacing w:after="20"/>
              <w:jc w:val="right"/>
            </w:pPr>
            <w:r>
              <w:rPr>
                <w:color w:val="1C3A36"/>
                <w:sz w:val="14"/>
              </w:rPr>
              <w:t>944</w:t>
            </w:r>
          </w:p>
        </w:tc>
        <w:tc>
          <w:tcPr>
            <w:tcW w:type="dxa" w:w="893"/>
          </w:tcPr>
          <w:p>
            <w:pPr>
              <w:spacing w:after="20"/>
              <w:jc w:val="right"/>
            </w:pPr>
            <w:r>
              <w:rPr>
                <w:color w:val="1C3A36"/>
                <w:sz w:val="14"/>
              </w:rPr>
              <w:t>1,019</w:t>
            </w:r>
          </w:p>
        </w:tc>
        <w:tc>
          <w:tcPr>
            <w:tcW w:type="dxa" w:w="893"/>
          </w:tcPr>
          <w:p>
            <w:pPr>
              <w:spacing w:after="20"/>
              <w:jc w:val="right"/>
            </w:pPr>
            <w:r>
              <w:rPr>
                <w:color w:val="1C3A36"/>
                <w:sz w:val="14"/>
              </w:rPr>
              <w:t>1,090</w:t>
            </w:r>
          </w:p>
        </w:tc>
        <w:tc>
          <w:tcPr>
            <w:tcW w:type="dxa" w:w="893"/>
          </w:tcPr>
          <w:p>
            <w:pPr>
              <w:spacing w:after="20"/>
              <w:jc w:val="right"/>
            </w:pPr>
            <w:r>
              <w:rPr>
                <w:color w:val="1C3A36"/>
                <w:sz w:val="14"/>
              </w:rPr>
              <w:t>1,164</w:t>
            </w:r>
          </w:p>
        </w:tc>
      </w:tr>
      <w:tr>
        <w:trPr>
          <w:cantSplit/>
        </w:trPr>
        <w:tc>
          <w:tcPr>
            <w:tcW w:type="dxa" w:w="2045"/>
          </w:tcPr>
          <w:p>
            <w:pPr>
              <w:spacing w:after="20"/>
            </w:pPr>
            <w:r>
              <w:rPr>
                <w:color w:val="1C3A36"/>
                <w:sz w:val="14"/>
              </w:rPr>
              <w:t>Administrative</w:t>
            </w:r>
          </w:p>
        </w:tc>
        <w:tc>
          <w:tcPr>
            <w:tcW w:type="dxa" w:w="893"/>
          </w:tcPr>
          <w:p>
            <w:pPr>
              <w:spacing w:after="20"/>
              <w:jc w:val="right"/>
            </w:pPr>
            <w:r>
              <w:rPr>
                <w:color w:val="1C3A36"/>
                <w:sz w:val="14"/>
              </w:rPr>
              <w:t>189</w:t>
            </w:r>
          </w:p>
        </w:tc>
        <w:tc>
          <w:tcPr>
            <w:tcW w:type="dxa" w:w="893"/>
          </w:tcPr>
          <w:p>
            <w:pPr>
              <w:spacing w:after="20"/>
              <w:jc w:val="right"/>
            </w:pPr>
            <w:r>
              <w:rPr>
                <w:color w:val="1C3A36"/>
                <w:sz w:val="14"/>
              </w:rPr>
              <w:t>298</w:t>
            </w:r>
          </w:p>
        </w:tc>
        <w:tc>
          <w:tcPr>
            <w:tcW w:type="dxa" w:w="893"/>
          </w:tcPr>
          <w:p>
            <w:pPr>
              <w:spacing w:after="20"/>
              <w:jc w:val="right"/>
            </w:pPr>
            <w:r>
              <w:rPr>
                <w:color w:val="1C3A36"/>
                <w:sz w:val="14"/>
              </w:rPr>
              <w:t>360</w:t>
            </w:r>
          </w:p>
        </w:tc>
        <w:tc>
          <w:tcPr>
            <w:tcW w:type="dxa" w:w="893"/>
          </w:tcPr>
          <w:p>
            <w:pPr>
              <w:spacing w:after="20"/>
              <w:jc w:val="right"/>
            </w:pPr>
            <w:r>
              <w:rPr>
                <w:color w:val="1C3A36"/>
                <w:sz w:val="14"/>
              </w:rPr>
              <w:t>365</w:t>
            </w:r>
          </w:p>
        </w:tc>
        <w:tc>
          <w:tcPr>
            <w:tcW w:type="dxa" w:w="893"/>
          </w:tcPr>
          <w:p>
            <w:pPr>
              <w:spacing w:after="20"/>
              <w:jc w:val="right"/>
            </w:pPr>
            <w:r>
              <w:rPr>
                <w:color w:val="1C3A36"/>
                <w:sz w:val="14"/>
              </w:rPr>
              <w:t>410</w:t>
            </w:r>
          </w:p>
        </w:tc>
        <w:tc>
          <w:tcPr>
            <w:tcW w:type="dxa" w:w="893"/>
          </w:tcPr>
          <w:p>
            <w:pPr>
              <w:spacing w:after="20"/>
              <w:jc w:val="right"/>
            </w:pPr>
            <w:r>
              <w:rPr>
                <w:color w:val="1C3A36"/>
                <w:sz w:val="14"/>
              </w:rPr>
              <w:t>453</w:t>
            </w:r>
          </w:p>
        </w:tc>
        <w:tc>
          <w:tcPr>
            <w:tcW w:type="dxa" w:w="893"/>
          </w:tcPr>
          <w:p>
            <w:pPr>
              <w:spacing w:after="20"/>
              <w:jc w:val="right"/>
            </w:pPr>
            <w:r>
              <w:rPr>
                <w:color w:val="1C3A36"/>
                <w:sz w:val="14"/>
              </w:rPr>
              <w:t>490</w:t>
            </w:r>
          </w:p>
        </w:tc>
        <w:tc>
          <w:tcPr>
            <w:tcW w:type="dxa" w:w="893"/>
          </w:tcPr>
          <w:p>
            <w:pPr>
              <w:spacing w:after="20"/>
              <w:jc w:val="right"/>
            </w:pPr>
            <w:r>
              <w:rPr>
                <w:color w:val="1C3A36"/>
                <w:sz w:val="14"/>
              </w:rPr>
              <w:t>526</w:t>
            </w:r>
          </w:p>
        </w:tc>
        <w:tc>
          <w:tcPr>
            <w:tcW w:type="dxa" w:w="893"/>
          </w:tcPr>
          <w:p>
            <w:pPr>
              <w:spacing w:after="20"/>
              <w:jc w:val="right"/>
            </w:pPr>
            <w:r>
              <w:rPr>
                <w:color w:val="1C3A36"/>
                <w:sz w:val="14"/>
              </w:rPr>
              <w:t>563</w:t>
            </w:r>
          </w:p>
        </w:tc>
      </w:tr>
      <w:tr>
        <w:trPr>
          <w:cantSplit/>
        </w:trPr>
        <w:tc>
          <w:tcPr>
            <w:tcW w:type="dxa" w:w="2045"/>
            <w:shd w:val="clear" w:color="auto" w:fill="F6F1E6"/>
          </w:tcPr>
          <w:p>
            <w:pPr>
              <w:spacing w:after="20"/>
            </w:pPr>
            <w:r>
              <w:rPr>
                <w:b/>
                <w:color w:val="1C3A36"/>
                <w:sz w:val="14"/>
              </w:rPr>
              <w:t>EBIT before other items</w:t>
            </w:r>
          </w:p>
        </w:tc>
        <w:tc>
          <w:tcPr>
            <w:tcW w:type="dxa" w:w="893"/>
            <w:shd w:val="clear" w:color="auto" w:fill="F6F1E6"/>
          </w:tcPr>
          <w:p>
            <w:pPr>
              <w:spacing w:after="20"/>
              <w:jc w:val="right"/>
            </w:pPr>
            <w:r>
              <w:rPr>
                <w:b/>
                <w:color w:val="1C3A36"/>
                <w:sz w:val="14"/>
              </w:rPr>
              <w:t>2,375</w:t>
            </w:r>
          </w:p>
        </w:tc>
        <w:tc>
          <w:tcPr>
            <w:tcW w:type="dxa" w:w="893"/>
            <w:shd w:val="clear" w:color="auto" w:fill="F6F1E6"/>
          </w:tcPr>
          <w:p>
            <w:pPr>
              <w:spacing w:after="20"/>
              <w:jc w:val="right"/>
            </w:pPr>
            <w:r>
              <w:rPr>
                <w:b/>
                <w:color w:val="1C3A36"/>
                <w:sz w:val="14"/>
              </w:rPr>
              <w:t>1,276</w:t>
            </w:r>
          </w:p>
        </w:tc>
        <w:tc>
          <w:tcPr>
            <w:tcW w:type="dxa" w:w="893"/>
            <w:shd w:val="clear" w:color="auto" w:fill="F6F1E6"/>
          </w:tcPr>
          <w:p>
            <w:pPr>
              <w:spacing w:after="20"/>
              <w:jc w:val="right"/>
            </w:pPr>
            <w:r>
              <w:rPr>
                <w:b/>
                <w:color w:val="1C3A36"/>
                <w:sz w:val="14"/>
              </w:rPr>
              <w:t>2,156</w:t>
            </w:r>
          </w:p>
        </w:tc>
        <w:tc>
          <w:tcPr>
            <w:tcW w:type="dxa" w:w="893"/>
            <w:shd w:val="clear" w:color="auto" w:fill="F6F1E6"/>
          </w:tcPr>
          <w:p>
            <w:pPr>
              <w:spacing w:after="20"/>
              <w:jc w:val="right"/>
            </w:pPr>
            <w:r>
              <w:rPr>
                <w:b/>
                <w:color w:val="1C3A36"/>
                <w:sz w:val="14"/>
              </w:rPr>
              <w:t>3,209</w:t>
            </w:r>
          </w:p>
        </w:tc>
        <w:tc>
          <w:tcPr>
            <w:tcW w:type="dxa" w:w="893"/>
            <w:shd w:val="clear" w:color="auto" w:fill="F6F1E6"/>
          </w:tcPr>
          <w:p>
            <w:pPr>
              <w:spacing w:after="20"/>
              <w:jc w:val="right"/>
            </w:pPr>
            <w:r>
              <w:rPr>
                <w:b/>
                <w:color w:val="1C3A36"/>
                <w:sz w:val="14"/>
              </w:rPr>
              <w:t>4,890</w:t>
            </w:r>
          </w:p>
        </w:tc>
        <w:tc>
          <w:tcPr>
            <w:tcW w:type="dxa" w:w="893"/>
            <w:shd w:val="clear" w:color="auto" w:fill="F6F1E6"/>
          </w:tcPr>
          <w:p>
            <w:pPr>
              <w:spacing w:after="20"/>
              <w:jc w:val="right"/>
            </w:pPr>
            <w:r>
              <w:rPr>
                <w:b/>
                <w:color w:val="1C3A36"/>
                <w:sz w:val="14"/>
              </w:rPr>
              <w:t>5,237</w:t>
            </w:r>
          </w:p>
        </w:tc>
        <w:tc>
          <w:tcPr>
            <w:tcW w:type="dxa" w:w="893"/>
            <w:shd w:val="clear" w:color="auto" w:fill="F6F1E6"/>
          </w:tcPr>
          <w:p>
            <w:pPr>
              <w:spacing w:after="20"/>
              <w:jc w:val="right"/>
            </w:pPr>
            <w:r>
              <w:rPr>
                <w:b/>
                <w:color w:val="1C3A36"/>
                <w:sz w:val="14"/>
              </w:rPr>
              <w:t>5,444</w:t>
            </w:r>
          </w:p>
        </w:tc>
        <w:tc>
          <w:tcPr>
            <w:tcW w:type="dxa" w:w="893"/>
            <w:shd w:val="clear" w:color="auto" w:fill="F6F1E6"/>
          </w:tcPr>
          <w:p>
            <w:pPr>
              <w:spacing w:after="20"/>
              <w:jc w:val="right"/>
            </w:pPr>
            <w:r>
              <w:rPr>
                <w:b/>
                <w:color w:val="1C3A36"/>
                <w:sz w:val="14"/>
              </w:rPr>
              <w:t>5,600</w:t>
            </w:r>
          </w:p>
        </w:tc>
        <w:tc>
          <w:tcPr>
            <w:tcW w:type="dxa" w:w="893"/>
            <w:shd w:val="clear" w:color="auto" w:fill="F6F1E6"/>
          </w:tcPr>
          <w:p>
            <w:pPr>
              <w:spacing w:after="20"/>
              <w:jc w:val="right"/>
            </w:pPr>
            <w:r>
              <w:rPr>
                <w:b/>
                <w:color w:val="1C3A36"/>
                <w:sz w:val="14"/>
              </w:rPr>
              <w:t>5,749</w:t>
            </w:r>
          </w:p>
        </w:tc>
      </w:tr>
      <w:tr>
        <w:trPr>
          <w:cantSplit/>
        </w:trPr>
        <w:tc>
          <w:tcPr>
            <w:tcW w:type="dxa" w:w="2045"/>
          </w:tcPr>
          <w:p>
            <w:pPr>
              <w:spacing w:after="20"/>
            </w:pPr>
            <w:r>
              <w:rPr>
                <w:color w:val="1C3A36"/>
                <w:sz w:val="14"/>
              </w:rPr>
              <w:t>Depreciation and amortisation</w:t>
            </w:r>
          </w:p>
        </w:tc>
        <w:tc>
          <w:tcPr>
            <w:tcW w:type="dxa" w:w="893"/>
          </w:tcPr>
          <w:p>
            <w:pPr>
              <w:spacing w:after="20"/>
              <w:jc w:val="right"/>
            </w:pPr>
            <w:r>
              <w:rPr>
                <w:color w:val="1C3A36"/>
                <w:sz w:val="14"/>
              </w:rPr>
              <w:t>719</w:t>
            </w:r>
          </w:p>
        </w:tc>
        <w:tc>
          <w:tcPr>
            <w:tcW w:type="dxa" w:w="893"/>
          </w:tcPr>
          <w:p>
            <w:pPr>
              <w:spacing w:after="20"/>
              <w:jc w:val="right"/>
            </w:pPr>
            <w:r>
              <w:rPr>
                <w:color w:val="1C3A36"/>
                <w:sz w:val="14"/>
              </w:rPr>
              <w:t>773</w:t>
            </w:r>
          </w:p>
        </w:tc>
        <w:tc>
          <w:tcPr>
            <w:tcW w:type="dxa" w:w="893"/>
          </w:tcPr>
          <w:p>
            <w:pPr>
              <w:spacing w:after="20"/>
              <w:jc w:val="right"/>
            </w:pPr>
            <w:r>
              <w:rPr>
                <w:color w:val="1C3A36"/>
                <w:sz w:val="14"/>
              </w:rPr>
              <w:t>896</w:t>
            </w:r>
          </w:p>
        </w:tc>
        <w:tc>
          <w:tcPr>
            <w:tcW w:type="dxa" w:w="893"/>
          </w:tcPr>
          <w:p>
            <w:pPr>
              <w:spacing w:after="20"/>
              <w:jc w:val="right"/>
            </w:pPr>
            <w:r>
              <w:rPr>
                <w:color w:val="1C3A36"/>
                <w:sz w:val="14"/>
              </w:rPr>
              <w:t>891</w:t>
            </w:r>
          </w:p>
        </w:tc>
        <w:tc>
          <w:tcPr>
            <w:tcW w:type="dxa" w:w="893"/>
          </w:tcPr>
          <w:p>
            <w:pPr>
              <w:spacing w:after="20"/>
              <w:jc w:val="right"/>
            </w:pPr>
            <w:r>
              <w:rPr>
                <w:color w:val="1C3A36"/>
                <w:sz w:val="14"/>
              </w:rPr>
              <w:t>891</w:t>
            </w:r>
          </w:p>
        </w:tc>
        <w:tc>
          <w:tcPr>
            <w:tcW w:type="dxa" w:w="893"/>
          </w:tcPr>
          <w:p>
            <w:pPr>
              <w:spacing w:after="20"/>
              <w:jc w:val="right"/>
            </w:pPr>
            <w:r>
              <w:rPr>
                <w:color w:val="1C3A36"/>
                <w:sz w:val="14"/>
              </w:rPr>
              <w:t>1,009</w:t>
            </w:r>
          </w:p>
        </w:tc>
        <w:tc>
          <w:tcPr>
            <w:tcW w:type="dxa" w:w="893"/>
          </w:tcPr>
          <w:p>
            <w:pPr>
              <w:spacing w:after="20"/>
              <w:jc w:val="right"/>
            </w:pPr>
            <w:r>
              <w:rPr>
                <w:color w:val="1C3A36"/>
                <w:sz w:val="14"/>
              </w:rPr>
              <w:t>1,147</w:t>
            </w:r>
          </w:p>
        </w:tc>
        <w:tc>
          <w:tcPr>
            <w:tcW w:type="dxa" w:w="893"/>
          </w:tcPr>
          <w:p>
            <w:pPr>
              <w:spacing w:after="20"/>
              <w:jc w:val="right"/>
            </w:pPr>
            <w:r>
              <w:rPr>
                <w:color w:val="1C3A36"/>
                <w:sz w:val="14"/>
              </w:rPr>
              <w:t>1,292</w:t>
            </w:r>
          </w:p>
        </w:tc>
        <w:tc>
          <w:tcPr>
            <w:tcW w:type="dxa" w:w="893"/>
          </w:tcPr>
          <w:p>
            <w:pPr>
              <w:spacing w:after="20"/>
              <w:jc w:val="right"/>
            </w:pPr>
            <w:r>
              <w:rPr>
                <w:color w:val="1C3A36"/>
                <w:sz w:val="14"/>
              </w:rPr>
              <w:t>1,434</w:t>
            </w:r>
          </w:p>
        </w:tc>
      </w:tr>
      <w:tr>
        <w:trPr>
          <w:cantSplit/>
        </w:trPr>
        <w:tc>
          <w:tcPr>
            <w:tcW w:type="dxa" w:w="2045"/>
            <w:shd w:val="clear" w:color="auto" w:fill="F6F1E6"/>
          </w:tcPr>
          <w:p>
            <w:pPr>
              <w:spacing w:after="20"/>
            </w:pPr>
            <w:r>
              <w:rPr>
                <w:b/>
                <w:color w:val="1C3A36"/>
                <w:sz w:val="14"/>
              </w:rPr>
              <w:t>EBITDA</w:t>
            </w:r>
          </w:p>
        </w:tc>
        <w:tc>
          <w:tcPr>
            <w:tcW w:type="dxa" w:w="893"/>
            <w:shd w:val="clear" w:color="auto" w:fill="F6F1E6"/>
          </w:tcPr>
          <w:p>
            <w:pPr>
              <w:spacing w:after="20"/>
              <w:jc w:val="right"/>
            </w:pPr>
            <w:r>
              <w:rPr>
                <w:b/>
                <w:color w:val="1C3A36"/>
                <w:sz w:val="14"/>
              </w:rPr>
              <w:t>3,094</w:t>
            </w:r>
          </w:p>
        </w:tc>
        <w:tc>
          <w:tcPr>
            <w:tcW w:type="dxa" w:w="893"/>
            <w:shd w:val="clear" w:color="auto" w:fill="F6F1E6"/>
          </w:tcPr>
          <w:p>
            <w:pPr>
              <w:spacing w:after="20"/>
              <w:jc w:val="right"/>
            </w:pPr>
            <w:r>
              <w:rPr>
                <w:b/>
                <w:color w:val="1C3A36"/>
                <w:sz w:val="14"/>
              </w:rPr>
              <w:t>2,049</w:t>
            </w:r>
          </w:p>
        </w:tc>
        <w:tc>
          <w:tcPr>
            <w:tcW w:type="dxa" w:w="893"/>
            <w:shd w:val="clear" w:color="auto" w:fill="F6F1E6"/>
          </w:tcPr>
          <w:p>
            <w:pPr>
              <w:spacing w:after="20"/>
              <w:jc w:val="right"/>
            </w:pPr>
            <w:r>
              <w:rPr>
                <w:b/>
                <w:color w:val="1C3A36"/>
                <w:sz w:val="14"/>
              </w:rPr>
              <w:t>3,052</w:t>
            </w:r>
          </w:p>
        </w:tc>
        <w:tc>
          <w:tcPr>
            <w:tcW w:type="dxa" w:w="893"/>
            <w:shd w:val="clear" w:color="auto" w:fill="F6F1E6"/>
          </w:tcPr>
          <w:p>
            <w:pPr>
              <w:spacing w:after="20"/>
              <w:jc w:val="right"/>
            </w:pPr>
            <w:r>
              <w:rPr>
                <w:b/>
                <w:color w:val="1C3A36"/>
                <w:sz w:val="14"/>
              </w:rPr>
              <w:t>4,099</w:t>
            </w:r>
          </w:p>
        </w:tc>
        <w:tc>
          <w:tcPr>
            <w:tcW w:type="dxa" w:w="893"/>
            <w:shd w:val="clear" w:color="auto" w:fill="F6F1E6"/>
          </w:tcPr>
          <w:p>
            <w:pPr>
              <w:spacing w:after="20"/>
              <w:jc w:val="right"/>
            </w:pPr>
            <w:r>
              <w:rPr>
                <w:b/>
                <w:color w:val="1C3A36"/>
                <w:sz w:val="14"/>
              </w:rPr>
              <w:t>5,781</w:t>
            </w:r>
          </w:p>
        </w:tc>
        <w:tc>
          <w:tcPr>
            <w:tcW w:type="dxa" w:w="893"/>
            <w:shd w:val="clear" w:color="auto" w:fill="F6F1E6"/>
          </w:tcPr>
          <w:p>
            <w:pPr>
              <w:spacing w:after="20"/>
              <w:jc w:val="right"/>
            </w:pPr>
            <w:r>
              <w:rPr>
                <w:b/>
                <w:color w:val="1C3A36"/>
                <w:sz w:val="14"/>
              </w:rPr>
              <w:t>6,246</w:t>
            </w:r>
          </w:p>
        </w:tc>
        <w:tc>
          <w:tcPr>
            <w:tcW w:type="dxa" w:w="893"/>
            <w:shd w:val="clear" w:color="auto" w:fill="F6F1E6"/>
          </w:tcPr>
          <w:p>
            <w:pPr>
              <w:spacing w:after="20"/>
              <w:jc w:val="right"/>
            </w:pPr>
            <w:r>
              <w:rPr>
                <w:b/>
                <w:color w:val="1C3A36"/>
                <w:sz w:val="14"/>
              </w:rPr>
              <w:t>6,590</w:t>
            </w:r>
          </w:p>
        </w:tc>
        <w:tc>
          <w:tcPr>
            <w:tcW w:type="dxa" w:w="893"/>
            <w:shd w:val="clear" w:color="auto" w:fill="F6F1E6"/>
          </w:tcPr>
          <w:p>
            <w:pPr>
              <w:spacing w:after="20"/>
              <w:jc w:val="right"/>
            </w:pPr>
            <w:r>
              <w:rPr>
                <w:b/>
                <w:color w:val="1C3A36"/>
                <w:sz w:val="14"/>
              </w:rPr>
              <w:t>6,893</w:t>
            </w:r>
          </w:p>
        </w:tc>
        <w:tc>
          <w:tcPr>
            <w:tcW w:type="dxa" w:w="893"/>
            <w:shd w:val="clear" w:color="auto" w:fill="F6F1E6"/>
          </w:tcPr>
          <w:p>
            <w:pPr>
              <w:spacing w:after="20"/>
              <w:jc w:val="right"/>
            </w:pPr>
            <w:r>
              <w:rPr>
                <w:b/>
                <w:color w:val="1C3A36"/>
                <w:sz w:val="14"/>
              </w:rPr>
              <w:t>7,183</w:t>
            </w:r>
          </w:p>
        </w:tc>
      </w:tr>
      <w:tr>
        <w:trPr>
          <w:cantSplit/>
        </w:trPr>
        <w:tc>
          <w:tcPr>
            <w:tcW w:type="dxa" w:w="2045"/>
          </w:tcPr>
          <w:p>
            <w:pPr>
              <w:spacing w:after="20"/>
            </w:pPr>
            <w:r>
              <w:rPr>
                <w:color w:val="1C3A36"/>
                <w:sz w:val="14"/>
              </w:rPr>
              <w:t>Gross margin</w:t>
            </w:r>
          </w:p>
        </w:tc>
        <w:tc>
          <w:tcPr>
            <w:tcW w:type="dxa" w:w="893"/>
          </w:tcPr>
          <w:p>
            <w:pPr>
              <w:spacing w:after="20"/>
              <w:jc w:val="right"/>
            </w:pPr>
            <w:r>
              <w:rPr>
                <w:color w:val="1C3A36"/>
                <w:sz w:val="14"/>
              </w:rPr>
              <w:t>45.9%</w:t>
            </w:r>
          </w:p>
        </w:tc>
        <w:tc>
          <w:tcPr>
            <w:tcW w:type="dxa" w:w="893"/>
          </w:tcPr>
          <w:p>
            <w:pPr>
              <w:spacing w:after="20"/>
              <w:jc w:val="right"/>
            </w:pPr>
            <w:r>
              <w:rPr>
                <w:color w:val="1C3A36"/>
                <w:sz w:val="14"/>
              </w:rPr>
              <w:t>32.7%</w:t>
            </w:r>
          </w:p>
        </w:tc>
        <w:tc>
          <w:tcPr>
            <w:tcW w:type="dxa" w:w="893"/>
          </w:tcPr>
          <w:p>
            <w:pPr>
              <w:spacing w:after="20"/>
              <w:jc w:val="right"/>
            </w:pPr>
            <w:r>
              <w:rPr>
                <w:color w:val="1C3A36"/>
                <w:sz w:val="14"/>
              </w:rPr>
              <w:t>38.4%</w:t>
            </w:r>
          </w:p>
        </w:tc>
        <w:tc>
          <w:tcPr>
            <w:tcW w:type="dxa" w:w="893"/>
          </w:tcPr>
          <w:p>
            <w:pPr>
              <w:spacing w:after="20"/>
              <w:jc w:val="right"/>
            </w:pPr>
            <w:r>
              <w:rPr>
                <w:color w:val="1C3A36"/>
                <w:sz w:val="14"/>
              </w:rPr>
              <w:t>43.9%</w:t>
            </w:r>
          </w:p>
        </w:tc>
        <w:tc>
          <w:tcPr>
            <w:tcW w:type="dxa" w:w="893"/>
          </w:tcPr>
          <w:p>
            <w:pPr>
              <w:spacing w:after="20"/>
              <w:jc w:val="right"/>
            </w:pPr>
            <w:r>
              <w:rPr>
                <w:color w:val="1C3A36"/>
                <w:sz w:val="14"/>
              </w:rPr>
              <w:t>49.9%</w:t>
            </w:r>
          </w:p>
        </w:tc>
        <w:tc>
          <w:tcPr>
            <w:tcW w:type="dxa" w:w="893"/>
          </w:tcPr>
          <w:p>
            <w:pPr>
              <w:spacing w:after="20"/>
              <w:jc w:val="right"/>
            </w:pPr>
            <w:r>
              <w:rPr>
                <w:color w:val="1C3A36"/>
                <w:sz w:val="14"/>
              </w:rPr>
              <w:t>49.2%</w:t>
            </w:r>
          </w:p>
        </w:tc>
        <w:tc>
          <w:tcPr>
            <w:tcW w:type="dxa" w:w="893"/>
          </w:tcPr>
          <w:p>
            <w:pPr>
              <w:spacing w:after="20"/>
              <w:jc w:val="right"/>
            </w:pPr>
            <w:r>
              <w:rPr>
                <w:color w:val="1C3A36"/>
                <w:sz w:val="14"/>
              </w:rPr>
              <w:t>48.3%</w:t>
            </w:r>
          </w:p>
        </w:tc>
        <w:tc>
          <w:tcPr>
            <w:tcW w:type="dxa" w:w="893"/>
          </w:tcPr>
          <w:p>
            <w:pPr>
              <w:spacing w:after="20"/>
              <w:jc w:val="right"/>
            </w:pPr>
            <w:r>
              <w:rPr>
                <w:color w:val="1C3A36"/>
                <w:sz w:val="14"/>
              </w:rPr>
              <w:t>47.4%</w:t>
            </w:r>
          </w:p>
        </w:tc>
        <w:tc>
          <w:tcPr>
            <w:tcW w:type="dxa" w:w="893"/>
          </w:tcPr>
          <w:p>
            <w:pPr>
              <w:spacing w:after="20"/>
              <w:jc w:val="right"/>
            </w:pPr>
            <w:r>
              <w:rPr>
                <w:color w:val="1C3A36"/>
                <w:sz w:val="14"/>
              </w:rPr>
              <w:t>46.5%</w:t>
            </w:r>
          </w:p>
        </w:tc>
      </w:tr>
      <w:tr>
        <w:trPr>
          <w:cantSplit/>
        </w:trPr>
        <w:tc>
          <w:tcPr>
            <w:tcW w:type="dxa" w:w="2045"/>
          </w:tcPr>
          <w:p>
            <w:pPr>
              <w:spacing w:after="20"/>
            </w:pPr>
            <w:r>
              <w:rPr>
                <w:color w:val="1C3A36"/>
                <w:sz w:val="14"/>
              </w:rPr>
              <w:t>EBITDA margin</w:t>
            </w:r>
          </w:p>
        </w:tc>
        <w:tc>
          <w:tcPr>
            <w:tcW w:type="dxa" w:w="893"/>
          </w:tcPr>
          <w:p>
            <w:pPr>
              <w:spacing w:after="20"/>
              <w:jc w:val="right"/>
            </w:pPr>
            <w:r>
              <w:rPr>
                <w:color w:val="1C3A36"/>
                <w:sz w:val="14"/>
              </w:rPr>
              <w:t>46.8%</w:t>
            </w:r>
          </w:p>
        </w:tc>
        <w:tc>
          <w:tcPr>
            <w:tcW w:type="dxa" w:w="893"/>
          </w:tcPr>
          <w:p>
            <w:pPr>
              <w:spacing w:after="20"/>
              <w:jc w:val="right"/>
            </w:pPr>
            <w:r>
              <w:rPr>
                <w:color w:val="1C3A36"/>
                <w:sz w:val="14"/>
              </w:rPr>
              <w:t>31.4%</w:t>
            </w:r>
          </w:p>
        </w:tc>
        <w:tc>
          <w:tcPr>
            <w:tcW w:type="dxa" w:w="893"/>
          </w:tcPr>
          <w:p>
            <w:pPr>
              <w:spacing w:after="20"/>
              <w:jc w:val="right"/>
            </w:pPr>
            <w:r>
              <w:rPr>
                <w:color w:val="1C3A36"/>
                <w:sz w:val="14"/>
              </w:rPr>
              <w:t>35.5%</w:t>
            </w:r>
          </w:p>
        </w:tc>
        <w:tc>
          <w:tcPr>
            <w:tcW w:type="dxa" w:w="893"/>
          </w:tcPr>
          <w:p>
            <w:pPr>
              <w:spacing w:after="20"/>
              <w:jc w:val="right"/>
            </w:pPr>
            <w:r>
              <w:rPr>
                <w:color w:val="1C3A36"/>
                <w:sz w:val="14"/>
              </w:rPr>
              <w:t>39.5%</w:t>
            </w:r>
          </w:p>
        </w:tc>
        <w:tc>
          <w:tcPr>
            <w:tcW w:type="dxa" w:w="893"/>
          </w:tcPr>
          <w:p>
            <w:pPr>
              <w:spacing w:after="20"/>
              <w:jc w:val="right"/>
            </w:pPr>
            <w:r>
              <w:rPr>
                <w:color w:val="1C3A36"/>
                <w:sz w:val="14"/>
              </w:rPr>
              <w:t>45.7%</w:t>
            </w:r>
          </w:p>
        </w:tc>
        <w:tc>
          <w:tcPr>
            <w:tcW w:type="dxa" w:w="893"/>
          </w:tcPr>
          <w:p>
            <w:pPr>
              <w:spacing w:after="20"/>
              <w:jc w:val="right"/>
            </w:pPr>
            <w:r>
              <w:rPr>
                <w:color w:val="1C3A36"/>
                <w:sz w:val="14"/>
              </w:rPr>
              <w:t>45.5%</w:t>
            </w:r>
          </w:p>
        </w:tc>
        <w:tc>
          <w:tcPr>
            <w:tcW w:type="dxa" w:w="893"/>
          </w:tcPr>
          <w:p>
            <w:pPr>
              <w:spacing w:after="20"/>
              <w:jc w:val="right"/>
            </w:pPr>
            <w:r>
              <w:rPr>
                <w:color w:val="1C3A36"/>
                <w:sz w:val="14"/>
              </w:rPr>
              <w:t>45.1%</w:t>
            </w:r>
          </w:p>
        </w:tc>
        <w:tc>
          <w:tcPr>
            <w:tcW w:type="dxa" w:w="893"/>
          </w:tcPr>
          <w:p>
            <w:pPr>
              <w:spacing w:after="20"/>
              <w:jc w:val="right"/>
            </w:pPr>
            <w:r>
              <w:rPr>
                <w:color w:val="1C3A36"/>
                <w:sz w:val="14"/>
              </w:rPr>
              <w:t>44.7%</w:t>
            </w:r>
          </w:p>
        </w:tc>
        <w:tc>
          <w:tcPr>
            <w:tcW w:type="dxa" w:w="893"/>
          </w:tcPr>
          <w:p>
            <w:pPr>
              <w:spacing w:after="20"/>
              <w:jc w:val="right"/>
            </w:pPr>
            <w:r>
              <w:rPr>
                <w:color w:val="1C3A36"/>
                <w:sz w:val="14"/>
              </w:rPr>
              <w:t>44.2%</w:t>
            </w:r>
          </w:p>
        </w:tc>
      </w:tr>
      <w:tr>
        <w:trPr>
          <w:cantSplit/>
        </w:trPr>
        <w:tc>
          <w:tcPr>
            <w:tcW w:type="dxa" w:w="2045"/>
          </w:tcPr>
          <w:p>
            <w:pPr>
              <w:spacing w:after="20"/>
            </w:pPr>
            <w:r>
              <w:rPr>
                <w:color w:val="1C3A36"/>
                <w:sz w:val="14"/>
              </w:rPr>
              <w:t>Net profit as reported</w:t>
            </w:r>
          </w:p>
        </w:tc>
        <w:tc>
          <w:tcPr>
            <w:tcW w:type="dxa" w:w="893"/>
          </w:tcPr>
          <w:p>
            <w:pPr>
              <w:spacing w:after="20"/>
              <w:jc w:val="right"/>
            </w:pPr>
            <w:r>
              <w:rPr>
                <w:color w:val="1C3A36"/>
                <w:sz w:val="14"/>
              </w:rPr>
              <w:t>1,151</w:t>
            </w:r>
          </w:p>
        </w:tc>
        <w:tc>
          <w:tcPr>
            <w:tcW w:type="dxa" w:w="893"/>
          </w:tcPr>
          <w:p>
            <w:pPr>
              <w:spacing w:after="20"/>
              <w:jc w:val="right"/>
            </w:pPr>
            <w:r>
              <w:rPr>
                <w:color w:val="1C3A36"/>
                <w:sz w:val="14"/>
              </w:rPr>
              <w:t>2,538</w:t>
            </w:r>
          </w:p>
        </w:tc>
        <w:tc>
          <w:tcPr>
            <w:tcW w:type="dxa" w:w="893"/>
          </w:tcPr>
          <w:p>
            <w:pPr>
              <w:spacing w:after="20"/>
              <w:jc w:val="right"/>
            </w:pPr>
            <w:r>
              <w:rPr>
                <w:color w:val="1C3A36"/>
                <w:sz w:val="14"/>
              </w:rPr>
              <w:t>987</w:t>
            </w:r>
          </w:p>
        </w:tc>
        <w:tc>
          <w:tcPr>
            <w:tcW w:type="dxa" w:w="893"/>
          </w:tcPr>
          <w:p>
            <w:pPr>
              <w:spacing w:after="20"/>
              <w:jc w:val="right"/>
            </w:pPr>
            <w:r>
              <w:rPr>
                <w:color w:val="1C3A36"/>
                <w:sz w:val="14"/>
              </w:rPr>
              <w:t>531</w:t>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c>
          <w:tcPr>
            <w:tcW w:type="dxa" w:w="893"/>
          </w:tcPr>
          <w:p>
            <w:pPr>
              <w:spacing w:after="20"/>
              <w:jc w:val="right"/>
            </w:pPr>
            <w:r>
              <w:rPr>
                <w:color w:val="1C3A36"/>
                <w:sz w:val="14"/>
              </w:rPr>
            </w:r>
          </w:p>
        </w:tc>
      </w:tr>
    </w:tbl>
    <w:p>
      <w:pPr>
        <w:spacing w:after="40"/>
      </w:pPr>
    </w:p>
    <w:p>
      <w:pPr>
        <w:spacing w:after="200" w:before="0"/>
      </w:pPr>
      <w:r>
        <w:rPr>
          <w:b w:val="0"/>
          <w:i/>
          <w:color w:val="6E7B77"/>
          <w:sz w:val="17"/>
        </w:rPr>
        <w:t>Table 28.  The EBIT line is struck before provisions, currency translation and other income and expense, so it measures trading rather than the statements' own operating result which mixes all three. The FY2023/24 reported profit includes EGP 2,035 million of one-off investment-property revaluation gain; the underlying figure is about EGP 503 million, and every margin and return in this study uses the underlying number. Depreciation for FY2024/25 is the disclosed charge plus disclosed amortisation; for the two earlier years only the depreciation inside cost of sales is separately disclosed, so the amortisation element there is a modelled estimate and is flagged rather than presented as reported. FY2025/26 is nine months reviewed plus a fourth quarter run-rated on the third quarter, with the translation line set to zero.</w:t>
      </w:r>
    </w:p>
    <w:p>
      <w:pPr>
        <w:keepNext/>
        <w:spacing w:after="80" w:before="200"/>
      </w:pPr>
      <w:r>
        <w:rPr>
          <w:b/>
          <w:i w:val="0"/>
          <w:color w:val="1C3A36"/>
          <w:sz w:val="24"/>
        </w:rPr>
        <w:t>A.2  Balance sheet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584"/>
        <w:gridCol w:w="1584"/>
        <w:gridCol w:w="1584"/>
        <w:gridCol w:w="1584"/>
      </w:tblGrid>
      <w:tr>
        <w:trPr>
          <w:cantSplit/>
          <w:tblHeader/>
        </w:trPr>
        <w:tc>
          <w:tcPr>
            <w:tcW w:type="dxa" w:w="3744"/>
            <w:shd w:val="clear" w:color="auto" w:fill="EAF0EE"/>
          </w:tcPr>
          <w:p>
            <w:pPr>
              <w:spacing w:after="20"/>
            </w:pPr>
            <w:r>
              <w:rPr>
                <w:b/>
                <w:color w:val="1C3A36"/>
                <w:sz w:val="16"/>
              </w:rPr>
              <w:t>EGP million</w:t>
            </w:r>
          </w:p>
        </w:tc>
        <w:tc>
          <w:tcPr>
            <w:tcW w:type="dxa" w:w="1584"/>
            <w:shd w:val="clear" w:color="auto" w:fill="EAF0EE"/>
          </w:tcPr>
          <w:p>
            <w:pPr>
              <w:spacing w:after="20"/>
            </w:pPr>
            <w:r>
              <w:rPr>
                <w:b/>
                <w:color w:val="1C3A36"/>
                <w:sz w:val="16"/>
              </w:rPr>
              <w:t>30 Jun 2023</w:t>
            </w:r>
          </w:p>
        </w:tc>
        <w:tc>
          <w:tcPr>
            <w:tcW w:type="dxa" w:w="1584"/>
            <w:shd w:val="clear" w:color="auto" w:fill="EAF0EE"/>
          </w:tcPr>
          <w:p>
            <w:pPr>
              <w:spacing w:after="20"/>
            </w:pPr>
            <w:r>
              <w:rPr>
                <w:b/>
                <w:color w:val="1C3A36"/>
                <w:sz w:val="16"/>
              </w:rPr>
              <w:t>30 Jun 2024</w:t>
            </w:r>
          </w:p>
        </w:tc>
        <w:tc>
          <w:tcPr>
            <w:tcW w:type="dxa" w:w="1584"/>
            <w:shd w:val="clear" w:color="auto" w:fill="EAF0EE"/>
          </w:tcPr>
          <w:p>
            <w:pPr>
              <w:spacing w:after="20"/>
            </w:pPr>
            <w:r>
              <w:rPr>
                <w:b/>
                <w:color w:val="1C3A36"/>
                <w:sz w:val="16"/>
              </w:rPr>
              <w:t>30 Jun 2025</w:t>
            </w:r>
          </w:p>
        </w:tc>
        <w:tc>
          <w:tcPr>
            <w:tcW w:type="dxa" w:w="1584"/>
            <w:shd w:val="clear" w:color="auto" w:fill="EAF0EE"/>
          </w:tcPr>
          <w:p>
            <w:pPr>
              <w:spacing w:after="20"/>
            </w:pPr>
            <w:r>
              <w:rPr>
                <w:b/>
                <w:color w:val="1C3A36"/>
                <w:sz w:val="16"/>
              </w:rPr>
              <w:t>31 Mar 2026</w:t>
            </w:r>
          </w:p>
        </w:tc>
      </w:tr>
      <w:tr>
        <w:trPr>
          <w:cantSplit/>
        </w:trPr>
        <w:tc>
          <w:tcPr>
            <w:tcW w:type="dxa" w:w="3744"/>
          </w:tcPr>
          <w:p>
            <w:pPr>
              <w:spacing w:after="20"/>
            </w:pPr>
            <w:r>
              <w:rPr>
                <w:color w:val="1C3A36"/>
                <w:sz w:val="16"/>
              </w:rPr>
              <w:t>Net fixed assets</w:t>
            </w:r>
          </w:p>
        </w:tc>
        <w:tc>
          <w:tcPr>
            <w:tcW w:type="dxa" w:w="1584"/>
          </w:tcPr>
          <w:p>
            <w:pPr>
              <w:spacing w:after="20"/>
              <w:jc w:val="right"/>
            </w:pPr>
            <w:r>
              <w:rPr>
                <w:color w:val="1C3A36"/>
                <w:sz w:val="16"/>
              </w:rPr>
              <w:t>11,300</w:t>
            </w:r>
          </w:p>
        </w:tc>
        <w:tc>
          <w:tcPr>
            <w:tcW w:type="dxa" w:w="1584"/>
          </w:tcPr>
          <w:p>
            <w:pPr>
              <w:spacing w:after="20"/>
              <w:jc w:val="right"/>
            </w:pPr>
            <w:r>
              <w:rPr>
                <w:color w:val="1C3A36"/>
                <w:sz w:val="16"/>
              </w:rPr>
              <w:t>14,144</w:t>
            </w:r>
          </w:p>
        </w:tc>
        <w:tc>
          <w:tcPr>
            <w:tcW w:type="dxa" w:w="1584"/>
          </w:tcPr>
          <w:p>
            <w:pPr>
              <w:spacing w:after="20"/>
              <w:jc w:val="right"/>
            </w:pPr>
            <w:r>
              <w:rPr>
                <w:color w:val="1C3A36"/>
                <w:sz w:val="16"/>
              </w:rPr>
              <w:t>13,587</w:t>
            </w:r>
          </w:p>
        </w:tc>
        <w:tc>
          <w:tcPr>
            <w:tcW w:type="dxa" w:w="1584"/>
          </w:tcPr>
          <w:p>
            <w:pPr>
              <w:spacing w:after="20"/>
              <w:jc w:val="right"/>
            </w:pPr>
            <w:r>
              <w:rPr>
                <w:color w:val="1C3A36"/>
                <w:sz w:val="16"/>
              </w:rPr>
              <w:t>13,058</w:t>
            </w:r>
          </w:p>
        </w:tc>
      </w:tr>
      <w:tr>
        <w:trPr>
          <w:cantSplit/>
        </w:trPr>
        <w:tc>
          <w:tcPr>
            <w:tcW w:type="dxa" w:w="3744"/>
          </w:tcPr>
          <w:p>
            <w:pPr>
              <w:spacing w:after="20"/>
            </w:pPr>
            <w:r>
              <w:rPr>
                <w:color w:val="1C3A36"/>
                <w:sz w:val="16"/>
              </w:rPr>
              <w:t>Construction in progress</w:t>
            </w:r>
          </w:p>
        </w:tc>
        <w:tc>
          <w:tcPr>
            <w:tcW w:type="dxa" w:w="1584"/>
          </w:tcPr>
          <w:p>
            <w:pPr>
              <w:spacing w:after="20"/>
              <w:jc w:val="right"/>
            </w:pPr>
            <w:r>
              <w:rPr>
                <w:color w:val="1C3A36"/>
                <w:sz w:val="16"/>
              </w:rPr>
              <w:t>56</w:t>
            </w:r>
          </w:p>
        </w:tc>
        <w:tc>
          <w:tcPr>
            <w:tcW w:type="dxa" w:w="1584"/>
          </w:tcPr>
          <w:p>
            <w:pPr>
              <w:spacing w:after="20"/>
              <w:jc w:val="right"/>
            </w:pPr>
            <w:r>
              <w:rPr>
                <w:color w:val="1C3A36"/>
                <w:sz w:val="16"/>
              </w:rPr>
              <w:t>2,535</w:t>
            </w:r>
          </w:p>
        </w:tc>
        <w:tc>
          <w:tcPr>
            <w:tcW w:type="dxa" w:w="1584"/>
          </w:tcPr>
          <w:p>
            <w:pPr>
              <w:spacing w:after="20"/>
              <w:jc w:val="right"/>
            </w:pPr>
            <w:r>
              <w:rPr>
                <w:color w:val="1C3A36"/>
                <w:sz w:val="16"/>
              </w:rPr>
              <w:t>3,790</w:t>
            </w:r>
          </w:p>
        </w:tc>
        <w:tc>
          <w:tcPr>
            <w:tcW w:type="dxa" w:w="1584"/>
          </w:tcPr>
          <w:p>
            <w:pPr>
              <w:spacing w:after="20"/>
              <w:jc w:val="right"/>
            </w:pPr>
            <w:r>
              <w:rPr>
                <w:color w:val="1C3A36"/>
                <w:sz w:val="16"/>
              </w:rPr>
              <w:t>5,654</w:t>
            </w:r>
          </w:p>
        </w:tc>
      </w:tr>
      <w:tr>
        <w:trPr>
          <w:cantSplit/>
        </w:trPr>
        <w:tc>
          <w:tcPr>
            <w:tcW w:type="dxa" w:w="3744"/>
          </w:tcPr>
          <w:p>
            <w:pPr>
              <w:spacing w:after="20"/>
            </w:pPr>
            <w:r>
              <w:rPr>
                <w:color w:val="1C3A36"/>
                <w:sz w:val="16"/>
              </w:rPr>
              <w:t>Investment property</w:t>
            </w:r>
          </w:p>
        </w:tc>
        <w:tc>
          <w:tcPr>
            <w:tcW w:type="dxa" w:w="1584"/>
          </w:tcPr>
          <w:p>
            <w:pPr>
              <w:spacing w:after="20"/>
              <w:jc w:val="right"/>
            </w:pPr>
            <w:r>
              <w:rPr>
                <w:color w:val="1C3A36"/>
                <w:sz w:val="16"/>
              </w:rPr>
              <w:t>0</w:t>
            </w:r>
          </w:p>
        </w:tc>
        <w:tc>
          <w:tcPr>
            <w:tcW w:type="dxa" w:w="1584"/>
          </w:tcPr>
          <w:p>
            <w:pPr>
              <w:spacing w:after="20"/>
              <w:jc w:val="right"/>
            </w:pPr>
            <w:r>
              <w:rPr>
                <w:color w:val="1C3A36"/>
                <w:sz w:val="16"/>
              </w:rPr>
              <w:t>2,035</w:t>
            </w:r>
          </w:p>
        </w:tc>
        <w:tc>
          <w:tcPr>
            <w:tcW w:type="dxa" w:w="1584"/>
          </w:tcPr>
          <w:p>
            <w:pPr>
              <w:spacing w:after="20"/>
              <w:jc w:val="right"/>
            </w:pPr>
            <w:r>
              <w:rPr>
                <w:color w:val="1C3A36"/>
                <w:sz w:val="16"/>
              </w:rPr>
              <w:t>2,161</w:t>
            </w:r>
          </w:p>
        </w:tc>
        <w:tc>
          <w:tcPr>
            <w:tcW w:type="dxa" w:w="1584"/>
          </w:tcPr>
          <w:p>
            <w:pPr>
              <w:spacing w:after="20"/>
              <w:jc w:val="right"/>
            </w:pPr>
            <w:r>
              <w:rPr>
                <w:color w:val="1C3A36"/>
                <w:sz w:val="16"/>
              </w:rPr>
              <w:t>2,155</w:t>
            </w:r>
          </w:p>
        </w:tc>
      </w:tr>
      <w:tr>
        <w:trPr>
          <w:cantSplit/>
        </w:trPr>
        <w:tc>
          <w:tcPr>
            <w:tcW w:type="dxa" w:w="3744"/>
          </w:tcPr>
          <w:p>
            <w:pPr>
              <w:spacing w:after="20"/>
            </w:pPr>
            <w:r>
              <w:rPr>
                <w:color w:val="1C3A36"/>
                <w:sz w:val="16"/>
              </w:rPr>
              <w:t>Investments at fair value</w:t>
            </w:r>
          </w:p>
        </w:tc>
        <w:tc>
          <w:tcPr>
            <w:tcW w:type="dxa" w:w="1584"/>
          </w:tcPr>
          <w:p>
            <w:pPr>
              <w:spacing w:after="20"/>
              <w:jc w:val="right"/>
            </w:pPr>
            <w:r>
              <w:rPr>
                <w:color w:val="1C3A36"/>
                <w:sz w:val="16"/>
              </w:rPr>
              <w:t>1,855</w:t>
            </w:r>
          </w:p>
        </w:tc>
        <w:tc>
          <w:tcPr>
            <w:tcW w:type="dxa" w:w="1584"/>
          </w:tcPr>
          <w:p>
            <w:pPr>
              <w:spacing w:after="20"/>
              <w:jc w:val="right"/>
            </w:pPr>
            <w:r>
              <w:rPr>
                <w:color w:val="1C3A36"/>
                <w:sz w:val="16"/>
              </w:rPr>
              <w:t>2,491</w:t>
            </w:r>
          </w:p>
        </w:tc>
        <w:tc>
          <w:tcPr>
            <w:tcW w:type="dxa" w:w="1584"/>
          </w:tcPr>
          <w:p>
            <w:pPr>
              <w:spacing w:after="20"/>
              <w:jc w:val="right"/>
            </w:pPr>
            <w:r>
              <w:rPr>
                <w:color w:val="1C3A36"/>
                <w:sz w:val="16"/>
              </w:rPr>
              <w:t>2,163</w:t>
            </w:r>
          </w:p>
        </w:tc>
        <w:tc>
          <w:tcPr>
            <w:tcW w:type="dxa" w:w="1584"/>
          </w:tcPr>
          <w:p>
            <w:pPr>
              <w:spacing w:after="20"/>
              <w:jc w:val="right"/>
            </w:pPr>
            <w:r>
              <w:rPr>
                <w:color w:val="1C3A36"/>
                <w:sz w:val="16"/>
              </w:rPr>
              <w:t>1,383</w:t>
            </w:r>
          </w:p>
        </w:tc>
      </w:tr>
      <w:tr>
        <w:trPr>
          <w:cantSplit/>
        </w:trPr>
        <w:tc>
          <w:tcPr>
            <w:tcW w:type="dxa" w:w="3744"/>
          </w:tcPr>
          <w:p>
            <w:pPr>
              <w:spacing w:after="20"/>
            </w:pPr>
            <w:r>
              <w:rPr>
                <w:color w:val="1C3A36"/>
                <w:sz w:val="16"/>
              </w:rPr>
              <w:t>Intangible assets</w:t>
            </w:r>
          </w:p>
        </w:tc>
        <w:tc>
          <w:tcPr>
            <w:tcW w:type="dxa" w:w="1584"/>
          </w:tcPr>
          <w:p>
            <w:pPr>
              <w:spacing w:after="20"/>
              <w:jc w:val="right"/>
            </w:pPr>
            <w:r>
              <w:rPr>
                <w:color w:val="1C3A36"/>
                <w:sz w:val="16"/>
              </w:rPr>
              <w:t>1,909</w:t>
            </w:r>
          </w:p>
        </w:tc>
        <w:tc>
          <w:tcPr>
            <w:tcW w:type="dxa" w:w="1584"/>
          </w:tcPr>
          <w:p>
            <w:pPr>
              <w:spacing w:after="20"/>
              <w:jc w:val="right"/>
            </w:pPr>
            <w:r>
              <w:rPr>
                <w:color w:val="1C3A36"/>
                <w:sz w:val="16"/>
              </w:rPr>
              <w:t>2,376</w:t>
            </w:r>
          </w:p>
        </w:tc>
        <w:tc>
          <w:tcPr>
            <w:tcW w:type="dxa" w:w="1584"/>
          </w:tcPr>
          <w:p>
            <w:pPr>
              <w:spacing w:after="20"/>
              <w:jc w:val="right"/>
            </w:pPr>
            <w:r>
              <w:rPr>
                <w:color w:val="1C3A36"/>
                <w:sz w:val="16"/>
              </w:rPr>
              <w:t>2,257</w:t>
            </w:r>
          </w:p>
        </w:tc>
        <w:tc>
          <w:tcPr>
            <w:tcW w:type="dxa" w:w="1584"/>
          </w:tcPr>
          <w:p>
            <w:pPr>
              <w:spacing w:after="20"/>
              <w:jc w:val="right"/>
            </w:pPr>
            <w:r>
              <w:rPr>
                <w:color w:val="1C3A36"/>
                <w:sz w:val="16"/>
              </w:rPr>
              <w:t>2,170</w:t>
            </w:r>
          </w:p>
        </w:tc>
      </w:tr>
      <w:tr>
        <w:trPr>
          <w:cantSplit/>
        </w:trPr>
        <w:tc>
          <w:tcPr>
            <w:tcW w:type="dxa" w:w="3744"/>
          </w:tcPr>
          <w:p>
            <w:pPr>
              <w:spacing w:after="20"/>
            </w:pPr>
            <w:r>
              <w:rPr>
                <w:color w:val="1C3A36"/>
                <w:sz w:val="16"/>
              </w:rPr>
              <w:t>Inventory</w:t>
            </w:r>
          </w:p>
        </w:tc>
        <w:tc>
          <w:tcPr>
            <w:tcW w:type="dxa" w:w="1584"/>
          </w:tcPr>
          <w:p>
            <w:pPr>
              <w:spacing w:after="20"/>
              <w:jc w:val="right"/>
            </w:pPr>
            <w:r>
              <w:rPr>
                <w:color w:val="1C3A36"/>
                <w:sz w:val="16"/>
              </w:rPr>
              <w:t>1,392</w:t>
            </w:r>
          </w:p>
        </w:tc>
        <w:tc>
          <w:tcPr>
            <w:tcW w:type="dxa" w:w="1584"/>
          </w:tcPr>
          <w:p>
            <w:pPr>
              <w:spacing w:after="20"/>
              <w:jc w:val="right"/>
            </w:pPr>
            <w:r>
              <w:rPr>
                <w:color w:val="1C3A36"/>
                <w:sz w:val="16"/>
              </w:rPr>
              <w:t>1,615</w:t>
            </w:r>
          </w:p>
        </w:tc>
        <w:tc>
          <w:tcPr>
            <w:tcW w:type="dxa" w:w="1584"/>
          </w:tcPr>
          <w:p>
            <w:pPr>
              <w:spacing w:after="20"/>
              <w:jc w:val="right"/>
            </w:pPr>
            <w:r>
              <w:rPr>
                <w:color w:val="1C3A36"/>
                <w:sz w:val="16"/>
              </w:rPr>
              <w:t>2,400</w:t>
            </w:r>
          </w:p>
        </w:tc>
        <w:tc>
          <w:tcPr>
            <w:tcW w:type="dxa" w:w="1584"/>
          </w:tcPr>
          <w:p>
            <w:pPr>
              <w:spacing w:after="20"/>
              <w:jc w:val="right"/>
            </w:pPr>
            <w:r>
              <w:rPr>
                <w:color w:val="1C3A36"/>
                <w:sz w:val="16"/>
              </w:rPr>
              <w:t>3,378</w:t>
            </w:r>
          </w:p>
        </w:tc>
      </w:tr>
      <w:tr>
        <w:trPr>
          <w:cantSplit/>
        </w:trPr>
        <w:tc>
          <w:tcPr>
            <w:tcW w:type="dxa" w:w="3744"/>
          </w:tcPr>
          <w:p>
            <w:pPr>
              <w:spacing w:after="20"/>
            </w:pPr>
            <w:r>
              <w:rPr>
                <w:color w:val="1C3A36"/>
                <w:sz w:val="16"/>
              </w:rPr>
              <w:t>Receivables</w:t>
            </w:r>
          </w:p>
        </w:tc>
        <w:tc>
          <w:tcPr>
            <w:tcW w:type="dxa" w:w="1584"/>
          </w:tcPr>
          <w:p>
            <w:pPr>
              <w:spacing w:after="20"/>
              <w:jc w:val="right"/>
            </w:pPr>
            <w:r>
              <w:rPr>
                <w:color w:val="1C3A36"/>
                <w:sz w:val="16"/>
              </w:rPr>
              <w:t>799</w:t>
            </w:r>
          </w:p>
        </w:tc>
        <w:tc>
          <w:tcPr>
            <w:tcW w:type="dxa" w:w="1584"/>
          </w:tcPr>
          <w:p>
            <w:pPr>
              <w:spacing w:after="20"/>
              <w:jc w:val="right"/>
            </w:pPr>
            <w:r>
              <w:rPr>
                <w:color w:val="1C3A36"/>
                <w:sz w:val="16"/>
              </w:rPr>
              <w:t>858</w:t>
            </w:r>
          </w:p>
        </w:tc>
        <w:tc>
          <w:tcPr>
            <w:tcW w:type="dxa" w:w="1584"/>
          </w:tcPr>
          <w:p>
            <w:pPr>
              <w:spacing w:after="20"/>
              <w:jc w:val="right"/>
            </w:pPr>
            <w:r>
              <w:rPr>
                <w:color w:val="1C3A36"/>
                <w:sz w:val="16"/>
              </w:rPr>
              <w:t>631</w:t>
            </w:r>
          </w:p>
        </w:tc>
        <w:tc>
          <w:tcPr>
            <w:tcW w:type="dxa" w:w="1584"/>
          </w:tcPr>
          <w:p>
            <w:pPr>
              <w:spacing w:after="20"/>
              <w:jc w:val="right"/>
            </w:pPr>
            <w:r>
              <w:rPr>
                <w:color w:val="1C3A36"/>
                <w:sz w:val="16"/>
              </w:rPr>
              <w:t>1,230</w:t>
            </w:r>
          </w:p>
        </w:tc>
      </w:tr>
      <w:tr>
        <w:trPr>
          <w:cantSplit/>
        </w:trPr>
        <w:tc>
          <w:tcPr>
            <w:tcW w:type="dxa" w:w="3744"/>
          </w:tcPr>
          <w:p>
            <w:pPr>
              <w:spacing w:after="20"/>
            </w:pPr>
            <w:r>
              <w:rPr>
                <w:color w:val="1C3A36"/>
                <w:sz w:val="16"/>
              </w:rPr>
              <w:t>Cash and equivalents</w:t>
            </w:r>
          </w:p>
        </w:tc>
        <w:tc>
          <w:tcPr>
            <w:tcW w:type="dxa" w:w="1584"/>
          </w:tcPr>
          <w:p>
            <w:pPr>
              <w:spacing w:after="20"/>
              <w:jc w:val="right"/>
            </w:pPr>
            <w:r>
              <w:rPr>
                <w:color w:val="1C3A36"/>
                <w:sz w:val="16"/>
              </w:rPr>
              <w:t>1,416</w:t>
            </w:r>
          </w:p>
        </w:tc>
        <w:tc>
          <w:tcPr>
            <w:tcW w:type="dxa" w:w="1584"/>
          </w:tcPr>
          <w:p>
            <w:pPr>
              <w:spacing w:after="20"/>
              <w:jc w:val="right"/>
            </w:pPr>
            <w:r>
              <w:rPr>
                <w:color w:val="1C3A36"/>
                <w:sz w:val="16"/>
              </w:rPr>
              <w:t>3,103</w:t>
            </w:r>
          </w:p>
        </w:tc>
        <w:tc>
          <w:tcPr>
            <w:tcW w:type="dxa" w:w="1584"/>
          </w:tcPr>
          <w:p>
            <w:pPr>
              <w:spacing w:after="20"/>
              <w:jc w:val="right"/>
            </w:pPr>
            <w:r>
              <w:rPr>
                <w:color w:val="1C3A36"/>
                <w:sz w:val="16"/>
              </w:rPr>
              <w:t>3,057</w:t>
            </w:r>
          </w:p>
        </w:tc>
        <w:tc>
          <w:tcPr>
            <w:tcW w:type="dxa" w:w="1584"/>
          </w:tcPr>
          <w:p>
            <w:pPr>
              <w:spacing w:after="20"/>
              <w:jc w:val="right"/>
            </w:pPr>
            <w:r>
              <w:rPr>
                <w:color w:val="1C3A36"/>
                <w:sz w:val="16"/>
              </w:rPr>
              <w:t>4,607</w:t>
            </w:r>
          </w:p>
        </w:tc>
      </w:tr>
      <w:tr>
        <w:trPr>
          <w:cantSplit/>
        </w:trPr>
        <w:tc>
          <w:tcPr>
            <w:tcW w:type="dxa" w:w="3744"/>
            <w:shd w:val="clear" w:color="auto" w:fill="F6F1E6"/>
          </w:tcPr>
          <w:p>
            <w:pPr>
              <w:spacing w:after="20"/>
            </w:pPr>
            <w:r>
              <w:rPr>
                <w:b/>
                <w:color w:val="1C3A36"/>
                <w:sz w:val="16"/>
              </w:rPr>
              <w:t>Total assets</w:t>
            </w:r>
          </w:p>
        </w:tc>
        <w:tc>
          <w:tcPr>
            <w:tcW w:type="dxa" w:w="1584"/>
            <w:shd w:val="clear" w:color="auto" w:fill="F6F1E6"/>
          </w:tcPr>
          <w:p>
            <w:pPr>
              <w:spacing w:after="20"/>
              <w:jc w:val="right"/>
            </w:pPr>
            <w:r>
              <w:rPr>
                <w:b/>
                <w:color w:val="1C3A36"/>
                <w:sz w:val="16"/>
              </w:rPr>
              <w:t>18,728</w:t>
            </w:r>
          </w:p>
        </w:tc>
        <w:tc>
          <w:tcPr>
            <w:tcW w:type="dxa" w:w="1584"/>
            <w:shd w:val="clear" w:color="auto" w:fill="F6F1E6"/>
          </w:tcPr>
          <w:p>
            <w:pPr>
              <w:spacing w:after="20"/>
              <w:jc w:val="right"/>
            </w:pPr>
            <w:r>
              <w:rPr>
                <w:b/>
                <w:color w:val="1C3A36"/>
                <w:sz w:val="16"/>
              </w:rPr>
              <w:t>29,158</w:t>
            </w:r>
          </w:p>
        </w:tc>
        <w:tc>
          <w:tcPr>
            <w:tcW w:type="dxa" w:w="1584"/>
            <w:shd w:val="clear" w:color="auto" w:fill="F6F1E6"/>
          </w:tcPr>
          <w:p>
            <w:pPr>
              <w:spacing w:after="20"/>
              <w:jc w:val="right"/>
            </w:pPr>
            <w:r>
              <w:rPr>
                <w:b/>
                <w:color w:val="1C3A36"/>
                <w:sz w:val="16"/>
              </w:rPr>
              <w:t>30,046</w:t>
            </w:r>
          </w:p>
        </w:tc>
        <w:tc>
          <w:tcPr>
            <w:tcW w:type="dxa" w:w="1584"/>
            <w:shd w:val="clear" w:color="auto" w:fill="F6F1E6"/>
          </w:tcPr>
          <w:p>
            <w:pPr>
              <w:spacing w:after="20"/>
              <w:jc w:val="right"/>
            </w:pPr>
            <w:r>
              <w:rPr>
                <w:b/>
                <w:color w:val="1C3A36"/>
                <w:sz w:val="16"/>
              </w:rPr>
              <w:t>33,634</w:t>
            </w:r>
          </w:p>
        </w:tc>
      </w:tr>
      <w:tr>
        <w:trPr>
          <w:cantSplit/>
        </w:trPr>
        <w:tc>
          <w:tcPr>
            <w:tcW w:type="dxa" w:w="3744"/>
          </w:tcPr>
          <w:p>
            <w:pPr>
              <w:spacing w:after="20"/>
            </w:pPr>
            <w:r>
              <w:rPr>
                <w:color w:val="1C3A36"/>
                <w:sz w:val="16"/>
              </w:rPr>
              <w:t>Paid-in capital</w:t>
            </w:r>
          </w:p>
        </w:tc>
        <w:tc>
          <w:tcPr>
            <w:tcW w:type="dxa" w:w="1584"/>
          </w:tcPr>
          <w:p>
            <w:pPr>
              <w:spacing w:after="20"/>
              <w:jc w:val="right"/>
            </w:pPr>
            <w:r>
              <w:rPr>
                <w:color w:val="1C3A36"/>
                <w:sz w:val="16"/>
              </w:rPr>
              <w:t>5,933</w:t>
            </w:r>
          </w:p>
        </w:tc>
        <w:tc>
          <w:tcPr>
            <w:tcW w:type="dxa" w:w="1584"/>
          </w:tcPr>
          <w:p>
            <w:pPr>
              <w:spacing w:after="20"/>
              <w:jc w:val="right"/>
            </w:pPr>
            <w:r>
              <w:rPr>
                <w:color w:val="1C3A36"/>
                <w:sz w:val="16"/>
              </w:rPr>
              <w:t>9,933</w:t>
            </w:r>
          </w:p>
        </w:tc>
        <w:tc>
          <w:tcPr>
            <w:tcW w:type="dxa" w:w="1584"/>
          </w:tcPr>
          <w:p>
            <w:pPr>
              <w:spacing w:after="20"/>
              <w:jc w:val="right"/>
            </w:pPr>
            <w:r>
              <w:rPr>
                <w:color w:val="1C3A36"/>
                <w:sz w:val="16"/>
              </w:rPr>
              <w:t>9,933</w:t>
            </w:r>
          </w:p>
        </w:tc>
        <w:tc>
          <w:tcPr>
            <w:tcW w:type="dxa" w:w="1584"/>
          </w:tcPr>
          <w:p>
            <w:pPr>
              <w:spacing w:after="20"/>
              <w:jc w:val="right"/>
            </w:pPr>
            <w:r>
              <w:rPr>
                <w:color w:val="1C3A36"/>
                <w:sz w:val="16"/>
              </w:rPr>
              <w:t>9,933</w:t>
            </w:r>
          </w:p>
        </w:tc>
      </w:tr>
      <w:tr>
        <w:trPr>
          <w:cantSplit/>
        </w:trPr>
        <w:tc>
          <w:tcPr>
            <w:tcW w:type="dxa" w:w="3744"/>
          </w:tcPr>
          <w:p>
            <w:pPr>
              <w:spacing w:after="20"/>
            </w:pPr>
            <w:r>
              <w:rPr>
                <w:color w:val="1C3A36"/>
                <w:sz w:val="16"/>
              </w:rPr>
              <w:t>Reserves and retained earnings</w:t>
            </w:r>
          </w:p>
        </w:tc>
        <w:tc>
          <w:tcPr>
            <w:tcW w:type="dxa" w:w="1584"/>
          </w:tcPr>
          <w:p>
            <w:pPr>
              <w:spacing w:after="20"/>
              <w:jc w:val="right"/>
            </w:pPr>
            <w:r>
              <w:rPr>
                <w:color w:val="1C3A36"/>
                <w:sz w:val="16"/>
              </w:rPr>
              <w:t>1,317</w:t>
            </w:r>
          </w:p>
        </w:tc>
        <w:tc>
          <w:tcPr>
            <w:tcW w:type="dxa" w:w="1584"/>
          </w:tcPr>
          <w:p>
            <w:pPr>
              <w:spacing w:after="20"/>
              <w:jc w:val="right"/>
            </w:pPr>
            <w:r>
              <w:rPr>
                <w:color w:val="1C3A36"/>
                <w:sz w:val="16"/>
              </w:rPr>
              <w:t>4,627</w:t>
            </w:r>
          </w:p>
        </w:tc>
        <w:tc>
          <w:tcPr>
            <w:tcW w:type="dxa" w:w="1584"/>
          </w:tcPr>
          <w:p>
            <w:pPr>
              <w:spacing w:after="20"/>
              <w:jc w:val="right"/>
            </w:pPr>
            <w:r>
              <w:rPr>
                <w:color w:val="1C3A36"/>
                <w:sz w:val="16"/>
              </w:rPr>
              <w:t>5,430</w:t>
            </w:r>
          </w:p>
        </w:tc>
        <w:tc>
          <w:tcPr>
            <w:tcW w:type="dxa" w:w="1584"/>
          </w:tcPr>
          <w:p>
            <w:pPr>
              <w:spacing w:after="20"/>
              <w:jc w:val="right"/>
            </w:pPr>
            <w:r>
              <w:rPr>
                <w:color w:val="1C3A36"/>
                <w:sz w:val="16"/>
              </w:rPr>
              <w:t>6,273</w:t>
            </w:r>
          </w:p>
        </w:tc>
      </w:tr>
      <w:tr>
        <w:trPr>
          <w:cantSplit/>
        </w:trPr>
        <w:tc>
          <w:tcPr>
            <w:tcW w:type="dxa" w:w="3744"/>
          </w:tcPr>
          <w:p>
            <w:pPr>
              <w:spacing w:after="20"/>
            </w:pPr>
            <w:r>
              <w:rPr>
                <w:color w:val="1C3A36"/>
                <w:sz w:val="16"/>
              </w:rPr>
              <w:t>Long-term bank loans</w:t>
            </w:r>
          </w:p>
        </w:tc>
        <w:tc>
          <w:tcPr>
            <w:tcW w:type="dxa" w:w="1584"/>
          </w:tcPr>
          <w:p>
            <w:pPr>
              <w:spacing w:after="20"/>
              <w:jc w:val="right"/>
            </w:pPr>
            <w:r>
              <w:rPr>
                <w:color w:val="1C3A36"/>
                <w:sz w:val="16"/>
              </w:rPr>
              <w:t>8,425</w:t>
            </w:r>
          </w:p>
        </w:tc>
        <w:tc>
          <w:tcPr>
            <w:tcW w:type="dxa" w:w="1584"/>
          </w:tcPr>
          <w:p>
            <w:pPr>
              <w:spacing w:after="20"/>
              <w:jc w:val="right"/>
            </w:pPr>
            <w:r>
              <w:rPr>
                <w:color w:val="1C3A36"/>
                <w:sz w:val="16"/>
              </w:rPr>
              <w:t>11,226</w:t>
            </w:r>
          </w:p>
        </w:tc>
        <w:tc>
          <w:tcPr>
            <w:tcW w:type="dxa" w:w="1584"/>
          </w:tcPr>
          <w:p>
            <w:pPr>
              <w:spacing w:after="20"/>
              <w:jc w:val="right"/>
            </w:pPr>
            <w:r>
              <w:rPr>
                <w:color w:val="1C3A36"/>
                <w:sz w:val="16"/>
              </w:rPr>
              <w:t>11,183</w:t>
            </w:r>
          </w:p>
        </w:tc>
        <w:tc>
          <w:tcPr>
            <w:tcW w:type="dxa" w:w="1584"/>
          </w:tcPr>
          <w:p>
            <w:pPr>
              <w:spacing w:after="20"/>
              <w:jc w:val="right"/>
            </w:pPr>
            <w:r>
              <w:rPr>
                <w:color w:val="1C3A36"/>
                <w:sz w:val="16"/>
              </w:rPr>
              <w:t>14,386</w:t>
            </w:r>
          </w:p>
        </w:tc>
      </w:tr>
      <w:tr>
        <w:trPr>
          <w:cantSplit/>
        </w:trPr>
        <w:tc>
          <w:tcPr>
            <w:tcW w:type="dxa" w:w="3744"/>
          </w:tcPr>
          <w:p>
            <w:pPr>
              <w:spacing w:after="20"/>
            </w:pPr>
            <w:r>
              <w:rPr>
                <w:color w:val="1C3A36"/>
                <w:sz w:val="16"/>
              </w:rPr>
              <w:t>Holding-company loans</w:t>
            </w:r>
          </w:p>
        </w:tc>
        <w:tc>
          <w:tcPr>
            <w:tcW w:type="dxa" w:w="1584"/>
          </w:tcPr>
          <w:p>
            <w:pPr>
              <w:spacing w:after="20"/>
              <w:jc w:val="right"/>
            </w:pPr>
            <w:r>
              <w:rPr>
                <w:color w:val="1C3A36"/>
                <w:sz w:val="16"/>
              </w:rPr>
              <w:t>50</w:t>
            </w:r>
          </w:p>
        </w:tc>
        <w:tc>
          <w:tcPr>
            <w:tcW w:type="dxa" w:w="1584"/>
          </w:tcPr>
          <w:p>
            <w:pPr>
              <w:spacing w:after="20"/>
              <w:jc w:val="right"/>
            </w:pPr>
            <w:r>
              <w:rPr>
                <w:color w:val="1C3A36"/>
                <w:sz w:val="16"/>
              </w:rPr>
              <w:t>0</w:t>
            </w:r>
          </w:p>
        </w:tc>
        <w:tc>
          <w:tcPr>
            <w:tcW w:type="dxa" w:w="1584"/>
          </w:tcPr>
          <w:p>
            <w:pPr>
              <w:spacing w:after="20"/>
              <w:jc w:val="right"/>
            </w:pPr>
            <w:r>
              <w:rPr>
                <w:color w:val="1C3A36"/>
                <w:sz w:val="16"/>
              </w:rPr>
              <w:t>597</w:t>
            </w:r>
          </w:p>
        </w:tc>
        <w:tc>
          <w:tcPr>
            <w:tcW w:type="dxa" w:w="1584"/>
          </w:tcPr>
          <w:p>
            <w:pPr>
              <w:spacing w:after="20"/>
              <w:jc w:val="right"/>
            </w:pPr>
            <w:r>
              <w:rPr>
                <w:color w:val="1C3A36"/>
                <w:sz w:val="16"/>
              </w:rPr>
              <w:t>46</w:t>
            </w:r>
          </w:p>
        </w:tc>
      </w:tr>
      <w:tr>
        <w:trPr>
          <w:cantSplit/>
        </w:trPr>
        <w:tc>
          <w:tcPr>
            <w:tcW w:type="dxa" w:w="3744"/>
          </w:tcPr>
          <w:p>
            <w:pPr>
              <w:spacing w:after="20"/>
            </w:pPr>
            <w:r>
              <w:rPr>
                <w:color w:val="1C3A36"/>
                <w:sz w:val="16"/>
              </w:rPr>
              <w:t>Deferred tax liability</w:t>
            </w:r>
          </w:p>
        </w:tc>
        <w:tc>
          <w:tcPr>
            <w:tcW w:type="dxa" w:w="1584"/>
          </w:tcPr>
          <w:p>
            <w:pPr>
              <w:spacing w:after="20"/>
              <w:jc w:val="right"/>
            </w:pPr>
            <w:r>
              <w:rPr>
                <w:color w:val="1C3A36"/>
                <w:sz w:val="16"/>
              </w:rPr>
              <w:t>1,469</w:t>
            </w:r>
          </w:p>
        </w:tc>
        <w:tc>
          <w:tcPr>
            <w:tcW w:type="dxa" w:w="1584"/>
          </w:tcPr>
          <w:p>
            <w:pPr>
              <w:spacing w:after="20"/>
              <w:jc w:val="right"/>
            </w:pPr>
            <w:r>
              <w:rPr>
                <w:color w:val="1C3A36"/>
                <w:sz w:val="16"/>
              </w:rPr>
              <w:t>1,001</w:t>
            </w:r>
          </w:p>
        </w:tc>
        <w:tc>
          <w:tcPr>
            <w:tcW w:type="dxa" w:w="1584"/>
          </w:tcPr>
          <w:p>
            <w:pPr>
              <w:spacing w:after="20"/>
              <w:jc w:val="right"/>
            </w:pPr>
            <w:r>
              <w:rPr>
                <w:color w:val="1C3A36"/>
                <w:sz w:val="16"/>
              </w:rPr>
              <w:t>991</w:t>
            </w:r>
          </w:p>
        </w:tc>
        <w:tc>
          <w:tcPr>
            <w:tcW w:type="dxa" w:w="1584"/>
          </w:tcPr>
          <w:p>
            <w:pPr>
              <w:spacing w:after="20"/>
              <w:jc w:val="right"/>
            </w:pPr>
            <w:r>
              <w:rPr>
                <w:color w:val="1C3A36"/>
                <w:sz w:val="16"/>
              </w:rPr>
              <w:t>961</w:t>
            </w:r>
          </w:p>
        </w:tc>
      </w:tr>
      <w:tr>
        <w:trPr>
          <w:cantSplit/>
        </w:trPr>
        <w:tc>
          <w:tcPr>
            <w:tcW w:type="dxa" w:w="3744"/>
          </w:tcPr>
          <w:p>
            <w:pPr>
              <w:spacing w:after="20"/>
            </w:pPr>
            <w:r>
              <w:rPr>
                <w:color w:val="1C3A36"/>
                <w:sz w:val="16"/>
              </w:rPr>
              <w:t>Provisions</w:t>
            </w:r>
          </w:p>
        </w:tc>
        <w:tc>
          <w:tcPr>
            <w:tcW w:type="dxa" w:w="1584"/>
          </w:tcPr>
          <w:p>
            <w:pPr>
              <w:spacing w:after="20"/>
              <w:jc w:val="right"/>
            </w:pPr>
            <w:r>
              <w:rPr>
                <w:color w:val="1C3A36"/>
                <w:sz w:val="16"/>
              </w:rPr>
              <w:t>144</w:t>
            </w:r>
          </w:p>
        </w:tc>
        <w:tc>
          <w:tcPr>
            <w:tcW w:type="dxa" w:w="1584"/>
          </w:tcPr>
          <w:p>
            <w:pPr>
              <w:spacing w:after="20"/>
              <w:jc w:val="right"/>
            </w:pPr>
            <w:r>
              <w:rPr>
                <w:color w:val="1C3A36"/>
                <w:sz w:val="16"/>
              </w:rPr>
              <w:t>432</w:t>
            </w:r>
          </w:p>
        </w:tc>
        <w:tc>
          <w:tcPr>
            <w:tcW w:type="dxa" w:w="1584"/>
          </w:tcPr>
          <w:p>
            <w:pPr>
              <w:spacing w:after="20"/>
              <w:jc w:val="right"/>
            </w:pPr>
            <w:r>
              <w:rPr>
                <w:color w:val="1C3A36"/>
                <w:sz w:val="16"/>
              </w:rPr>
              <w:t>309</w:t>
            </w:r>
          </w:p>
        </w:tc>
        <w:tc>
          <w:tcPr>
            <w:tcW w:type="dxa" w:w="1584"/>
          </w:tcPr>
          <w:p>
            <w:pPr>
              <w:spacing w:after="20"/>
              <w:jc w:val="right"/>
            </w:pPr>
            <w:r>
              <w:rPr>
                <w:color w:val="1C3A36"/>
                <w:sz w:val="16"/>
              </w:rPr>
              <w:t>292</w:t>
            </w:r>
          </w:p>
        </w:tc>
      </w:tr>
      <w:tr>
        <w:trPr>
          <w:cantSplit/>
        </w:trPr>
        <w:tc>
          <w:tcPr>
            <w:tcW w:type="dxa" w:w="3744"/>
          </w:tcPr>
          <w:p>
            <w:pPr>
              <w:spacing w:after="20"/>
            </w:pPr>
            <w:r>
              <w:rPr>
                <w:color w:val="1C3A36"/>
                <w:sz w:val="16"/>
              </w:rPr>
              <w:t>Payables and other</w:t>
            </w:r>
          </w:p>
        </w:tc>
        <w:tc>
          <w:tcPr>
            <w:tcW w:type="dxa" w:w="1584"/>
          </w:tcPr>
          <w:p>
            <w:pPr>
              <w:spacing w:after="20"/>
              <w:jc w:val="right"/>
            </w:pPr>
            <w:r>
              <w:rPr>
                <w:color w:val="1C3A36"/>
                <w:sz w:val="16"/>
              </w:rPr>
              <w:t>1,368</w:t>
            </w:r>
          </w:p>
        </w:tc>
        <w:tc>
          <w:tcPr>
            <w:tcW w:type="dxa" w:w="1584"/>
          </w:tcPr>
          <w:p>
            <w:pPr>
              <w:spacing w:after="20"/>
              <w:jc w:val="right"/>
            </w:pPr>
            <w:r>
              <w:rPr>
                <w:color w:val="1C3A36"/>
                <w:sz w:val="16"/>
              </w:rPr>
              <w:t>1,587</w:t>
            </w:r>
          </w:p>
        </w:tc>
        <w:tc>
          <w:tcPr>
            <w:tcW w:type="dxa" w:w="1584"/>
          </w:tcPr>
          <w:p>
            <w:pPr>
              <w:spacing w:after="20"/>
              <w:jc w:val="right"/>
            </w:pPr>
            <w:r>
              <w:rPr>
                <w:color w:val="1C3A36"/>
                <w:sz w:val="16"/>
              </w:rPr>
              <w:t>1,208</w:t>
            </w:r>
          </w:p>
        </w:tc>
        <w:tc>
          <w:tcPr>
            <w:tcW w:type="dxa" w:w="1584"/>
          </w:tcPr>
          <w:p>
            <w:pPr>
              <w:spacing w:after="20"/>
              <w:jc w:val="right"/>
            </w:pPr>
            <w:r>
              <w:rPr>
                <w:color w:val="1C3A36"/>
                <w:sz w:val="16"/>
              </w:rPr>
              <w:t>1,539</w:t>
            </w:r>
          </w:p>
        </w:tc>
      </w:tr>
      <w:tr>
        <w:trPr>
          <w:cantSplit/>
        </w:trPr>
        <w:tc>
          <w:tcPr>
            <w:tcW w:type="dxa" w:w="3744"/>
          </w:tcPr>
          <w:p>
            <w:pPr>
              <w:spacing w:after="20"/>
            </w:pPr>
            <w:r>
              <w:rPr>
                <w:color w:val="1C3A36"/>
                <w:sz w:val="16"/>
              </w:rPr>
              <w:t>Current portion of long-term debt</w:t>
            </w:r>
          </w:p>
        </w:tc>
        <w:tc>
          <w:tcPr>
            <w:tcW w:type="dxa" w:w="1584"/>
          </w:tcPr>
          <w:p>
            <w:pPr>
              <w:spacing w:after="20"/>
              <w:jc w:val="right"/>
            </w:pPr>
            <w:r>
              <w:rPr>
                <w:color w:val="1C3A36"/>
                <w:sz w:val="16"/>
              </w:rPr>
              <w:t>21</w:t>
            </w:r>
          </w:p>
        </w:tc>
        <w:tc>
          <w:tcPr>
            <w:tcW w:type="dxa" w:w="1584"/>
          </w:tcPr>
          <w:p>
            <w:pPr>
              <w:spacing w:after="20"/>
              <w:jc w:val="right"/>
            </w:pPr>
            <w:r>
              <w:rPr>
                <w:color w:val="1C3A36"/>
                <w:sz w:val="16"/>
              </w:rPr>
              <w:t>354</w:t>
            </w:r>
          </w:p>
        </w:tc>
        <w:tc>
          <w:tcPr>
            <w:tcW w:type="dxa" w:w="1584"/>
          </w:tcPr>
          <w:p>
            <w:pPr>
              <w:spacing w:after="20"/>
              <w:jc w:val="right"/>
            </w:pPr>
            <w:r>
              <w:rPr>
                <w:color w:val="1C3A36"/>
                <w:sz w:val="16"/>
              </w:rPr>
              <w:t>397</w:t>
            </w:r>
          </w:p>
        </w:tc>
        <w:tc>
          <w:tcPr>
            <w:tcW w:type="dxa" w:w="1584"/>
          </w:tcPr>
          <w:p>
            <w:pPr>
              <w:spacing w:after="20"/>
              <w:jc w:val="right"/>
            </w:pPr>
            <w:r>
              <w:rPr>
                <w:color w:val="1C3A36"/>
                <w:sz w:val="16"/>
              </w:rPr>
              <w:t>207</w:t>
            </w:r>
          </w:p>
        </w:tc>
      </w:tr>
      <w:tr>
        <w:trPr>
          <w:cantSplit/>
        </w:trPr>
        <w:tc>
          <w:tcPr>
            <w:tcW w:type="dxa" w:w="3744"/>
            <w:shd w:val="clear" w:color="auto" w:fill="F6F1E6"/>
          </w:tcPr>
          <w:p>
            <w:pPr>
              <w:spacing w:after="20"/>
            </w:pPr>
            <w:r>
              <w:rPr>
                <w:b/>
                <w:color w:val="1C3A36"/>
                <w:sz w:val="16"/>
              </w:rPr>
              <w:t>Gross interest-bearing debt</w:t>
            </w:r>
          </w:p>
        </w:tc>
        <w:tc>
          <w:tcPr>
            <w:tcW w:type="dxa" w:w="1584"/>
            <w:shd w:val="clear" w:color="auto" w:fill="F6F1E6"/>
          </w:tcPr>
          <w:p>
            <w:pPr>
              <w:spacing w:after="20"/>
              <w:jc w:val="right"/>
            </w:pPr>
            <w:r>
              <w:rPr>
                <w:b/>
                <w:color w:val="1C3A36"/>
                <w:sz w:val="16"/>
              </w:rPr>
              <w:t>8,497</w:t>
            </w:r>
          </w:p>
        </w:tc>
        <w:tc>
          <w:tcPr>
            <w:tcW w:type="dxa" w:w="1584"/>
            <w:shd w:val="clear" w:color="auto" w:fill="F6F1E6"/>
          </w:tcPr>
          <w:p>
            <w:pPr>
              <w:spacing w:after="20"/>
              <w:jc w:val="right"/>
            </w:pPr>
            <w:r>
              <w:rPr>
                <w:b/>
                <w:color w:val="1C3A36"/>
                <w:sz w:val="16"/>
              </w:rPr>
              <w:t>11,580</w:t>
            </w:r>
          </w:p>
        </w:tc>
        <w:tc>
          <w:tcPr>
            <w:tcW w:type="dxa" w:w="1584"/>
            <w:shd w:val="clear" w:color="auto" w:fill="F6F1E6"/>
          </w:tcPr>
          <w:p>
            <w:pPr>
              <w:spacing w:after="20"/>
              <w:jc w:val="right"/>
            </w:pPr>
            <w:r>
              <w:rPr>
                <w:b/>
                <w:color w:val="1C3A36"/>
                <w:sz w:val="16"/>
              </w:rPr>
              <w:t>12,178</w:t>
            </w:r>
          </w:p>
        </w:tc>
        <w:tc>
          <w:tcPr>
            <w:tcW w:type="dxa" w:w="1584"/>
            <w:shd w:val="clear" w:color="auto" w:fill="F6F1E6"/>
          </w:tcPr>
          <w:p>
            <w:pPr>
              <w:spacing w:after="20"/>
              <w:jc w:val="right"/>
            </w:pPr>
            <w:r>
              <w:rPr>
                <w:b/>
                <w:color w:val="1C3A36"/>
                <w:sz w:val="16"/>
              </w:rPr>
              <w:t>14,639</w:t>
            </w:r>
          </w:p>
        </w:tc>
      </w:tr>
      <w:tr>
        <w:trPr>
          <w:cantSplit/>
        </w:trPr>
        <w:tc>
          <w:tcPr>
            <w:tcW w:type="dxa" w:w="3744"/>
            <w:shd w:val="clear" w:color="auto" w:fill="F6F1E6"/>
          </w:tcPr>
          <w:p>
            <w:pPr>
              <w:spacing w:after="20"/>
            </w:pPr>
            <w:r>
              <w:rPr>
                <w:b/>
                <w:color w:val="1C3A36"/>
                <w:sz w:val="16"/>
              </w:rPr>
              <w:t>Net debt</w:t>
            </w:r>
          </w:p>
        </w:tc>
        <w:tc>
          <w:tcPr>
            <w:tcW w:type="dxa" w:w="1584"/>
            <w:shd w:val="clear" w:color="auto" w:fill="F6F1E6"/>
          </w:tcPr>
          <w:p>
            <w:pPr>
              <w:spacing w:after="20"/>
              <w:jc w:val="right"/>
            </w:pPr>
            <w:r>
              <w:rPr>
                <w:b/>
                <w:color w:val="1C3A36"/>
                <w:sz w:val="16"/>
              </w:rPr>
              <w:t>7,080</w:t>
            </w:r>
          </w:p>
        </w:tc>
        <w:tc>
          <w:tcPr>
            <w:tcW w:type="dxa" w:w="1584"/>
            <w:shd w:val="clear" w:color="auto" w:fill="F6F1E6"/>
          </w:tcPr>
          <w:p>
            <w:pPr>
              <w:spacing w:after="20"/>
              <w:jc w:val="right"/>
            </w:pPr>
            <w:r>
              <w:rPr>
                <w:b/>
                <w:color w:val="1C3A36"/>
                <w:sz w:val="16"/>
              </w:rPr>
              <w:t>8,477</w:t>
            </w:r>
          </w:p>
        </w:tc>
        <w:tc>
          <w:tcPr>
            <w:tcW w:type="dxa" w:w="1584"/>
            <w:shd w:val="clear" w:color="auto" w:fill="F6F1E6"/>
          </w:tcPr>
          <w:p>
            <w:pPr>
              <w:spacing w:after="20"/>
              <w:jc w:val="right"/>
            </w:pPr>
            <w:r>
              <w:rPr>
                <w:b/>
                <w:color w:val="1C3A36"/>
                <w:sz w:val="16"/>
              </w:rPr>
              <w:t>9,120</w:t>
            </w:r>
          </w:p>
        </w:tc>
        <w:tc>
          <w:tcPr>
            <w:tcW w:type="dxa" w:w="1584"/>
            <w:shd w:val="clear" w:color="auto" w:fill="F6F1E6"/>
          </w:tcPr>
          <w:p>
            <w:pPr>
              <w:spacing w:after="20"/>
              <w:jc w:val="right"/>
            </w:pPr>
            <w:r>
              <w:rPr>
                <w:b/>
                <w:color w:val="1C3A36"/>
                <w:sz w:val="16"/>
              </w:rPr>
              <w:t>10,032</w:t>
            </w:r>
          </w:p>
        </w:tc>
      </w:tr>
    </w:tbl>
    <w:p>
      <w:pPr>
        <w:spacing w:after="40"/>
      </w:pPr>
    </w:p>
    <w:p>
      <w:pPr>
        <w:keepNext/>
        <w:spacing w:after="80" w:before="200"/>
      </w:pPr>
      <w:r>
        <w:rPr>
          <w:b/>
          <w:i w:val="0"/>
          <w:color w:val="1C3A36"/>
          <w:sz w:val="24"/>
        </w:rPr>
        <w:t>A.3  Forecast balance sheet and cash-flow markers (EGP million)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rPr>
          <w:cantSplit/>
          <w:tblHeader/>
        </w:trPr>
        <w:tc>
          <w:tcPr>
            <w:tcW w:type="dxa" w:w="2952"/>
            <w:shd w:val="clear" w:color="auto" w:fill="EAF0EE"/>
          </w:tcPr>
          <w:p>
            <w:pPr>
              <w:spacing w:after="20"/>
            </w:pPr>
            <w:r>
              <w:rPr>
                <w:b/>
                <w:color w:val="1C3A36"/>
                <w:sz w:val="16"/>
              </w:rPr>
              <w:t>EGP million</w:t>
            </w:r>
          </w:p>
        </w:tc>
        <w:tc>
          <w:tcPr>
            <w:tcW w:type="dxa" w:w="1426"/>
            <w:shd w:val="clear" w:color="auto" w:fill="EAF0EE"/>
          </w:tcPr>
          <w:p>
            <w:pPr>
              <w:spacing w:after="20"/>
            </w:pPr>
            <w:r>
              <w:rPr>
                <w:b/>
                <w:color w:val="1C3A36"/>
                <w:sz w:val="16"/>
              </w:rPr>
              <w:t>FY2026/27</w:t>
            </w:r>
          </w:p>
        </w:tc>
        <w:tc>
          <w:tcPr>
            <w:tcW w:type="dxa" w:w="1426"/>
            <w:shd w:val="clear" w:color="auto" w:fill="EAF0EE"/>
          </w:tcPr>
          <w:p>
            <w:pPr>
              <w:spacing w:after="20"/>
            </w:pPr>
            <w:r>
              <w:rPr>
                <w:b/>
                <w:color w:val="1C3A36"/>
                <w:sz w:val="16"/>
              </w:rPr>
              <w:t>FY2027/28</w:t>
            </w:r>
          </w:p>
        </w:tc>
        <w:tc>
          <w:tcPr>
            <w:tcW w:type="dxa" w:w="1426"/>
            <w:shd w:val="clear" w:color="auto" w:fill="EAF0EE"/>
          </w:tcPr>
          <w:p>
            <w:pPr>
              <w:spacing w:after="20"/>
            </w:pPr>
            <w:r>
              <w:rPr>
                <w:b/>
                <w:color w:val="1C3A36"/>
                <w:sz w:val="16"/>
              </w:rPr>
              <w:t>FY2028/29</w:t>
            </w:r>
          </w:p>
        </w:tc>
        <w:tc>
          <w:tcPr>
            <w:tcW w:type="dxa" w:w="1426"/>
            <w:shd w:val="clear" w:color="auto" w:fill="EAF0EE"/>
          </w:tcPr>
          <w:p>
            <w:pPr>
              <w:spacing w:after="20"/>
            </w:pPr>
            <w:r>
              <w:rPr>
                <w:b/>
                <w:color w:val="1C3A36"/>
                <w:sz w:val="16"/>
              </w:rPr>
              <w:t>FY2029/30</w:t>
            </w:r>
          </w:p>
        </w:tc>
        <w:tc>
          <w:tcPr>
            <w:tcW w:type="dxa" w:w="1426"/>
            <w:shd w:val="clear" w:color="auto" w:fill="EAF0EE"/>
          </w:tcPr>
          <w:p>
            <w:pPr>
              <w:spacing w:after="20"/>
            </w:pPr>
            <w:r>
              <w:rPr>
                <w:b/>
                <w:color w:val="1C3A36"/>
                <w:sz w:val="16"/>
              </w:rPr>
              <w:t>FY2030/31</w:t>
            </w:r>
          </w:p>
        </w:tc>
      </w:tr>
      <w:tr>
        <w:trPr>
          <w:cantSplit/>
        </w:trPr>
        <w:tc>
          <w:tcPr>
            <w:tcW w:type="dxa" w:w="2952"/>
          </w:tcPr>
          <w:p>
            <w:pPr>
              <w:spacing w:after="20"/>
            </w:pPr>
            <w:r>
              <w:rPr>
                <w:color w:val="1C3A36"/>
                <w:sz w:val="16"/>
              </w:rPr>
              <w:t>Capital expenditure</w:t>
            </w:r>
          </w:p>
        </w:tc>
        <w:tc>
          <w:tcPr>
            <w:tcW w:type="dxa" w:w="1426"/>
          </w:tcPr>
          <w:p>
            <w:pPr>
              <w:spacing w:after="20"/>
              <w:jc w:val="right"/>
            </w:pPr>
            <w:r>
              <w:rPr>
                <w:color w:val="1C3A36"/>
                <w:sz w:val="16"/>
              </w:rPr>
              <w:t>2,740</w:t>
            </w:r>
          </w:p>
        </w:tc>
        <w:tc>
          <w:tcPr>
            <w:tcW w:type="dxa" w:w="1426"/>
          </w:tcPr>
          <w:p>
            <w:pPr>
              <w:spacing w:after="20"/>
              <w:jc w:val="right"/>
            </w:pPr>
            <w:r>
              <w:rPr>
                <w:color w:val="1C3A36"/>
                <w:sz w:val="16"/>
              </w:rPr>
              <w:t>3,253</w:t>
            </w:r>
          </w:p>
        </w:tc>
        <w:tc>
          <w:tcPr>
            <w:tcW w:type="dxa" w:w="1426"/>
          </w:tcPr>
          <w:p>
            <w:pPr>
              <w:spacing w:after="20"/>
              <w:jc w:val="right"/>
            </w:pPr>
            <w:r>
              <w:rPr>
                <w:color w:val="1C3A36"/>
                <w:sz w:val="16"/>
              </w:rPr>
              <w:t>3,463</w:t>
            </w:r>
          </w:p>
        </w:tc>
        <w:tc>
          <w:tcPr>
            <w:tcW w:type="dxa" w:w="1426"/>
          </w:tcPr>
          <w:p>
            <w:pPr>
              <w:spacing w:after="20"/>
              <w:jc w:val="right"/>
            </w:pPr>
            <w:r>
              <w:rPr>
                <w:color w:val="1C3A36"/>
                <w:sz w:val="16"/>
              </w:rPr>
              <w:t>3,372</w:t>
            </w:r>
          </w:p>
        </w:tc>
        <w:tc>
          <w:tcPr>
            <w:tcW w:type="dxa" w:w="1426"/>
          </w:tcPr>
          <w:p>
            <w:pPr>
              <w:spacing w:after="20"/>
              <w:jc w:val="right"/>
            </w:pPr>
            <w:r>
              <w:rPr>
                <w:color w:val="1C3A36"/>
                <w:sz w:val="16"/>
              </w:rPr>
              <w:t>2,670</w:t>
            </w:r>
          </w:p>
        </w:tc>
      </w:tr>
      <w:tr>
        <w:trPr>
          <w:cantSplit/>
        </w:trPr>
        <w:tc>
          <w:tcPr>
            <w:tcW w:type="dxa" w:w="2952"/>
          </w:tcPr>
          <w:p>
            <w:pPr>
              <w:spacing w:after="20"/>
            </w:pPr>
            <w:r>
              <w:rPr>
                <w:color w:val="1C3A36"/>
                <w:sz w:val="16"/>
              </w:rPr>
              <w:t>Depreciation and amortisation</w:t>
            </w:r>
          </w:p>
        </w:tc>
        <w:tc>
          <w:tcPr>
            <w:tcW w:type="dxa" w:w="1426"/>
          </w:tcPr>
          <w:p>
            <w:pPr>
              <w:spacing w:after="20"/>
              <w:jc w:val="right"/>
            </w:pPr>
            <w:r>
              <w:rPr>
                <w:color w:val="1C3A36"/>
                <w:sz w:val="16"/>
              </w:rPr>
              <w:t>891</w:t>
            </w:r>
          </w:p>
        </w:tc>
        <w:tc>
          <w:tcPr>
            <w:tcW w:type="dxa" w:w="1426"/>
          </w:tcPr>
          <w:p>
            <w:pPr>
              <w:spacing w:after="20"/>
              <w:jc w:val="right"/>
            </w:pPr>
            <w:r>
              <w:rPr>
                <w:color w:val="1C3A36"/>
                <w:sz w:val="16"/>
              </w:rPr>
              <w:t>1,009</w:t>
            </w:r>
          </w:p>
        </w:tc>
        <w:tc>
          <w:tcPr>
            <w:tcW w:type="dxa" w:w="1426"/>
          </w:tcPr>
          <w:p>
            <w:pPr>
              <w:spacing w:after="20"/>
              <w:jc w:val="right"/>
            </w:pPr>
            <w:r>
              <w:rPr>
                <w:color w:val="1C3A36"/>
                <w:sz w:val="16"/>
              </w:rPr>
              <w:t>1,147</w:t>
            </w:r>
          </w:p>
        </w:tc>
        <w:tc>
          <w:tcPr>
            <w:tcW w:type="dxa" w:w="1426"/>
          </w:tcPr>
          <w:p>
            <w:pPr>
              <w:spacing w:after="20"/>
              <w:jc w:val="right"/>
            </w:pPr>
            <w:r>
              <w:rPr>
                <w:color w:val="1C3A36"/>
                <w:sz w:val="16"/>
              </w:rPr>
              <w:t>1,292</w:t>
            </w:r>
          </w:p>
        </w:tc>
        <w:tc>
          <w:tcPr>
            <w:tcW w:type="dxa" w:w="1426"/>
          </w:tcPr>
          <w:p>
            <w:pPr>
              <w:spacing w:after="20"/>
              <w:jc w:val="right"/>
            </w:pPr>
            <w:r>
              <w:rPr>
                <w:color w:val="1C3A36"/>
                <w:sz w:val="16"/>
              </w:rPr>
              <w:t>1,434</w:t>
            </w:r>
          </w:p>
        </w:tc>
      </w:tr>
      <w:tr>
        <w:trPr>
          <w:cantSplit/>
        </w:trPr>
        <w:tc>
          <w:tcPr>
            <w:tcW w:type="dxa" w:w="2952"/>
          </w:tcPr>
          <w:p>
            <w:pPr>
              <w:spacing w:after="20"/>
            </w:pPr>
            <w:r>
              <w:rPr>
                <w:color w:val="1C3A36"/>
                <w:sz w:val="16"/>
              </w:rPr>
              <w:t>Receivables</w:t>
            </w:r>
          </w:p>
        </w:tc>
        <w:tc>
          <w:tcPr>
            <w:tcW w:type="dxa" w:w="1426"/>
          </w:tcPr>
          <w:p>
            <w:pPr>
              <w:spacing w:after="20"/>
              <w:jc w:val="right"/>
            </w:pPr>
            <w:r>
              <w:rPr>
                <w:color w:val="1C3A36"/>
                <w:sz w:val="16"/>
              </w:rPr>
              <w:t>927</w:t>
            </w:r>
          </w:p>
        </w:tc>
        <w:tc>
          <w:tcPr>
            <w:tcW w:type="dxa" w:w="1426"/>
          </w:tcPr>
          <w:p>
            <w:pPr>
              <w:spacing w:after="20"/>
              <w:jc w:val="right"/>
            </w:pPr>
            <w:r>
              <w:rPr>
                <w:color w:val="1C3A36"/>
                <w:sz w:val="16"/>
              </w:rPr>
              <w:t>1,008</w:t>
            </w:r>
          </w:p>
        </w:tc>
        <w:tc>
          <w:tcPr>
            <w:tcW w:type="dxa" w:w="1426"/>
          </w:tcPr>
          <w:p>
            <w:pPr>
              <w:spacing w:after="20"/>
              <w:jc w:val="right"/>
            </w:pPr>
            <w:r>
              <w:rPr>
                <w:color w:val="1C3A36"/>
                <w:sz w:val="16"/>
              </w:rPr>
              <w:t>1,072</w:t>
            </w:r>
          </w:p>
        </w:tc>
        <w:tc>
          <w:tcPr>
            <w:tcW w:type="dxa" w:w="1426"/>
          </w:tcPr>
          <w:p>
            <w:pPr>
              <w:spacing w:after="20"/>
              <w:jc w:val="right"/>
            </w:pPr>
            <w:r>
              <w:rPr>
                <w:color w:val="1C3A36"/>
                <w:sz w:val="16"/>
              </w:rPr>
              <w:t>1,131</w:t>
            </w:r>
          </w:p>
        </w:tc>
        <w:tc>
          <w:tcPr>
            <w:tcW w:type="dxa" w:w="1426"/>
          </w:tcPr>
          <w:p>
            <w:pPr>
              <w:spacing w:after="20"/>
              <w:jc w:val="right"/>
            </w:pPr>
            <w:r>
              <w:rPr>
                <w:color w:val="1C3A36"/>
                <w:sz w:val="16"/>
              </w:rPr>
              <w:t>1,191</w:t>
            </w:r>
          </w:p>
        </w:tc>
      </w:tr>
      <w:tr>
        <w:trPr>
          <w:cantSplit/>
        </w:trPr>
        <w:tc>
          <w:tcPr>
            <w:tcW w:type="dxa" w:w="2952"/>
          </w:tcPr>
          <w:p>
            <w:pPr>
              <w:spacing w:after="20"/>
            </w:pPr>
            <w:r>
              <w:rPr>
                <w:color w:val="1C3A36"/>
                <w:sz w:val="16"/>
              </w:rPr>
              <w:t>Inventory</w:t>
            </w:r>
          </w:p>
        </w:tc>
        <w:tc>
          <w:tcPr>
            <w:tcW w:type="dxa" w:w="1426"/>
          </w:tcPr>
          <w:p>
            <w:pPr>
              <w:spacing w:after="20"/>
              <w:jc w:val="right"/>
            </w:pPr>
            <w:r>
              <w:rPr>
                <w:color w:val="1C3A36"/>
                <w:sz w:val="16"/>
              </w:rPr>
              <w:t>2,869</w:t>
            </w:r>
          </w:p>
        </w:tc>
        <w:tc>
          <w:tcPr>
            <w:tcW w:type="dxa" w:w="1426"/>
          </w:tcPr>
          <w:p>
            <w:pPr>
              <w:spacing w:after="20"/>
              <w:jc w:val="right"/>
            </w:pPr>
            <w:r>
              <w:rPr>
                <w:color w:val="1C3A36"/>
                <w:sz w:val="16"/>
              </w:rPr>
              <w:t>3,161</w:t>
            </w:r>
          </w:p>
        </w:tc>
        <w:tc>
          <w:tcPr>
            <w:tcW w:type="dxa" w:w="1426"/>
          </w:tcPr>
          <w:p>
            <w:pPr>
              <w:spacing w:after="20"/>
              <w:jc w:val="right"/>
            </w:pPr>
            <w:r>
              <w:rPr>
                <w:color w:val="1C3A36"/>
                <w:sz w:val="16"/>
              </w:rPr>
              <w:t>3,422</w:t>
            </w:r>
          </w:p>
        </w:tc>
        <w:tc>
          <w:tcPr>
            <w:tcW w:type="dxa" w:w="1426"/>
          </w:tcPr>
          <w:p>
            <w:pPr>
              <w:spacing w:after="20"/>
              <w:jc w:val="right"/>
            </w:pPr>
            <w:r>
              <w:rPr>
                <w:color w:val="1C3A36"/>
                <w:sz w:val="16"/>
              </w:rPr>
              <w:t>3,675</w:t>
            </w:r>
          </w:p>
        </w:tc>
        <w:tc>
          <w:tcPr>
            <w:tcW w:type="dxa" w:w="1426"/>
          </w:tcPr>
          <w:p>
            <w:pPr>
              <w:spacing w:after="20"/>
              <w:jc w:val="right"/>
            </w:pPr>
            <w:r>
              <w:rPr>
                <w:color w:val="1C3A36"/>
                <w:sz w:val="16"/>
              </w:rPr>
              <w:t>3,931</w:t>
            </w:r>
          </w:p>
        </w:tc>
      </w:tr>
      <w:tr>
        <w:trPr>
          <w:cantSplit/>
        </w:trPr>
        <w:tc>
          <w:tcPr>
            <w:tcW w:type="dxa" w:w="2952"/>
          </w:tcPr>
          <w:p>
            <w:pPr>
              <w:spacing w:after="20"/>
            </w:pPr>
            <w:r>
              <w:rPr>
                <w:color w:val="1C3A36"/>
                <w:sz w:val="16"/>
              </w:rPr>
              <w:t>Payables</w:t>
            </w:r>
          </w:p>
        </w:tc>
        <w:tc>
          <w:tcPr>
            <w:tcW w:type="dxa" w:w="1426"/>
          </w:tcPr>
          <w:p>
            <w:pPr>
              <w:spacing w:after="20"/>
              <w:jc w:val="right"/>
            </w:pPr>
            <w:r>
              <w:rPr>
                <w:color w:val="1C3A36"/>
                <w:sz w:val="16"/>
              </w:rPr>
              <w:t>1,444</w:t>
            </w:r>
          </w:p>
        </w:tc>
        <w:tc>
          <w:tcPr>
            <w:tcW w:type="dxa" w:w="1426"/>
          </w:tcPr>
          <w:p>
            <w:pPr>
              <w:spacing w:after="20"/>
              <w:jc w:val="right"/>
            </w:pPr>
            <w:r>
              <w:rPr>
                <w:color w:val="1C3A36"/>
                <w:sz w:val="16"/>
              </w:rPr>
              <w:t>1,591</w:t>
            </w:r>
          </w:p>
        </w:tc>
        <w:tc>
          <w:tcPr>
            <w:tcW w:type="dxa" w:w="1426"/>
          </w:tcPr>
          <w:p>
            <w:pPr>
              <w:spacing w:after="20"/>
              <w:jc w:val="right"/>
            </w:pPr>
            <w:r>
              <w:rPr>
                <w:color w:val="1C3A36"/>
                <w:sz w:val="16"/>
              </w:rPr>
              <w:t>1,722</w:t>
            </w:r>
          </w:p>
        </w:tc>
        <w:tc>
          <w:tcPr>
            <w:tcW w:type="dxa" w:w="1426"/>
          </w:tcPr>
          <w:p>
            <w:pPr>
              <w:spacing w:after="20"/>
              <w:jc w:val="right"/>
            </w:pPr>
            <w:r>
              <w:rPr>
                <w:color w:val="1C3A36"/>
                <w:sz w:val="16"/>
              </w:rPr>
              <w:t>1,850</w:t>
            </w:r>
          </w:p>
        </w:tc>
        <w:tc>
          <w:tcPr>
            <w:tcW w:type="dxa" w:w="1426"/>
          </w:tcPr>
          <w:p>
            <w:pPr>
              <w:spacing w:after="20"/>
              <w:jc w:val="right"/>
            </w:pPr>
            <w:r>
              <w:rPr>
                <w:color w:val="1C3A36"/>
                <w:sz w:val="16"/>
              </w:rPr>
              <w:t>1,979</w:t>
            </w:r>
          </w:p>
        </w:tc>
      </w:tr>
      <w:tr>
        <w:trPr>
          <w:cantSplit/>
        </w:trPr>
        <w:tc>
          <w:tcPr>
            <w:tcW w:type="dxa" w:w="2952"/>
          </w:tcPr>
          <w:p>
            <w:pPr>
              <w:spacing w:after="20"/>
            </w:pPr>
            <w:r>
              <w:rPr>
                <w:color w:val="1C3A36"/>
                <w:sz w:val="16"/>
              </w:rPr>
              <w:t>Net working capital</w:t>
            </w:r>
          </w:p>
        </w:tc>
        <w:tc>
          <w:tcPr>
            <w:tcW w:type="dxa" w:w="1426"/>
          </w:tcPr>
          <w:p>
            <w:pPr>
              <w:spacing w:after="20"/>
              <w:jc w:val="right"/>
            </w:pPr>
            <w:r>
              <w:rPr>
                <w:color w:val="1C3A36"/>
                <w:sz w:val="16"/>
              </w:rPr>
              <w:t>2,352</w:t>
            </w:r>
          </w:p>
        </w:tc>
        <w:tc>
          <w:tcPr>
            <w:tcW w:type="dxa" w:w="1426"/>
          </w:tcPr>
          <w:p>
            <w:pPr>
              <w:spacing w:after="20"/>
              <w:jc w:val="right"/>
            </w:pPr>
            <w:r>
              <w:rPr>
                <w:color w:val="1C3A36"/>
                <w:sz w:val="16"/>
              </w:rPr>
              <w:t>2,578</w:t>
            </w:r>
          </w:p>
        </w:tc>
        <w:tc>
          <w:tcPr>
            <w:tcW w:type="dxa" w:w="1426"/>
          </w:tcPr>
          <w:p>
            <w:pPr>
              <w:spacing w:after="20"/>
              <w:jc w:val="right"/>
            </w:pPr>
            <w:r>
              <w:rPr>
                <w:color w:val="1C3A36"/>
                <w:sz w:val="16"/>
              </w:rPr>
              <w:t>2,771</w:t>
            </w:r>
          </w:p>
        </w:tc>
        <w:tc>
          <w:tcPr>
            <w:tcW w:type="dxa" w:w="1426"/>
          </w:tcPr>
          <w:p>
            <w:pPr>
              <w:spacing w:after="20"/>
              <w:jc w:val="right"/>
            </w:pPr>
            <w:r>
              <w:rPr>
                <w:color w:val="1C3A36"/>
                <w:sz w:val="16"/>
              </w:rPr>
              <w:t>2,957</w:t>
            </w:r>
          </w:p>
        </w:tc>
        <w:tc>
          <w:tcPr>
            <w:tcW w:type="dxa" w:w="1426"/>
          </w:tcPr>
          <w:p>
            <w:pPr>
              <w:spacing w:after="20"/>
              <w:jc w:val="right"/>
            </w:pPr>
            <w:r>
              <w:rPr>
                <w:color w:val="1C3A36"/>
                <w:sz w:val="16"/>
              </w:rPr>
              <w:t>3,144</w:t>
            </w:r>
          </w:p>
        </w:tc>
      </w:tr>
      <w:tr>
        <w:trPr>
          <w:cantSplit/>
        </w:trPr>
        <w:tc>
          <w:tcPr>
            <w:tcW w:type="dxa" w:w="2952"/>
          </w:tcPr>
          <w:p>
            <w:pPr>
              <w:spacing w:after="20"/>
            </w:pPr>
            <w:r>
              <w:rPr>
                <w:color w:val="1C3A36"/>
                <w:sz w:val="16"/>
              </w:rPr>
              <w:t>Change in net working capital</w:t>
            </w:r>
          </w:p>
        </w:tc>
        <w:tc>
          <w:tcPr>
            <w:tcW w:type="dxa" w:w="1426"/>
          </w:tcPr>
          <w:p>
            <w:pPr>
              <w:spacing w:after="20"/>
              <w:jc w:val="right"/>
            </w:pPr>
            <w:r>
              <w:rPr>
                <w:color w:val="1C3A36"/>
                <w:sz w:val="16"/>
              </w:rPr>
              <w:t>690</w:t>
            </w:r>
          </w:p>
        </w:tc>
        <w:tc>
          <w:tcPr>
            <w:tcW w:type="dxa" w:w="1426"/>
          </w:tcPr>
          <w:p>
            <w:pPr>
              <w:spacing w:after="20"/>
              <w:jc w:val="right"/>
            </w:pPr>
            <w:r>
              <w:rPr>
                <w:color w:val="1C3A36"/>
                <w:sz w:val="16"/>
              </w:rPr>
              <w:t>225</w:t>
            </w:r>
          </w:p>
        </w:tc>
        <w:tc>
          <w:tcPr>
            <w:tcW w:type="dxa" w:w="1426"/>
          </w:tcPr>
          <w:p>
            <w:pPr>
              <w:spacing w:after="20"/>
              <w:jc w:val="right"/>
            </w:pPr>
            <w:r>
              <w:rPr>
                <w:color w:val="1C3A36"/>
                <w:sz w:val="16"/>
              </w:rPr>
              <w:t>194</w:t>
            </w:r>
          </w:p>
        </w:tc>
        <w:tc>
          <w:tcPr>
            <w:tcW w:type="dxa" w:w="1426"/>
          </w:tcPr>
          <w:p>
            <w:pPr>
              <w:spacing w:after="20"/>
              <w:jc w:val="right"/>
            </w:pPr>
            <w:r>
              <w:rPr>
                <w:color w:val="1C3A36"/>
                <w:sz w:val="16"/>
              </w:rPr>
              <w:t>186</w:t>
            </w:r>
          </w:p>
        </w:tc>
        <w:tc>
          <w:tcPr>
            <w:tcW w:type="dxa" w:w="1426"/>
          </w:tcPr>
          <w:p>
            <w:pPr>
              <w:spacing w:after="20"/>
              <w:jc w:val="right"/>
            </w:pPr>
            <w:r>
              <w:rPr>
                <w:color w:val="1C3A36"/>
                <w:sz w:val="16"/>
              </w:rPr>
              <w:t>187</w:t>
            </w:r>
          </w:p>
        </w:tc>
      </w:tr>
      <w:tr>
        <w:trPr>
          <w:cantSplit/>
        </w:trPr>
        <w:tc>
          <w:tcPr>
            <w:tcW w:type="dxa" w:w="2952"/>
            <w:shd w:val="clear" w:color="auto" w:fill="F6F1E6"/>
          </w:tcPr>
          <w:p>
            <w:pPr>
              <w:spacing w:after="20"/>
            </w:pPr>
            <w:r>
              <w:rPr>
                <w:b/>
                <w:color w:val="1C3A36"/>
                <w:sz w:val="16"/>
              </w:rPr>
              <w:t>Free cash flow to the firm</w:t>
            </w:r>
          </w:p>
        </w:tc>
        <w:tc>
          <w:tcPr>
            <w:tcW w:type="dxa" w:w="1426"/>
            <w:shd w:val="clear" w:color="auto" w:fill="F6F1E6"/>
          </w:tcPr>
          <w:p>
            <w:pPr>
              <w:spacing w:after="20"/>
              <w:jc w:val="right"/>
            </w:pPr>
            <w:r>
              <w:rPr>
                <w:b/>
                <w:color w:val="1C3A36"/>
                <w:sz w:val="16"/>
              </w:rPr>
              <w:t>1,251</w:t>
            </w:r>
          </w:p>
        </w:tc>
        <w:tc>
          <w:tcPr>
            <w:tcW w:type="dxa" w:w="1426"/>
            <w:shd w:val="clear" w:color="auto" w:fill="F6F1E6"/>
          </w:tcPr>
          <w:p>
            <w:pPr>
              <w:spacing w:after="20"/>
              <w:jc w:val="right"/>
            </w:pPr>
            <w:r>
              <w:rPr>
                <w:b/>
                <w:color w:val="1C3A36"/>
                <w:sz w:val="16"/>
              </w:rPr>
              <w:t>1,589</w:t>
            </w:r>
          </w:p>
        </w:tc>
        <w:tc>
          <w:tcPr>
            <w:tcW w:type="dxa" w:w="1426"/>
            <w:shd w:val="clear" w:color="auto" w:fill="F6F1E6"/>
          </w:tcPr>
          <w:p>
            <w:pPr>
              <w:spacing w:after="20"/>
              <w:jc w:val="right"/>
            </w:pPr>
            <w:r>
              <w:rPr>
                <w:b/>
                <w:color w:val="1C3A36"/>
                <w:sz w:val="16"/>
              </w:rPr>
              <w:t>1,709</w:t>
            </w:r>
          </w:p>
        </w:tc>
        <w:tc>
          <w:tcPr>
            <w:tcW w:type="dxa" w:w="1426"/>
            <w:shd w:val="clear" w:color="auto" w:fill="F6F1E6"/>
          </w:tcPr>
          <w:p>
            <w:pPr>
              <w:spacing w:after="20"/>
              <w:jc w:val="right"/>
            </w:pPr>
            <w:r>
              <w:rPr>
                <w:b/>
                <w:color w:val="1C3A36"/>
                <w:sz w:val="16"/>
              </w:rPr>
              <w:t>2,075</w:t>
            </w:r>
          </w:p>
        </w:tc>
        <w:tc>
          <w:tcPr>
            <w:tcW w:type="dxa" w:w="1426"/>
            <w:shd w:val="clear" w:color="auto" w:fill="F6F1E6"/>
          </w:tcPr>
          <w:p>
            <w:pPr>
              <w:spacing w:after="20"/>
              <w:jc w:val="right"/>
            </w:pPr>
            <w:r>
              <w:rPr>
                <w:b/>
                <w:color w:val="1C3A36"/>
                <w:sz w:val="16"/>
              </w:rPr>
              <w:t>3,032</w:t>
            </w:r>
          </w:p>
        </w:tc>
      </w:tr>
    </w:tbl>
    <w:p>
      <w:pPr>
        <w:spacing w:after="40"/>
      </w:pPr>
    </w:p>
    <w:p>
      <w:pPr>
        <w:spacing w:after="200" w:before="0"/>
      </w:pPr>
      <w:r>
        <w:rPr>
          <w:b w:val="0"/>
          <w:i/>
          <w:color w:val="6E7B77"/>
          <w:sz w:val="17"/>
        </w:rPr>
        <w:t>Table 29.  Working capital is projected from the day counts the audited statements themselves imply — 26.8 days of receivables, 165.2 of inventory and 83.2 of payables — rather than plugged.</w:t>
      </w:r>
    </w:p>
    <w:p>
      <w:pPr>
        <w:keepNext/>
        <w:spacing w:after="80" w:before="200"/>
      </w:pPr>
      <w:r>
        <w:rPr>
          <w:b/>
          <w:i w:val="0"/>
          <w:color w:val="1C3A36"/>
          <w:sz w:val="24"/>
        </w:rPr>
        <w:t>A.4  Years three to five as ranges — the method's own tested error, applied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2016"/>
        <w:gridCol w:w="2016"/>
        <w:gridCol w:w="2016"/>
      </w:tblGrid>
      <w:tr>
        <w:trPr>
          <w:cantSplit/>
          <w:tblHeader/>
        </w:trPr>
        <w:tc>
          <w:tcPr>
            <w:tcW w:type="dxa" w:w="3744"/>
            <w:shd w:val="clear" w:color="auto" w:fill="EAF0EE"/>
          </w:tcPr>
          <w:p>
            <w:pPr>
              <w:spacing w:after="20"/>
            </w:pPr>
            <w:r>
              <w:rPr>
                <w:b/>
                <w:color w:val="1C3A36"/>
                <w:sz w:val="16"/>
              </w:rPr>
              <w:t>EGP million</w:t>
            </w:r>
          </w:p>
        </w:tc>
        <w:tc>
          <w:tcPr>
            <w:tcW w:type="dxa" w:w="2016"/>
            <w:shd w:val="clear" w:color="auto" w:fill="EAF0EE"/>
          </w:tcPr>
          <w:p>
            <w:pPr>
              <w:spacing w:after="20"/>
            </w:pPr>
            <w:r>
              <w:rPr>
                <w:b/>
                <w:color w:val="1C3A36"/>
                <w:sz w:val="16"/>
              </w:rPr>
              <w:t>FY2028/29</w:t>
            </w:r>
          </w:p>
        </w:tc>
        <w:tc>
          <w:tcPr>
            <w:tcW w:type="dxa" w:w="2016"/>
            <w:shd w:val="clear" w:color="auto" w:fill="EAF0EE"/>
          </w:tcPr>
          <w:p>
            <w:pPr>
              <w:spacing w:after="20"/>
            </w:pPr>
            <w:r>
              <w:rPr>
                <w:b/>
                <w:color w:val="1C3A36"/>
                <w:sz w:val="16"/>
              </w:rPr>
              <w:t>FY2029/30</w:t>
            </w:r>
          </w:p>
        </w:tc>
        <w:tc>
          <w:tcPr>
            <w:tcW w:type="dxa" w:w="2016"/>
            <w:shd w:val="clear" w:color="auto" w:fill="EAF0EE"/>
          </w:tcPr>
          <w:p>
            <w:pPr>
              <w:spacing w:after="20"/>
            </w:pPr>
            <w:r>
              <w:rPr>
                <w:b/>
                <w:color w:val="1C3A36"/>
                <w:sz w:val="16"/>
              </w:rPr>
              <w:t>FY2030/31</w:t>
            </w:r>
          </w:p>
        </w:tc>
      </w:tr>
      <w:tr>
        <w:trPr>
          <w:cantSplit/>
        </w:trPr>
        <w:tc>
          <w:tcPr>
            <w:tcW w:type="dxa" w:w="3744"/>
          </w:tcPr>
          <w:p>
            <w:pPr>
              <w:spacing w:after="20"/>
            </w:pPr>
            <w:r>
              <w:rPr>
                <w:color w:val="1C3A36"/>
                <w:sz w:val="16"/>
              </w:rPr>
              <w:t>Revenue — point</w:t>
            </w:r>
          </w:p>
        </w:tc>
        <w:tc>
          <w:tcPr>
            <w:tcW w:type="dxa" w:w="2016"/>
          </w:tcPr>
          <w:p>
            <w:pPr>
              <w:spacing w:after="20"/>
              <w:jc w:val="right"/>
            </w:pPr>
            <w:r>
              <w:rPr>
                <w:color w:val="1C3A36"/>
                <w:sz w:val="16"/>
              </w:rPr>
              <w:t>14,611</w:t>
            </w:r>
          </w:p>
        </w:tc>
        <w:tc>
          <w:tcPr>
            <w:tcW w:type="dxa" w:w="2016"/>
          </w:tcPr>
          <w:p>
            <w:pPr>
              <w:spacing w:after="20"/>
              <w:jc w:val="right"/>
            </w:pPr>
            <w:r>
              <w:rPr>
                <w:color w:val="1C3A36"/>
                <w:sz w:val="16"/>
              </w:rPr>
              <w:t>15,424</w:t>
            </w:r>
          </w:p>
        </w:tc>
        <w:tc>
          <w:tcPr>
            <w:tcW w:type="dxa" w:w="2016"/>
          </w:tcPr>
          <w:p>
            <w:pPr>
              <w:spacing w:after="20"/>
              <w:jc w:val="right"/>
            </w:pPr>
            <w:r>
              <w:rPr>
                <w:color w:val="1C3A36"/>
                <w:sz w:val="16"/>
              </w:rPr>
              <w:t>16,239</w:t>
            </w:r>
          </w:p>
        </w:tc>
      </w:tr>
      <w:tr>
        <w:trPr>
          <w:cantSplit/>
        </w:trPr>
        <w:tc>
          <w:tcPr>
            <w:tcW w:type="dxa" w:w="3744"/>
          </w:tcPr>
          <w:p>
            <w:pPr>
              <w:spacing w:after="20"/>
            </w:pPr>
            <w:r>
              <w:rPr>
                <w:color w:val="1C3A36"/>
                <w:sz w:val="16"/>
              </w:rPr>
              <w:t>Gross profit — point</w:t>
            </w:r>
          </w:p>
        </w:tc>
        <w:tc>
          <w:tcPr>
            <w:tcW w:type="dxa" w:w="2016"/>
          </w:tcPr>
          <w:p>
            <w:pPr>
              <w:spacing w:after="20"/>
              <w:jc w:val="right"/>
            </w:pPr>
            <w:r>
              <w:rPr>
                <w:color w:val="1C3A36"/>
                <w:sz w:val="16"/>
              </w:rPr>
              <w:t>7,053</w:t>
            </w:r>
          </w:p>
        </w:tc>
        <w:tc>
          <w:tcPr>
            <w:tcW w:type="dxa" w:w="2016"/>
          </w:tcPr>
          <w:p>
            <w:pPr>
              <w:spacing w:after="20"/>
              <w:jc w:val="right"/>
            </w:pPr>
            <w:r>
              <w:rPr>
                <w:color w:val="1C3A36"/>
                <w:sz w:val="16"/>
              </w:rPr>
              <w:t>7,307</w:t>
            </w:r>
          </w:p>
        </w:tc>
        <w:tc>
          <w:tcPr>
            <w:tcW w:type="dxa" w:w="2016"/>
          </w:tcPr>
          <w:p>
            <w:pPr>
              <w:spacing w:after="20"/>
              <w:jc w:val="right"/>
            </w:pPr>
            <w:r>
              <w:rPr>
                <w:color w:val="1C3A36"/>
                <w:sz w:val="16"/>
              </w:rPr>
              <w:t>7,556</w:t>
            </w:r>
          </w:p>
        </w:tc>
      </w:tr>
      <w:tr>
        <w:trPr>
          <w:cantSplit/>
        </w:trPr>
        <w:tc>
          <w:tcPr>
            <w:tcW w:type="dxa" w:w="3744"/>
            <w:shd w:val="clear" w:color="auto" w:fill="F6F1E6"/>
          </w:tcPr>
          <w:p>
            <w:pPr>
              <w:spacing w:after="20"/>
            </w:pPr>
            <w:r>
              <w:rPr>
                <w:b/>
                <w:color w:val="1C3A36"/>
                <w:sz w:val="16"/>
              </w:rPr>
              <w:t>Operating profit before depreciation — point</w:t>
            </w:r>
          </w:p>
        </w:tc>
        <w:tc>
          <w:tcPr>
            <w:tcW w:type="dxa" w:w="2016"/>
            <w:shd w:val="clear" w:color="auto" w:fill="F6F1E6"/>
          </w:tcPr>
          <w:p>
            <w:pPr>
              <w:spacing w:after="20"/>
              <w:jc w:val="right"/>
            </w:pPr>
            <w:r>
              <w:rPr>
                <w:b/>
                <w:color w:val="1C3A36"/>
                <w:sz w:val="16"/>
              </w:rPr>
              <w:t>6,590</w:t>
            </w:r>
          </w:p>
        </w:tc>
        <w:tc>
          <w:tcPr>
            <w:tcW w:type="dxa" w:w="2016"/>
            <w:shd w:val="clear" w:color="auto" w:fill="F6F1E6"/>
          </w:tcPr>
          <w:p>
            <w:pPr>
              <w:spacing w:after="20"/>
              <w:jc w:val="right"/>
            </w:pPr>
            <w:r>
              <w:rPr>
                <w:b/>
                <w:color w:val="1C3A36"/>
                <w:sz w:val="16"/>
              </w:rPr>
              <w:t>6,893</w:t>
            </w:r>
          </w:p>
        </w:tc>
        <w:tc>
          <w:tcPr>
            <w:tcW w:type="dxa" w:w="2016"/>
            <w:shd w:val="clear" w:color="auto" w:fill="F6F1E6"/>
          </w:tcPr>
          <w:p>
            <w:pPr>
              <w:spacing w:after="20"/>
              <w:jc w:val="right"/>
            </w:pPr>
            <w:r>
              <w:rPr>
                <w:b/>
                <w:color w:val="1C3A36"/>
                <w:sz w:val="16"/>
              </w:rPr>
              <w:t>7,183</w:t>
            </w:r>
          </w:p>
        </w:tc>
      </w:tr>
      <w:tr>
        <w:trPr>
          <w:cantSplit/>
        </w:trPr>
        <w:tc>
          <w:tcPr>
            <w:tcW w:type="dxa" w:w="3744"/>
          </w:tcPr>
          <w:p>
            <w:pPr>
              <w:spacing w:after="20"/>
            </w:pPr>
            <w:r>
              <w:rPr>
                <w:color w:val="1C3A36"/>
                <w:sz w:val="16"/>
              </w:rPr>
              <w:t>Revenue — low of the range</w:t>
            </w:r>
          </w:p>
        </w:tc>
        <w:tc>
          <w:tcPr>
            <w:tcW w:type="dxa" w:w="2016"/>
          </w:tcPr>
          <w:p>
            <w:pPr>
              <w:spacing w:after="20"/>
              <w:jc w:val="right"/>
            </w:pPr>
            <w:r>
              <w:rPr>
                <w:color w:val="1C3A36"/>
                <w:sz w:val="16"/>
              </w:rPr>
              <w:t>1,563</w:t>
            </w:r>
          </w:p>
        </w:tc>
        <w:tc>
          <w:tcPr>
            <w:tcW w:type="dxa" w:w="2016"/>
          </w:tcPr>
          <w:p>
            <w:pPr>
              <w:spacing w:after="20"/>
              <w:jc w:val="right"/>
            </w:pPr>
            <w:r>
              <w:rPr>
                <w:color w:val="1C3A36"/>
                <w:sz w:val="16"/>
              </w:rPr>
              <w:t>548</w:t>
            </w:r>
          </w:p>
        </w:tc>
        <w:tc>
          <w:tcPr>
            <w:tcW w:type="dxa" w:w="2016"/>
          </w:tcPr>
          <w:p>
            <w:pPr>
              <w:spacing w:after="20"/>
              <w:jc w:val="right"/>
            </w:pPr>
            <w:r>
              <w:rPr>
                <w:color w:val="1C3A36"/>
                <w:sz w:val="16"/>
              </w:rPr>
              <w:t>1,317</w:t>
            </w:r>
          </w:p>
        </w:tc>
      </w:tr>
      <w:tr>
        <w:trPr>
          <w:cantSplit/>
        </w:trPr>
        <w:tc>
          <w:tcPr>
            <w:tcW w:type="dxa" w:w="3744"/>
          </w:tcPr>
          <w:p>
            <w:pPr>
              <w:spacing w:after="20"/>
            </w:pPr>
            <w:r>
              <w:rPr>
                <w:color w:val="1C3A36"/>
                <w:sz w:val="16"/>
              </w:rPr>
              <w:t>Revenue — high of the range</w:t>
            </w:r>
          </w:p>
        </w:tc>
        <w:tc>
          <w:tcPr>
            <w:tcW w:type="dxa" w:w="2016"/>
          </w:tcPr>
          <w:p>
            <w:pPr>
              <w:spacing w:after="20"/>
              <w:jc w:val="right"/>
            </w:pPr>
            <w:r>
              <w:rPr>
                <w:color w:val="1C3A36"/>
                <w:sz w:val="16"/>
              </w:rPr>
              <w:t>17,172</w:t>
            </w:r>
          </w:p>
        </w:tc>
        <w:tc>
          <w:tcPr>
            <w:tcW w:type="dxa" w:w="2016"/>
          </w:tcPr>
          <w:p>
            <w:pPr>
              <w:spacing w:after="20"/>
              <w:jc w:val="right"/>
            </w:pPr>
            <w:r>
              <w:rPr>
                <w:color w:val="1C3A36"/>
                <w:sz w:val="16"/>
              </w:rPr>
              <w:t>18,516</w:t>
            </w:r>
          </w:p>
        </w:tc>
        <w:tc>
          <w:tcPr>
            <w:tcW w:type="dxa" w:w="2016"/>
          </w:tcPr>
          <w:p>
            <w:pPr>
              <w:spacing w:after="20"/>
              <w:jc w:val="right"/>
            </w:pPr>
            <w:r>
              <w:rPr>
                <w:color w:val="1C3A36"/>
                <w:sz w:val="16"/>
              </w:rPr>
              <w:t>21,584</w:t>
            </w:r>
          </w:p>
        </w:tc>
      </w:tr>
      <w:tr>
        <w:trPr>
          <w:cantSplit/>
        </w:trPr>
        <w:tc>
          <w:tcPr>
            <w:tcW w:type="dxa" w:w="3744"/>
          </w:tcPr>
          <w:p>
            <w:pPr>
              <w:spacing w:after="20"/>
            </w:pPr>
            <w:r>
              <w:rPr>
                <w:color w:val="1C3A36"/>
                <w:sz w:val="16"/>
              </w:rPr>
              <w:t>Gross profit — low of the range</w:t>
            </w:r>
          </w:p>
        </w:tc>
        <w:tc>
          <w:tcPr>
            <w:tcW w:type="dxa" w:w="2016"/>
          </w:tcPr>
          <w:p>
            <w:pPr>
              <w:spacing w:after="20"/>
              <w:jc w:val="right"/>
            </w:pPr>
            <w:r>
              <w:rPr>
                <w:color w:val="1C3A36"/>
                <w:sz w:val="16"/>
              </w:rPr>
              <w:t>1,844</w:t>
            </w:r>
          </w:p>
        </w:tc>
        <w:tc>
          <w:tcPr>
            <w:tcW w:type="dxa" w:w="2016"/>
          </w:tcPr>
          <w:p>
            <w:pPr>
              <w:spacing w:after="20"/>
              <w:jc w:val="right"/>
            </w:pPr>
            <w:r>
              <w:rPr>
                <w:color w:val="1C3A36"/>
                <w:sz w:val="16"/>
              </w:rPr>
              <w:t>1,645</w:t>
            </w:r>
          </w:p>
        </w:tc>
        <w:tc>
          <w:tcPr>
            <w:tcW w:type="dxa" w:w="2016"/>
          </w:tcPr>
          <w:p>
            <w:pPr>
              <w:spacing w:after="20"/>
              <w:jc w:val="right"/>
            </w:pPr>
            <w:r>
              <w:rPr>
                <w:color w:val="1C3A36"/>
                <w:sz w:val="16"/>
              </w:rPr>
              <w:t>639</w:t>
            </w:r>
          </w:p>
        </w:tc>
      </w:tr>
      <w:tr>
        <w:trPr>
          <w:cantSplit/>
        </w:trPr>
        <w:tc>
          <w:tcPr>
            <w:tcW w:type="dxa" w:w="3744"/>
            <w:shd w:val="clear" w:color="auto" w:fill="F6F1E6"/>
          </w:tcPr>
          <w:p>
            <w:pPr>
              <w:spacing w:after="20"/>
            </w:pPr>
            <w:r>
              <w:rPr>
                <w:b/>
                <w:color w:val="1C3A36"/>
                <w:sz w:val="16"/>
              </w:rPr>
              <w:t>Gross profit — high of the range</w:t>
            </w:r>
          </w:p>
        </w:tc>
        <w:tc>
          <w:tcPr>
            <w:tcW w:type="dxa" w:w="2016"/>
            <w:shd w:val="clear" w:color="auto" w:fill="F6F1E6"/>
          </w:tcPr>
          <w:p>
            <w:pPr>
              <w:spacing w:after="20"/>
              <w:jc w:val="right"/>
            </w:pPr>
            <w:r>
              <w:rPr>
                <w:b/>
                <w:color w:val="1C3A36"/>
                <w:sz w:val="16"/>
              </w:rPr>
              <w:t>14,111</w:t>
            </w:r>
          </w:p>
        </w:tc>
        <w:tc>
          <w:tcPr>
            <w:tcW w:type="dxa" w:w="2016"/>
            <w:shd w:val="clear" w:color="auto" w:fill="F6F1E6"/>
          </w:tcPr>
          <w:p>
            <w:pPr>
              <w:spacing w:after="20"/>
              <w:jc w:val="right"/>
            </w:pPr>
            <w:r>
              <w:rPr>
                <w:b/>
                <w:color w:val="1C3A36"/>
                <w:sz w:val="16"/>
              </w:rPr>
              <w:t>13,251</w:t>
            </w:r>
          </w:p>
        </w:tc>
        <w:tc>
          <w:tcPr>
            <w:tcW w:type="dxa" w:w="2016"/>
            <w:shd w:val="clear" w:color="auto" w:fill="F6F1E6"/>
          </w:tcPr>
          <w:p>
            <w:pPr>
              <w:spacing w:after="20"/>
              <w:jc w:val="right"/>
            </w:pPr>
            <w:r>
              <w:rPr>
                <w:b/>
                <w:color w:val="1C3A36"/>
                <w:sz w:val="16"/>
              </w:rPr>
              <w:t>10,176</w:t>
            </w:r>
          </w:p>
        </w:tc>
      </w:tr>
      <w:tr>
        <w:trPr>
          <w:cantSplit/>
        </w:trPr>
        <w:tc>
          <w:tcPr>
            <w:tcW w:type="dxa" w:w="3744"/>
          </w:tcPr>
          <w:p>
            <w:pPr>
              <w:spacing w:after="20"/>
            </w:pPr>
            <w:r>
              <w:rPr>
                <w:color w:val="1C3A36"/>
                <w:sz w:val="16"/>
              </w:rPr>
              <w:t>Tested cases behind the revenue band</w:t>
            </w:r>
          </w:p>
        </w:tc>
        <w:tc>
          <w:tcPr>
            <w:tcW w:type="dxa" w:w="2016"/>
          </w:tcPr>
          <w:p>
            <w:pPr>
              <w:spacing w:after="20"/>
              <w:jc w:val="right"/>
            </w:pPr>
            <w:r>
              <w:rPr>
                <w:color w:val="1C3A36"/>
                <w:sz w:val="16"/>
              </w:rPr>
              <w:t>11</w:t>
            </w:r>
          </w:p>
        </w:tc>
        <w:tc>
          <w:tcPr>
            <w:tcW w:type="dxa" w:w="2016"/>
          </w:tcPr>
          <w:p>
            <w:pPr>
              <w:spacing w:after="20"/>
              <w:jc w:val="right"/>
            </w:pPr>
            <w:r>
              <w:rPr>
                <w:color w:val="1C3A36"/>
                <w:sz w:val="16"/>
              </w:rPr>
              <w:t>10</w:t>
            </w:r>
          </w:p>
        </w:tc>
        <w:tc>
          <w:tcPr>
            <w:tcW w:type="dxa" w:w="2016"/>
          </w:tcPr>
          <w:p>
            <w:pPr>
              <w:spacing w:after="20"/>
              <w:jc w:val="right"/>
            </w:pPr>
            <w:r>
              <w:rPr>
                <w:color w:val="1C3A36"/>
                <w:sz w:val="16"/>
              </w:rPr>
              <w:t>9</w:t>
            </w:r>
          </w:p>
        </w:tc>
      </w:tr>
      <w:tr>
        <w:trPr>
          <w:cantSplit/>
        </w:trPr>
        <w:tc>
          <w:tcPr>
            <w:tcW w:type="dxa" w:w="3744"/>
          </w:tcPr>
          <w:p>
            <w:pPr>
              <w:spacing w:after="20"/>
            </w:pPr>
            <w:r>
              <w:rPr>
                <w:color w:val="1C3A36"/>
                <w:sz w:val="16"/>
              </w:rPr>
              <w:t>Tested cases behind the gross-profit band</w:t>
            </w:r>
          </w:p>
        </w:tc>
        <w:tc>
          <w:tcPr>
            <w:tcW w:type="dxa" w:w="2016"/>
          </w:tcPr>
          <w:p>
            <w:pPr>
              <w:spacing w:after="20"/>
              <w:jc w:val="right"/>
            </w:pPr>
            <w:r>
              <w:rPr>
                <w:color w:val="1C3A36"/>
                <w:sz w:val="16"/>
              </w:rPr>
              <w:t>6</w:t>
            </w:r>
          </w:p>
        </w:tc>
        <w:tc>
          <w:tcPr>
            <w:tcW w:type="dxa" w:w="2016"/>
          </w:tcPr>
          <w:p>
            <w:pPr>
              <w:spacing w:after="20"/>
              <w:jc w:val="right"/>
            </w:pPr>
            <w:r>
              <w:rPr>
                <w:color w:val="1C3A36"/>
                <w:sz w:val="16"/>
              </w:rPr>
              <w:t>5</w:t>
            </w:r>
          </w:p>
        </w:tc>
        <w:tc>
          <w:tcPr>
            <w:tcW w:type="dxa" w:w="2016"/>
          </w:tcPr>
          <w:p>
            <w:pPr>
              <w:spacing w:after="20"/>
              <w:jc w:val="right"/>
            </w:pPr>
            <w:r>
              <w:rPr>
                <w:color w:val="1C3A36"/>
                <w:sz w:val="16"/>
              </w:rPr>
              <w:t>5</w:t>
            </w:r>
          </w:p>
        </w:tc>
      </w:tr>
    </w:tbl>
    <w:p>
      <w:pPr>
        <w:spacing w:after="40"/>
      </w:pPr>
    </w:p>
    <w:p>
      <w:pPr>
        <w:spacing w:after="200" w:before="0"/>
      </w:pPr>
      <w:r>
        <w:rPr>
          <w:b w:val="0"/>
          <w:i/>
          <w:color w:val="6E7B77"/>
          <w:sz w:val="17"/>
        </w:rPr>
        <w:t>Table 30.  The multipliers come from projecting this company's own past, year-end by year-end, with the same rules and scoring each projection against what was later reported. A range that runs from a tenth of the point to above it is not a forecast of collapse; it is a measurement of how little a mechanical method knew, three years out, about a company that replaced its plant, floated its currency and tripled its output inside the tested window. The far years of any projection of this company support a range and never a point, and the fair-value field in the summary already spans that width.</w:t>
      </w:r>
    </w:p>
    <w:p>
      <w:pPr>
        <w:keepNext/>
        <w:spacing w:after="120" w:before="280"/>
      </w:pPr>
      <w:r>
        <w:rPr>
          <w:b/>
          <w:i w:val="0"/>
          <w:color w:val="1C3A36"/>
          <w:sz w:val="30"/>
        </w:rPr>
        <w:t>Appendix B  Peer frame, risk register and the research register</w:t>
      </w:r>
    </w:p>
    <w:p>
      <w:pPr>
        <w:keepNext/>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296"/>
        <w:gridCol w:w="1800"/>
        <w:gridCol w:w="4176"/>
      </w:tblGrid>
      <w:tr>
        <w:trPr>
          <w:cantSplit/>
          <w:tblHeader/>
        </w:trPr>
        <w:tc>
          <w:tcPr>
            <w:tcW w:type="dxa" w:w="2664"/>
            <w:shd w:val="clear" w:color="auto" w:fill="EAF0EE"/>
          </w:tcPr>
          <w:p>
            <w:pPr>
              <w:spacing w:after="20"/>
            </w:pPr>
            <w:r>
              <w:rPr>
                <w:b/>
                <w:color w:val="1C3A36"/>
                <w:sz w:val="16"/>
              </w:rPr>
              <w:t>Company</w:t>
            </w:r>
          </w:p>
        </w:tc>
        <w:tc>
          <w:tcPr>
            <w:tcW w:type="dxa" w:w="1296"/>
            <w:shd w:val="clear" w:color="auto" w:fill="EAF0EE"/>
          </w:tcPr>
          <w:p>
            <w:pPr>
              <w:spacing w:after="20"/>
            </w:pPr>
            <w:r>
              <w:rPr>
                <w:b/>
                <w:color w:val="1C3A36"/>
                <w:sz w:val="16"/>
              </w:rPr>
              <w:t>Market</w:t>
            </w:r>
          </w:p>
        </w:tc>
        <w:tc>
          <w:tcPr>
            <w:tcW w:type="dxa" w:w="1800"/>
            <w:shd w:val="clear" w:color="auto" w:fill="EAF0EE"/>
          </w:tcPr>
          <w:p>
            <w:pPr>
              <w:spacing w:after="20"/>
            </w:pPr>
            <w:r>
              <w:rPr>
                <w:b/>
                <w:color w:val="1C3A36"/>
                <w:sz w:val="16"/>
              </w:rPr>
              <w:t>Urea capacity (kt/yr)</w:t>
            </w:r>
          </w:p>
        </w:tc>
        <w:tc>
          <w:tcPr>
            <w:tcW w:type="dxa" w:w="4176"/>
            <w:shd w:val="clear" w:color="auto" w:fill="EAF0EE"/>
          </w:tcPr>
          <w:p>
            <w:pPr>
              <w:spacing w:after="20"/>
            </w:pPr>
            <w:r>
              <w:rPr>
                <w:b/>
                <w:color w:val="1C3A36"/>
                <w:sz w:val="16"/>
              </w:rPr>
              <w:t>Why it matters here</w:t>
            </w:r>
          </w:p>
        </w:tc>
      </w:tr>
      <w:tr>
        <w:trPr>
          <w:cantSplit/>
        </w:trPr>
        <w:tc>
          <w:tcPr>
            <w:tcW w:type="dxa" w:w="2664"/>
          </w:tcPr>
          <w:p>
            <w:pPr>
              <w:spacing w:after="20"/>
            </w:pPr>
            <w:r>
              <w:rPr>
                <w:color w:val="1C3A36"/>
                <w:sz w:val="16"/>
              </w:rPr>
              <w:t>Egyptian Chemical Industries</w:t>
            </w:r>
          </w:p>
        </w:tc>
        <w:tc>
          <w:tcPr>
            <w:tcW w:type="dxa" w:w="1296"/>
          </w:tcPr>
          <w:p>
            <w:pPr>
              <w:spacing w:after="20"/>
              <w:jc w:val="right"/>
            </w:pPr>
            <w:r>
              <w:rPr>
                <w:color w:val="1C3A36"/>
                <w:sz w:val="16"/>
              </w:rPr>
              <w:t>EGX</w:t>
            </w:r>
          </w:p>
        </w:tc>
        <w:tc>
          <w:tcPr>
            <w:tcW w:type="dxa" w:w="1800"/>
          </w:tcPr>
          <w:p>
            <w:pPr>
              <w:spacing w:after="20"/>
              <w:jc w:val="right"/>
            </w:pPr>
            <w:r>
              <w:rPr>
                <w:color w:val="1C3A36"/>
                <w:sz w:val="16"/>
              </w:rPr>
              <w:t>575</w:t>
            </w:r>
          </w:p>
        </w:tc>
        <w:tc>
          <w:tcPr>
            <w:tcW w:type="dxa" w:w="4176"/>
          </w:tcPr>
          <w:p>
            <w:pPr>
              <w:spacing w:after="20"/>
            </w:pPr>
            <w:r>
              <w:rPr>
                <w:color w:val="1C3A36"/>
                <w:sz w:val="16"/>
              </w:rPr>
              <w:t>The subject. The only Egyptian nitrogen producer off the coast, which is why freight to port is its own disclosed cost line.</w:t>
            </w:r>
          </w:p>
        </w:tc>
      </w:tr>
      <w:tr>
        <w:trPr>
          <w:cantSplit/>
        </w:trPr>
        <w:tc>
          <w:tcPr>
            <w:tcW w:type="dxa" w:w="2664"/>
          </w:tcPr>
          <w:p>
            <w:pPr>
              <w:spacing w:after="20"/>
            </w:pPr>
            <w:r>
              <w:rPr>
                <w:color w:val="1C3A36"/>
                <w:sz w:val="16"/>
              </w:rPr>
              <w:t>Abu Qir Fertilizers</w:t>
            </w:r>
          </w:p>
        </w:tc>
        <w:tc>
          <w:tcPr>
            <w:tcW w:type="dxa" w:w="1296"/>
          </w:tcPr>
          <w:p>
            <w:pPr>
              <w:spacing w:after="20"/>
              <w:jc w:val="right"/>
            </w:pPr>
            <w:r>
              <w:rPr>
                <w:color w:val="1C3A36"/>
                <w:sz w:val="16"/>
              </w:rPr>
              <w:t>EGX</w:t>
            </w:r>
          </w:p>
        </w:tc>
        <w:tc>
          <w:tcPr>
            <w:tcW w:type="dxa" w:w="1800"/>
          </w:tcPr>
          <w:p>
            <w:pPr>
              <w:spacing w:after="20"/>
              <w:jc w:val="right"/>
            </w:pPr>
            <w:r>
              <w:rPr>
                <w:color w:val="1C3A36"/>
                <w:sz w:val="16"/>
              </w:rPr>
              <w:t>2,000</w:t>
            </w:r>
          </w:p>
        </w:tc>
        <w:tc>
          <w:tcPr>
            <w:tcW w:type="dxa" w:w="4176"/>
          </w:tcPr>
          <w:p>
            <w:pPr>
              <w:spacing w:after="20"/>
            </w:pPr>
            <w:r>
              <w:rPr>
                <w:color w:val="1C3A36"/>
                <w:sz w:val="16"/>
              </w:rPr>
              <w:t>The listed comparator, and the marketer of the subject's ammonia exports for a fee of 12% of the export price. The subject held 2.7% of it and began selling down.</w:t>
            </w:r>
          </w:p>
        </w:tc>
      </w:tr>
      <w:tr>
        <w:trPr>
          <w:cantSplit/>
        </w:trPr>
        <w:tc>
          <w:tcPr>
            <w:tcW w:type="dxa" w:w="2664"/>
          </w:tcPr>
          <w:p>
            <w:pPr>
              <w:spacing w:after="20"/>
            </w:pPr>
            <w:r>
              <w:rPr>
                <w:color w:val="1C3A36"/>
                <w:sz w:val="16"/>
              </w:rPr>
              <w:t>MOPCO</w:t>
            </w:r>
          </w:p>
        </w:tc>
        <w:tc>
          <w:tcPr>
            <w:tcW w:type="dxa" w:w="1296"/>
          </w:tcPr>
          <w:p>
            <w:pPr>
              <w:spacing w:after="20"/>
              <w:jc w:val="right"/>
            </w:pPr>
            <w:r>
              <w:rPr>
                <w:color w:val="1C3A36"/>
                <w:sz w:val="16"/>
              </w:rPr>
              <w:t>Unlisted</w:t>
            </w:r>
          </w:p>
        </w:tc>
        <w:tc>
          <w:tcPr>
            <w:tcW w:type="dxa" w:w="1800"/>
          </w:tcPr>
          <w:p>
            <w:pPr>
              <w:spacing w:after="20"/>
              <w:jc w:val="right"/>
            </w:pPr>
            <w:r>
              <w:rPr>
                <w:color w:val="1C3A36"/>
                <w:sz w:val="16"/>
              </w:rPr>
              <w:t>1,800</w:t>
            </w:r>
          </w:p>
        </w:tc>
        <w:tc>
          <w:tcPr>
            <w:tcW w:type="dxa" w:w="4176"/>
          </w:tcPr>
          <w:p>
            <w:pPr>
              <w:spacing w:after="20"/>
            </w:pPr>
            <w:r>
              <w:rPr>
                <w:color w:val="1C3A36"/>
                <w:sz w:val="16"/>
              </w:rPr>
              <w:t>Curtailed alongside the rest of the industry in the 2026 gas squeeze; the subject's own urea is warehoused at Damietta for export.</w:t>
            </w:r>
          </w:p>
        </w:tc>
      </w:tr>
      <w:tr>
        <w:trPr>
          <w:cantSplit/>
        </w:trPr>
        <w:tc>
          <w:tcPr>
            <w:tcW w:type="dxa" w:w="2664"/>
          </w:tcPr>
          <w:p>
            <w:pPr>
              <w:spacing w:after="20"/>
            </w:pPr>
            <w:r>
              <w:rPr>
                <w:color w:val="1C3A36"/>
                <w:sz w:val="16"/>
              </w:rPr>
              <w:t>Helwan Fertilizers and NCIC</w:t>
            </w:r>
          </w:p>
        </w:tc>
        <w:tc>
          <w:tcPr>
            <w:tcW w:type="dxa" w:w="1296"/>
          </w:tcPr>
          <w:p>
            <w:pPr>
              <w:spacing w:after="20"/>
              <w:jc w:val="right"/>
            </w:pPr>
            <w:r>
              <w:rPr>
                <w:color w:val="1C3A36"/>
                <w:sz w:val="16"/>
              </w:rPr>
              <w:t>Unlisted</w:t>
            </w:r>
          </w:p>
        </w:tc>
        <w:tc>
          <w:tcPr>
            <w:tcW w:type="dxa" w:w="1800"/>
          </w:tcPr>
          <w:p>
            <w:pPr>
              <w:spacing w:after="20"/>
              <w:jc w:val="right"/>
            </w:pPr>
            <w:r>
              <w:rPr>
                <w:color w:val="1C3A36"/>
                <w:sz w:val="16"/>
              </w:rPr>
              <w:t>1,300</w:t>
            </w:r>
          </w:p>
        </w:tc>
        <w:tc>
          <w:tcPr>
            <w:tcW w:type="dxa" w:w="4176"/>
          </w:tcPr>
          <w:p>
            <w:pPr>
              <w:spacing w:after="20"/>
            </w:pPr>
            <w:r>
              <w:rPr>
                <w:color w:val="1C3A36"/>
                <w:sz w:val="16"/>
              </w:rPr>
              <w:t>Completes the supply picture against which the export share is allocated.</w:t>
            </w:r>
          </w:p>
        </w:tc>
      </w:tr>
    </w:tbl>
    <w:p>
      <w:pPr>
        <w:spacing w:after="40"/>
      </w:pPr>
    </w:p>
    <w:p>
      <w:pPr>
        <w:keepNext/>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752"/>
        <w:gridCol w:w="3168"/>
      </w:tblGrid>
      <w:tr>
        <w:trPr>
          <w:cantSplit/>
          <w:tblHeader/>
        </w:trPr>
        <w:tc>
          <w:tcPr>
            <w:tcW w:type="dxa" w:w="2160"/>
            <w:shd w:val="clear" w:color="auto" w:fill="EAF0EE"/>
          </w:tcPr>
          <w:p>
            <w:pPr>
              <w:spacing w:after="20"/>
            </w:pPr>
            <w:r>
              <w:rPr>
                <w:b/>
                <w:color w:val="1C3A36"/>
                <w:sz w:val="16"/>
              </w:rPr>
              <w:t>Risk</w:t>
            </w:r>
          </w:p>
        </w:tc>
        <w:tc>
          <w:tcPr>
            <w:tcW w:type="dxa" w:w="4752"/>
            <w:shd w:val="clear" w:color="auto" w:fill="EAF0EE"/>
          </w:tcPr>
          <w:p>
            <w:pPr>
              <w:spacing w:after="20"/>
            </w:pPr>
            <w:r>
              <w:rPr>
                <w:b/>
                <w:color w:val="1C3A36"/>
                <w:sz w:val="16"/>
              </w:rPr>
              <w:t>How it shows up in the numbers</w:t>
            </w:r>
          </w:p>
        </w:tc>
        <w:tc>
          <w:tcPr>
            <w:tcW w:type="dxa" w:w="3168"/>
            <w:shd w:val="clear" w:color="auto" w:fill="EAF0EE"/>
          </w:tcPr>
          <w:p>
            <w:pPr>
              <w:spacing w:after="20"/>
            </w:pPr>
            <w:r>
              <w:rPr>
                <w:b/>
                <w:color w:val="1C3A36"/>
                <w:sz w:val="16"/>
              </w:rPr>
              <w:t>Where it is carried</w:t>
            </w:r>
          </w:p>
        </w:tc>
      </w:tr>
      <w:tr>
        <w:trPr>
          <w:cantSplit/>
        </w:trPr>
        <w:tc>
          <w:tcPr>
            <w:tcW w:type="dxa" w:w="2160"/>
          </w:tcPr>
          <w:p>
            <w:pPr>
              <w:spacing w:after="20"/>
            </w:pPr>
            <w:r>
              <w:rPr>
                <w:color w:val="1C3A36"/>
                <w:sz w:val="16"/>
              </w:rPr>
              <w:t>Gas curtailment</w:t>
            </w:r>
          </w:p>
        </w:tc>
        <w:tc>
          <w:tcPr>
            <w:tcW w:type="dxa" w:w="4752"/>
          </w:tcPr>
          <w:p>
            <w:pPr>
              <w:spacing w:after="20"/>
            </w:pPr>
            <w:r>
              <w:rPr>
                <w:color w:val="1C3A36"/>
                <w:sz w:val="16"/>
              </w:rPr>
              <w:t>EGP 164.5 million of stoppage cost in FY2024/25 and about EGP 781 million of abnormal gas loss cumulatively since July 2022</w:t>
            </w:r>
          </w:p>
        </w:tc>
        <w:tc>
          <w:tcPr>
            <w:tcW w:type="dxa" w:w="3168"/>
          </w:tcPr>
          <w:p>
            <w:pPr>
              <w:spacing w:after="20"/>
            </w:pPr>
            <w:r>
              <w:rPr>
                <w:color w:val="1C3A36"/>
                <w:sz w:val="16"/>
              </w:rPr>
              <w:t>Utilisation path and a standing stoppage line</w:t>
            </w:r>
          </w:p>
        </w:tc>
      </w:tr>
      <w:tr>
        <w:trPr>
          <w:cantSplit/>
        </w:trPr>
        <w:tc>
          <w:tcPr>
            <w:tcW w:type="dxa" w:w="2160"/>
          </w:tcPr>
          <w:p>
            <w:pPr>
              <w:spacing w:after="20"/>
            </w:pPr>
            <w:r>
              <w:rPr>
                <w:color w:val="1C3A36"/>
                <w:sz w:val="16"/>
              </w:rPr>
              <w:t>Currency</w:t>
            </w:r>
          </w:p>
        </w:tc>
        <w:tc>
          <w:tcPr>
            <w:tcW w:type="dxa" w:w="4752"/>
          </w:tcPr>
          <w:p>
            <w:pPr>
              <w:spacing w:after="20"/>
            </w:pPr>
            <w:r>
              <w:rPr>
                <w:color w:val="1C3A36"/>
                <w:sz w:val="16"/>
              </w:rPr>
              <w:t>A EGP 1,072 million translation loss in nine months on an almost entirely dollar debt book</w:t>
            </w:r>
          </w:p>
        </w:tc>
        <w:tc>
          <w:tcPr>
            <w:tcW w:type="dxa" w:w="3168"/>
          </w:tcPr>
          <w:p>
            <w:pPr>
              <w:spacing w:after="20"/>
            </w:pPr>
            <w:r>
              <w:rPr>
                <w:color w:val="1C3A36"/>
                <w:sz w:val="16"/>
              </w:rPr>
              <w:t>The cost of debt and the currency path</w:t>
            </w:r>
          </w:p>
        </w:tc>
      </w:tr>
      <w:tr>
        <w:trPr>
          <w:cantSplit/>
        </w:trPr>
        <w:tc>
          <w:tcPr>
            <w:tcW w:type="dxa" w:w="2160"/>
          </w:tcPr>
          <w:p>
            <w:pPr>
              <w:spacing w:after="20"/>
            </w:pPr>
            <w:r>
              <w:rPr>
                <w:color w:val="1C3A36"/>
                <w:sz w:val="16"/>
              </w:rPr>
              <w:t>The capital programme</w:t>
            </w:r>
          </w:p>
        </w:tc>
        <w:tc>
          <w:tcPr>
            <w:tcW w:type="dxa" w:w="4752"/>
          </w:tcPr>
          <w:p>
            <w:pPr>
              <w:spacing w:after="20"/>
            </w:pPr>
            <w:r>
              <w:rPr>
                <w:color w:val="1C3A36"/>
                <w:sz w:val="16"/>
              </w:rPr>
              <w:t>Approved cost about three quarters of market value, 12.9% built against a 37% plan</w:t>
            </w:r>
          </w:p>
        </w:tc>
        <w:tc>
          <w:tcPr>
            <w:tcW w:type="dxa" w:w="3168"/>
          </w:tcPr>
          <w:p>
            <w:pPr>
              <w:spacing w:after="20"/>
            </w:pPr>
            <w:r>
              <w:rPr>
                <w:color w:val="1C3A36"/>
                <w:sz w:val="16"/>
              </w:rPr>
              <w:t>The contested judgement, computed both ways</w:t>
            </w:r>
          </w:p>
        </w:tc>
      </w:tr>
      <w:tr>
        <w:trPr>
          <w:cantSplit/>
        </w:trPr>
        <w:tc>
          <w:tcPr>
            <w:tcW w:type="dxa" w:w="2160"/>
          </w:tcPr>
          <w:p>
            <w:pPr>
              <w:spacing w:after="20"/>
            </w:pPr>
            <w:r>
              <w:rPr>
                <w:color w:val="1C3A36"/>
                <w:sz w:val="16"/>
              </w:rPr>
              <w:t>Administered pricing</w:t>
            </w:r>
          </w:p>
        </w:tc>
        <w:tc>
          <w:tcPr>
            <w:tcW w:type="dxa" w:w="4752"/>
          </w:tcPr>
          <w:p>
            <w:pPr>
              <w:spacing w:after="20"/>
            </w:pPr>
            <w:r>
              <w:rPr>
                <w:color w:val="1C3A36"/>
                <w:sz w:val="16"/>
              </w:rPr>
              <w:t>An export levy of EGP 438 million charged on the quota shortfall in one year</w:t>
            </w:r>
          </w:p>
        </w:tc>
        <w:tc>
          <w:tcPr>
            <w:tcW w:type="dxa" w:w="3168"/>
          </w:tcPr>
          <w:p>
            <w:pPr>
              <w:spacing w:after="20"/>
            </w:pPr>
            <w:r>
              <w:rPr>
                <w:color w:val="1C3A36"/>
                <w:sz w:val="16"/>
              </w:rPr>
              <w:t>Channel mix and the duty</w:t>
            </w:r>
          </w:p>
        </w:tc>
      </w:tr>
      <w:tr>
        <w:trPr>
          <w:cantSplit/>
        </w:trPr>
        <w:tc>
          <w:tcPr>
            <w:tcW w:type="dxa" w:w="2160"/>
          </w:tcPr>
          <w:p>
            <w:pPr>
              <w:spacing w:after="20"/>
            </w:pPr>
            <w:r>
              <w:rPr>
                <w:color w:val="1C3A36"/>
                <w:sz w:val="16"/>
              </w:rPr>
              <w:t>Governance</w:t>
            </w:r>
          </w:p>
        </w:tc>
        <w:tc>
          <w:tcPr>
            <w:tcW w:type="dxa" w:w="4752"/>
          </w:tcPr>
          <w:p>
            <w:pPr>
              <w:spacing w:after="20"/>
            </w:pPr>
            <w:r>
              <w:rPr>
                <w:color w:val="1C3A36"/>
                <w:sz w:val="16"/>
              </w:rPr>
              <w:t>A holding-company committee finding severe deficiencies in the project award process</w:t>
            </w:r>
          </w:p>
        </w:tc>
        <w:tc>
          <w:tcPr>
            <w:tcW w:type="dxa" w:w="3168"/>
          </w:tcPr>
          <w:p>
            <w:pPr>
              <w:spacing w:after="20"/>
            </w:pPr>
            <w:r>
              <w:rPr>
                <w:color w:val="1C3A36"/>
                <w:sz w:val="16"/>
              </w:rPr>
              <w:t>The haircut in the asset-based expert's range</w:t>
            </w:r>
          </w:p>
        </w:tc>
      </w:tr>
      <w:tr>
        <w:trPr>
          <w:cantSplit/>
        </w:trPr>
        <w:tc>
          <w:tcPr>
            <w:tcW w:type="dxa" w:w="2160"/>
          </w:tcPr>
          <w:p>
            <w:pPr>
              <w:spacing w:after="20"/>
            </w:pPr>
            <w:r>
              <w:rPr>
                <w:color w:val="1C3A36"/>
                <w:sz w:val="16"/>
              </w:rPr>
              <w:t>Concentration</w:t>
            </w:r>
          </w:p>
        </w:tc>
        <w:tc>
          <w:tcPr>
            <w:tcW w:type="dxa" w:w="4752"/>
          </w:tcPr>
          <w:p>
            <w:pPr>
              <w:spacing w:after="20"/>
            </w:pPr>
            <w:r>
              <w:rPr>
                <w:color w:val="1C3A36"/>
                <w:sz w:val="16"/>
              </w:rPr>
              <w:t>One product, one site, one feedstock, one offtake counterparty for about two thirds of production</w:t>
            </w:r>
          </w:p>
        </w:tc>
        <w:tc>
          <w:tcPr>
            <w:tcW w:type="dxa" w:w="3168"/>
          </w:tcPr>
          <w:p>
            <w:pPr>
              <w:spacing w:after="20"/>
            </w:pPr>
            <w:r>
              <w:rPr>
                <w:color w:val="1C3A36"/>
                <w:sz w:val="16"/>
              </w:rPr>
              <w:t>Not diversifiable — stated, not modelled</w:t>
            </w:r>
          </w:p>
        </w:tc>
      </w:tr>
      <w:tr>
        <w:trPr>
          <w:cantSplit/>
        </w:trPr>
        <w:tc>
          <w:tcPr>
            <w:tcW w:type="dxa" w:w="2160"/>
          </w:tcPr>
          <w:p>
            <w:pPr>
              <w:spacing w:after="20"/>
            </w:pPr>
            <w:r>
              <w:rPr>
                <w:color w:val="1C3A36"/>
                <w:sz w:val="16"/>
              </w:rPr>
              <w:t>Liquidity</w:t>
            </w:r>
          </w:p>
        </w:tc>
        <w:tc>
          <w:tcPr>
            <w:tcW w:type="dxa" w:w="4752"/>
          </w:tcPr>
          <w:p>
            <w:pPr>
              <w:spacing w:after="20"/>
            </w:pPr>
            <w:r>
              <w:rPr>
                <w:color w:val="1C3A36"/>
                <w:sz w:val="16"/>
              </w:rPr>
              <w:t>A free float of 6.2%</w:t>
            </w:r>
          </w:p>
        </w:tc>
        <w:tc>
          <w:tcPr>
            <w:tcW w:type="dxa" w:w="3168"/>
          </w:tcPr>
          <w:p>
            <w:pPr>
              <w:spacing w:after="20"/>
            </w:pPr>
            <w:r>
              <w:rPr>
                <w:color w:val="1C3A36"/>
                <w:sz w:val="16"/>
              </w:rPr>
              <w:t>Stated; no model adjustment</w:t>
            </w:r>
          </w:p>
        </w:tc>
      </w:tr>
    </w:tbl>
    <w:p>
      <w:pPr>
        <w:spacing w:after="40"/>
      </w:pPr>
    </w:p>
    <w:p>
      <w:pPr>
        <w:keepNext/>
        <w:spacing w:after="80" w:before="200"/>
      </w:pPr>
      <w:r>
        <w:rPr>
          <w:b/>
          <w:i w:val="0"/>
          <w:color w:val="1C3A36"/>
          <w:sz w:val="24"/>
        </w:rPr>
        <w:t>B.3  The research register — layers, dated, negative results included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152"/>
        <w:gridCol w:w="6624"/>
        <w:gridCol w:w="2304"/>
      </w:tblGrid>
      <w:tr>
        <w:trPr>
          <w:cantSplit/>
          <w:tblHeader/>
        </w:trPr>
        <w:tc>
          <w:tcPr>
            <w:tcW w:type="dxa" w:w="1152"/>
            <w:shd w:val="clear" w:color="auto" w:fill="EAF0EE"/>
          </w:tcPr>
          <w:p>
            <w:pPr>
              <w:spacing w:after="20"/>
            </w:pPr>
            <w:r>
              <w:rPr>
                <w:b/>
                <w:color w:val="1C3A36"/>
                <w:sz w:val="17"/>
              </w:rPr>
              <w:t>Layer</w:t>
            </w:r>
          </w:p>
        </w:tc>
        <w:tc>
          <w:tcPr>
            <w:tcW w:type="dxa" w:w="6624"/>
            <w:shd w:val="clear" w:color="auto" w:fill="EAF0EE"/>
          </w:tcPr>
          <w:p>
            <w:pPr>
              <w:spacing w:after="20"/>
            </w:pPr>
            <w:r>
              <w:rPr>
                <w:b/>
                <w:color w:val="1C3A36"/>
                <w:sz w:val="17"/>
              </w:rPr>
              <w:t>What it covers</w:t>
            </w:r>
          </w:p>
        </w:tc>
        <w:tc>
          <w:tcPr>
            <w:tcW w:type="dxa" w:w="2304"/>
            <w:shd w:val="clear" w:color="auto" w:fill="EAF0EE"/>
          </w:tcPr>
          <w:p>
            <w:pPr>
              <w:spacing w:after="20"/>
            </w:pPr>
            <w:r>
              <w:rPr>
                <w:b/>
                <w:color w:val="1C3A36"/>
                <w:sz w:val="17"/>
              </w:rPr>
              <w:t>Inputs</w:t>
            </w:r>
          </w:p>
        </w:tc>
      </w:tr>
      <w:tr>
        <w:trPr>
          <w:cantSplit/>
        </w:trPr>
        <w:tc>
          <w:tcPr>
            <w:tcW w:type="dxa" w:w="1152"/>
          </w:tcPr>
          <w:p>
            <w:pPr>
              <w:spacing w:after="20"/>
            </w:pPr>
            <w:r>
              <w:rPr>
                <w:color w:val="1C3A36"/>
                <w:sz w:val="17"/>
              </w:rPr>
              <w:t>L1</w:t>
            </w:r>
          </w:p>
        </w:tc>
        <w:tc>
          <w:tcPr>
            <w:tcW w:type="dxa" w:w="6624"/>
          </w:tcPr>
          <w:p>
            <w:pPr>
              <w:spacing w:after="20"/>
            </w:pPr>
            <w:r>
              <w:rPr>
                <w:color w:val="1C3A36"/>
                <w:sz w:val="17"/>
              </w:rPr>
              <w:t>Primary filing — the company's own statements</w:t>
            </w:r>
          </w:p>
        </w:tc>
        <w:tc>
          <w:tcPr>
            <w:tcW w:type="dxa" w:w="2304"/>
          </w:tcPr>
          <w:p>
            <w:pPr>
              <w:spacing w:after="20"/>
              <w:jc w:val="right"/>
            </w:pPr>
            <w:r>
              <w:rPr>
                <w:color w:val="1C3A36"/>
                <w:sz w:val="17"/>
              </w:rPr>
              <w:t>193</w:t>
            </w:r>
          </w:p>
        </w:tc>
      </w:tr>
      <w:tr>
        <w:trPr>
          <w:cantSplit/>
        </w:trPr>
        <w:tc>
          <w:tcPr>
            <w:tcW w:type="dxa" w:w="1152"/>
          </w:tcPr>
          <w:p>
            <w:pPr>
              <w:spacing w:after="20"/>
            </w:pPr>
            <w:r>
              <w:rPr>
                <w:color w:val="1C3A36"/>
                <w:sz w:val="17"/>
              </w:rPr>
              <w:t>L2</w:t>
            </w:r>
          </w:p>
        </w:tc>
        <w:tc>
          <w:tcPr>
            <w:tcW w:type="dxa" w:w="6624"/>
          </w:tcPr>
          <w:p>
            <w:pPr>
              <w:spacing w:after="20"/>
            </w:pPr>
            <w:r>
              <w:rPr>
                <w:color w:val="1C3A36"/>
                <w:sz w:val="17"/>
              </w:rPr>
              <w:t>Primary market data</w:t>
            </w:r>
          </w:p>
        </w:tc>
        <w:tc>
          <w:tcPr>
            <w:tcW w:type="dxa" w:w="2304"/>
          </w:tcPr>
          <w:p>
            <w:pPr>
              <w:spacing w:after="20"/>
              <w:jc w:val="right"/>
            </w:pPr>
            <w:r>
              <w:rPr>
                <w:color w:val="1C3A36"/>
                <w:sz w:val="17"/>
              </w:rPr>
              <w:t>15</w:t>
            </w:r>
          </w:p>
        </w:tc>
      </w:tr>
      <w:tr>
        <w:trPr>
          <w:cantSplit/>
        </w:trPr>
        <w:tc>
          <w:tcPr>
            <w:tcW w:type="dxa" w:w="1152"/>
          </w:tcPr>
          <w:p>
            <w:pPr>
              <w:spacing w:after="20"/>
            </w:pPr>
            <w:r>
              <w:rPr>
                <w:color w:val="1C3A36"/>
                <w:sz w:val="17"/>
              </w:rPr>
              <w:t>L3</w:t>
            </w:r>
          </w:p>
        </w:tc>
        <w:tc>
          <w:tcPr>
            <w:tcW w:type="dxa" w:w="6624"/>
          </w:tcPr>
          <w:p>
            <w:pPr>
              <w:spacing w:after="20"/>
            </w:pPr>
            <w:r>
              <w:rPr>
                <w:color w:val="1C3A36"/>
                <w:sz w:val="17"/>
              </w:rPr>
              <w:t>Official external (regulator, central bank, government)</w:t>
            </w:r>
          </w:p>
        </w:tc>
        <w:tc>
          <w:tcPr>
            <w:tcW w:type="dxa" w:w="2304"/>
          </w:tcPr>
          <w:p>
            <w:pPr>
              <w:spacing w:after="20"/>
              <w:jc w:val="right"/>
            </w:pPr>
            <w:r>
              <w:rPr>
                <w:color w:val="1C3A36"/>
                <w:sz w:val="17"/>
              </w:rPr>
              <w:t>14</w:t>
            </w:r>
          </w:p>
        </w:tc>
      </w:tr>
      <w:tr>
        <w:trPr>
          <w:cantSplit/>
        </w:trPr>
        <w:tc>
          <w:tcPr>
            <w:tcW w:type="dxa" w:w="1152"/>
          </w:tcPr>
          <w:p>
            <w:pPr>
              <w:spacing w:after="20"/>
            </w:pPr>
            <w:r>
              <w:rPr>
                <w:color w:val="1C3A36"/>
                <w:sz w:val="17"/>
              </w:rPr>
              <w:t>L4</w:t>
            </w:r>
          </w:p>
        </w:tc>
        <w:tc>
          <w:tcPr>
            <w:tcW w:type="dxa" w:w="6624"/>
          </w:tcPr>
          <w:p>
            <w:pPr>
              <w:spacing w:after="20"/>
            </w:pPr>
            <w:r>
              <w:rPr>
                <w:color w:val="1C3A36"/>
                <w:sz w:val="17"/>
              </w:rPr>
              <w:t>Industry and sector context</w:t>
            </w:r>
          </w:p>
        </w:tc>
        <w:tc>
          <w:tcPr>
            <w:tcW w:type="dxa" w:w="2304"/>
          </w:tcPr>
          <w:p>
            <w:pPr>
              <w:spacing w:after="20"/>
              <w:jc w:val="right"/>
            </w:pPr>
            <w:r>
              <w:rPr>
                <w:color w:val="1C3A36"/>
                <w:sz w:val="17"/>
              </w:rPr>
              <w:t>23</w:t>
            </w:r>
          </w:p>
        </w:tc>
      </w:tr>
      <w:tr>
        <w:trPr>
          <w:cantSplit/>
        </w:trPr>
        <w:tc>
          <w:tcPr>
            <w:tcW w:type="dxa" w:w="1152"/>
          </w:tcPr>
          <w:p>
            <w:pPr>
              <w:spacing w:after="20"/>
            </w:pPr>
            <w:r>
              <w:rPr>
                <w:color w:val="1C3A36"/>
                <w:sz w:val="17"/>
              </w:rPr>
              <w:t>L5</w:t>
            </w:r>
          </w:p>
        </w:tc>
        <w:tc>
          <w:tcPr>
            <w:tcW w:type="dxa" w:w="6624"/>
          </w:tcPr>
          <w:p>
            <w:pPr>
              <w:spacing w:after="20"/>
            </w:pPr>
            <w:r>
              <w:rPr>
                <w:color w:val="1C3A36"/>
                <w:sz w:val="17"/>
              </w:rPr>
              <w:t>Constructed in this study</w:t>
            </w:r>
          </w:p>
        </w:tc>
        <w:tc>
          <w:tcPr>
            <w:tcW w:type="dxa" w:w="2304"/>
          </w:tcPr>
          <w:p>
            <w:pPr>
              <w:spacing w:after="20"/>
              <w:jc w:val="right"/>
            </w:pPr>
            <w:r>
              <w:rPr>
                <w:color w:val="1C3A36"/>
                <w:sz w:val="17"/>
              </w:rPr>
              <w:t>65</w:t>
            </w:r>
          </w:p>
        </w:tc>
      </w:tr>
      <w:tr>
        <w:trPr>
          <w:cantSplit/>
        </w:trPr>
        <w:tc>
          <w:tcPr>
            <w:tcW w:type="dxa" w:w="1152"/>
            <w:shd w:val="clear" w:color="auto" w:fill="F6F1E6"/>
          </w:tcPr>
          <w:p>
            <w:pPr>
              <w:spacing w:after="20"/>
            </w:pPr>
            <w:r>
              <w:rPr>
                <w:b/>
                <w:color w:val="1C3A36"/>
                <w:sz w:val="17"/>
              </w:rPr>
              <w:t>Total</w:t>
            </w:r>
          </w:p>
        </w:tc>
        <w:tc>
          <w:tcPr>
            <w:tcW w:type="dxa" w:w="6624"/>
            <w:shd w:val="clear" w:color="auto" w:fill="F6F1E6"/>
          </w:tcPr>
          <w:p>
            <w:pPr>
              <w:spacing w:after="20"/>
            </w:pPr>
            <w:r>
              <w:rPr>
                <w:b/>
                <w:color w:val="1C3A36"/>
                <w:sz w:val="17"/>
              </w:rPr>
              <w:t>Every input carries a value, a source, a date and a layer</w:t>
            </w:r>
          </w:p>
        </w:tc>
        <w:tc>
          <w:tcPr>
            <w:tcW w:type="dxa" w:w="2304"/>
            <w:shd w:val="clear" w:color="auto" w:fill="F6F1E6"/>
          </w:tcPr>
          <w:p>
            <w:pPr>
              <w:spacing w:after="20"/>
              <w:jc w:val="right"/>
            </w:pPr>
            <w:r>
              <w:rPr>
                <w:b/>
                <w:color w:val="1C3A36"/>
                <w:sz w:val="17"/>
              </w:rPr>
              <w:t>310</w:t>
            </w:r>
          </w:p>
        </w:tc>
      </w:tr>
    </w:tbl>
    <w:p>
      <w:pPr>
        <w:spacing w:after="40"/>
      </w:pPr>
    </w:p>
    <w:p>
      <w:pPr>
        <w:spacing w:after="200" w:before="0"/>
      </w:pPr>
      <w:r>
        <w:rPr>
          <w:b w:val="0"/>
          <w:i/>
          <w:color w:val="6E7B77"/>
          <w:sz w:val="17"/>
        </w:rPr>
        <w:t>Table 31.  The full register — every input with its value, date and source-and-construction — is printed in the separate bibliography document, together with the judgements table, the negative results and the notes on where a widely quoted third-party figure disagreed with the filings.</w:t>
      </w:r>
    </w:p>
    <w:p>
      <w:pPr>
        <w:keepNext/>
        <w:spacing w:after="120" w:before="280"/>
      </w:pPr>
      <w:r>
        <w:rPr>
          <w:b/>
          <w:i w:val="0"/>
          <w:color w:val="1C3A36"/>
          <w:sz w:val="30"/>
        </w:rPr>
        <w:t>Appendix C  The expert valuation panel</w:t>
      </w:r>
    </w:p>
    <w:p>
      <w:pPr>
        <w:spacing w:after="120" w:before="0"/>
      </w:pPr>
      <w:r>
        <w:rPr>
          <w:b w:val="0"/>
          <w:i w:val="0"/>
          <w:color w:val="1C3A36"/>
          <w:sz w:val="21"/>
        </w:rPr>
        <w:t>Three practitioners were put the same question by genuinely different methods. Each states a worldview, when the method works and when it fails, shows every intermediate line of the arithmetic, names the sensitivity that moves the answer, and commits in advance to what would prove them wrong.</w:t>
      </w:r>
    </w:p>
    <w:p>
      <w:pPr>
        <w:keepNext/>
        <w:spacing w:after="80" w:before="200"/>
      </w:pPr>
      <w:r>
        <w:rPr>
          <w:b/>
          <w:i w:val="0"/>
          <w:color w:val="1C3A36"/>
          <w:sz w:val="24"/>
        </w:rPr>
        <w:t>C.1  Expert 1 — Replacement cost and asset backing</w:t>
      </w:r>
    </w:p>
    <w:p>
      <w:pPr>
        <w:spacing w:after="120" w:before="0"/>
      </w:pPr>
      <w:r>
        <w:rPr>
          <w:b w:val="0"/>
          <w:i w:val="0"/>
          <w:color w:val="1C3A36"/>
          <w:sz w:val="21"/>
        </w:rPr>
        <w:t>Worldview.  A plant is worth what it would cost to build again, less what is owed against it. Cash flows are a claim on the asset; the asset is the thing.</w:t>
      </w:r>
    </w:p>
    <w:p>
      <w:pPr>
        <w:spacing w:after="120" w:before="0"/>
      </w:pPr>
      <w:r>
        <w:rPr>
          <w:b w:val="0"/>
          <w:i w:val="0"/>
          <w:color w:val="1C3A36"/>
          <w:sz w:val="19"/>
        </w:rPr>
        <w:t>When it works.  When an asset is scarce, hard to permit and expensive to replicate — which a gas-connected nitrogen complex in Egypt certainly is.</w:t>
      </w:r>
    </w:p>
    <w:p>
      <w:pPr>
        <w:spacing w:after="120" w:before="0"/>
      </w:pPr>
      <w:r>
        <w:rPr>
          <w:b w:val="0"/>
          <w:i w:val="0"/>
          <w:color w:val="1C3A36"/>
          <w:sz w:val="19"/>
        </w:rPr>
        <w:t>When it fails.  When the asset cannot earn its keep. Replacement cost sets a ceiling on what a rational buyer pays and says nothing about what an owner receives.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Gross fixed assets at cost</w:t>
            </w:r>
          </w:p>
        </w:tc>
        <w:tc>
          <w:tcPr>
            <w:tcW w:type="dxa" w:w="1944"/>
          </w:tcPr>
          <w:p>
            <w:pPr>
              <w:spacing w:after="20"/>
              <w:jc w:val="right"/>
            </w:pPr>
            <w:r>
              <w:rPr>
                <w:color w:val="1C3A36"/>
                <w:sz w:val="16"/>
              </w:rPr>
              <w:t>17,022</w:t>
            </w:r>
          </w:p>
        </w:tc>
        <w:tc>
          <w:tcPr>
            <w:tcW w:type="dxa" w:w="3672"/>
          </w:tcPr>
          <w:p>
            <w:pPr>
              <w:spacing w:after="20"/>
            </w:pPr>
            <w:r>
              <w:rPr>
                <w:color w:val="1C3A36"/>
                <w:sz w:val="16"/>
              </w:rPr>
              <w:t>note 6</w:t>
            </w:r>
          </w:p>
        </w:tc>
      </w:tr>
      <w:tr>
        <w:trPr>
          <w:cantSplit/>
        </w:trPr>
        <w:tc>
          <w:tcPr>
            <w:tcW w:type="dxa" w:w="4320"/>
          </w:tcPr>
          <w:p>
            <w:pPr>
              <w:spacing w:after="20"/>
            </w:pPr>
            <w:r>
              <w:rPr>
                <w:color w:val="1C3A36"/>
                <w:sz w:val="16"/>
              </w:rPr>
              <w:t>Less accumulated depreciation</w:t>
            </w:r>
          </w:p>
        </w:tc>
        <w:tc>
          <w:tcPr>
            <w:tcW w:type="dxa" w:w="1944"/>
          </w:tcPr>
          <w:p>
            <w:pPr>
              <w:spacing w:after="20"/>
              <w:jc w:val="right"/>
            </w:pPr>
            <w:r>
              <w:rPr>
                <w:color w:val="1C3A36"/>
                <w:sz w:val="16"/>
              </w:rPr>
              <w:t>-3,435</w:t>
            </w:r>
          </w:p>
        </w:tc>
        <w:tc>
          <w:tcPr>
            <w:tcW w:type="dxa" w:w="3672"/>
          </w:tcPr>
          <w:p>
            <w:pPr>
              <w:spacing w:after="20"/>
            </w:pPr>
            <w:r>
              <w:rPr>
                <w:color w:val="1C3A36"/>
                <w:sz w:val="16"/>
              </w:rPr>
              <w:t>note 6</w:t>
            </w:r>
          </w:p>
        </w:tc>
      </w:tr>
      <w:tr>
        <w:trPr>
          <w:cantSplit/>
        </w:trPr>
        <w:tc>
          <w:tcPr>
            <w:tcW w:type="dxa" w:w="4320"/>
          </w:tcPr>
          <w:p>
            <w:pPr>
              <w:spacing w:after="20"/>
            </w:pPr>
            <w:r>
              <w:rPr>
                <w:color w:val="1C3A36"/>
                <w:sz w:val="16"/>
              </w:rPr>
              <w:t>Net book value of the operating plant</w:t>
            </w:r>
          </w:p>
        </w:tc>
        <w:tc>
          <w:tcPr>
            <w:tcW w:type="dxa" w:w="1944"/>
          </w:tcPr>
          <w:p>
            <w:pPr>
              <w:spacing w:after="20"/>
              <w:jc w:val="right"/>
            </w:pPr>
            <w:r>
              <w:rPr>
                <w:color w:val="1C3A36"/>
                <w:sz w:val="16"/>
              </w:rPr>
              <w:t>13,587</w:t>
            </w:r>
          </w:p>
        </w:tc>
        <w:tc>
          <w:tcPr>
            <w:tcW w:type="dxa" w:w="3672"/>
          </w:tcPr>
          <w:p>
            <w:pPr>
              <w:spacing w:after="20"/>
            </w:pPr>
            <w:r>
              <w:rPr>
                <w:color w:val="1C3A36"/>
                <w:sz w:val="16"/>
              </w:rPr>
              <w:t>as reported</w:t>
            </w:r>
          </w:p>
        </w:tc>
      </w:tr>
      <w:tr>
        <w:trPr>
          <w:cantSplit/>
        </w:trPr>
        <w:tc>
          <w:tcPr>
            <w:tcW w:type="dxa" w:w="4320"/>
          </w:tcPr>
          <w:p>
            <w:pPr>
              <w:spacing w:after="20"/>
            </w:pPr>
            <w:r>
              <w:rPr>
                <w:color w:val="1C3A36"/>
                <w:sz w:val="16"/>
              </w:rPr>
              <w:t>Urea plate (tonnes a year)</w:t>
            </w:r>
          </w:p>
        </w:tc>
        <w:tc>
          <w:tcPr>
            <w:tcW w:type="dxa" w:w="1944"/>
          </w:tcPr>
          <w:p>
            <w:pPr>
              <w:spacing w:after="20"/>
              <w:jc w:val="right"/>
            </w:pPr>
            <w:r>
              <w:rPr>
                <w:color w:val="1C3A36"/>
                <w:sz w:val="16"/>
              </w:rPr>
              <w:t>574,875</w:t>
            </w:r>
          </w:p>
        </w:tc>
        <w:tc>
          <w:tcPr>
            <w:tcW w:type="dxa" w:w="3672"/>
          </w:tcPr>
          <w:p>
            <w:pPr>
              <w:spacing w:after="20"/>
            </w:pPr>
            <w:r>
              <w:rPr>
                <w:color w:val="1C3A36"/>
                <w:sz w:val="16"/>
              </w:rPr>
              <w:t>1,575 t/day contractual plate</w:t>
            </w:r>
          </w:p>
        </w:tc>
      </w:tr>
      <w:tr>
        <w:trPr>
          <w:cantSplit/>
        </w:trPr>
        <w:tc>
          <w:tcPr>
            <w:tcW w:type="dxa" w:w="4320"/>
          </w:tcPr>
          <w:p>
            <w:pPr>
              <w:spacing w:after="20"/>
            </w:pPr>
            <w:r>
              <w:rPr>
                <w:color w:val="1C3A36"/>
                <w:sz w:val="16"/>
              </w:rPr>
              <w:t>Build cost, low (US$ per annual tonne)</w:t>
            </w:r>
          </w:p>
        </w:tc>
        <w:tc>
          <w:tcPr>
            <w:tcW w:type="dxa" w:w="1944"/>
          </w:tcPr>
          <w:p>
            <w:pPr>
              <w:spacing w:after="20"/>
              <w:jc w:val="right"/>
            </w:pPr>
            <w:r>
              <w:rPr>
                <w:color w:val="1C3A36"/>
                <w:sz w:val="16"/>
              </w:rPr>
              <w:t>550.00</w:t>
            </w:r>
          </w:p>
        </w:tc>
        <w:tc>
          <w:tcPr>
            <w:tcW w:type="dxa" w:w="3672"/>
          </w:tcPr>
          <w:p>
            <w:pPr>
              <w:spacing w:after="20"/>
            </w:pPr>
            <w:r>
              <w:rPr>
                <w:color w:val="1C3A36"/>
                <w:sz w:val="16"/>
              </w:rPr>
              <w:t>industry range</w:t>
            </w:r>
          </w:p>
        </w:tc>
      </w:tr>
      <w:tr>
        <w:trPr>
          <w:cantSplit/>
        </w:trPr>
        <w:tc>
          <w:tcPr>
            <w:tcW w:type="dxa" w:w="4320"/>
          </w:tcPr>
          <w:p>
            <w:pPr>
              <w:spacing w:after="20"/>
            </w:pPr>
            <w:r>
              <w:rPr>
                <w:color w:val="1C3A36"/>
                <w:sz w:val="16"/>
              </w:rPr>
              <w:t>Build cost, high (US$ per annual tonne)</w:t>
            </w:r>
          </w:p>
        </w:tc>
        <w:tc>
          <w:tcPr>
            <w:tcW w:type="dxa" w:w="1944"/>
          </w:tcPr>
          <w:p>
            <w:pPr>
              <w:spacing w:after="20"/>
              <w:jc w:val="right"/>
            </w:pPr>
            <w:r>
              <w:rPr>
                <w:color w:val="1C3A36"/>
                <w:sz w:val="16"/>
              </w:rPr>
              <w:t>700.00</w:t>
            </w:r>
          </w:p>
        </w:tc>
        <w:tc>
          <w:tcPr>
            <w:tcW w:type="dxa" w:w="3672"/>
          </w:tcPr>
          <w:p>
            <w:pPr>
              <w:spacing w:after="20"/>
            </w:pPr>
            <w:r>
              <w:rPr>
                <w:color w:val="1C3A36"/>
                <w:sz w:val="16"/>
              </w:rPr>
              <w:t>industry range</w:t>
            </w:r>
          </w:p>
        </w:tc>
      </w:tr>
      <w:tr>
        <w:trPr>
          <w:cantSplit/>
        </w:trPr>
        <w:tc>
          <w:tcPr>
            <w:tcW w:type="dxa" w:w="4320"/>
          </w:tcPr>
          <w:p>
            <w:pPr>
              <w:spacing w:after="20"/>
            </w:pPr>
            <w:r>
              <w:rPr>
                <w:color w:val="1C3A36"/>
                <w:sz w:val="16"/>
              </w:rPr>
              <w:t>Replacement cost at the low end (EGP m)</w:t>
            </w:r>
          </w:p>
        </w:tc>
        <w:tc>
          <w:tcPr>
            <w:tcW w:type="dxa" w:w="1944"/>
          </w:tcPr>
          <w:p>
            <w:pPr>
              <w:spacing w:after="20"/>
              <w:jc w:val="right"/>
            </w:pPr>
            <w:r>
              <w:rPr>
                <w:color w:val="1C3A36"/>
                <w:sz w:val="16"/>
              </w:rPr>
              <w:t>15,743</w:t>
            </w:r>
          </w:p>
        </w:tc>
        <w:tc>
          <w:tcPr>
            <w:tcW w:type="dxa" w:w="3672"/>
          </w:tcPr>
          <w:p>
            <w:pPr>
              <w:spacing w:after="20"/>
            </w:pPr>
            <w:r>
              <w:rPr>
                <w:color w:val="1C3A36"/>
                <w:sz w:val="16"/>
              </w:rPr>
              <w:t>plate x cost x the rate</w:t>
            </w:r>
          </w:p>
        </w:tc>
      </w:tr>
      <w:tr>
        <w:trPr>
          <w:cantSplit/>
        </w:trPr>
        <w:tc>
          <w:tcPr>
            <w:tcW w:type="dxa" w:w="4320"/>
          </w:tcPr>
          <w:p>
            <w:pPr>
              <w:spacing w:after="20"/>
            </w:pPr>
            <w:r>
              <w:rPr>
                <w:color w:val="1C3A36"/>
                <w:sz w:val="16"/>
              </w:rPr>
              <w:t>Replacement cost at the high end (EGP m)</w:t>
            </w:r>
          </w:p>
        </w:tc>
        <w:tc>
          <w:tcPr>
            <w:tcW w:type="dxa" w:w="1944"/>
          </w:tcPr>
          <w:p>
            <w:pPr>
              <w:spacing w:after="20"/>
              <w:jc w:val="right"/>
            </w:pPr>
            <w:r>
              <w:rPr>
                <w:color w:val="1C3A36"/>
                <w:sz w:val="16"/>
              </w:rPr>
              <w:t>20,036</w:t>
            </w:r>
          </w:p>
        </w:tc>
        <w:tc>
          <w:tcPr>
            <w:tcW w:type="dxa" w:w="3672"/>
          </w:tcPr>
          <w:p>
            <w:pPr>
              <w:spacing w:after="20"/>
            </w:pPr>
            <w:r>
              <w:rPr>
                <w:color w:val="1C3A36"/>
                <w:sz w:val="16"/>
              </w:rPr>
            </w:r>
          </w:p>
        </w:tc>
      </w:tr>
      <w:tr>
        <w:trPr>
          <w:cantSplit/>
        </w:trPr>
        <w:tc>
          <w:tcPr>
            <w:tcW w:type="dxa" w:w="4320"/>
          </w:tcPr>
          <w:p>
            <w:pPr>
              <w:spacing w:after="20"/>
            </w:pPr>
            <w:r>
              <w:rPr>
                <w:color w:val="1C3A36"/>
                <w:sz w:val="16"/>
              </w:rPr>
              <w:t>Replacement cost, mid-point (EGP m)</w:t>
            </w:r>
          </w:p>
        </w:tc>
        <w:tc>
          <w:tcPr>
            <w:tcW w:type="dxa" w:w="1944"/>
          </w:tcPr>
          <w:p>
            <w:pPr>
              <w:spacing w:after="20"/>
              <w:jc w:val="right"/>
            </w:pPr>
            <w:r>
              <w:rPr>
                <w:color w:val="1C3A36"/>
                <w:sz w:val="16"/>
              </w:rPr>
              <w:t>17,889</w:t>
            </w:r>
          </w:p>
        </w:tc>
        <w:tc>
          <w:tcPr>
            <w:tcW w:type="dxa" w:w="3672"/>
          </w:tcPr>
          <w:p>
            <w:pPr>
              <w:spacing w:after="20"/>
            </w:pPr>
            <w:r>
              <w:rPr>
                <w:color w:val="1C3A36"/>
                <w:sz w:val="16"/>
              </w:rPr>
            </w:r>
          </w:p>
        </w:tc>
      </w:tr>
      <w:tr>
        <w:trPr>
          <w:cantSplit/>
        </w:trPr>
        <w:tc>
          <w:tcPr>
            <w:tcW w:type="dxa" w:w="4320"/>
          </w:tcPr>
          <w:p>
            <w:pPr>
              <w:spacing w:after="20"/>
            </w:pPr>
            <w:r>
              <w:rPr>
                <w:color w:val="1C3A36"/>
                <w:sz w:val="16"/>
              </w:rPr>
              <w:t>Construction in progress at cost (EGP m)</w:t>
            </w:r>
          </w:p>
        </w:tc>
        <w:tc>
          <w:tcPr>
            <w:tcW w:type="dxa" w:w="1944"/>
          </w:tcPr>
          <w:p>
            <w:pPr>
              <w:spacing w:after="20"/>
              <w:jc w:val="right"/>
            </w:pPr>
            <w:r>
              <w:rPr>
                <w:color w:val="1C3A36"/>
                <w:sz w:val="16"/>
              </w:rPr>
              <w:t>5,654</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Haircut for delay and the governance findings</w:t>
            </w:r>
          </w:p>
        </w:tc>
        <w:tc>
          <w:tcPr>
            <w:tcW w:type="dxa" w:w="1944"/>
          </w:tcPr>
          <w:p>
            <w:pPr>
              <w:spacing w:after="20"/>
              <w:jc w:val="right"/>
            </w:pPr>
            <w:r>
              <w:rPr>
                <w:color w:val="1C3A36"/>
                <w:sz w:val="16"/>
              </w:rPr>
              <w:t>-2,261</w:t>
            </w:r>
          </w:p>
        </w:tc>
        <w:tc>
          <w:tcPr>
            <w:tcW w:type="dxa" w:w="3672"/>
          </w:tcPr>
          <w:p>
            <w:pPr>
              <w:spacing w:after="20"/>
            </w:pPr>
            <w:r>
              <w:rPr>
                <w:color w:val="1C3A36"/>
                <w:sz w:val="16"/>
              </w:rPr>
              <w:t>40%</w:t>
            </w:r>
          </w:p>
        </w:tc>
      </w:tr>
      <w:tr>
        <w:trPr>
          <w:cantSplit/>
        </w:trPr>
        <w:tc>
          <w:tcPr>
            <w:tcW w:type="dxa" w:w="4320"/>
          </w:tcPr>
          <w:p>
            <w:pPr>
              <w:spacing w:after="20"/>
            </w:pPr>
            <w:r>
              <w:rPr>
                <w:color w:val="1C3A36"/>
                <w:sz w:val="16"/>
              </w:rPr>
              <w:t>Construction in progress, valued (EGP m)</w:t>
            </w:r>
          </w:p>
        </w:tc>
        <w:tc>
          <w:tcPr>
            <w:tcW w:type="dxa" w:w="1944"/>
          </w:tcPr>
          <w:p>
            <w:pPr>
              <w:spacing w:after="20"/>
              <w:jc w:val="right"/>
            </w:pPr>
            <w:r>
              <w:rPr>
                <w:color w:val="1C3A36"/>
                <w:sz w:val="16"/>
              </w:rPr>
              <w:t>3,392</w:t>
            </w:r>
          </w:p>
        </w:tc>
        <w:tc>
          <w:tcPr>
            <w:tcW w:type="dxa" w:w="3672"/>
          </w:tcPr>
          <w:p>
            <w:pPr>
              <w:spacing w:after="20"/>
            </w:pPr>
            <w:r>
              <w:rPr>
                <w:color w:val="1C3A36"/>
                <w:sz w:val="16"/>
              </w:rPr>
            </w:r>
          </w:p>
        </w:tc>
      </w:tr>
      <w:tr>
        <w:trPr>
          <w:cantSplit/>
        </w:trPr>
        <w:tc>
          <w:tcPr>
            <w:tcW w:type="dxa" w:w="4320"/>
          </w:tcPr>
          <w:p>
            <w:pPr>
              <w:spacing w:after="20"/>
            </w:pPr>
            <w:r>
              <w:rPr>
                <w:color w:val="1C3A36"/>
                <w:sz w:val="16"/>
              </w:rPr>
              <w:t>Listed equity stakes at market (EGP m)</w:t>
            </w:r>
          </w:p>
        </w:tc>
        <w:tc>
          <w:tcPr>
            <w:tcW w:type="dxa" w:w="1944"/>
          </w:tcPr>
          <w:p>
            <w:pPr>
              <w:spacing w:after="20"/>
              <w:jc w:val="right"/>
            </w:pPr>
            <w:r>
              <w:rPr>
                <w:color w:val="1C3A36"/>
                <w:sz w:val="16"/>
              </w:rPr>
              <w:t>1,509</w:t>
            </w:r>
          </w:p>
        </w:tc>
        <w:tc>
          <w:tcPr>
            <w:tcW w:type="dxa" w:w="3672"/>
          </w:tcPr>
          <w:p>
            <w:pPr>
              <w:spacing w:after="20"/>
            </w:pPr>
            <w:r>
              <w:rPr>
                <w:color w:val="1C3A36"/>
                <w:sz w:val="16"/>
              </w:rPr>
            </w:r>
          </w:p>
        </w:tc>
      </w:tr>
      <w:tr>
        <w:trPr>
          <w:cantSplit/>
        </w:trPr>
        <w:tc>
          <w:tcPr>
            <w:tcW w:type="dxa" w:w="4320"/>
          </w:tcPr>
          <w:p>
            <w:pPr>
              <w:spacing w:after="20"/>
            </w:pPr>
            <w:r>
              <w:rPr>
                <w:color w:val="1C3A36"/>
                <w:sz w:val="16"/>
              </w:rPr>
              <w:t>Investment property (EGP m)</w:t>
            </w:r>
          </w:p>
        </w:tc>
        <w:tc>
          <w:tcPr>
            <w:tcW w:type="dxa" w:w="1944"/>
          </w:tcPr>
          <w:p>
            <w:pPr>
              <w:spacing w:after="20"/>
              <w:jc w:val="right"/>
            </w:pPr>
            <w:r>
              <w:rPr>
                <w:color w:val="1C3A36"/>
                <w:sz w:val="16"/>
              </w:rPr>
              <w:t>2,155</w:t>
            </w:r>
          </w:p>
        </w:tc>
        <w:tc>
          <w:tcPr>
            <w:tcW w:type="dxa" w:w="3672"/>
          </w:tcPr>
          <w:p>
            <w:pPr>
              <w:spacing w:after="20"/>
            </w:pPr>
            <w:r>
              <w:rPr>
                <w:color w:val="1C3A36"/>
                <w:sz w:val="16"/>
              </w:rPr>
            </w:r>
          </w:p>
        </w:tc>
      </w:tr>
      <w:tr>
        <w:trPr>
          <w:cantSplit/>
        </w:trPr>
        <w:tc>
          <w:tcPr>
            <w:tcW w:type="dxa" w:w="4320"/>
          </w:tcPr>
          <w:p>
            <w:pPr>
              <w:spacing w:after="20"/>
            </w:pPr>
            <w:r>
              <w:rPr>
                <w:color w:val="1C3A36"/>
                <w:sz w:val="16"/>
              </w:rPr>
              <w:t>Gross asset value (EGP m)</w:t>
            </w:r>
          </w:p>
        </w:tc>
        <w:tc>
          <w:tcPr>
            <w:tcW w:type="dxa" w:w="1944"/>
          </w:tcPr>
          <w:p>
            <w:pPr>
              <w:spacing w:after="20"/>
              <w:jc w:val="right"/>
            </w:pPr>
            <w:r>
              <w:rPr>
                <w:color w:val="1C3A36"/>
                <w:sz w:val="16"/>
              </w:rPr>
              <w:t>24,946</w:t>
            </w:r>
          </w:p>
        </w:tc>
        <w:tc>
          <w:tcPr>
            <w:tcW w:type="dxa" w:w="3672"/>
          </w:tcPr>
          <w:p>
            <w:pPr>
              <w:spacing w:after="20"/>
            </w:pPr>
            <w:r>
              <w:rPr>
                <w:color w:val="1C3A36"/>
                <w:sz w:val="16"/>
              </w:rPr>
            </w:r>
          </w:p>
        </w:tc>
      </w:tr>
      <w:tr>
        <w:trPr>
          <w:cantSplit/>
        </w:trPr>
        <w:tc>
          <w:tcPr>
            <w:tcW w:type="dxa" w:w="4320"/>
          </w:tcPr>
          <w:p>
            <w:pPr>
              <w:spacing w:after="20"/>
            </w:pPr>
            <w:r>
              <w:rPr>
                <w:color w:val="1C3A36"/>
                <w:sz w:val="16"/>
              </w:rPr>
              <w:t>Less net debt (EGP m)</w:t>
            </w:r>
          </w:p>
        </w:tc>
        <w:tc>
          <w:tcPr>
            <w:tcW w:type="dxa" w:w="1944"/>
          </w:tcPr>
          <w:p>
            <w:pPr>
              <w:spacing w:after="20"/>
              <w:jc w:val="right"/>
            </w:pPr>
            <w:r>
              <w:rPr>
                <w:color w:val="1C3A36"/>
                <w:sz w:val="16"/>
              </w:rPr>
              <w:t>-10,032</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Equity before any control discount (EGP m)</w:t>
            </w:r>
          </w:p>
        </w:tc>
        <w:tc>
          <w:tcPr>
            <w:tcW w:type="dxa" w:w="1944"/>
          </w:tcPr>
          <w:p>
            <w:pPr>
              <w:spacing w:after="20"/>
              <w:jc w:val="right"/>
            </w:pPr>
            <w:r>
              <w:rPr>
                <w:color w:val="1C3A36"/>
                <w:sz w:val="16"/>
              </w:rPr>
              <w:t>14,913</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before the discount (EGP)</w:t>
            </w:r>
          </w:p>
        </w:tc>
        <w:tc>
          <w:tcPr>
            <w:tcW w:type="dxa" w:w="1944"/>
          </w:tcPr>
          <w:p>
            <w:pPr>
              <w:spacing w:after="20"/>
              <w:jc w:val="right"/>
            </w:pPr>
            <w:r>
              <w:rPr>
                <w:color w:val="1C3A36"/>
                <w:sz w:val="16"/>
              </w:rPr>
              <w:t>7.51</w:t>
            </w:r>
          </w:p>
        </w:tc>
        <w:tc>
          <w:tcPr>
            <w:tcW w:type="dxa" w:w="3672"/>
          </w:tcPr>
          <w:p>
            <w:pPr>
              <w:spacing w:after="20"/>
            </w:pPr>
            <w:r>
              <w:rPr>
                <w:color w:val="1C3A36"/>
                <w:sz w:val="16"/>
              </w:rPr>
            </w:r>
          </w:p>
        </w:tc>
      </w:tr>
      <w:tr>
        <w:trPr>
          <w:cantSplit/>
        </w:trPr>
        <w:tc>
          <w:tcPr>
            <w:tcW w:type="dxa" w:w="4320"/>
          </w:tcPr>
          <w:p>
            <w:pPr>
              <w:spacing w:after="20"/>
            </w:pPr>
            <w:r>
              <w:rPr>
                <w:color w:val="1C3A36"/>
                <w:sz w:val="16"/>
              </w:rPr>
              <w:t>Control discount on a state-held listed industrial</w:t>
            </w:r>
          </w:p>
        </w:tc>
        <w:tc>
          <w:tcPr>
            <w:tcW w:type="dxa" w:w="1944"/>
          </w:tcPr>
          <w:p>
            <w:pPr>
              <w:spacing w:after="20"/>
              <w:jc w:val="right"/>
            </w:pPr>
            <w:r>
              <w:rPr>
                <w:color w:val="1C3A36"/>
                <w:sz w:val="16"/>
              </w:rPr>
              <w:t>-40.0%</w:t>
            </w:r>
          </w:p>
        </w:tc>
        <w:tc>
          <w:tcPr>
            <w:tcW w:type="dxa" w:w="3672"/>
          </w:tcPr>
          <w:p>
            <w:pPr>
              <w:spacing w:after="20"/>
            </w:pPr>
            <w:r>
              <w:rPr>
                <w:color w:val="1C3A36"/>
                <w:sz w:val="16"/>
              </w:rPr>
              <w:t>observed</w:t>
            </w:r>
          </w:p>
        </w:tc>
      </w:tr>
      <w:tr>
        <w:trPr>
          <w:cantSplit/>
        </w:trPr>
        <w:tc>
          <w:tcPr>
            <w:tcW w:type="dxa" w:w="4320"/>
          </w:tcPr>
          <w:p>
            <w:pPr>
              <w:spacing w:after="20"/>
            </w:pPr>
            <w:r>
              <w:rPr>
                <w:color w:val="1C3A36"/>
                <w:sz w:val="16"/>
              </w:rPr>
              <w:t>Equity after the discount (EGP m)</w:t>
            </w:r>
          </w:p>
        </w:tc>
        <w:tc>
          <w:tcPr>
            <w:tcW w:type="dxa" w:w="1944"/>
          </w:tcPr>
          <w:p>
            <w:pPr>
              <w:spacing w:after="20"/>
              <w:jc w:val="right"/>
            </w:pPr>
            <w:r>
              <w:rPr>
                <w:color w:val="1C3A36"/>
                <w:sz w:val="16"/>
              </w:rPr>
              <w:t>8,948</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4.50</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32.  Expert 1's workings in full — every intermediate line, not a summary of them.</w:t>
      </w:r>
    </w:p>
    <w:p>
      <w:pPr>
        <w:spacing w:after="120" w:before="0"/>
      </w:pPr>
      <w:r>
        <w:rPr>
          <w:b/>
          <w:i w:val="0"/>
          <w:color w:val="1C3A36"/>
          <w:sz w:val="21"/>
        </w:rPr>
        <w:t>Range: EGP 3.86 to EGP 8.59 a share.</w:t>
      </w:r>
    </w:p>
    <w:p>
      <w:pPr>
        <w:spacing w:after="120" w:before="0"/>
      </w:pPr>
      <w:r>
        <w:rPr>
          <w:b w:val="0"/>
          <w:i w:val="0"/>
          <w:color w:val="1C3A36"/>
          <w:sz w:val="19"/>
        </w:rPr>
        <w:t>Reading it.  This is the highest of the three readings and it should be read as a ceiling rather than a centre. It values the plant at what a buyer would pay to avoid building one, and on a plate of 574,875 tonnes at the mid-point of the industry build range that is EGP 17,889m before anything is owed against it. What the method cannot see is that the plant has been running at about ninety per cent of that plate on rationed gas, and that the asset under construction — carried here at 60% of what has been spent on it — is exactly the asset whose return the cash-flow lens finds inadequate. The gap between this expert and the panel's lowest is not a disagreement about the plant. It is a disagreement about whether an asset that cannot earn its cost of capital is worth its replacement cost.</w:t>
      </w:r>
    </w:p>
    <w:p>
      <w:pPr>
        <w:spacing w:after="120" w:before="0"/>
      </w:pPr>
      <w:r>
        <w:rPr>
          <w:b w:val="0"/>
          <w:i w:val="0"/>
          <w:color w:val="1C3A36"/>
          <w:sz w:val="19"/>
        </w:rPr>
        <w:t>Named sensitivity.  The build cost and the control discount are the two swing factors, and the range is their product: at US$550 per annual tonne with the 40% discount the reading is EGP 3.86; at US$700 with no discount it is EGP 8.59. The mid-point build cost with the discount, the central reading, is EGP 4.50.</w:t>
      </w:r>
    </w:p>
    <w:p>
      <w:pPr>
        <w:spacing w:after="120" w:before="0"/>
      </w:pPr>
      <w:r>
        <w:rPr>
          <w:b w:val="0"/>
          <w:i/>
          <w:color w:val="1C3A36"/>
          <w:sz w:val="19"/>
        </w:rPr>
        <w:t>Falsifier, stated in advance.  A comparable Egyptian nitrogen asset transacting above US$700 per annual tonne, or a state-held listed subsidiary changing hands without a control discount. Either would show this method is set too low and the cash-flow lens should govern.</w:t>
      </w:r>
    </w:p>
    <w:p>
      <w:pPr>
        <w:keepNext/>
        <w:spacing w:after="80" w:before="200"/>
      </w:pPr>
      <w:r>
        <w:rPr>
          <w:b/>
          <w:i w:val="0"/>
          <w:color w:val="1C3A36"/>
          <w:sz w:val="24"/>
        </w:rPr>
        <w:t>C.2  Expert 2 — Normalised earnings power</w:t>
      </w:r>
    </w:p>
    <w:p>
      <w:pPr>
        <w:spacing w:after="120" w:before="0"/>
      </w:pPr>
      <w:r>
        <w:rPr>
          <w:b w:val="0"/>
          <w:i w:val="0"/>
          <w:color w:val="1C3A36"/>
          <w:sz w:val="21"/>
        </w:rPr>
        <w:t>Worldview.  Strip out the construction, the translation noise and the price cycle, and ask what this plant earns in an ordinary year. Value that.</w:t>
      </w:r>
    </w:p>
    <w:p>
      <w:pPr>
        <w:spacing w:after="120" w:before="0"/>
      </w:pPr>
      <w:r>
        <w:rPr>
          <w:b w:val="0"/>
          <w:i w:val="0"/>
          <w:color w:val="1C3A36"/>
          <w:sz w:val="19"/>
        </w:rPr>
        <w:t>When it works.  For a mature single-asset producer whose economics are stable once the cycle is averaged out.</w:t>
      </w:r>
    </w:p>
    <w:p>
      <w:pPr>
        <w:spacing w:after="120" w:before="0"/>
      </w:pPr>
      <w:r>
        <w:rPr>
          <w:b w:val="0"/>
          <w:i w:val="0"/>
          <w:color w:val="1C3A36"/>
          <w:sz w:val="19"/>
        </w:rPr>
        <w:t>When it fails.  When the capital structure or the asset base is changing underneath the earnings — which is exactly what is happening here, and why this expert's answer sits above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Mid-cycle urea output (tonnes)</w:t>
            </w:r>
          </w:p>
        </w:tc>
        <w:tc>
          <w:tcPr>
            <w:tcW w:type="dxa" w:w="1944"/>
          </w:tcPr>
          <w:p>
            <w:pPr>
              <w:spacing w:after="20"/>
              <w:jc w:val="right"/>
            </w:pPr>
            <w:r>
              <w:rPr>
                <w:color w:val="1C3A36"/>
                <w:sz w:val="16"/>
              </w:rPr>
              <w:t>540,542</w:t>
            </w:r>
          </w:p>
        </w:tc>
        <w:tc>
          <w:tcPr>
            <w:tcW w:type="dxa" w:w="3672"/>
          </w:tcPr>
          <w:p>
            <w:pPr>
              <w:spacing w:after="20"/>
            </w:pPr>
            <w:r>
              <w:rPr>
                <w:color w:val="1C3A36"/>
                <w:sz w:val="16"/>
              </w:rPr>
              <w:t>three-year average of audited output</w:t>
            </w:r>
          </w:p>
        </w:tc>
      </w:tr>
      <w:tr>
        <w:trPr>
          <w:cantSplit/>
        </w:trPr>
        <w:tc>
          <w:tcPr>
            <w:tcW w:type="dxa" w:w="4320"/>
          </w:tcPr>
          <w:p>
            <w:pPr>
              <w:spacing w:after="20"/>
            </w:pPr>
            <w:r>
              <w:rPr>
                <w:color w:val="1C3A36"/>
                <w:sz w:val="16"/>
              </w:rPr>
              <w:t>Less subsidised deliveries (tonnes)</w:t>
            </w:r>
          </w:p>
        </w:tc>
        <w:tc>
          <w:tcPr>
            <w:tcW w:type="dxa" w:w="1944"/>
          </w:tcPr>
          <w:p>
            <w:pPr>
              <w:spacing w:after="20"/>
              <w:jc w:val="right"/>
            </w:pPr>
            <w:r>
              <w:rPr>
                <w:color w:val="1C3A36"/>
                <w:sz w:val="16"/>
              </w:rPr>
              <w:t>-155,000</w:t>
            </w:r>
          </w:p>
        </w:tc>
        <w:tc>
          <w:tcPr>
            <w:tcW w:type="dxa" w:w="3672"/>
          </w:tcPr>
          <w:p>
            <w:pPr>
              <w:spacing w:after="20"/>
            </w:pPr>
            <w:r>
              <w:rPr>
                <w:color w:val="1C3A36"/>
                <w:sz w:val="16"/>
              </w:rPr>
              <w:t>obligation path</w:t>
            </w:r>
          </w:p>
        </w:tc>
      </w:tr>
      <w:tr>
        <w:trPr>
          <w:cantSplit/>
        </w:trPr>
        <w:tc>
          <w:tcPr>
            <w:tcW w:type="dxa" w:w="4320"/>
          </w:tcPr>
          <w:p>
            <w:pPr>
              <w:spacing w:after="20"/>
            </w:pPr>
            <w:r>
              <w:rPr>
                <w:color w:val="1C3A36"/>
                <w:sz w:val="16"/>
              </w:rPr>
              <w:t>Less local free-market (tonnes)</w:t>
            </w:r>
          </w:p>
        </w:tc>
        <w:tc>
          <w:tcPr>
            <w:tcW w:type="dxa" w:w="1944"/>
          </w:tcPr>
          <w:p>
            <w:pPr>
              <w:spacing w:after="20"/>
              <w:jc w:val="right"/>
            </w:pPr>
            <w:r>
              <w:rPr>
                <w:color w:val="1C3A36"/>
                <w:sz w:val="16"/>
              </w:rPr>
              <w:t>-40,000</w:t>
            </w:r>
          </w:p>
        </w:tc>
        <w:tc>
          <w:tcPr>
            <w:tcW w:type="dxa" w:w="3672"/>
          </w:tcPr>
          <w:p>
            <w:pPr>
              <w:spacing w:after="20"/>
            </w:pPr>
            <w:r>
              <w:rPr>
                <w:color w:val="1C3A36"/>
                <w:sz w:val="16"/>
              </w:rPr>
            </w:r>
          </w:p>
        </w:tc>
      </w:tr>
      <w:tr>
        <w:trPr>
          <w:cantSplit/>
        </w:trPr>
        <w:tc>
          <w:tcPr>
            <w:tcW w:type="dxa" w:w="4320"/>
          </w:tcPr>
          <w:p>
            <w:pPr>
              <w:spacing w:after="20"/>
            </w:pPr>
            <w:r>
              <w:rPr>
                <w:color w:val="1C3A36"/>
                <w:sz w:val="16"/>
              </w:rPr>
              <w:t>Export tonnes</w:t>
            </w:r>
          </w:p>
        </w:tc>
        <w:tc>
          <w:tcPr>
            <w:tcW w:type="dxa" w:w="1944"/>
          </w:tcPr>
          <w:p>
            <w:pPr>
              <w:spacing w:after="20"/>
              <w:jc w:val="right"/>
            </w:pPr>
            <w:r>
              <w:rPr>
                <w:color w:val="1C3A36"/>
                <w:sz w:val="16"/>
              </w:rPr>
              <w:t>345,542</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export price (US$/t)</w:t>
            </w:r>
          </w:p>
        </w:tc>
        <w:tc>
          <w:tcPr>
            <w:tcW w:type="dxa" w:w="1944"/>
          </w:tcPr>
          <w:p>
            <w:pPr>
              <w:spacing w:after="20"/>
              <w:jc w:val="right"/>
            </w:pPr>
            <w:r>
              <w:rPr>
                <w:color w:val="1C3A36"/>
                <w:sz w:val="16"/>
              </w:rPr>
              <w:t>400.00</w:t>
            </w:r>
          </w:p>
        </w:tc>
        <w:tc>
          <w:tcPr>
            <w:tcW w:type="dxa" w:w="3672"/>
          </w:tcPr>
          <w:p>
            <w:pPr>
              <w:spacing w:after="20"/>
            </w:pPr>
            <w:r>
              <w:rPr>
                <w:color w:val="1C3A36"/>
                <w:sz w:val="16"/>
              </w:rPr>
              <w:t>above the 2015-2020 average, below spot</w:t>
            </w:r>
          </w:p>
        </w:tc>
      </w:tr>
      <w:tr>
        <w:trPr>
          <w:cantSplit/>
        </w:trPr>
        <w:tc>
          <w:tcPr>
            <w:tcW w:type="dxa" w:w="4320"/>
          </w:tcPr>
          <w:p>
            <w:pPr>
              <w:spacing w:after="20"/>
            </w:pPr>
            <w:r>
              <w:rPr>
                <w:color w:val="1C3A36"/>
                <w:sz w:val="16"/>
              </w:rPr>
              <w:t>Exchange rate</w:t>
            </w:r>
          </w:p>
        </w:tc>
        <w:tc>
          <w:tcPr>
            <w:tcW w:type="dxa" w:w="1944"/>
          </w:tcPr>
          <w:p>
            <w:pPr>
              <w:spacing w:after="20"/>
              <w:jc w:val="right"/>
            </w:pPr>
            <w:r>
              <w:rPr>
                <w:color w:val="1C3A36"/>
                <w:sz w:val="16"/>
              </w:rPr>
              <w:t>56</w:t>
            </w:r>
          </w:p>
        </w:tc>
        <w:tc>
          <w:tcPr>
            <w:tcW w:type="dxa" w:w="3672"/>
          </w:tcPr>
          <w:p>
            <w:pPr>
              <w:spacing w:after="20"/>
            </w:pPr>
            <w:r>
              <w:rPr>
                <w:color w:val="1C3A36"/>
                <w:sz w:val="16"/>
              </w:rPr>
            </w:r>
          </w:p>
        </w:tc>
      </w:tr>
      <w:tr>
        <w:trPr>
          <w:cantSplit/>
        </w:trPr>
        <w:tc>
          <w:tcPr>
            <w:tcW w:type="dxa" w:w="4320"/>
          </w:tcPr>
          <w:p>
            <w:pPr>
              <w:spacing w:after="20"/>
            </w:pPr>
            <w:r>
              <w:rPr>
                <w:color w:val="1C3A36"/>
                <w:sz w:val="16"/>
              </w:rPr>
              <w:t>Export revenue (EGP m)</w:t>
            </w:r>
          </w:p>
        </w:tc>
        <w:tc>
          <w:tcPr>
            <w:tcW w:type="dxa" w:w="1944"/>
          </w:tcPr>
          <w:p>
            <w:pPr>
              <w:spacing w:after="20"/>
              <w:jc w:val="right"/>
            </w:pPr>
            <w:r>
              <w:rPr>
                <w:color w:val="1C3A36"/>
                <w:sz w:val="16"/>
              </w:rPr>
              <w:t>7,725</w:t>
            </w:r>
          </w:p>
        </w:tc>
        <w:tc>
          <w:tcPr>
            <w:tcW w:type="dxa" w:w="3672"/>
          </w:tcPr>
          <w:p>
            <w:pPr>
              <w:spacing w:after="20"/>
            </w:pPr>
            <w:r>
              <w:rPr>
                <w:color w:val="1C3A36"/>
                <w:sz w:val="16"/>
              </w:rPr>
              <w:t>net of the 10% duty</w:t>
            </w:r>
          </w:p>
        </w:tc>
      </w:tr>
      <w:tr>
        <w:trPr>
          <w:cantSplit/>
        </w:trPr>
        <w:tc>
          <w:tcPr>
            <w:tcW w:type="dxa" w:w="4320"/>
          </w:tcPr>
          <w:p>
            <w:pPr>
              <w:spacing w:after="20"/>
            </w:pPr>
            <w:r>
              <w:rPr>
                <w:color w:val="1C3A36"/>
                <w:sz w:val="16"/>
              </w:rPr>
              <w:t>Subsidised revenue (EGP m)</w:t>
            </w:r>
          </w:p>
        </w:tc>
        <w:tc>
          <w:tcPr>
            <w:tcW w:type="dxa" w:w="1944"/>
          </w:tcPr>
          <w:p>
            <w:pPr>
              <w:spacing w:after="20"/>
              <w:jc w:val="right"/>
            </w:pPr>
            <w:r>
              <w:rPr>
                <w:color w:val="1C3A36"/>
                <w:sz w:val="16"/>
              </w:rPr>
              <w:t>1,167</w:t>
            </w:r>
          </w:p>
        </w:tc>
        <w:tc>
          <w:tcPr>
            <w:tcW w:type="dxa" w:w="3672"/>
          </w:tcPr>
          <w:p>
            <w:pPr>
              <w:spacing w:after="20"/>
            </w:pPr>
            <w:r>
              <w:rPr>
                <w:color w:val="1C3A36"/>
                <w:sz w:val="16"/>
              </w:rPr>
            </w:r>
          </w:p>
        </w:tc>
      </w:tr>
      <w:tr>
        <w:trPr>
          <w:cantSplit/>
        </w:trPr>
        <w:tc>
          <w:tcPr>
            <w:tcW w:type="dxa" w:w="4320"/>
          </w:tcPr>
          <w:p>
            <w:pPr>
              <w:spacing w:after="20"/>
            </w:pPr>
            <w:r>
              <w:rPr>
                <w:color w:val="1C3A36"/>
                <w:sz w:val="16"/>
              </w:rPr>
              <w:t>Local free-market revenue (EGP m)</w:t>
            </w:r>
          </w:p>
        </w:tc>
        <w:tc>
          <w:tcPr>
            <w:tcW w:type="dxa" w:w="1944"/>
          </w:tcPr>
          <w:p>
            <w:pPr>
              <w:spacing w:after="20"/>
              <w:jc w:val="right"/>
            </w:pPr>
            <w:r>
              <w:rPr>
                <w:color w:val="1C3A36"/>
                <w:sz w:val="16"/>
              </w:rPr>
              <w:t>805</w:t>
            </w:r>
          </w:p>
        </w:tc>
        <w:tc>
          <w:tcPr>
            <w:tcW w:type="dxa" w:w="3672"/>
          </w:tcPr>
          <w:p>
            <w:pPr>
              <w:spacing w:after="20"/>
            </w:pPr>
            <w:r>
              <w:rPr>
                <w:color w:val="1C3A36"/>
                <w:sz w:val="16"/>
              </w:rPr>
            </w:r>
          </w:p>
        </w:tc>
      </w:tr>
      <w:tr>
        <w:trPr>
          <w:cantSplit/>
        </w:trPr>
        <w:tc>
          <w:tcPr>
            <w:tcW w:type="dxa" w:w="4320"/>
          </w:tcPr>
          <w:p>
            <w:pPr>
              <w:spacing w:after="20"/>
            </w:pPr>
            <w:r>
              <w:rPr>
                <w:color w:val="1C3A36"/>
                <w:sz w:val="16"/>
              </w:rPr>
              <w:t>Nitrate revenue (EGP m)</w:t>
            </w:r>
          </w:p>
        </w:tc>
        <w:tc>
          <w:tcPr>
            <w:tcW w:type="dxa" w:w="1944"/>
          </w:tcPr>
          <w:p>
            <w:pPr>
              <w:spacing w:after="20"/>
              <w:jc w:val="right"/>
            </w:pPr>
            <w:r>
              <w:rPr>
                <w:color w:val="1C3A36"/>
                <w:sz w:val="16"/>
              </w:rPr>
              <w:t>593</w:t>
            </w:r>
          </w:p>
        </w:tc>
        <w:tc>
          <w:tcPr>
            <w:tcW w:type="dxa" w:w="3672"/>
          </w:tcPr>
          <w:p>
            <w:pPr>
              <w:spacing w:after="20"/>
            </w:pPr>
            <w:r>
              <w:rPr>
                <w:color w:val="1C3A36"/>
                <w:sz w:val="16"/>
              </w:rPr>
            </w:r>
          </w:p>
        </w:tc>
      </w:tr>
      <w:tr>
        <w:trPr>
          <w:cantSplit/>
        </w:trPr>
        <w:tc>
          <w:tcPr>
            <w:tcW w:type="dxa" w:w="4320"/>
          </w:tcPr>
          <w:p>
            <w:pPr>
              <w:spacing w:after="20"/>
            </w:pPr>
            <w:r>
              <w:rPr>
                <w:color w:val="1C3A36"/>
                <w:sz w:val="16"/>
              </w:rPr>
              <w:t>Other revenue (EGP m)</w:t>
            </w:r>
          </w:p>
        </w:tc>
        <w:tc>
          <w:tcPr>
            <w:tcW w:type="dxa" w:w="1944"/>
          </w:tcPr>
          <w:p>
            <w:pPr>
              <w:spacing w:after="20"/>
              <w:jc w:val="right"/>
            </w:pPr>
            <w:r>
              <w:rPr>
                <w:color w:val="1C3A36"/>
                <w:sz w:val="16"/>
              </w:rPr>
              <w:t>140</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REVENUE (EGP m)</w:t>
            </w:r>
          </w:p>
        </w:tc>
        <w:tc>
          <w:tcPr>
            <w:tcW w:type="dxa" w:w="1944"/>
          </w:tcPr>
          <w:p>
            <w:pPr>
              <w:spacing w:after="20"/>
              <w:jc w:val="right"/>
            </w:pPr>
            <w:r>
              <w:rPr>
                <w:color w:val="1C3A36"/>
                <w:sz w:val="16"/>
              </w:rPr>
              <w:t>10,429</w:t>
            </w:r>
          </w:p>
        </w:tc>
        <w:tc>
          <w:tcPr>
            <w:tcW w:type="dxa" w:w="3672"/>
          </w:tcPr>
          <w:p>
            <w:pPr>
              <w:spacing w:after="20"/>
            </w:pPr>
            <w:r>
              <w:rPr>
                <w:color w:val="1C3A36"/>
                <w:sz w:val="16"/>
              </w:rPr>
            </w:r>
          </w:p>
        </w:tc>
      </w:tr>
      <w:tr>
        <w:trPr>
          <w:cantSplit/>
        </w:trPr>
        <w:tc>
          <w:tcPr>
            <w:tcW w:type="dxa" w:w="4320"/>
          </w:tcPr>
          <w:p>
            <w:pPr>
              <w:spacing w:after="20"/>
            </w:pPr>
            <w:r>
              <w:rPr>
                <w:color w:val="1C3A36"/>
                <w:sz w:val="16"/>
              </w:rPr>
              <w:t>Natural gas (EGP m)</w:t>
            </w:r>
          </w:p>
        </w:tc>
        <w:tc>
          <w:tcPr>
            <w:tcW w:type="dxa" w:w="1944"/>
          </w:tcPr>
          <w:p>
            <w:pPr>
              <w:spacing w:after="20"/>
              <w:jc w:val="right"/>
            </w:pPr>
            <w:r>
              <w:rPr>
                <w:color w:val="1C3A36"/>
                <w:sz w:val="16"/>
              </w:rPr>
              <w:t>-3,998</w:t>
            </w:r>
          </w:p>
        </w:tc>
        <w:tc>
          <w:tcPr>
            <w:tcW w:type="dxa" w:w="3672"/>
          </w:tcPr>
          <w:p>
            <w:pPr>
              <w:spacing w:after="20"/>
            </w:pPr>
            <w:r>
              <w:rPr>
                <w:color w:val="1C3A36"/>
                <w:sz w:val="16"/>
              </w:rPr>
              <w:t>consumption x price x the rate</w:t>
            </w:r>
          </w:p>
        </w:tc>
      </w:tr>
      <w:tr>
        <w:trPr>
          <w:cantSplit/>
        </w:trPr>
        <w:tc>
          <w:tcPr>
            <w:tcW w:type="dxa" w:w="4320"/>
          </w:tcPr>
          <w:p>
            <w:pPr>
              <w:spacing w:after="20"/>
            </w:pPr>
            <w:r>
              <w:rPr>
                <w:color w:val="1C3A36"/>
                <w:sz w:val="16"/>
              </w:rPr>
              <w:t>Other materials (EGP m)</w:t>
            </w:r>
          </w:p>
        </w:tc>
        <w:tc>
          <w:tcPr>
            <w:tcW w:type="dxa" w:w="1944"/>
          </w:tcPr>
          <w:p>
            <w:pPr>
              <w:spacing w:after="20"/>
              <w:jc w:val="right"/>
            </w:pPr>
            <w:r>
              <w:rPr>
                <w:color w:val="1C3A36"/>
                <w:sz w:val="16"/>
              </w:rPr>
              <w:t>-1,276</w:t>
            </w:r>
          </w:p>
        </w:tc>
        <w:tc>
          <w:tcPr>
            <w:tcW w:type="dxa" w:w="3672"/>
          </w:tcPr>
          <w:p>
            <w:pPr>
              <w:spacing w:after="20"/>
            </w:pPr>
            <w:r>
              <w:rPr>
                <w:color w:val="1C3A36"/>
                <w:sz w:val="16"/>
              </w:rPr>
            </w:r>
          </w:p>
        </w:tc>
      </w:tr>
      <w:tr>
        <w:trPr>
          <w:cantSplit/>
        </w:trPr>
        <w:tc>
          <w:tcPr>
            <w:tcW w:type="dxa" w:w="4320"/>
          </w:tcPr>
          <w:p>
            <w:pPr>
              <w:spacing w:after="20"/>
            </w:pPr>
            <w:r>
              <w:rPr>
                <w:color w:val="1C3A36"/>
                <w:sz w:val="16"/>
              </w:rPr>
              <w:t>Wages (EGP m)</w:t>
            </w:r>
          </w:p>
        </w:tc>
        <w:tc>
          <w:tcPr>
            <w:tcW w:type="dxa" w:w="1944"/>
          </w:tcPr>
          <w:p>
            <w:pPr>
              <w:spacing w:after="20"/>
              <w:jc w:val="right"/>
            </w:pPr>
            <w:r>
              <w:rPr>
                <w:color w:val="1C3A36"/>
                <w:sz w:val="16"/>
              </w:rPr>
              <w:t>-234</w:t>
            </w:r>
          </w:p>
        </w:tc>
        <w:tc>
          <w:tcPr>
            <w:tcW w:type="dxa" w:w="3672"/>
          </w:tcPr>
          <w:p>
            <w:pPr>
              <w:spacing w:after="20"/>
            </w:pPr>
            <w:r>
              <w:rPr>
                <w:color w:val="1C3A36"/>
                <w:sz w:val="16"/>
              </w:rPr>
            </w:r>
          </w:p>
        </w:tc>
      </w:tr>
      <w:tr>
        <w:trPr>
          <w:cantSplit/>
        </w:trPr>
        <w:tc>
          <w:tcPr>
            <w:tcW w:type="dxa" w:w="4320"/>
          </w:tcPr>
          <w:p>
            <w:pPr>
              <w:spacing w:after="20"/>
            </w:pPr>
            <w:r>
              <w:rPr>
                <w:color w:val="1C3A36"/>
                <w:sz w:val="16"/>
              </w:rPr>
              <w:t>Purchased services (EGP m)</w:t>
            </w:r>
          </w:p>
        </w:tc>
        <w:tc>
          <w:tcPr>
            <w:tcW w:type="dxa" w:w="1944"/>
          </w:tcPr>
          <w:p>
            <w:pPr>
              <w:spacing w:after="20"/>
              <w:jc w:val="right"/>
            </w:pPr>
            <w:r>
              <w:rPr>
                <w:color w:val="1C3A36"/>
                <w:sz w:val="16"/>
              </w:rPr>
              <w:t>-69</w:t>
            </w:r>
          </w:p>
        </w:tc>
        <w:tc>
          <w:tcPr>
            <w:tcW w:type="dxa" w:w="3672"/>
          </w:tcPr>
          <w:p>
            <w:pPr>
              <w:spacing w:after="20"/>
            </w:pPr>
            <w:r>
              <w:rPr>
                <w:color w:val="1C3A36"/>
                <w:sz w:val="16"/>
              </w:rPr>
            </w:r>
          </w:p>
        </w:tc>
      </w:tr>
      <w:tr>
        <w:trPr>
          <w:cantSplit/>
        </w:trPr>
        <w:tc>
          <w:tcPr>
            <w:tcW w:type="dxa" w:w="4320"/>
          </w:tcPr>
          <w:p>
            <w:pPr>
              <w:spacing w:after="20"/>
            </w:pPr>
            <w:r>
              <w:rPr>
                <w:color w:val="1C3A36"/>
                <w:sz w:val="16"/>
              </w:rPr>
              <w:t>Inland freight (EGP m)</w:t>
            </w:r>
          </w:p>
        </w:tc>
        <w:tc>
          <w:tcPr>
            <w:tcW w:type="dxa" w:w="1944"/>
          </w:tcPr>
          <w:p>
            <w:pPr>
              <w:spacing w:after="20"/>
              <w:jc w:val="right"/>
            </w:pPr>
            <w:r>
              <w:rPr>
                <w:color w:val="1C3A36"/>
                <w:sz w:val="16"/>
              </w:rPr>
              <w:t>-662</w:t>
            </w:r>
          </w:p>
        </w:tc>
        <w:tc>
          <w:tcPr>
            <w:tcW w:type="dxa" w:w="3672"/>
          </w:tcPr>
          <w:p>
            <w:pPr>
              <w:spacing w:after="20"/>
            </w:pPr>
            <w:r>
              <w:rPr>
                <w:color w:val="1C3A36"/>
                <w:sz w:val="16"/>
              </w:rPr>
            </w:r>
          </w:p>
        </w:tc>
      </w:tr>
      <w:tr>
        <w:trPr>
          <w:cantSplit/>
        </w:trPr>
        <w:tc>
          <w:tcPr>
            <w:tcW w:type="dxa" w:w="4320"/>
          </w:tcPr>
          <w:p>
            <w:pPr>
              <w:spacing w:after="20"/>
            </w:pPr>
            <w:r>
              <w:rPr>
                <w:color w:val="1C3A36"/>
                <w:sz w:val="16"/>
              </w:rPr>
              <w:t>Other selling (EGP m)</w:t>
            </w:r>
          </w:p>
        </w:tc>
        <w:tc>
          <w:tcPr>
            <w:tcW w:type="dxa" w:w="1944"/>
          </w:tcPr>
          <w:p>
            <w:pPr>
              <w:spacing w:after="20"/>
              <w:jc w:val="right"/>
            </w:pPr>
            <w:r>
              <w:rPr>
                <w:color w:val="1C3A36"/>
                <w:sz w:val="16"/>
              </w:rPr>
              <w:t>-194</w:t>
            </w:r>
          </w:p>
        </w:tc>
        <w:tc>
          <w:tcPr>
            <w:tcW w:type="dxa" w:w="3672"/>
          </w:tcPr>
          <w:p>
            <w:pPr>
              <w:spacing w:after="20"/>
            </w:pPr>
            <w:r>
              <w:rPr>
                <w:color w:val="1C3A36"/>
                <w:sz w:val="16"/>
              </w:rPr>
            </w:r>
          </w:p>
        </w:tc>
      </w:tr>
      <w:tr>
        <w:trPr>
          <w:cantSplit/>
        </w:trPr>
        <w:tc>
          <w:tcPr>
            <w:tcW w:type="dxa" w:w="4320"/>
          </w:tcPr>
          <w:p>
            <w:pPr>
              <w:spacing w:after="20"/>
            </w:pPr>
            <w:r>
              <w:rPr>
                <w:color w:val="1C3A36"/>
                <w:sz w:val="16"/>
              </w:rPr>
              <w:t>Administration (EGP m)</w:t>
            </w:r>
          </w:p>
        </w:tc>
        <w:tc>
          <w:tcPr>
            <w:tcW w:type="dxa" w:w="1944"/>
          </w:tcPr>
          <w:p>
            <w:pPr>
              <w:spacing w:after="20"/>
              <w:jc w:val="right"/>
            </w:pPr>
            <w:r>
              <w:rPr>
                <w:color w:val="1C3A36"/>
                <w:sz w:val="16"/>
              </w:rPr>
              <w:t>-396</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EBITDA (EGP m)</w:t>
            </w:r>
          </w:p>
        </w:tc>
        <w:tc>
          <w:tcPr>
            <w:tcW w:type="dxa" w:w="1944"/>
          </w:tcPr>
          <w:p>
            <w:pPr>
              <w:spacing w:after="20"/>
              <w:jc w:val="right"/>
            </w:pPr>
            <w:r>
              <w:rPr>
                <w:color w:val="1C3A36"/>
                <w:sz w:val="16"/>
              </w:rPr>
              <w:t>3,601</w:t>
            </w:r>
          </w:p>
        </w:tc>
        <w:tc>
          <w:tcPr>
            <w:tcW w:type="dxa" w:w="3672"/>
          </w:tcPr>
          <w:p>
            <w:pPr>
              <w:spacing w:after="20"/>
            </w:pPr>
            <w:r>
              <w:rPr>
                <w:color w:val="1C3A36"/>
                <w:sz w:val="16"/>
              </w:rPr>
            </w:r>
          </w:p>
        </w:tc>
      </w:tr>
      <w:tr>
        <w:trPr>
          <w:cantSplit/>
        </w:trPr>
        <w:tc>
          <w:tcPr>
            <w:tcW w:type="dxa" w:w="4320"/>
          </w:tcPr>
          <w:p>
            <w:pPr>
              <w:spacing w:after="20"/>
            </w:pPr>
            <w:r>
              <w:rPr>
                <w:color w:val="1C3A36"/>
                <w:sz w:val="16"/>
              </w:rPr>
              <w:t>Depreciation and amortisation (EGP m)</w:t>
            </w:r>
          </w:p>
        </w:tc>
        <w:tc>
          <w:tcPr>
            <w:tcW w:type="dxa" w:w="1944"/>
          </w:tcPr>
          <w:p>
            <w:pPr>
              <w:spacing w:after="20"/>
              <w:jc w:val="right"/>
            </w:pPr>
            <w:r>
              <w:rPr>
                <w:color w:val="1C3A36"/>
                <w:sz w:val="16"/>
              </w:rPr>
              <w:t>-891</w:t>
            </w:r>
          </w:p>
        </w:tc>
        <w:tc>
          <w:tcPr>
            <w:tcW w:type="dxa" w:w="3672"/>
          </w:tcPr>
          <w:p>
            <w:pPr>
              <w:spacing w:after="20"/>
            </w:pPr>
            <w:r>
              <w:rPr>
                <w:color w:val="1C3A36"/>
                <w:sz w:val="16"/>
              </w:rPr>
            </w:r>
          </w:p>
        </w:tc>
      </w:tr>
      <w:tr>
        <w:trPr>
          <w:cantSplit/>
        </w:trPr>
        <w:tc>
          <w:tcPr>
            <w:tcW w:type="dxa" w:w="4320"/>
          </w:tcPr>
          <w:p>
            <w:pPr>
              <w:spacing w:after="20"/>
            </w:pPr>
            <w:r>
              <w:rPr>
                <w:color w:val="1C3A36"/>
                <w:sz w:val="16"/>
              </w:rPr>
              <w:t>Tax at the statutory rate</w:t>
            </w:r>
          </w:p>
        </w:tc>
        <w:tc>
          <w:tcPr>
            <w:tcW w:type="dxa" w:w="1944"/>
          </w:tcPr>
          <w:p>
            <w:pPr>
              <w:spacing w:after="20"/>
              <w:jc w:val="right"/>
            </w:pPr>
            <w:r>
              <w:rPr>
                <w:color w:val="1C3A36"/>
                <w:sz w:val="16"/>
              </w:rPr>
              <w:t>-610</w:t>
            </w:r>
          </w:p>
        </w:tc>
        <w:tc>
          <w:tcPr>
            <w:tcW w:type="dxa" w:w="3672"/>
          </w:tcPr>
          <w:p>
            <w:pPr>
              <w:spacing w:after="20"/>
            </w:pPr>
            <w:r>
              <w:rPr>
                <w:color w:val="1C3A36"/>
                <w:sz w:val="16"/>
              </w:rPr>
            </w:r>
          </w:p>
        </w:tc>
      </w:tr>
      <w:tr>
        <w:trPr>
          <w:cantSplit/>
        </w:trPr>
        <w:tc>
          <w:tcPr>
            <w:tcW w:type="dxa" w:w="4320"/>
          </w:tcPr>
          <w:p>
            <w:pPr>
              <w:spacing w:after="20"/>
            </w:pPr>
            <w:r>
              <w:rPr>
                <w:color w:val="1C3A36"/>
                <w:sz w:val="16"/>
              </w:rPr>
              <w:t>MID-CYCLE OPERATING PROFIT AFTER TAX (EGP m)</w:t>
            </w:r>
          </w:p>
        </w:tc>
        <w:tc>
          <w:tcPr>
            <w:tcW w:type="dxa" w:w="1944"/>
          </w:tcPr>
          <w:p>
            <w:pPr>
              <w:spacing w:after="20"/>
              <w:jc w:val="right"/>
            </w:pPr>
            <w:r>
              <w:rPr>
                <w:color w:val="1C3A36"/>
                <w:sz w:val="16"/>
              </w:rPr>
              <w:t>2,100</w:t>
            </w:r>
          </w:p>
        </w:tc>
        <w:tc>
          <w:tcPr>
            <w:tcW w:type="dxa" w:w="3672"/>
          </w:tcPr>
          <w:p>
            <w:pPr>
              <w:spacing w:after="20"/>
            </w:pPr>
            <w:r>
              <w:rPr>
                <w:color w:val="1C3A36"/>
                <w:sz w:val="16"/>
              </w:rPr>
            </w:r>
          </w:p>
        </w:tc>
      </w:tr>
      <w:tr>
        <w:trPr>
          <w:cantSplit/>
        </w:trPr>
        <w:tc>
          <w:tcPr>
            <w:tcW w:type="dxa" w:w="4320"/>
          </w:tcPr>
          <w:p>
            <w:pPr>
              <w:spacing w:after="20"/>
            </w:pPr>
            <w:r>
              <w:rPr>
                <w:color w:val="1C3A36"/>
                <w:sz w:val="16"/>
              </w:rPr>
              <w:t>At ten times — enterprise value (EGP m)</w:t>
            </w:r>
          </w:p>
        </w:tc>
        <w:tc>
          <w:tcPr>
            <w:tcW w:type="dxa" w:w="1944"/>
          </w:tcPr>
          <w:p>
            <w:pPr>
              <w:spacing w:after="20"/>
              <w:jc w:val="right"/>
            </w:pPr>
            <w:r>
              <w:rPr>
                <w:color w:val="1C3A36"/>
                <w:sz w:val="16"/>
              </w:rPr>
              <w:t>21,003</w:t>
            </w:r>
          </w:p>
        </w:tc>
        <w:tc>
          <w:tcPr>
            <w:tcW w:type="dxa" w:w="3672"/>
          </w:tcPr>
          <w:p>
            <w:pPr>
              <w:spacing w:after="20"/>
            </w:pPr>
            <w:r>
              <w:rPr>
                <w:color w:val="1C3A36"/>
                <w:sz w:val="16"/>
              </w:rPr>
            </w:r>
          </w:p>
        </w:tc>
      </w:tr>
      <w:tr>
        <w:trPr>
          <w:cantSplit/>
        </w:trPr>
        <w:tc>
          <w:tcPr>
            <w:tcW w:type="dxa" w:w="4320"/>
          </w:tcPr>
          <w:p>
            <w:pPr>
              <w:spacing w:after="20"/>
            </w:pPr>
            <w:r>
              <w:rPr>
                <w:color w:val="1C3A36"/>
                <w:sz w:val="16"/>
              </w:rPr>
              <w:t>Less net debt (EGP m)</w:t>
            </w:r>
          </w:p>
        </w:tc>
        <w:tc>
          <w:tcPr>
            <w:tcW w:type="dxa" w:w="1944"/>
          </w:tcPr>
          <w:p>
            <w:pPr>
              <w:spacing w:after="20"/>
              <w:jc w:val="right"/>
            </w:pPr>
            <w:r>
              <w:rPr>
                <w:color w:val="1C3A36"/>
                <w:sz w:val="16"/>
              </w:rPr>
              <w:t>-10,032</w:t>
            </w:r>
          </w:p>
        </w:tc>
        <w:tc>
          <w:tcPr>
            <w:tcW w:type="dxa" w:w="3672"/>
          </w:tcPr>
          <w:p>
            <w:pPr>
              <w:spacing w:after="20"/>
            </w:pPr>
            <w:r>
              <w:rPr>
                <w:color w:val="1C3A36"/>
                <w:sz w:val="16"/>
              </w:rPr>
            </w:r>
          </w:p>
        </w:tc>
      </w:tr>
      <w:tr>
        <w:trPr>
          <w:cantSplit/>
        </w:trPr>
        <w:tc>
          <w:tcPr>
            <w:tcW w:type="dxa" w:w="4320"/>
          </w:tcPr>
          <w:p>
            <w:pPr>
              <w:spacing w:after="20"/>
            </w:pPr>
            <w:r>
              <w:rPr>
                <w:color w:val="1C3A36"/>
                <w:sz w:val="16"/>
              </w:rPr>
              <w:t>Plus non-operating assets (EGP m)</w:t>
            </w:r>
          </w:p>
        </w:tc>
        <w:tc>
          <w:tcPr>
            <w:tcW w:type="dxa" w:w="1944"/>
          </w:tcPr>
          <w:p>
            <w:pPr>
              <w:spacing w:after="20"/>
              <w:jc w:val="right"/>
            </w:pPr>
            <w:r>
              <w:rPr>
                <w:color w:val="1C3A36"/>
                <w:sz w:val="16"/>
              </w:rPr>
              <w:t>3,664</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7.37</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33.  Expert 2's workings in full — every intermediate line, not a summary of them.</w:t>
      </w:r>
    </w:p>
    <w:p>
      <w:pPr>
        <w:spacing w:after="120" w:before="0"/>
      </w:pPr>
      <w:r>
        <w:rPr>
          <w:b/>
          <w:i w:val="0"/>
          <w:color w:val="1C3A36"/>
          <w:sz w:val="21"/>
        </w:rPr>
        <w:t>Range: EGP 5.25 to EGP 9.48 a share.</w:t>
      </w:r>
    </w:p>
    <w:p>
      <w:pPr>
        <w:spacing w:after="120" w:before="0"/>
      </w:pPr>
      <w:r>
        <w:rPr>
          <w:b w:val="0"/>
          <w:i w:val="0"/>
          <w:color w:val="1C3A36"/>
          <w:sz w:val="19"/>
        </w:rPr>
        <w:t>Reading it.  The middle reading, and the one closest to a conventional analyst's answer. It credits an ordinary year — EGP 10,429m of revenue and EGP 3,601m of operating profit before depreciation — and capitalises the after-tax result at ten times. Its blind spot is stated in its own worldview: a normalised year is a steady state, and this company is not in one. The capital programme sits entirely outside this table. Read strictly, this expert is valuing the plant that exists, and the reader who wants the whole company should subtract the programme's cost separately — which is what the cash-flow lens does inside a single model.</w:t>
      </w:r>
    </w:p>
    <w:p>
      <w:pPr>
        <w:spacing w:after="120" w:before="0"/>
      </w:pPr>
      <w:r>
        <w:rPr>
          <w:b w:val="0"/>
          <w:i w:val="0"/>
          <w:color w:val="1C3A36"/>
          <w:sz w:val="19"/>
        </w:rPr>
        <w:t>Named sensitivity.  The multiple is the swing factor: eight times gives EGP 5.25, twelve times EGP 9.48. The mid-cycle price matters almost as much — every US$50 a tonne is worth roughly a pound a share.</w:t>
      </w:r>
    </w:p>
    <w:p>
      <w:pPr>
        <w:spacing w:after="120" w:before="0"/>
      </w:pPr>
      <w:r>
        <w:rPr>
          <w:b w:val="0"/>
          <w:i/>
          <w:color w:val="1C3A36"/>
          <w:sz w:val="19"/>
        </w:rPr>
        <w:t>Falsifier, stated in advance.  Two consecutive years of EBITDA above EGP 4 billion with the capital programme funded out of operating cash flow. That would show the normalisation is too harsh and the multiple too low.</w:t>
      </w:r>
    </w:p>
    <w:p>
      <w:pPr>
        <w:keepNext/>
        <w:spacing w:after="80" w:before="200"/>
      </w:pPr>
      <w:r>
        <w:rPr>
          <w:b/>
          <w:i w:val="0"/>
          <w:color w:val="1C3A36"/>
          <w:sz w:val="24"/>
        </w:rPr>
        <w:t>C.3  Expert 3 — The equity as a contingent claim</w:t>
      </w:r>
    </w:p>
    <w:p>
      <w:pPr>
        <w:spacing w:after="120" w:before="0"/>
      </w:pPr>
      <w:r>
        <w:rPr>
          <w:b w:val="0"/>
          <w:i w:val="0"/>
          <w:color w:val="1C3A36"/>
          <w:sz w:val="21"/>
        </w:rPr>
        <w:t>Worldview.  When the value of the firm sits below the face value of its debt, the equity is not a claim on cash flows. It is an option on the assets, and a discounted-cash-flow model understates it because it ignores the shareholder's right to walk away.</w:t>
      </w:r>
    </w:p>
    <w:p>
      <w:pPr>
        <w:spacing w:after="120" w:before="0"/>
      </w:pPr>
      <w:r>
        <w:rPr>
          <w:b w:val="0"/>
          <w:i w:val="0"/>
          <w:color w:val="1C3A36"/>
          <w:sz w:val="19"/>
        </w:rPr>
        <w:t>When it works.  For a leveraged, volatile business whose enterprise value is near or below its debt — precisely this situation.</w:t>
      </w:r>
    </w:p>
    <w:p>
      <w:pPr>
        <w:spacing w:after="120" w:before="0"/>
      </w:pPr>
      <w:r>
        <w:rPr>
          <w:b w:val="0"/>
          <w:i w:val="0"/>
          <w:color w:val="1C3A36"/>
          <w:sz w:val="19"/>
        </w:rPr>
        <w:t>When it fails.  When the option holder cannot choose when to exercise, when further capital calls dilute the position, or when the enterprise comfortably covers its debt.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1944"/>
        <w:gridCol w:w="3672"/>
      </w:tblGrid>
      <w:tr>
        <w:trPr>
          <w:cantSplit/>
          <w:tblHeader/>
        </w:trPr>
        <w:tc>
          <w:tcPr>
            <w:tcW w:type="dxa" w:w="4320"/>
            <w:shd w:val="clear" w:color="auto" w:fill="EAF0EE"/>
          </w:tcPr>
          <w:p>
            <w:pPr>
              <w:spacing w:after="20"/>
            </w:pPr>
            <w:r>
              <w:rPr>
                <w:b/>
                <w:color w:val="1C3A36"/>
                <w:sz w:val="16"/>
              </w:rPr>
              <w:t>Line</w:t>
            </w:r>
          </w:p>
        </w:tc>
        <w:tc>
          <w:tcPr>
            <w:tcW w:type="dxa" w:w="1944"/>
            <w:shd w:val="clear" w:color="auto" w:fill="EAF0EE"/>
          </w:tcPr>
          <w:p>
            <w:pPr>
              <w:spacing w:after="20"/>
            </w:pPr>
            <w:r>
              <w:rPr>
                <w:b/>
                <w:color w:val="1C3A36"/>
                <w:sz w:val="16"/>
              </w:rPr>
              <w:t>Value</w:t>
            </w:r>
          </w:p>
        </w:tc>
        <w:tc>
          <w:tcPr>
            <w:tcW w:type="dxa" w:w="3672"/>
            <w:shd w:val="clear" w:color="auto" w:fill="EAF0EE"/>
          </w:tcPr>
          <w:p>
            <w:pPr>
              <w:spacing w:after="20"/>
            </w:pPr>
            <w:r>
              <w:rPr>
                <w:b/>
                <w:color w:val="1C3A36"/>
                <w:sz w:val="16"/>
              </w:rPr>
              <w:t>Basis</w:t>
            </w:r>
          </w:p>
        </w:tc>
      </w:tr>
      <w:tr>
        <w:trPr>
          <w:cantSplit/>
        </w:trPr>
        <w:tc>
          <w:tcPr>
            <w:tcW w:type="dxa" w:w="4320"/>
          </w:tcPr>
          <w:p>
            <w:pPr>
              <w:spacing w:after="20"/>
            </w:pPr>
            <w:r>
              <w:rPr>
                <w:color w:val="1C3A36"/>
                <w:sz w:val="16"/>
              </w:rPr>
              <w:t>Enterprise value including non-operating assets (EGP m)</w:t>
            </w:r>
          </w:p>
        </w:tc>
        <w:tc>
          <w:tcPr>
            <w:tcW w:type="dxa" w:w="1944"/>
          </w:tcPr>
          <w:p>
            <w:pPr>
              <w:spacing w:after="20"/>
              <w:jc w:val="right"/>
            </w:pPr>
            <w:r>
              <w:rPr>
                <w:color w:val="1C3A36"/>
                <w:sz w:val="16"/>
              </w:rPr>
              <w:t>28,379</w:t>
            </w:r>
          </w:p>
        </w:tc>
        <w:tc>
          <w:tcPr>
            <w:tcW w:type="dxa" w:w="3672"/>
          </w:tcPr>
          <w:p>
            <w:pPr>
              <w:spacing w:after="20"/>
            </w:pPr>
            <w:r>
              <w:rPr>
                <w:color w:val="1C3A36"/>
                <w:sz w:val="16"/>
              </w:rPr>
              <w:t>the underlying</w:t>
            </w:r>
          </w:p>
        </w:tc>
      </w:tr>
      <w:tr>
        <w:trPr>
          <w:cantSplit/>
        </w:trPr>
        <w:tc>
          <w:tcPr>
            <w:tcW w:type="dxa" w:w="4320"/>
          </w:tcPr>
          <w:p>
            <w:pPr>
              <w:spacing w:after="20"/>
            </w:pPr>
            <w:r>
              <w:rPr>
                <w:color w:val="1C3A36"/>
                <w:sz w:val="16"/>
              </w:rPr>
              <w:t>Gross debt — the strike (EGP m)</w:t>
            </w:r>
          </w:p>
        </w:tc>
        <w:tc>
          <w:tcPr>
            <w:tcW w:type="dxa" w:w="1944"/>
          </w:tcPr>
          <w:p>
            <w:pPr>
              <w:spacing w:after="20"/>
              <w:jc w:val="right"/>
            </w:pPr>
            <w:r>
              <w:rPr>
                <w:color w:val="1C3A36"/>
                <w:sz w:val="16"/>
              </w:rPr>
              <w:t>14,639</w:t>
            </w:r>
          </w:p>
        </w:tc>
        <w:tc>
          <w:tcPr>
            <w:tcW w:type="dxa" w:w="3672"/>
          </w:tcPr>
          <w:p>
            <w:pPr>
              <w:spacing w:after="20"/>
            </w:pPr>
            <w:r>
              <w:rPr>
                <w:color w:val="1C3A36"/>
                <w:sz w:val="16"/>
              </w:rPr>
              <w:t>31 March 2026</w:t>
            </w:r>
          </w:p>
        </w:tc>
      </w:tr>
      <w:tr>
        <w:trPr>
          <w:cantSplit/>
        </w:trPr>
        <w:tc>
          <w:tcPr>
            <w:tcW w:type="dxa" w:w="4320"/>
          </w:tcPr>
          <w:p>
            <w:pPr>
              <w:spacing w:after="20"/>
            </w:pPr>
            <w:r>
              <w:rPr>
                <w:color w:val="1C3A36"/>
                <w:sz w:val="16"/>
              </w:rPr>
              <w:t>Time to the last dollar maturity (years)</w:t>
            </w:r>
          </w:p>
        </w:tc>
        <w:tc>
          <w:tcPr>
            <w:tcW w:type="dxa" w:w="1944"/>
          </w:tcPr>
          <w:p>
            <w:pPr>
              <w:spacing w:after="20"/>
              <w:jc w:val="right"/>
            </w:pPr>
            <w:r>
              <w:rPr>
                <w:color w:val="1C3A36"/>
                <w:sz w:val="16"/>
              </w:rPr>
              <w:t>5.00</w:t>
            </w:r>
          </w:p>
        </w:tc>
        <w:tc>
          <w:tcPr>
            <w:tcW w:type="dxa" w:w="3672"/>
          </w:tcPr>
          <w:p>
            <w:pPr>
              <w:spacing w:after="20"/>
            </w:pPr>
            <w:r>
              <w:rPr>
                <w:color w:val="1C3A36"/>
                <w:sz w:val="16"/>
              </w:rPr>
              <w:t>discounted from 2035</w:t>
            </w:r>
          </w:p>
        </w:tc>
      </w:tr>
      <w:tr>
        <w:trPr>
          <w:cantSplit/>
        </w:trPr>
        <w:tc>
          <w:tcPr>
            <w:tcW w:type="dxa" w:w="4320"/>
          </w:tcPr>
          <w:p>
            <w:pPr>
              <w:spacing w:after="20"/>
            </w:pPr>
            <w:r>
              <w:rPr>
                <w:color w:val="1C3A36"/>
                <w:sz w:val="16"/>
              </w:rPr>
              <w:t>Enterprise volatility a year</w:t>
            </w:r>
          </w:p>
        </w:tc>
        <w:tc>
          <w:tcPr>
            <w:tcW w:type="dxa" w:w="1944"/>
          </w:tcPr>
          <w:p>
            <w:pPr>
              <w:spacing w:after="20"/>
              <w:jc w:val="right"/>
            </w:pPr>
            <w:r>
              <w:rPr>
                <w:color w:val="1C3A36"/>
                <w:sz w:val="16"/>
              </w:rPr>
              <w:t>45.0%</w:t>
            </w:r>
          </w:p>
        </w:tc>
        <w:tc>
          <w:tcPr>
            <w:tcW w:type="dxa" w:w="3672"/>
          </w:tcPr>
          <w:p>
            <w:pPr>
              <w:spacing w:after="20"/>
            </w:pPr>
            <w:r>
              <w:rPr>
                <w:color w:val="1C3A36"/>
                <w:sz w:val="16"/>
              </w:rPr>
              <w:t>the export price alone moved between US$380 and US$730 inside eighteen months</w:t>
            </w:r>
          </w:p>
        </w:tc>
      </w:tr>
      <w:tr>
        <w:trPr>
          <w:cantSplit/>
        </w:trPr>
        <w:tc>
          <w:tcPr>
            <w:tcW w:type="dxa" w:w="4320"/>
          </w:tcPr>
          <w:p>
            <w:pPr>
              <w:spacing w:after="20"/>
            </w:pPr>
            <w:r>
              <w:rPr>
                <w:color w:val="1C3A36"/>
                <w:sz w:val="16"/>
              </w:rPr>
              <w:t>Risk-free rate in pounds</w:t>
            </w:r>
          </w:p>
        </w:tc>
        <w:tc>
          <w:tcPr>
            <w:tcW w:type="dxa" w:w="1944"/>
          </w:tcPr>
          <w:p>
            <w:pPr>
              <w:spacing w:after="20"/>
              <w:jc w:val="right"/>
            </w:pPr>
            <w:r>
              <w:rPr>
                <w:color w:val="1C3A36"/>
                <w:sz w:val="16"/>
              </w:rPr>
              <w:t>20.0%</w:t>
            </w:r>
          </w:p>
        </w:tc>
        <w:tc>
          <w:tcPr>
            <w:tcW w:type="dxa" w:w="3672"/>
          </w:tcPr>
          <w:p>
            <w:pPr>
              <w:spacing w:after="20"/>
            </w:pPr>
            <w:r>
              <w:rPr>
                <w:color w:val="1C3A36"/>
                <w:sz w:val="16"/>
              </w:rPr>
            </w:r>
          </w:p>
        </w:tc>
      </w:tr>
      <w:tr>
        <w:trPr>
          <w:cantSplit/>
        </w:trPr>
        <w:tc>
          <w:tcPr>
            <w:tcW w:type="dxa" w:w="4320"/>
          </w:tcPr>
          <w:p>
            <w:pPr>
              <w:spacing w:after="20"/>
            </w:pPr>
            <w:r>
              <w:rPr>
                <w:color w:val="1C3A36"/>
                <w:sz w:val="16"/>
              </w:rPr>
              <w:t>Call value on those parameters (EGP m)</w:t>
            </w:r>
          </w:p>
        </w:tc>
        <w:tc>
          <w:tcPr>
            <w:tcW w:type="dxa" w:w="1944"/>
          </w:tcPr>
          <w:p>
            <w:pPr>
              <w:spacing w:after="20"/>
              <w:jc w:val="right"/>
            </w:pPr>
            <w:r>
              <w:rPr>
                <w:color w:val="1C3A36"/>
                <w:sz w:val="16"/>
              </w:rPr>
              <w:t>23,227</w:t>
            </w:r>
          </w:p>
        </w:tc>
        <w:tc>
          <w:tcPr>
            <w:tcW w:type="dxa" w:w="3672"/>
          </w:tcPr>
          <w:p>
            <w:pPr>
              <w:spacing w:after="20"/>
            </w:pPr>
            <w:r>
              <w:rPr>
                <w:color w:val="1C3A36"/>
                <w:sz w:val="16"/>
              </w:rPr>
            </w:r>
          </w:p>
        </w:tc>
      </w:tr>
      <w:tr>
        <w:trPr>
          <w:cantSplit/>
        </w:trPr>
        <w:tc>
          <w:tcPr>
            <w:tcW w:type="dxa" w:w="4320"/>
          </w:tcPr>
          <w:p>
            <w:pPr>
              <w:spacing w:after="20"/>
            </w:pPr>
            <w:r>
              <w:rPr>
                <w:color w:val="1C3A36"/>
                <w:sz w:val="16"/>
              </w:rPr>
              <w:t>At 35% volatility (EGP m)</w:t>
            </w:r>
          </w:p>
        </w:tc>
        <w:tc>
          <w:tcPr>
            <w:tcW w:type="dxa" w:w="1944"/>
          </w:tcPr>
          <w:p>
            <w:pPr>
              <w:spacing w:after="20"/>
              <w:jc w:val="right"/>
            </w:pPr>
            <w:r>
              <w:rPr>
                <w:color w:val="1C3A36"/>
                <w:sz w:val="16"/>
              </w:rPr>
              <w:t>23,049</w:t>
            </w:r>
          </w:p>
        </w:tc>
        <w:tc>
          <w:tcPr>
            <w:tcW w:type="dxa" w:w="3672"/>
          </w:tcPr>
          <w:p>
            <w:pPr>
              <w:spacing w:after="20"/>
            </w:pPr>
            <w:r>
              <w:rPr>
                <w:color w:val="1C3A36"/>
                <w:sz w:val="16"/>
              </w:rPr>
            </w:r>
          </w:p>
        </w:tc>
      </w:tr>
      <w:tr>
        <w:trPr>
          <w:cantSplit/>
        </w:trPr>
        <w:tc>
          <w:tcPr>
            <w:tcW w:type="dxa" w:w="4320"/>
          </w:tcPr>
          <w:p>
            <w:pPr>
              <w:spacing w:after="20"/>
            </w:pPr>
            <w:r>
              <w:rPr>
                <w:color w:val="1C3A36"/>
                <w:sz w:val="16"/>
              </w:rPr>
              <w:t>At 55% volatility (EGP m)</w:t>
            </w:r>
          </w:p>
        </w:tc>
        <w:tc>
          <w:tcPr>
            <w:tcW w:type="dxa" w:w="1944"/>
          </w:tcPr>
          <w:p>
            <w:pPr>
              <w:spacing w:after="20"/>
              <w:jc w:val="right"/>
            </w:pPr>
            <w:r>
              <w:rPr>
                <w:color w:val="1C3A36"/>
                <w:sz w:val="16"/>
              </w:rPr>
              <w:t>23,537</w:t>
            </w:r>
          </w:p>
        </w:tc>
        <w:tc>
          <w:tcPr>
            <w:tcW w:type="dxa" w:w="3672"/>
          </w:tcPr>
          <w:p>
            <w:pPr>
              <w:spacing w:after="20"/>
            </w:pPr>
            <w:r>
              <w:rPr>
                <w:color w:val="1C3A36"/>
                <w:sz w:val="16"/>
              </w:rPr>
            </w:r>
          </w:p>
        </w:tc>
      </w:tr>
      <w:tr>
        <w:trPr>
          <w:cantSplit/>
        </w:trPr>
        <w:tc>
          <w:tcPr>
            <w:tcW w:type="dxa" w:w="4320"/>
          </w:tcPr>
          <w:p>
            <w:pPr>
              <w:spacing w:after="20"/>
            </w:pPr>
            <w:r>
              <w:rPr>
                <w:color w:val="1C3A36"/>
                <w:sz w:val="16"/>
              </w:rPr>
              <w:t>Adjustment for forced timing and dilution</w:t>
            </w:r>
          </w:p>
        </w:tc>
        <w:tc>
          <w:tcPr>
            <w:tcW w:type="dxa" w:w="1944"/>
          </w:tcPr>
          <w:p>
            <w:pPr>
              <w:spacing w:after="20"/>
              <w:jc w:val="right"/>
            </w:pPr>
            <w:r>
              <w:rPr>
                <w:color w:val="1C3A36"/>
                <w:sz w:val="16"/>
              </w:rPr>
              <w:t>-25.0%</w:t>
            </w:r>
          </w:p>
        </w:tc>
        <w:tc>
          <w:tcPr>
            <w:tcW w:type="dxa" w:w="3672"/>
          </w:tcPr>
          <w:p>
            <w:pPr>
              <w:spacing w:after="20"/>
            </w:pPr>
            <w:r>
              <w:rPr>
                <w:color w:val="1C3A36"/>
                <w:sz w:val="16"/>
              </w:rPr>
            </w:r>
          </w:p>
        </w:tc>
      </w:tr>
      <w:tr>
        <w:trPr>
          <w:cantSplit/>
        </w:trPr>
        <w:tc>
          <w:tcPr>
            <w:tcW w:type="dxa" w:w="4320"/>
          </w:tcPr>
          <w:p>
            <w:pPr>
              <w:spacing w:after="20"/>
            </w:pPr>
            <w:r>
              <w:rPr>
                <w:color w:val="1C3A36"/>
                <w:sz w:val="16"/>
              </w:rPr>
              <w:t>Adjusted call value (EGP m)</w:t>
            </w:r>
          </w:p>
        </w:tc>
        <w:tc>
          <w:tcPr>
            <w:tcW w:type="dxa" w:w="1944"/>
          </w:tcPr>
          <w:p>
            <w:pPr>
              <w:spacing w:after="20"/>
              <w:jc w:val="right"/>
            </w:pPr>
            <w:r>
              <w:rPr>
                <w:color w:val="1C3A36"/>
                <w:sz w:val="16"/>
              </w:rPr>
              <w:t>17,420</w:t>
            </w:r>
          </w:p>
        </w:tc>
        <w:tc>
          <w:tcPr>
            <w:tcW w:type="dxa" w:w="3672"/>
          </w:tcPr>
          <w:p>
            <w:pPr>
              <w:spacing w:after="20"/>
            </w:pPr>
            <w:r>
              <w:rPr>
                <w:color w:val="1C3A36"/>
                <w:sz w:val="16"/>
              </w:rPr>
            </w:r>
          </w:p>
        </w:tc>
      </w:tr>
      <w:tr>
        <w:trPr>
          <w:cantSplit/>
        </w:trPr>
        <w:tc>
          <w:tcPr>
            <w:tcW w:type="dxa" w:w="4320"/>
          </w:tcPr>
          <w:p>
            <w:pPr>
              <w:spacing w:after="20"/>
            </w:pPr>
            <w:r>
              <w:rPr>
                <w:color w:val="1C3A36"/>
                <w:sz w:val="16"/>
              </w:rPr>
              <w:t>PER SHARE (EGP)</w:t>
            </w:r>
          </w:p>
        </w:tc>
        <w:tc>
          <w:tcPr>
            <w:tcW w:type="dxa" w:w="1944"/>
          </w:tcPr>
          <w:p>
            <w:pPr>
              <w:spacing w:after="20"/>
              <w:jc w:val="right"/>
            </w:pPr>
            <w:r>
              <w:rPr>
                <w:color w:val="1C3A36"/>
                <w:sz w:val="16"/>
              </w:rPr>
              <w:t>8.77</w:t>
            </w:r>
          </w:p>
        </w:tc>
        <w:tc>
          <w:tcPr>
            <w:tcW w:type="dxa" w:w="3672"/>
          </w:tcPr>
          <w:p>
            <w:pPr>
              <w:spacing w:after="20"/>
            </w:pPr>
            <w:r>
              <w:rPr>
                <w:color w:val="1C3A36"/>
                <w:sz w:val="16"/>
              </w:rPr>
            </w:r>
          </w:p>
        </w:tc>
      </w:tr>
    </w:tbl>
    <w:p>
      <w:pPr>
        <w:spacing w:after="40"/>
      </w:pPr>
    </w:p>
    <w:p>
      <w:pPr>
        <w:spacing w:after="200" w:before="0"/>
      </w:pPr>
      <w:r>
        <w:rPr>
          <w:b w:val="0"/>
          <w:i/>
          <w:color w:val="6E7B77"/>
          <w:sz w:val="17"/>
        </w:rPr>
        <w:t>Table 34.  Expert 3's workings in full — every intermediate line, not a summary of them.</w:t>
      </w:r>
    </w:p>
    <w:p>
      <w:pPr>
        <w:spacing w:after="120" w:before="0"/>
      </w:pPr>
      <w:r>
        <w:rPr>
          <w:b/>
          <w:i w:val="0"/>
          <w:color w:val="1C3A36"/>
          <w:sz w:val="21"/>
        </w:rPr>
        <w:t>Range: EGP 0.00 to EGP 8.89 a share.</w:t>
      </w:r>
    </w:p>
    <w:p>
      <w:pPr>
        <w:spacing w:after="120" w:before="0"/>
      </w:pPr>
      <w:r>
        <w:rPr>
          <w:b w:val="0"/>
          <w:i w:val="0"/>
          <w:color w:val="1C3A36"/>
          <w:sz w:val="19"/>
        </w:rPr>
        <w:t>On both sides of the contested judgement.  With the programme carried through the claim is worth EGP 8.77 a share (EGP 0.00 to 8.89 across the volatility range); with the programme stopped the enterprise value rises to EGP 35,406 million and the same claim is worth EGP 11.39 (EGP 11.34 to 11.49). The two are published side by side and never averaged.</w:t>
      </w:r>
    </w:p>
    <w:p>
      <w:pPr>
        <w:spacing w:after="120" w:before="0"/>
      </w:pPr>
      <w:r>
        <w:rPr>
          <w:b w:val="0"/>
          <w:i w:val="0"/>
          <w:color w:val="1C3A36"/>
          <w:sz w:val="19"/>
        </w:rPr>
        <w:t>Reading it.  The lowest and the widest of the three, and the only one that takes the debt seriously as a structural fact rather than as a subtraction. Enterprise value including the non-operating assets is EGP 28,379m against gross debt of EGP 14,639m, so the equity is out of the money on the model's own central case and its value is entirely time value. That is why the answer rises with volatility and with time, and why the grid below matters more than the point: at 30% volatility over three years the claim is worth EGP 7.69 a share, and at 60% over seven years EGP 9.57. A reader who finds it perverse that a worse business is worth more here has understood the method correctly: limited liability truncates the downside, so dispersion accrues to the holder. What the method cannot do is tell that holder when the option expires.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541"/>
        <w:gridCol w:w="1541"/>
        <w:gridCol w:w="1541"/>
        <w:gridCol w:w="1541"/>
        <w:gridCol w:w="1541"/>
      </w:tblGrid>
      <w:tr>
        <w:trPr>
          <w:cantSplit/>
          <w:tblHeader/>
        </w:trPr>
        <w:tc>
          <w:tcPr>
            <w:tcW w:type="dxa" w:w="2232"/>
            <w:shd w:val="clear" w:color="auto" w:fill="EAF0EE"/>
          </w:tcPr>
          <w:p>
            <w:pPr>
              <w:spacing w:after="20"/>
            </w:pPr>
            <w:r>
              <w:rPr>
                <w:b/>
                <w:color w:val="1C3A36"/>
                <w:sz w:val="17"/>
              </w:rPr>
              <w:t>Time to maturity</w:t>
            </w:r>
          </w:p>
        </w:tc>
        <w:tc>
          <w:tcPr>
            <w:tcW w:type="dxa" w:w="1541"/>
            <w:shd w:val="clear" w:color="auto" w:fill="EAF0EE"/>
          </w:tcPr>
          <w:p>
            <w:pPr>
              <w:spacing w:after="20"/>
            </w:pPr>
            <w:r>
              <w:rPr>
                <w:b/>
                <w:color w:val="1C3A36"/>
                <w:sz w:val="17"/>
              </w:rPr>
              <w:t>30% volatility</w:t>
            </w:r>
          </w:p>
        </w:tc>
        <w:tc>
          <w:tcPr>
            <w:tcW w:type="dxa" w:w="1541"/>
            <w:shd w:val="clear" w:color="auto" w:fill="EAF0EE"/>
          </w:tcPr>
          <w:p>
            <w:pPr>
              <w:spacing w:after="20"/>
            </w:pPr>
            <w:r>
              <w:rPr>
                <w:b/>
                <w:color w:val="1C3A36"/>
                <w:sz w:val="17"/>
              </w:rPr>
              <w:t>35% volatility</w:t>
            </w:r>
          </w:p>
        </w:tc>
        <w:tc>
          <w:tcPr>
            <w:tcW w:type="dxa" w:w="1541"/>
            <w:shd w:val="clear" w:color="auto" w:fill="EAF0EE"/>
          </w:tcPr>
          <w:p>
            <w:pPr>
              <w:spacing w:after="20"/>
            </w:pPr>
            <w:r>
              <w:rPr>
                <w:b/>
                <w:color w:val="1C3A36"/>
                <w:sz w:val="17"/>
              </w:rPr>
              <w:t>45% volatility</w:t>
            </w:r>
          </w:p>
        </w:tc>
        <w:tc>
          <w:tcPr>
            <w:tcW w:type="dxa" w:w="1541"/>
            <w:shd w:val="clear" w:color="auto" w:fill="EAF0EE"/>
          </w:tcPr>
          <w:p>
            <w:pPr>
              <w:spacing w:after="20"/>
            </w:pPr>
            <w:r>
              <w:rPr>
                <w:b/>
                <w:color w:val="1C3A36"/>
                <w:sz w:val="17"/>
              </w:rPr>
              <w:t>55% volatility</w:t>
            </w:r>
          </w:p>
        </w:tc>
        <w:tc>
          <w:tcPr>
            <w:tcW w:type="dxa" w:w="1541"/>
            <w:shd w:val="clear" w:color="auto" w:fill="EAF0EE"/>
          </w:tcPr>
          <w:p>
            <w:pPr>
              <w:spacing w:after="20"/>
            </w:pPr>
            <w:r>
              <w:rPr>
                <w:b/>
                <w:color w:val="1C3A36"/>
                <w:sz w:val="17"/>
              </w:rPr>
              <w:t>60% volatility</w:t>
            </w:r>
          </w:p>
        </w:tc>
      </w:tr>
      <w:tr>
        <w:trPr>
          <w:cantSplit/>
        </w:trPr>
        <w:tc>
          <w:tcPr>
            <w:tcW w:type="dxa" w:w="2232"/>
          </w:tcPr>
          <w:p>
            <w:pPr>
              <w:spacing w:after="20"/>
            </w:pPr>
            <w:r>
              <w:rPr>
                <w:color w:val="1C3A36"/>
                <w:sz w:val="17"/>
              </w:rPr>
              <w:t>3 years</w:t>
            </w:r>
          </w:p>
        </w:tc>
        <w:tc>
          <w:tcPr>
            <w:tcW w:type="dxa" w:w="1541"/>
          </w:tcPr>
          <w:p>
            <w:pPr>
              <w:spacing w:after="20"/>
              <w:jc w:val="right"/>
            </w:pPr>
            <w:r>
              <w:rPr>
                <w:color w:val="1C3A36"/>
                <w:sz w:val="17"/>
              </w:rPr>
              <w:t>7.69</w:t>
            </w:r>
          </w:p>
        </w:tc>
        <w:tc>
          <w:tcPr>
            <w:tcW w:type="dxa" w:w="1541"/>
          </w:tcPr>
          <w:p>
            <w:pPr>
              <w:spacing w:after="20"/>
              <w:jc w:val="right"/>
            </w:pPr>
            <w:r>
              <w:rPr>
                <w:color w:val="1C3A36"/>
                <w:sz w:val="17"/>
              </w:rPr>
              <w:t>7.70</w:t>
            </w:r>
          </w:p>
        </w:tc>
        <w:tc>
          <w:tcPr>
            <w:tcW w:type="dxa" w:w="1541"/>
          </w:tcPr>
          <w:p>
            <w:pPr>
              <w:spacing w:after="20"/>
              <w:jc w:val="right"/>
            </w:pPr>
            <w:r>
              <w:rPr>
                <w:color w:val="1C3A36"/>
                <w:sz w:val="17"/>
              </w:rPr>
              <w:t>7.77</w:t>
            </w:r>
          </w:p>
        </w:tc>
        <w:tc>
          <w:tcPr>
            <w:tcW w:type="dxa" w:w="1541"/>
          </w:tcPr>
          <w:p>
            <w:pPr>
              <w:spacing w:after="20"/>
              <w:jc w:val="right"/>
            </w:pPr>
            <w:r>
              <w:rPr>
                <w:color w:val="1C3A36"/>
                <w:sz w:val="17"/>
              </w:rPr>
              <w:t>7.90</w:t>
            </w:r>
          </w:p>
        </w:tc>
        <w:tc>
          <w:tcPr>
            <w:tcW w:type="dxa" w:w="1541"/>
          </w:tcPr>
          <w:p>
            <w:pPr>
              <w:spacing w:after="20"/>
              <w:jc w:val="right"/>
            </w:pPr>
            <w:r>
              <w:rPr>
                <w:color w:val="1C3A36"/>
                <w:sz w:val="17"/>
              </w:rPr>
              <w:t>7.98</w:t>
            </w:r>
          </w:p>
        </w:tc>
      </w:tr>
      <w:tr>
        <w:trPr>
          <w:cantSplit/>
        </w:trPr>
        <w:tc>
          <w:tcPr>
            <w:tcW w:type="dxa" w:w="2232"/>
          </w:tcPr>
          <w:p>
            <w:pPr>
              <w:spacing w:after="20"/>
            </w:pPr>
            <w:r>
              <w:rPr>
                <w:color w:val="1C3A36"/>
                <w:sz w:val="17"/>
              </w:rPr>
              <w:t>5 years</w:t>
            </w:r>
          </w:p>
        </w:tc>
        <w:tc>
          <w:tcPr>
            <w:tcW w:type="dxa" w:w="1541"/>
          </w:tcPr>
          <w:p>
            <w:pPr>
              <w:spacing w:after="20"/>
              <w:jc w:val="right"/>
            </w:pPr>
            <w:r>
              <w:rPr>
                <w:color w:val="1C3A36"/>
                <w:sz w:val="17"/>
              </w:rPr>
              <w:t>8.69</w:t>
            </w:r>
          </w:p>
        </w:tc>
        <w:tc>
          <w:tcPr>
            <w:tcW w:type="dxa" w:w="1541"/>
          </w:tcPr>
          <w:p>
            <w:pPr>
              <w:spacing w:after="20"/>
              <w:jc w:val="right"/>
            </w:pPr>
            <w:r>
              <w:rPr>
                <w:color w:val="1C3A36"/>
                <w:sz w:val="17"/>
              </w:rPr>
              <w:t>8.70</w:t>
            </w:r>
          </w:p>
        </w:tc>
        <w:tc>
          <w:tcPr>
            <w:tcW w:type="dxa" w:w="1541"/>
          </w:tcPr>
          <w:p>
            <w:pPr>
              <w:spacing w:after="20"/>
              <w:jc w:val="right"/>
            </w:pPr>
            <w:r>
              <w:rPr>
                <w:color w:val="1C3A36"/>
                <w:sz w:val="17"/>
              </w:rPr>
              <w:t>8.77</w:t>
            </w:r>
          </w:p>
        </w:tc>
        <w:tc>
          <w:tcPr>
            <w:tcW w:type="dxa" w:w="1541"/>
          </w:tcPr>
          <w:p>
            <w:pPr>
              <w:spacing w:after="20"/>
              <w:jc w:val="right"/>
            </w:pPr>
            <w:r>
              <w:rPr>
                <w:color w:val="1C3A36"/>
                <w:sz w:val="17"/>
              </w:rPr>
              <w:t>8.89</w:t>
            </w:r>
          </w:p>
        </w:tc>
        <w:tc>
          <w:tcPr>
            <w:tcW w:type="dxa" w:w="1541"/>
          </w:tcPr>
          <w:p>
            <w:pPr>
              <w:spacing w:after="20"/>
              <w:jc w:val="right"/>
            </w:pPr>
            <w:r>
              <w:rPr>
                <w:color w:val="1C3A36"/>
                <w:sz w:val="17"/>
              </w:rPr>
              <w:t>8.96</w:t>
            </w:r>
          </w:p>
        </w:tc>
      </w:tr>
      <w:tr>
        <w:trPr>
          <w:cantSplit/>
        </w:trPr>
        <w:tc>
          <w:tcPr>
            <w:tcW w:type="dxa" w:w="2232"/>
          </w:tcPr>
          <w:p>
            <w:pPr>
              <w:spacing w:after="20"/>
            </w:pPr>
            <w:r>
              <w:rPr>
                <w:color w:val="1C3A36"/>
                <w:sz w:val="17"/>
              </w:rPr>
              <w:t>7 years</w:t>
            </w:r>
          </w:p>
        </w:tc>
        <w:tc>
          <w:tcPr>
            <w:tcW w:type="dxa" w:w="1541"/>
          </w:tcPr>
          <w:p>
            <w:pPr>
              <w:spacing w:after="20"/>
              <w:jc w:val="right"/>
            </w:pPr>
            <w:r>
              <w:rPr>
                <w:color w:val="1C3A36"/>
                <w:sz w:val="17"/>
              </w:rPr>
              <w:t>9.36</w:t>
            </w:r>
          </w:p>
        </w:tc>
        <w:tc>
          <w:tcPr>
            <w:tcW w:type="dxa" w:w="1541"/>
          </w:tcPr>
          <w:p>
            <w:pPr>
              <w:spacing w:after="20"/>
              <w:jc w:val="right"/>
            </w:pPr>
            <w:r>
              <w:rPr>
                <w:color w:val="1C3A36"/>
                <w:sz w:val="17"/>
              </w:rPr>
              <w:t>9.37</w:t>
            </w:r>
          </w:p>
        </w:tc>
        <w:tc>
          <w:tcPr>
            <w:tcW w:type="dxa" w:w="1541"/>
          </w:tcPr>
          <w:p>
            <w:pPr>
              <w:spacing w:after="20"/>
              <w:jc w:val="right"/>
            </w:pPr>
            <w:r>
              <w:rPr>
                <w:color w:val="1C3A36"/>
                <w:sz w:val="17"/>
              </w:rPr>
              <w:t>9.42</w:t>
            </w:r>
          </w:p>
        </w:tc>
        <w:tc>
          <w:tcPr>
            <w:tcW w:type="dxa" w:w="1541"/>
          </w:tcPr>
          <w:p>
            <w:pPr>
              <w:spacing w:after="20"/>
              <w:jc w:val="right"/>
            </w:pPr>
            <w:r>
              <w:rPr>
                <w:color w:val="1C3A36"/>
                <w:sz w:val="17"/>
              </w:rPr>
              <w:t>9.51</w:t>
            </w:r>
          </w:p>
        </w:tc>
        <w:tc>
          <w:tcPr>
            <w:tcW w:type="dxa" w:w="1541"/>
          </w:tcPr>
          <w:p>
            <w:pPr>
              <w:spacing w:after="20"/>
              <w:jc w:val="right"/>
            </w:pPr>
            <w:r>
              <w:rPr>
                <w:color w:val="1C3A36"/>
                <w:sz w:val="17"/>
              </w:rPr>
              <w:t>9.57</w:t>
            </w:r>
          </w:p>
        </w:tc>
      </w:tr>
    </w:tbl>
    <w:p>
      <w:pPr>
        <w:spacing w:after="40"/>
      </w:pPr>
    </w:p>
    <w:p>
      <w:pPr>
        <w:spacing w:after="200" w:before="0"/>
      </w:pPr>
      <w:r>
        <w:rPr>
          <w:b w:val="0"/>
          <w:i/>
          <w:color w:val="6E7B77"/>
          <w:sz w:val="17"/>
        </w:rPr>
        <w:t>Table 35.  The claim in Egyptian pounds a share across the two parameters that decide it. The published figure is the five-year, forty-five per cent cell; every other cell is a full revaluation of the same option.</w:t>
      </w:r>
    </w:p>
    <w:p>
      <w:pPr>
        <w:spacing w:after="120" w:before="0"/>
      </w:pPr>
      <w:r>
        <w:rPr>
          <w:b w:val="0"/>
          <w:i w:val="0"/>
          <w:color w:val="1C3A36"/>
          <w:sz w:val="19"/>
        </w:rPr>
        <w:t>Named sensitivity.  Volatility is the swing factor: at 35% the claim is worth EGP 8.70 a share, at 55% EGP 8.89. Time to maturity matters almost as much, because it is time for the enterprise to recover above the debt.</w:t>
      </w:r>
    </w:p>
    <w:p>
      <w:pPr>
        <w:spacing w:after="120" w:before="0"/>
      </w:pPr>
      <w:r>
        <w:rPr>
          <w:b w:val="0"/>
          <w:i/>
          <w:color w:val="1C3A36"/>
          <w:sz w:val="19"/>
        </w:rPr>
        <w:t>Falsifier, stated in advance.  Enterprise value rising above the face value of the debt — which needs roughly a US$120 a tonne sustained improvement in the export price, or the capital programme being stopped. Either would retire the option framing and hand the question back to the cash-flow lens.</w:t>
      </w:r>
    </w:p>
    <w:p>
      <w:pPr>
        <w:keepNext/>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080"/>
        <w:gridCol w:w="1080"/>
        <w:gridCol w:w="4608"/>
      </w:tblGrid>
      <w:tr>
        <w:trPr>
          <w:cantSplit/>
          <w:tblHeader/>
        </w:trPr>
        <w:tc>
          <w:tcPr>
            <w:tcW w:type="dxa" w:w="3312"/>
            <w:shd w:val="clear" w:color="auto" w:fill="EAF0EE"/>
          </w:tcPr>
          <w:p>
            <w:pPr>
              <w:spacing w:after="20"/>
            </w:pPr>
            <w:r>
              <w:rPr>
                <w:b/>
                <w:color w:val="1C3A36"/>
                <w:sz w:val="16"/>
              </w:rPr>
              <w:t>Challenge</w:t>
            </w:r>
          </w:p>
        </w:tc>
        <w:tc>
          <w:tcPr>
            <w:tcW w:type="dxa" w:w="1080"/>
            <w:shd w:val="clear" w:color="auto" w:fill="EAF0EE"/>
          </w:tcPr>
          <w:p>
            <w:pPr>
              <w:spacing w:after="20"/>
            </w:pPr>
            <w:r>
              <w:rPr>
                <w:b/>
                <w:color w:val="1C3A36"/>
                <w:sz w:val="16"/>
              </w:rPr>
              <w:t>From</w:t>
            </w:r>
          </w:p>
        </w:tc>
        <w:tc>
          <w:tcPr>
            <w:tcW w:type="dxa" w:w="1080"/>
            <w:shd w:val="clear" w:color="auto" w:fill="EAF0EE"/>
          </w:tcPr>
          <w:p>
            <w:pPr>
              <w:spacing w:after="20"/>
            </w:pPr>
            <w:r>
              <w:rPr>
                <w:b/>
                <w:color w:val="1C3A36"/>
                <w:sz w:val="16"/>
              </w:rPr>
              <w:t>To</w:t>
            </w:r>
          </w:p>
        </w:tc>
        <w:tc>
          <w:tcPr>
            <w:tcW w:type="dxa" w:w="4608"/>
            <w:shd w:val="clear" w:color="auto" w:fill="EAF0EE"/>
          </w:tcPr>
          <w:p>
            <w:pPr>
              <w:spacing w:after="20"/>
            </w:pPr>
            <w:r>
              <w:rPr>
                <w:b/>
                <w:color w:val="1C3A36"/>
                <w:sz w:val="16"/>
              </w:rPr>
              <w:t>Conceded or rejected</w:t>
            </w:r>
          </w:p>
        </w:tc>
      </w:tr>
      <w:tr>
        <w:trPr>
          <w:cantSplit/>
        </w:trPr>
        <w:tc>
          <w:tcPr>
            <w:tcW w:type="dxa" w:w="3312"/>
          </w:tcPr>
          <w:p>
            <w:pPr>
              <w:spacing w:after="20"/>
            </w:pPr>
            <w:r>
              <w:rPr>
                <w:color w:val="1C3A36"/>
                <w:sz w:val="16"/>
              </w:rPr>
              <w:t>Replacement cost values a plant nobody would build today at these gas terms and this utilisation. You are pricing an asset by what it cost, not by what it does.</w:t>
            </w:r>
          </w:p>
        </w:tc>
        <w:tc>
          <w:tcPr>
            <w:tcW w:type="dxa" w:w="1080"/>
          </w:tcPr>
          <w:p>
            <w:pPr>
              <w:spacing w:after="20"/>
              <w:jc w:val="right"/>
            </w:pPr>
            <w:r>
              <w:rPr>
                <w:color w:val="1C3A36"/>
                <w:sz w:val="16"/>
              </w:rPr>
              <w:t>Expert 2</w:t>
            </w:r>
          </w:p>
        </w:tc>
        <w:tc>
          <w:tcPr>
            <w:tcW w:type="dxa" w:w="1080"/>
          </w:tcPr>
          <w:p>
            <w:pPr>
              <w:spacing w:after="20"/>
              <w:jc w:val="right"/>
            </w:pPr>
            <w:r>
              <w:rPr>
                <w:color w:val="1C3A36"/>
                <w:sz w:val="16"/>
              </w:rPr>
              <w:t>Expert 1</w:t>
            </w:r>
          </w:p>
        </w:tc>
        <w:tc>
          <w:tcPr>
            <w:tcW w:type="dxa" w:w="4608"/>
          </w:tcPr>
          <w:p>
            <w:pPr>
              <w:spacing w:after="20"/>
            </w:pPr>
            <w:r>
              <w:rPr>
                <w:color w:val="1C3A36"/>
                <w:sz w:val="16"/>
              </w:rPr>
              <w:t>CONCEDED in part. Expert 1 accepts the method sets a ceiling on what a rational buyer pays rather than a floor under what an owner receives, and that is why the control discount is applied rather than argued away. The range stands as the upper bound of the panel, not its centre.</w:t>
            </w:r>
          </w:p>
        </w:tc>
      </w:tr>
      <w:tr>
        <w:trPr>
          <w:cantSplit/>
        </w:trPr>
        <w:tc>
          <w:tcPr>
            <w:tcW w:type="dxa" w:w="3312"/>
          </w:tcPr>
          <w:p>
            <w:pPr>
              <w:spacing w:after="20"/>
            </w:pPr>
            <w:r>
              <w:rPr>
                <w:color w:val="1C3A36"/>
                <w:sz w:val="16"/>
              </w:rPr>
              <w:t>Your mid-cycle year quietly assumes the new complex never absorbs another pound. That is the same blindness you accuse the multiple lens of.</w:t>
            </w:r>
          </w:p>
        </w:tc>
        <w:tc>
          <w:tcPr>
            <w:tcW w:type="dxa" w:w="1080"/>
          </w:tcPr>
          <w:p>
            <w:pPr>
              <w:spacing w:after="20"/>
              <w:jc w:val="right"/>
            </w:pPr>
            <w:r>
              <w:rPr>
                <w:color w:val="1C3A36"/>
                <w:sz w:val="16"/>
              </w:rPr>
              <w:t>Expert 3</w:t>
            </w:r>
          </w:p>
        </w:tc>
        <w:tc>
          <w:tcPr>
            <w:tcW w:type="dxa" w:w="1080"/>
          </w:tcPr>
          <w:p>
            <w:pPr>
              <w:spacing w:after="20"/>
              <w:jc w:val="right"/>
            </w:pPr>
            <w:r>
              <w:rPr>
                <w:color w:val="1C3A36"/>
                <w:sz w:val="16"/>
              </w:rPr>
              <w:t>Expert 2</w:t>
            </w:r>
          </w:p>
        </w:tc>
        <w:tc>
          <w:tcPr>
            <w:tcW w:type="dxa" w:w="4608"/>
          </w:tcPr>
          <w:p>
            <w:pPr>
              <w:spacing w:after="20"/>
            </w:pPr>
            <w:r>
              <w:rPr>
                <w:color w:val="1C3A36"/>
                <w:sz w:val="16"/>
              </w:rPr>
              <w:t>CONCEDED. Expert 2 accepts that the normalised year is a steady-state construct and that the capital programme sits outside it entirely. The answer should be read as the value of the existing plant, with the programme's cost subtracted separately — which is what the cash-flow lens does.</w:t>
            </w:r>
          </w:p>
        </w:tc>
      </w:tr>
      <w:tr>
        <w:trPr>
          <w:cantSplit/>
        </w:trPr>
        <w:tc>
          <w:tcPr>
            <w:tcW w:type="dxa" w:w="3312"/>
          </w:tcPr>
          <w:p>
            <w:pPr>
              <w:spacing w:after="20"/>
            </w:pPr>
            <w:r>
              <w:rPr>
                <w:color w:val="1C3A36"/>
                <w:sz w:val="16"/>
              </w:rPr>
              <w:t>An option framing rewards volatility, so the worse the business gets the more you say the equity is worth. That cannot be right.</w:t>
            </w:r>
          </w:p>
        </w:tc>
        <w:tc>
          <w:tcPr>
            <w:tcW w:type="dxa" w:w="1080"/>
          </w:tcPr>
          <w:p>
            <w:pPr>
              <w:spacing w:after="20"/>
              <w:jc w:val="right"/>
            </w:pPr>
            <w:r>
              <w:rPr>
                <w:color w:val="1C3A36"/>
                <w:sz w:val="16"/>
              </w:rPr>
              <w:t>Expert 1</w:t>
            </w:r>
          </w:p>
        </w:tc>
        <w:tc>
          <w:tcPr>
            <w:tcW w:type="dxa" w:w="1080"/>
          </w:tcPr>
          <w:p>
            <w:pPr>
              <w:spacing w:after="20"/>
              <w:jc w:val="right"/>
            </w:pPr>
            <w:r>
              <w:rPr>
                <w:color w:val="1C3A36"/>
                <w:sz w:val="16"/>
              </w:rPr>
              <w:t>Expert 3</w:t>
            </w:r>
          </w:p>
        </w:tc>
        <w:tc>
          <w:tcPr>
            <w:tcW w:type="dxa" w:w="4608"/>
          </w:tcPr>
          <w:p>
            <w:pPr>
              <w:spacing w:after="20"/>
            </w:pPr>
            <w:r>
              <w:rPr>
                <w:color w:val="1C3A36"/>
                <w:sz w:val="16"/>
              </w:rPr>
              <w:t>REJECTED, with the mechanism given. The option value rises with volatility because a limited-liability holder cannot lose more than the shares cost; the downside is already truncated by the debt. What is conceded is that the holder cannot choose the exercise date and can be diluted by a rights issue, which is why a quarter is taken off the raw call value.</w:t>
            </w:r>
          </w:p>
        </w:tc>
      </w:tr>
      <w:tr>
        <w:trPr>
          <w:cantSplit/>
        </w:trPr>
        <w:tc>
          <w:tcPr>
            <w:tcW w:type="dxa" w:w="3312"/>
          </w:tcPr>
          <w:p>
            <w:pPr>
              <w:spacing w:after="20"/>
            </w:pPr>
            <w:r>
              <w:rPr>
                <w:color w:val="1C3A36"/>
                <w:sz w:val="16"/>
              </w:rPr>
              <w:t>You are all discounting at rates the market plainly does not use. If none of you can reach the traded price, perhaps the rate is wrong rather than the price.</w:t>
            </w:r>
          </w:p>
        </w:tc>
        <w:tc>
          <w:tcPr>
            <w:tcW w:type="dxa" w:w="1080"/>
          </w:tcPr>
          <w:p>
            <w:pPr>
              <w:spacing w:after="20"/>
              <w:jc w:val="right"/>
            </w:pPr>
            <w:r>
              <w:rPr>
                <w:color w:val="1C3A36"/>
                <w:sz w:val="16"/>
              </w:rPr>
              <w:t>The reader</w:t>
            </w:r>
          </w:p>
        </w:tc>
        <w:tc>
          <w:tcPr>
            <w:tcW w:type="dxa" w:w="1080"/>
          </w:tcPr>
          <w:p>
            <w:pPr>
              <w:spacing w:after="20"/>
              <w:jc w:val="right"/>
            </w:pPr>
            <w:r>
              <w:rPr>
                <w:color w:val="1C3A36"/>
                <w:sz w:val="16"/>
              </w:rPr>
              <w:t>The panel</w:t>
            </w:r>
          </w:p>
        </w:tc>
        <w:tc>
          <w:tcPr>
            <w:tcW w:type="dxa" w:w="4608"/>
          </w:tcPr>
          <w:p>
            <w:pPr>
              <w:spacing w:after="20"/>
            </w:pPr>
            <w:r>
              <w:rPr>
                <w:color w:val="1C3A36"/>
                <w:sz w:val="16"/>
              </w:rPr>
              <w:t>REJECTED as to method, CONCEDED as to consequence. The rate is built from the sovereign's own yield less its own default spread, which is the only construction that charges Egypt's risk once. But the panel accepts the practical point: the gap is reported as an implied discount rate precisely so a reader who disagrees can see exactly what they are disagreeing with.</w:t>
            </w:r>
          </w:p>
        </w:tc>
      </w:tr>
    </w:tbl>
    <w:p>
      <w:pPr>
        <w:spacing w:after="40"/>
      </w:pPr>
    </w:p>
    <w:p>
      <w:pPr>
        <w:keepNext/>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446487"/>
            <wp:docPr id="14" name="Picture 14"/>
            <wp:cNvGraphicFramePr>
              <a:graphicFrameLocks noChangeAspect="1"/>
            </wp:cNvGraphicFramePr>
            <a:graphic>
              <a:graphicData uri="http://schemas.openxmlformats.org/drawingml/2006/picture">
                <pic:pic>
                  <pic:nvPicPr>
                    <pic:cNvPr id="0" name="figD1_experts.png"/>
                    <pic:cNvPicPr/>
                  </pic:nvPicPr>
                  <pic:blipFill>
                    <a:blip r:embed="rId22"/>
                    <a:stretch>
                      <a:fillRect/>
                    </a:stretch>
                  </pic:blipFill>
                  <pic:spPr>
                    <a:xfrm>
                      <a:off x="0" y="0"/>
                      <a:ext cx="6309360" cy="2446487"/>
                    </a:xfrm>
                    <a:prstGeom prst="rect"/>
                  </pic:spPr>
                </pic:pic>
              </a:graphicData>
            </a:graphic>
          </wp:inline>
        </w:drawing>
      </w:r>
    </w:p>
    <w:p>
      <w:pPr>
        <w:spacing w:after="200" w:before="0"/>
      </w:pPr>
      <w:r>
        <w:rPr>
          <w:b w:val="0"/>
          <w:i/>
          <w:color w:val="6E7B77"/>
          <w:sz w:val="17"/>
        </w:rPr>
        <w:t>Figure 14.  Three methods, three ranges, and none of them reaches the traded price.</w:t>
      </w:r>
    </w:p>
    <w:p>
      <w:pPr>
        <w:spacing w:after="120" w:before="0"/>
      </w:pPr>
      <w:r>
        <w:rPr>
          <w:b w:val="0"/>
          <w:i w:val="0"/>
          <w:color w:val="1C3A36"/>
          <w:sz w:val="21"/>
        </w:rPr>
        <w:t>Put together, the panel spans EGP 0.00 to EGP 9.48. They agree on more than the spread suggests: all three price the same plant, the same debt and the same programme, and all three land below the traded price. Where they part is on what to do about a business whose asset base is being rebuilt while its earnings stand still.</w:t>
      </w:r>
    </w:p>
    <w:p>
      <w:pPr>
        <w:spacing w:after="120" w:before="0"/>
      </w:pPr>
      <w:r>
        <w:rPr>
          <w:b w:val="0"/>
          <w:i w:val="0"/>
          <w:color w:val="1C3A36"/>
          <w:sz w:val="21"/>
        </w:rPr>
        <w:t>The most useful thing the panel produces is not a number but an ordering. The asset lens is highest because it credits what has been built without asking what it earns. The earnings lens sits in the middle because it credits a normal year but not the new plant. The option lens is lowest and widest because it takes the leverage seriously. Each is right about the thing it looks at and blind to the thing it does not.</w:t>
      </w:r>
    </w:p>
    <w:p>
      <w:pPr>
        <w:keepNext/>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1440"/>
        <w:gridCol w:w="5904"/>
      </w:tblGrid>
      <w:tr>
        <w:trPr>
          <w:cantSplit/>
          <w:tblHeader/>
        </w:trPr>
        <w:tc>
          <w:tcPr>
            <w:tcW w:type="dxa" w:w="2736"/>
            <w:shd w:val="clear" w:color="auto" w:fill="EAF0EE"/>
          </w:tcPr>
          <w:p>
            <w:pPr>
              <w:spacing w:after="20"/>
            </w:pPr>
            <w:r>
              <w:rPr>
                <w:b/>
                <w:color w:val="1C3A36"/>
                <w:sz w:val="16"/>
              </w:rPr>
              <w:t>Pair</w:t>
            </w:r>
          </w:p>
        </w:tc>
        <w:tc>
          <w:tcPr>
            <w:tcW w:type="dxa" w:w="1440"/>
            <w:shd w:val="clear" w:color="auto" w:fill="EAF0EE"/>
          </w:tcPr>
          <w:p>
            <w:pPr>
              <w:spacing w:after="20"/>
            </w:pPr>
            <w:r>
              <w:rPr>
                <w:b/>
                <w:color w:val="1C3A36"/>
                <w:sz w:val="16"/>
              </w:rPr>
              <w:t>Gap (EGP/share)</w:t>
            </w:r>
          </w:p>
        </w:tc>
        <w:tc>
          <w:tcPr>
            <w:tcW w:type="dxa" w:w="5904"/>
            <w:shd w:val="clear" w:color="auto" w:fill="EAF0EE"/>
          </w:tcPr>
          <w:p>
            <w:pPr>
              <w:spacing w:after="20"/>
            </w:pPr>
            <w:r>
              <w:rPr>
                <w:b/>
                <w:color w:val="1C3A36"/>
                <w:sz w:val="16"/>
              </w:rPr>
              <w:t>The single assumption that drives it</w:t>
            </w:r>
          </w:p>
        </w:tc>
      </w:tr>
      <w:tr>
        <w:trPr>
          <w:cantSplit/>
        </w:trPr>
        <w:tc>
          <w:tcPr>
            <w:tcW w:type="dxa" w:w="2736"/>
          </w:tcPr>
          <w:p>
            <w:pPr>
              <w:spacing w:after="20"/>
            </w:pPr>
            <w:r>
              <w:rPr>
                <w:color w:val="1C3A36"/>
                <w:sz w:val="16"/>
              </w:rPr>
              <w:t>Expert 1 against Expert 2</w:t>
            </w:r>
          </w:p>
        </w:tc>
        <w:tc>
          <w:tcPr>
            <w:tcW w:type="dxa" w:w="1440"/>
          </w:tcPr>
          <w:p>
            <w:pPr>
              <w:spacing w:after="20"/>
              <w:jc w:val="right"/>
            </w:pPr>
            <w:r>
              <w:rPr>
                <w:color w:val="1C3A36"/>
                <w:sz w:val="16"/>
              </w:rPr>
              <w:t>-1.40</w:t>
            </w:r>
          </w:p>
        </w:tc>
        <w:tc>
          <w:tcPr>
            <w:tcW w:type="dxa" w:w="5904"/>
          </w:tcPr>
          <w:p>
            <w:pPr>
              <w:spacing w:after="20"/>
            </w:pPr>
            <w:r>
              <w:rPr>
                <w:color w:val="1C3A36"/>
                <w:sz w:val="16"/>
              </w:rPr>
              <w:t>Whether an asset is worth what it would cost to rebuild or what it earns in an ordinary year. On a plant running below plate on rationed gas, those are different numbers.</w:t>
            </w:r>
          </w:p>
        </w:tc>
      </w:tr>
      <w:tr>
        <w:trPr>
          <w:cantSplit/>
        </w:trPr>
        <w:tc>
          <w:tcPr>
            <w:tcW w:type="dxa" w:w="2736"/>
          </w:tcPr>
          <w:p>
            <w:pPr>
              <w:spacing w:after="20"/>
            </w:pPr>
            <w:r>
              <w:rPr>
                <w:color w:val="1C3A36"/>
                <w:sz w:val="16"/>
              </w:rPr>
              <w:t>Expert 2 against Expert 3</w:t>
            </w:r>
          </w:p>
        </w:tc>
        <w:tc>
          <w:tcPr>
            <w:tcW w:type="dxa" w:w="1440"/>
          </w:tcPr>
          <w:p>
            <w:pPr>
              <w:spacing w:after="20"/>
              <w:jc w:val="right"/>
            </w:pPr>
            <w:r>
              <w:rPr>
                <w:color w:val="1C3A36"/>
                <w:sz w:val="16"/>
              </w:rPr>
              <w:t>-3.63</w:t>
            </w:r>
          </w:p>
        </w:tc>
        <w:tc>
          <w:tcPr>
            <w:tcW w:type="dxa" w:w="5904"/>
          </w:tcPr>
          <w:p>
            <w:pPr>
              <w:spacing w:after="20"/>
            </w:pPr>
            <w:r>
              <w:rPr>
                <w:color w:val="1C3A36"/>
                <w:sz w:val="16"/>
              </w:rPr>
              <w:t>Whether the debt is a subtraction or a strike price. Above the debt it is a subtraction; below it, the equity is an option and the two methods stop agreeing.</w:t>
            </w:r>
          </w:p>
        </w:tc>
      </w:tr>
      <w:tr>
        <w:trPr>
          <w:cantSplit/>
        </w:trPr>
        <w:tc>
          <w:tcPr>
            <w:tcW w:type="dxa" w:w="2736"/>
          </w:tcPr>
          <w:p>
            <w:pPr>
              <w:spacing w:after="20"/>
            </w:pPr>
            <w:r>
              <w:rPr>
                <w:color w:val="1C3A36"/>
                <w:sz w:val="16"/>
              </w:rPr>
              <w:t>Expert 1 against Expert 3</w:t>
            </w:r>
          </w:p>
        </w:tc>
        <w:tc>
          <w:tcPr>
            <w:tcW w:type="dxa" w:w="1440"/>
          </w:tcPr>
          <w:p>
            <w:pPr>
              <w:spacing w:after="20"/>
              <w:jc w:val="right"/>
            </w:pPr>
            <w:r>
              <w:rPr>
                <w:color w:val="1C3A36"/>
                <w:sz w:val="16"/>
              </w:rPr>
              <w:t>-5.03</w:t>
            </w:r>
          </w:p>
        </w:tc>
        <w:tc>
          <w:tcPr>
            <w:tcW w:type="dxa" w:w="5904"/>
          </w:tcPr>
          <w:p>
            <w:pPr>
              <w:spacing w:after="20"/>
            </w:pPr>
            <w:r>
              <w:rPr>
                <w:color w:val="1C3A36"/>
                <w:sz w:val="16"/>
              </w:rPr>
              <w:t>Both of the above at once, which is why this is the widest pair.</w:t>
            </w:r>
          </w:p>
        </w:tc>
      </w:tr>
      <w:tr>
        <w:trPr>
          <w:cantSplit/>
        </w:trPr>
        <w:tc>
          <w:tcPr>
            <w:tcW w:type="dxa" w:w="2736"/>
          </w:tcPr>
          <w:p>
            <w:pPr>
              <w:spacing w:after="20"/>
            </w:pPr>
            <w:r>
              <w:rPr>
                <w:color w:val="1C3A36"/>
                <w:sz w:val="16"/>
              </w:rPr>
              <w:t>The panel against the cash-flow lens</w:t>
            </w:r>
          </w:p>
        </w:tc>
        <w:tc>
          <w:tcPr>
            <w:tcW w:type="dxa" w:w="1440"/>
          </w:tcPr>
          <w:p>
            <w:pPr>
              <w:spacing w:after="20"/>
              <w:jc w:val="right"/>
            </w:pPr>
            <w:r>
              <w:rPr>
                <w:color w:val="1C3A36"/>
                <w:sz w:val="16"/>
              </w:rPr>
              <w:t>-9.24</w:t>
            </w:r>
          </w:p>
        </w:tc>
        <w:tc>
          <w:tcPr>
            <w:tcW w:type="dxa" w:w="5904"/>
          </w:tcPr>
          <w:p>
            <w:pPr>
              <w:spacing w:after="20"/>
            </w:pPr>
            <w:r>
              <w:rPr>
                <w:color w:val="1C3A36"/>
                <w:sz w:val="16"/>
              </w:rPr>
              <w:t>The capital programme. Every expert method treats it more kindly than a year-by-year cash-flow model does, because none of them charges the full expenditure against the years in which it is actually spent.</w:t>
            </w:r>
          </w:p>
        </w:tc>
      </w:tr>
      <w:tr>
        <w:trPr>
          <w:cantSplit/>
        </w:trPr>
        <w:tc>
          <w:tcPr>
            <w:tcW w:type="dxa" w:w="2736"/>
          </w:tcPr>
          <w:p>
            <w:pPr>
              <w:spacing w:after="20"/>
            </w:pPr>
            <w:r>
              <w:rPr>
                <w:color w:val="1C3A36"/>
                <w:sz w:val="16"/>
              </w:rPr>
              <w:t>The cash-flow lens against the market</w:t>
            </w:r>
          </w:p>
        </w:tc>
        <w:tc>
          <w:tcPr>
            <w:tcW w:type="dxa" w:w="1440"/>
          </w:tcPr>
          <w:p>
            <w:pPr>
              <w:spacing w:after="20"/>
              <w:jc w:val="right"/>
            </w:pPr>
            <w:r>
              <w:rPr>
                <w:color w:val="1C3A36"/>
                <w:sz w:val="16"/>
              </w:rPr>
              <w:t>-5.17</w:t>
            </w:r>
          </w:p>
        </w:tc>
        <w:tc>
          <w:tcPr>
            <w:tcW w:type="dxa" w:w="5904"/>
          </w:tcPr>
          <w:p>
            <w:pPr>
              <w:spacing w:after="20"/>
            </w:pPr>
            <w:r>
              <w:rPr>
                <w:color w:val="1C3A36"/>
                <w:sz w:val="16"/>
              </w:rPr>
              <w:t>The discount rate, and only the discount rate. At about 15.0% the market's price is reproduced; at any rate anchored to Egypt's sovereign it is not.</w:t>
            </w:r>
          </w:p>
        </w:tc>
      </w:tr>
      <w:tr>
        <w:trPr>
          <w:cantSplit/>
        </w:trPr>
        <w:tc>
          <w:tcPr>
            <w:tcW w:type="dxa" w:w="2736"/>
          </w:tcPr>
          <w:p>
            <w:pPr>
              <w:spacing w:after="20"/>
            </w:pPr>
            <w:r>
              <w:rPr>
                <w:color w:val="1C3A36"/>
                <w:sz w:val="16"/>
              </w:rPr>
              <w:t>The top of the field against the market</w:t>
            </w:r>
          </w:p>
        </w:tc>
        <w:tc>
          <w:tcPr>
            <w:tcW w:type="dxa" w:w="1440"/>
          </w:tcPr>
          <w:p>
            <w:pPr>
              <w:spacing w:after="20"/>
              <w:jc w:val="right"/>
            </w:pPr>
            <w:r>
              <w:rPr>
                <w:color w:val="1C3A36"/>
                <w:sz w:val="16"/>
              </w:rPr>
              <w:t>5.52</w:t>
            </w:r>
          </w:p>
        </w:tc>
        <w:tc>
          <w:tcPr>
            <w:tcW w:type="dxa" w:w="5904"/>
          </w:tcPr>
          <w:p>
            <w:pPr>
              <w:spacing w:after="20"/>
            </w:pPr>
            <w:r>
              <w:rPr>
                <w:color w:val="1C3A36"/>
                <w:sz w:val="16"/>
              </w:rPr>
              <w:t>The relative lens, which never charges the capital programme, is the one reading that sits above the price.</w:t>
            </w:r>
          </w:p>
        </w:tc>
      </w:tr>
    </w:tbl>
    <w:p>
      <w:pPr>
        <w:spacing w:after="40"/>
      </w:pPr>
    </w:p>
    <w:p>
      <w:pPr>
        <w:spacing w:after="200" w:before="0"/>
      </w:pPr>
      <w:r>
        <w:rPr>
          <w:b w:val="0"/>
          <w:i/>
          <w:color w:val="6E7B77"/>
          <w:sz w:val="17"/>
        </w:rPr>
        <w:t>Table 36.  Each gap isolated to the one assumption that creates it.</w:t>
      </w:r>
    </w:p>
    <w:p>
      <w:pPr>
        <w:keepNext/>
        <w:spacing w:after="120" w:before="280"/>
      </w:pPr>
      <w:r>
        <w:rPr>
          <w:b/>
          <w:i w:val="0"/>
          <w:color w:val="1C3A36"/>
          <w:sz w:val="30"/>
        </w:rPr>
        <w:t>About</w:t>
      </w:r>
    </w:p>
    <w:p>
      <w:pPr>
        <w:spacing w:after="120" w:before="0"/>
      </w:pPr>
      <w:r>
        <w:rPr>
          <w:b w:val="0"/>
          <w:i w:val="0"/>
          <w:color w:val="1C3A36"/>
          <w:sz w:val="21"/>
        </w:rPr>
        <w:t>This study is one of a series of independent valuation studies produced to a fixed method: the historical statements are taken only from the company's own issued documents; the forecast is built from the ground up in physical units; the cost of capital is constructed from the sovereign's own data rather than assumed; and the workbook that accompanies the document calculates rather than stores, so that a reader who disagrees with an assumption can change it and watch the answer move.</w:t>
      </w:r>
    </w:p>
    <w:p>
      <w:pPr>
        <w:spacing w:after="120" w:before="0"/>
      </w:pPr>
      <w:r>
        <w:rPr>
          <w:b w:val="0"/>
          <w:i w:val="0"/>
          <w:color w:val="1C3A36"/>
          <w:sz w:val="21"/>
        </w:rPr>
        <w:t>Every input behind this study — 310 of them — carries a value, a source, a date and a research layer, and all of them are printed in the separate bibliography document. Where a number is constructed rather than reported, the construction is stated. Where a needed number could not be obtained, that is stated too.</w:t>
      </w:r>
    </w:p>
    <w:p>
      <w:pPr>
        <w:keepNext/>
        <w:spacing w:after="120" w:before="280"/>
      </w:pPr>
      <w:r>
        <w:rPr>
          <w:b/>
          <w:i w:val="0"/>
          <w:color w:val="1C3A36"/>
          <w:sz w:val="30"/>
        </w:rPr>
        <w:t>Disclosure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Educational analysis.  </w:t>
            </w:r>
            <w:r>
              <w:rPr>
                <w:color w:val="1C3A36"/>
                <w:sz w:val="19"/>
              </w:rPr>
              <w:t>This document is an independent educational analysis. It is not investment advice, not a recommendation, and not an offer or solicitation.</w:t>
            </w:r>
          </w:p>
          <w:p>
            <w:pPr>
              <w:spacing w:after="100"/>
            </w:pPr>
            <w:r>
              <w:rPr>
                <w:b/>
                <w:color w:val="1C3A36"/>
                <w:sz w:val="19"/>
              </w:rPr>
              <w:t xml:space="preserve">No rating, no target.  </w:t>
            </w:r>
            <w:r>
              <w:rPr>
                <w:color w:val="1C3A36"/>
                <w:sz w:val="19"/>
              </w:rPr>
              <w:t>It contains no rating and no price target. It reports a range of fair values and the reasoning behind them.</w:t>
            </w:r>
          </w:p>
          <w:p>
            <w:pPr>
              <w:spacing w:after="100"/>
            </w:pPr>
            <w:r>
              <w:rPr>
                <w:b/>
                <w:color w:val="1C3A36"/>
                <w:sz w:val="19"/>
              </w:rPr>
              <w:t xml:space="preserve">Point in time.  </w:t>
            </w:r>
            <w:r>
              <w:rPr>
                <w:color w:val="1C3A36"/>
                <w:sz w:val="19"/>
              </w:rPr>
              <w:t>It reflects information available on 10 September 2026 and the closing price of 2026-09-03, which is what the valuation is struck against. The price map in section 3 stands on its own earlier anchor of 2026-08-06, the last session in this study's price library, and says so where it is published. It will age, and it is not updated.</w:t>
            </w:r>
          </w:p>
          <w:p>
            <w:pPr>
              <w:spacing w:after="100"/>
            </w:pPr>
            <w:r>
              <w:rPr>
                <w:b/>
                <w:color w:val="1C3A36"/>
                <w:sz w:val="19"/>
              </w:rPr>
              <w:t xml:space="preserve">Sources and their limits.  </w:t>
            </w:r>
            <w:r>
              <w:rPr>
                <w:color w:val="1C3A36"/>
                <w:sz w:val="19"/>
              </w:rPr>
              <w:t>Historical figures come from the company's own audited and reviewed statements. Those statements carry qualifications, set out in section 7; a reader should weigh them.</w:t>
            </w:r>
          </w:p>
          <w:p>
            <w:pPr>
              <w:spacing w:after="100"/>
            </w:pPr>
            <w:r>
              <w:rPr>
                <w:b/>
                <w:color w:val="1C3A36"/>
                <w:sz w:val="19"/>
              </w:rPr>
              <w:t xml:space="preserve">Model risk.  </w:t>
            </w:r>
            <w:r>
              <w:rPr>
                <w:color w:val="1C3A36"/>
                <w:sz w:val="19"/>
              </w:rPr>
              <w:t>The forecast depends on judgements that are stated and sensitised. Reasonable people will choose different inputs and reach different answers, which is why the contested judgement is published both ways rather than averaged.</w:t>
            </w:r>
          </w:p>
          <w:p>
            <w:pPr>
              <w:spacing w:after="100"/>
            </w:pPr>
            <w:r>
              <w:rPr>
                <w:b/>
                <w:color w:val="1C3A36"/>
                <w:sz w:val="19"/>
              </w:rPr>
              <w:t xml:space="preserve">No position.  </w:t>
            </w:r>
            <w:r>
              <w:rPr>
                <w:color w:val="1C3A36"/>
                <w:sz w:val="19"/>
              </w:rPr>
              <w:t>The author holds no position in the subject and receives no compensation from it or from any party with an interest in it.</w:t>
            </w:r>
          </w:p>
        </w:tc>
      </w:tr>
    </w:tbl>
    <w:p>
      <w:pPr>
        <w:spacing w:after="40"/>
      </w:pP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Microsoft Macintosh Word</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