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2E5E4E"/>
          <w:sz w:val="34"/>
        </w:rPr>
        <w:t>TALAAT MOUSTAFA GROUP HOLDING</w:t>
      </w:r>
    </w:p>
    <w:p>
      <w:pPr>
        <w:spacing w:after="280"/>
      </w:pPr>
      <w:r>
        <w:rPr>
          <w:b w:val="0"/>
          <w:i w:val="0"/>
          <w:color w:val="5B6570"/>
          <w:sz w:val="20"/>
        </w:rPr>
        <w:t>Sources, inputs and judgements · 10 September 2026</w:t>
      </w:r>
    </w:p>
    <w:p>
      <w:pPr>
        <w:spacing w:after="140"/>
      </w:pPr>
      <w:r>
        <w:rPr>
          <w:b w:val="0"/>
          <w:i w:val="0"/>
          <w:color w:val="1A1D21"/>
          <w:sz w:val="20"/>
        </w:rPr>
        <w:t>This document lists every number the accompanying study uses, where it came from, when it was published and how reliable it is. It also lists what was looked for and not found, because an absence is a finding.</w:t>
      </w:r>
    </w:p>
    <w:p>
      <w:pPr>
        <w:pStyle w:val="Heading1"/>
      </w:pPr>
      <w:r>
        <w:t>Primary documents</w:t>
      </w:r>
    </w:p>
    <w:tbl>
      <w:tblPr>
        <w:tblStyle w:val="TableGrid"/>
        <w:tblW w:type="auto" w:w="0"/>
        <w:jc w:val="center"/>
        <w:tblLayout w:type="fixed"/>
        <w:tblLook w:firstColumn="1" w:firstRow="1" w:lastColumn="0" w:lastRow="0" w:noHBand="0" w:noVBand="1" w:val="04A0"/>
        <w:tblLayout w:type="fixed"/>
      </w:tblPr>
      <w:tblGrid>
        <w:gridCol w:w="7144"/>
        <w:gridCol w:w="1928"/>
      </w:tblGrid>
      <w:tr>
        <w:trPr>
          <w:tblHeader w:val="true"/>
        </w:trPr>
        <w:tc>
          <w:tcPr>
            <w:tcW w:type="dxa" w:w="7143"/>
          </w:tcPr>
          <w:p>
            <w:r/>
            <w:r>
              <w:rPr>
                <w:b/>
                <w:color w:val="5B6570"/>
                <w:sz w:val="17"/>
              </w:rPr>
              <w:t>Document</w:t>
            </w:r>
          </w:p>
        </w:tc>
        <w:tc>
          <w:tcPr>
            <w:tcW w:type="dxa" w:w="1928"/>
          </w:tcPr>
          <w:p>
            <w:r/>
            <w:r>
              <w:rPr>
                <w:b/>
                <w:color w:val="5B6570"/>
                <w:sz w:val="17"/>
              </w:rPr>
              <w:t>Period it reports</w:t>
            </w:r>
          </w:p>
        </w:tc>
      </w:tr>
      <w:tr>
        <w:trPr>
          <w:cantSplit/>
        </w:trPr>
        <w:tc>
          <w:tcPr>
            <w:tcW w:type="dxa" w:w="7143"/>
          </w:tcPr>
          <w:p>
            <w:r/>
            <w:r>
              <w:rPr>
                <w:color w:val="1A1D21"/>
                <w:sz w:val="17"/>
              </w:rPr>
              <w:t>TMG Holding 1H 2026 earnings release, Cairo, 12 August 2026, via https://talaatmoustafa.com/investor-relations/</w:t>
            </w:r>
          </w:p>
        </w:tc>
        <w:tc>
          <w:tcPr>
            <w:tcW w:type="dxa" w:w="1928"/>
          </w:tcPr>
          <w:p>
            <w:pPr>
              <w:jc w:val="right"/>
            </w:pPr>
            <w:r/>
            <w:r>
              <w:rPr>
                <w:color w:val="1A1D21"/>
                <w:sz w:val="17"/>
              </w:rPr>
              <w:t>2025-06-30</w:t>
            </w:r>
          </w:p>
        </w:tc>
      </w:tr>
      <w:tr>
        <w:trPr>
          <w:cantSplit/>
        </w:trPr>
        <w:tc>
          <w:tcPr>
            <w:tcW w:type="dxa" w:w="7143"/>
          </w:tcPr>
          <w:p>
            <w:r/>
            <w:r>
              <w:rPr>
                <w:color w:val="1A1D21"/>
                <w:sz w:val="17"/>
              </w:rPr>
              <w:t>TMG Holding FY2024 earnings release, via https://talaatmoustafa.com/investor-relations/</w:t>
            </w:r>
          </w:p>
        </w:tc>
        <w:tc>
          <w:tcPr>
            <w:tcW w:type="dxa" w:w="1928"/>
          </w:tcPr>
          <w:p>
            <w:pPr>
              <w:jc w:val="right"/>
            </w:pPr>
            <w:r/>
            <w:r>
              <w:rPr>
                <w:color w:val="1A1D21"/>
                <w:sz w:val="17"/>
              </w:rPr>
              <w:t>2024-12-31</w:t>
            </w:r>
          </w:p>
        </w:tc>
      </w:tr>
      <w:tr>
        <w:trPr>
          <w:cantSplit/>
        </w:trPr>
        <w:tc>
          <w:tcPr>
            <w:tcW w:type="dxa" w:w="7143"/>
          </w:tcPr>
          <w:p>
            <w:r/>
            <w:r>
              <w:rPr>
                <w:color w:val="1A1D21"/>
                <w:sz w:val="17"/>
              </w:rPr>
              <w:t>TMG Holding FY2025 earnings release, via https://talaatmoustafa.com/investor-relations/</w:t>
            </w:r>
          </w:p>
        </w:tc>
        <w:tc>
          <w:tcPr>
            <w:tcW w:type="dxa" w:w="1928"/>
          </w:tcPr>
          <w:p>
            <w:pPr>
              <w:jc w:val="right"/>
            </w:pPr>
            <w:r/>
            <w:r>
              <w:rPr>
                <w:color w:val="1A1D21"/>
                <w:sz w:val="17"/>
              </w:rPr>
              <w:t>2025-12-31</w:t>
            </w:r>
          </w:p>
        </w:tc>
      </w:tr>
      <w:tr>
        <w:trPr>
          <w:cantSplit/>
        </w:trPr>
        <w:tc>
          <w:tcPr>
            <w:tcW w:type="dxa" w:w="7143"/>
          </w:tcPr>
          <w:p>
            <w:r/>
            <w:r>
              <w:rPr>
                <w:color w:val="1A1D21"/>
                <w:sz w:val="17"/>
              </w:rPr>
              <w:t>TMG Holding consolidated financial statements for the year ended 31 December 2023, via https://talaatmoustafa.com/investor-relations/</w:t>
            </w:r>
          </w:p>
        </w:tc>
        <w:tc>
          <w:tcPr>
            <w:tcW w:type="dxa" w:w="1928"/>
          </w:tcPr>
          <w:p>
            <w:pPr>
              <w:jc w:val="right"/>
            </w:pPr>
            <w:r/>
            <w:r>
              <w:rPr>
                <w:color w:val="1A1D21"/>
                <w:sz w:val="17"/>
              </w:rPr>
              <w:t>2023-12-31</w:t>
            </w:r>
          </w:p>
        </w:tc>
      </w:tr>
      <w:tr>
        <w:trPr>
          <w:cantSplit/>
        </w:trPr>
        <w:tc>
          <w:tcPr>
            <w:tcW w:type="dxa" w:w="7143"/>
          </w:tcPr>
          <w:p>
            <w:r/>
            <w:r>
              <w:rPr>
                <w:color w:val="1A1D21"/>
                <w:sz w:val="17"/>
              </w:rPr>
              <w:t>TMG Holding consolidated financial statements for the year ended 31 December 2024, via https://talaatmoustafa.com/investor-relations/</w:t>
            </w:r>
          </w:p>
        </w:tc>
        <w:tc>
          <w:tcPr>
            <w:tcW w:type="dxa" w:w="1928"/>
          </w:tcPr>
          <w:p>
            <w:pPr>
              <w:jc w:val="right"/>
            </w:pPr>
            <w:r/>
            <w:r>
              <w:rPr>
                <w:color w:val="1A1D21"/>
                <w:sz w:val="17"/>
              </w:rPr>
              <w:t>2024-12-31</w:t>
            </w:r>
          </w:p>
        </w:tc>
      </w:tr>
      <w:tr>
        <w:trPr>
          <w:cantSplit/>
        </w:trPr>
        <w:tc>
          <w:tcPr>
            <w:tcW w:type="dxa" w:w="7143"/>
          </w:tcPr>
          <w:p>
            <w:r/>
            <w:r>
              <w:rPr>
                <w:color w:val="1A1D21"/>
                <w:sz w:val="17"/>
              </w:rPr>
              <w:t>TMG Holding consolidated financial statements for the year ended 31 December 2025</w:t>
            </w:r>
          </w:p>
        </w:tc>
        <w:tc>
          <w:tcPr>
            <w:tcW w:type="dxa" w:w="1928"/>
          </w:tcPr>
          <w:p>
            <w:pPr>
              <w:jc w:val="right"/>
            </w:pPr>
            <w:r/>
            <w:r>
              <w:rPr>
                <w:color w:val="1A1D21"/>
                <w:sz w:val="17"/>
              </w:rPr>
              <w:t>2025-12-31</w:t>
            </w:r>
          </w:p>
        </w:tc>
      </w:tr>
      <w:tr>
        <w:trPr>
          <w:cantSplit/>
        </w:trPr>
        <w:tc>
          <w:tcPr>
            <w:tcW w:type="dxa" w:w="7143"/>
          </w:tcPr>
          <w:p>
            <w:r/>
            <w:r>
              <w:rPr>
                <w:color w:val="1A1D21"/>
                <w:sz w:val="17"/>
              </w:rPr>
              <w:t>TMG Holding interim consolidated financial statements for the three and six months ended 30 June 2026</w:t>
            </w:r>
          </w:p>
        </w:tc>
        <w:tc>
          <w:tcPr>
            <w:tcW w:type="dxa" w:w="1928"/>
          </w:tcPr>
          <w:p>
            <w:pPr>
              <w:jc w:val="right"/>
            </w:pPr>
            <w:r/>
            <w:r>
              <w:rPr>
                <w:color w:val="1A1D21"/>
                <w:sz w:val="17"/>
              </w:rPr>
              <w:t>2026-06-30</w:t>
            </w:r>
          </w:p>
        </w:tc>
      </w:tr>
      <w:tr>
        <w:trPr>
          <w:cantSplit/>
        </w:trPr>
        <w:tc>
          <w:tcPr>
            <w:tcW w:type="dxa" w:w="7143"/>
          </w:tcPr>
          <w:p>
            <w:r/>
            <w:r>
              <w:rPr>
                <w:color w:val="1A1D21"/>
                <w:sz w:val="17"/>
              </w:rPr>
              <w:t>TMG disclosure of 31 May 2026 on the Baghdad licence, which states the transaction takes the total group land bank from about 115mn sqm to about 128mn sqm and the GCC land bank to about 28mn sqm</w:t>
            </w:r>
          </w:p>
        </w:tc>
        <w:tc>
          <w:tcPr>
            <w:tcW w:type="dxa" w:w="1928"/>
          </w:tcPr>
          <w:p>
            <w:pPr>
              <w:jc w:val="right"/>
            </w:pPr>
            <w:r/>
            <w:r>
              <w:rPr>
                <w:color w:val="1A1D21"/>
                <w:sz w:val="17"/>
              </w:rPr>
              <w:t>2026-05-31</w:t>
            </w:r>
          </w:p>
        </w:tc>
      </w:tr>
    </w:tbl>
    <w:p>
      <w:pPr>
        <w:spacing w:after="200"/>
      </w:pPr>
      <w:r>
        <w:rPr>
          <w:b w:val="0"/>
          <w:i/>
          <w:color w:val="5B6570"/>
          <w:sz w:val="16"/>
        </w:rPr>
        <w:t>Every one of these was downloaded from the company's own investor-relations page. The whole archive back to 2007 was read for this edition: 138 of the 140 documents sought were obtained, and the two that were not are dead links on the company's own site — the first-half 2009 and second-quarter 2017 results releases.</w:t>
      </w:r>
    </w:p>
    <w:p>
      <w:pPr>
        <w:pStyle w:val="Heading1"/>
      </w:pPr>
      <w:r>
        <w:t>Every input, with its source</w:t>
      </w:r>
    </w:p>
    <w:p>
      <w:pPr>
        <w:pStyle w:val="Heading2"/>
      </w:pPr>
      <w:r>
        <w:t>Company — income statement</w:t>
      </w:r>
    </w:p>
    <w:tbl>
      <w:tblPr>
        <w:tblStyle w:val="TableGrid"/>
        <w:tblW w:type="auto" w:w="0"/>
        <w:jc w:val="center"/>
        <w:tblLayout w:type="fixed"/>
        <w:tblLook w:firstColumn="1" w:firstRow="1" w:lastColumn="0" w:lastRow="0" w:noHBand="0" w:noVBand="1" w:val="04A0"/>
        <w:tblLayout w:type="fixed"/>
      </w:tblPr>
      <w:tblGrid>
        <w:gridCol w:w="1219"/>
        <w:gridCol w:w="777"/>
        <w:gridCol w:w="1038"/>
        <w:gridCol w:w="1128"/>
        <w:gridCol w:w="1344"/>
        <w:gridCol w:w="3566"/>
      </w:tblGrid>
      <w:tr>
        <w:trPr>
          <w:tblHeader w:val="true"/>
        </w:trPr>
        <w:tc>
          <w:tcPr>
            <w:tcW w:type="dxa" w:w="1219"/>
          </w:tcPr>
          <w:p>
            <w:r/>
            <w:r>
              <w:rPr>
                <w:b/>
                <w:color w:val="5B6570"/>
                <w:sz w:val="15"/>
              </w:rPr>
              <w:t>Input</w:t>
            </w:r>
          </w:p>
        </w:tc>
        <w:tc>
          <w:tcPr>
            <w:tcW w:type="dxa" w:w="777"/>
          </w:tcPr>
          <w:p>
            <w:r/>
            <w:r>
              <w:rPr>
                <w:b/>
                <w:color w:val="5B6570"/>
                <w:sz w:val="15"/>
              </w:rPr>
              <w:t>Value</w:t>
            </w:r>
          </w:p>
        </w:tc>
        <w:tc>
          <w:tcPr>
            <w:tcW w:type="dxa" w:w="1037"/>
          </w:tcPr>
          <w:p>
            <w:r/>
            <w:r>
              <w:rPr>
                <w:b/>
                <w:color w:val="5B6570"/>
                <w:sz w:val="15"/>
              </w:rPr>
              <w:t>Unit</w:t>
            </w:r>
          </w:p>
        </w:tc>
        <w:tc>
          <w:tcPr>
            <w:tcW w:type="dxa" w:w="1128"/>
          </w:tcPr>
          <w:p>
            <w:r/>
            <w:r>
              <w:rPr>
                <w:b/>
                <w:color w:val="5B6570"/>
                <w:sz w:val="15"/>
              </w:rPr>
              <w:t>As at</w:t>
            </w:r>
          </w:p>
        </w:tc>
        <w:tc>
          <w:tcPr>
            <w:tcW w:type="dxa" w:w="1344"/>
          </w:tcPr>
          <w:p>
            <w:r/>
            <w:r>
              <w:rPr>
                <w:b/>
                <w:color w:val="5B6570"/>
                <w:sz w:val="15"/>
              </w:rPr>
              <w:t>Reliability</w:t>
            </w:r>
          </w:p>
        </w:tc>
        <w:tc>
          <w:tcPr>
            <w:tcW w:type="dxa" w:w="3566"/>
          </w:tcPr>
          <w:p>
            <w:r/>
            <w:r>
              <w:rPr>
                <w:b/>
                <w:color w:val="5B6570"/>
                <w:sz w:val="15"/>
              </w:rPr>
              <w:t>Note</w:t>
            </w:r>
          </w:p>
        </w:tc>
      </w:tr>
      <w:tr>
        <w:trPr>
          <w:cantSplit/>
        </w:trPr>
        <w:tc>
          <w:tcPr>
            <w:tcW w:type="dxa" w:w="1219"/>
          </w:tcPr>
          <w:p>
            <w:r/>
            <w:r>
              <w:rPr>
                <w:color w:val="1A1D21"/>
                <w:sz w:val="15"/>
              </w:rPr>
              <w:t>dev revenue fy25</w:t>
            </w:r>
          </w:p>
        </w:tc>
        <w:tc>
          <w:tcPr>
            <w:tcW w:type="dxa" w:w="777"/>
          </w:tcPr>
          <w:p>
            <w:pPr>
              <w:jc w:val="right"/>
            </w:pPr>
            <w:r/>
            <w:r>
              <w:rPr>
                <w:color w:val="1A1D21"/>
                <w:sz w:val="15"/>
              </w:rPr>
              <w:t>36,706</w:t>
            </w:r>
          </w:p>
        </w:tc>
        <w:tc>
          <w:tcPr>
            <w:tcW w:type="dxa" w:w="1037"/>
          </w:tcPr>
          <w:p>
            <w:r/>
            <w:r>
              <w:rPr>
                <w:color w:val="1A1D21"/>
                <w:sz w:val="15"/>
              </w:rPr>
              <w:t>EGP mn</w:t>
            </w:r>
          </w:p>
        </w:tc>
        <w:tc>
          <w:tcPr>
            <w:tcW w:type="dxa" w:w="1128"/>
          </w:tcPr>
          <w:p>
            <w:pPr>
              <w:jc w:val="right"/>
            </w:pPr>
            <w:r/>
            <w:r>
              <w:rPr>
                <w:color w:val="1A1D21"/>
                <w:sz w:val="15"/>
              </w:rPr>
              <w:t>2025-12-31</w:t>
            </w:r>
          </w:p>
        </w:tc>
        <w:tc>
          <w:tcPr>
            <w:tcW w:type="dxa" w:w="1344"/>
          </w:tcPr>
          <w:p>
            <w:r/>
            <w:r>
              <w:rPr>
                <w:color w:val="1A1D21"/>
                <w:sz w:val="15"/>
              </w:rPr>
              <w:t>A</w:t>
            </w:r>
          </w:p>
        </w:tc>
        <w:tc>
          <w:tcPr>
            <w:tcW w:type="dxa" w:w="3566"/>
          </w:tcPr>
          <w:p>
            <w:r/>
            <w:r>
              <w:rPr>
                <w:color w:val="1A1D21"/>
                <w:sz w:val="15"/>
              </w:rPr>
            </w:r>
          </w:p>
        </w:tc>
      </w:tr>
      <w:tr>
        <w:trPr>
          <w:cantSplit/>
        </w:trPr>
        <w:tc>
          <w:tcPr>
            <w:tcW w:type="dxa" w:w="1219"/>
          </w:tcPr>
          <w:p>
            <w:r/>
            <w:r>
              <w:rPr>
                <w:color w:val="1A1D21"/>
                <w:sz w:val="15"/>
              </w:rPr>
              <w:t>dev cost fy25</w:t>
            </w:r>
          </w:p>
        </w:tc>
        <w:tc>
          <w:tcPr>
            <w:tcW w:type="dxa" w:w="777"/>
          </w:tcPr>
          <w:p>
            <w:pPr>
              <w:jc w:val="right"/>
            </w:pPr>
            <w:r/>
            <w:r>
              <w:rPr>
                <w:color w:val="1A1D21"/>
                <w:sz w:val="15"/>
              </w:rPr>
              <w:t>26,645</w:t>
            </w:r>
          </w:p>
        </w:tc>
        <w:tc>
          <w:tcPr>
            <w:tcW w:type="dxa" w:w="1037"/>
          </w:tcPr>
          <w:p>
            <w:r/>
            <w:r>
              <w:rPr>
                <w:color w:val="1A1D21"/>
                <w:sz w:val="15"/>
              </w:rPr>
              <w:t>EGP mn</w:t>
            </w:r>
          </w:p>
        </w:tc>
        <w:tc>
          <w:tcPr>
            <w:tcW w:type="dxa" w:w="1128"/>
          </w:tcPr>
          <w:p>
            <w:pPr>
              <w:jc w:val="right"/>
            </w:pPr>
            <w:r/>
            <w:r>
              <w:rPr>
                <w:color w:val="1A1D21"/>
                <w:sz w:val="15"/>
              </w:rPr>
              <w:t>2025-12-31</w:t>
            </w:r>
          </w:p>
        </w:tc>
        <w:tc>
          <w:tcPr>
            <w:tcW w:type="dxa" w:w="1344"/>
          </w:tcPr>
          <w:p>
            <w:r/>
            <w:r>
              <w:rPr>
                <w:color w:val="1A1D21"/>
                <w:sz w:val="15"/>
              </w:rPr>
              <w:t>A</w:t>
            </w:r>
          </w:p>
        </w:tc>
        <w:tc>
          <w:tcPr>
            <w:tcW w:type="dxa" w:w="3566"/>
          </w:tcPr>
          <w:p>
            <w:r/>
            <w:r>
              <w:rPr>
                <w:color w:val="1A1D21"/>
                <w:sz w:val="15"/>
              </w:rPr>
            </w:r>
          </w:p>
        </w:tc>
      </w:tr>
      <w:tr>
        <w:trPr>
          <w:cantSplit/>
        </w:trPr>
        <w:tc>
          <w:tcPr>
            <w:tcW w:type="dxa" w:w="1219"/>
          </w:tcPr>
          <w:p>
            <w:r/>
            <w:r>
              <w:rPr>
                <w:color w:val="1A1D21"/>
                <w:sz w:val="15"/>
              </w:rPr>
              <w:t>hosp revenue fy25</w:t>
            </w:r>
          </w:p>
        </w:tc>
        <w:tc>
          <w:tcPr>
            <w:tcW w:type="dxa" w:w="777"/>
          </w:tcPr>
          <w:p>
            <w:pPr>
              <w:jc w:val="right"/>
            </w:pPr>
            <w:r/>
            <w:r>
              <w:rPr>
                <w:color w:val="1A1D21"/>
                <w:sz w:val="15"/>
              </w:rPr>
              <w:t>14,890</w:t>
            </w:r>
          </w:p>
        </w:tc>
        <w:tc>
          <w:tcPr>
            <w:tcW w:type="dxa" w:w="1037"/>
          </w:tcPr>
          <w:p>
            <w:r/>
            <w:r>
              <w:rPr>
                <w:color w:val="1A1D21"/>
                <w:sz w:val="15"/>
              </w:rPr>
              <w:t>EGP mn</w:t>
            </w:r>
          </w:p>
        </w:tc>
        <w:tc>
          <w:tcPr>
            <w:tcW w:type="dxa" w:w="1128"/>
          </w:tcPr>
          <w:p>
            <w:pPr>
              <w:jc w:val="right"/>
            </w:pPr>
            <w:r/>
            <w:r>
              <w:rPr>
                <w:color w:val="1A1D21"/>
                <w:sz w:val="15"/>
              </w:rPr>
              <w:t>2025-12-31</w:t>
            </w:r>
          </w:p>
        </w:tc>
        <w:tc>
          <w:tcPr>
            <w:tcW w:type="dxa" w:w="1344"/>
          </w:tcPr>
          <w:p>
            <w:r/>
            <w:r>
              <w:rPr>
                <w:color w:val="1A1D21"/>
                <w:sz w:val="15"/>
              </w:rPr>
              <w:t>A</w:t>
            </w:r>
          </w:p>
        </w:tc>
        <w:tc>
          <w:tcPr>
            <w:tcW w:type="dxa" w:w="3566"/>
          </w:tcPr>
          <w:p>
            <w:r/>
            <w:r>
              <w:rPr>
                <w:color w:val="1A1D21"/>
                <w:sz w:val="15"/>
              </w:rPr>
            </w:r>
          </w:p>
        </w:tc>
      </w:tr>
      <w:tr>
        <w:trPr>
          <w:cantSplit/>
        </w:trPr>
        <w:tc>
          <w:tcPr>
            <w:tcW w:type="dxa" w:w="1219"/>
          </w:tcPr>
          <w:p>
            <w:r/>
            <w:r>
              <w:rPr>
                <w:color w:val="1A1D21"/>
                <w:sz w:val="15"/>
              </w:rPr>
              <w:t>hosp cost fy25</w:t>
            </w:r>
          </w:p>
        </w:tc>
        <w:tc>
          <w:tcPr>
            <w:tcW w:type="dxa" w:w="777"/>
          </w:tcPr>
          <w:p>
            <w:pPr>
              <w:jc w:val="right"/>
            </w:pPr>
            <w:r/>
            <w:r>
              <w:rPr>
                <w:color w:val="1A1D21"/>
                <w:sz w:val="15"/>
              </w:rPr>
              <w:t>7,801</w:t>
            </w:r>
          </w:p>
        </w:tc>
        <w:tc>
          <w:tcPr>
            <w:tcW w:type="dxa" w:w="1037"/>
          </w:tcPr>
          <w:p>
            <w:r/>
            <w:r>
              <w:rPr>
                <w:color w:val="1A1D21"/>
                <w:sz w:val="15"/>
              </w:rPr>
              <w:t>EGP mn</w:t>
            </w:r>
          </w:p>
        </w:tc>
        <w:tc>
          <w:tcPr>
            <w:tcW w:type="dxa" w:w="1128"/>
          </w:tcPr>
          <w:p>
            <w:pPr>
              <w:jc w:val="right"/>
            </w:pPr>
            <w:r/>
            <w:r>
              <w:rPr>
                <w:color w:val="1A1D21"/>
                <w:sz w:val="15"/>
              </w:rPr>
              <w:t>2025-12-31</w:t>
            </w:r>
          </w:p>
        </w:tc>
        <w:tc>
          <w:tcPr>
            <w:tcW w:type="dxa" w:w="1344"/>
          </w:tcPr>
          <w:p>
            <w:r/>
            <w:r>
              <w:rPr>
                <w:color w:val="1A1D21"/>
                <w:sz w:val="15"/>
              </w:rPr>
              <w:t>A</w:t>
            </w:r>
          </w:p>
        </w:tc>
        <w:tc>
          <w:tcPr>
            <w:tcW w:type="dxa" w:w="3566"/>
          </w:tcPr>
          <w:p>
            <w:r/>
            <w:r>
              <w:rPr>
                <w:color w:val="1A1D21"/>
                <w:sz w:val="15"/>
              </w:rPr>
            </w:r>
          </w:p>
        </w:tc>
      </w:tr>
      <w:tr>
        <w:trPr>
          <w:cantSplit/>
        </w:trPr>
        <w:tc>
          <w:tcPr>
            <w:tcW w:type="dxa" w:w="1219"/>
          </w:tcPr>
          <w:p>
            <w:r/>
            <w:r>
              <w:rPr>
                <w:color w:val="1A1D21"/>
                <w:sz w:val="15"/>
              </w:rPr>
              <w:t>other revenue fy25</w:t>
            </w:r>
          </w:p>
        </w:tc>
        <w:tc>
          <w:tcPr>
            <w:tcW w:type="dxa" w:w="777"/>
          </w:tcPr>
          <w:p>
            <w:pPr>
              <w:jc w:val="right"/>
            </w:pPr>
            <w:r/>
            <w:r>
              <w:rPr>
                <w:color w:val="1A1D21"/>
                <w:sz w:val="15"/>
              </w:rPr>
              <w:t>10,900</w:t>
            </w:r>
          </w:p>
        </w:tc>
        <w:tc>
          <w:tcPr>
            <w:tcW w:type="dxa" w:w="1037"/>
          </w:tcPr>
          <w:p>
            <w:r/>
            <w:r>
              <w:rPr>
                <w:color w:val="1A1D21"/>
                <w:sz w:val="15"/>
              </w:rPr>
              <w:t>EGP mn</w:t>
            </w:r>
          </w:p>
        </w:tc>
        <w:tc>
          <w:tcPr>
            <w:tcW w:type="dxa" w:w="1128"/>
          </w:tcPr>
          <w:p>
            <w:pPr>
              <w:jc w:val="right"/>
            </w:pPr>
            <w:r/>
            <w:r>
              <w:rPr>
                <w:color w:val="1A1D21"/>
                <w:sz w:val="15"/>
              </w:rPr>
              <w:t>2025-12-31</w:t>
            </w:r>
          </w:p>
        </w:tc>
        <w:tc>
          <w:tcPr>
            <w:tcW w:type="dxa" w:w="1344"/>
          </w:tcPr>
          <w:p>
            <w:r/>
            <w:r>
              <w:rPr>
                <w:color w:val="1A1D21"/>
                <w:sz w:val="15"/>
              </w:rPr>
              <w:t>A</w:t>
            </w:r>
          </w:p>
        </w:tc>
        <w:tc>
          <w:tcPr>
            <w:tcW w:type="dxa" w:w="3566"/>
          </w:tcPr>
          <w:p>
            <w:r/>
            <w:r>
              <w:rPr>
                <w:color w:val="1A1D21"/>
                <w:sz w:val="15"/>
              </w:rPr>
            </w:r>
          </w:p>
        </w:tc>
      </w:tr>
      <w:tr>
        <w:trPr>
          <w:cantSplit/>
        </w:trPr>
        <w:tc>
          <w:tcPr>
            <w:tcW w:type="dxa" w:w="1219"/>
          </w:tcPr>
          <w:p>
            <w:r/>
            <w:r>
              <w:rPr>
                <w:color w:val="1A1D21"/>
                <w:sz w:val="15"/>
              </w:rPr>
              <w:t>other cost fy25</w:t>
            </w:r>
          </w:p>
        </w:tc>
        <w:tc>
          <w:tcPr>
            <w:tcW w:type="dxa" w:w="777"/>
          </w:tcPr>
          <w:p>
            <w:pPr>
              <w:jc w:val="right"/>
            </w:pPr>
            <w:r/>
            <w:r>
              <w:rPr>
                <w:color w:val="1A1D21"/>
                <w:sz w:val="15"/>
              </w:rPr>
              <w:t>7,194</w:t>
            </w:r>
          </w:p>
        </w:tc>
        <w:tc>
          <w:tcPr>
            <w:tcW w:type="dxa" w:w="1037"/>
          </w:tcPr>
          <w:p>
            <w:r/>
            <w:r>
              <w:rPr>
                <w:color w:val="1A1D21"/>
                <w:sz w:val="15"/>
              </w:rPr>
              <w:t>EGP mn</w:t>
            </w:r>
          </w:p>
        </w:tc>
        <w:tc>
          <w:tcPr>
            <w:tcW w:type="dxa" w:w="1128"/>
          </w:tcPr>
          <w:p>
            <w:pPr>
              <w:jc w:val="right"/>
            </w:pPr>
            <w:r/>
            <w:r>
              <w:rPr>
                <w:color w:val="1A1D21"/>
                <w:sz w:val="15"/>
              </w:rPr>
              <w:t>2025-12-31</w:t>
            </w:r>
          </w:p>
        </w:tc>
        <w:tc>
          <w:tcPr>
            <w:tcW w:type="dxa" w:w="1344"/>
          </w:tcPr>
          <w:p>
            <w:r/>
            <w:r>
              <w:rPr>
                <w:color w:val="1A1D21"/>
                <w:sz w:val="15"/>
              </w:rPr>
              <w:t>A</w:t>
            </w:r>
          </w:p>
        </w:tc>
        <w:tc>
          <w:tcPr>
            <w:tcW w:type="dxa" w:w="3566"/>
          </w:tcPr>
          <w:p>
            <w:r/>
            <w:r>
              <w:rPr>
                <w:color w:val="1A1D21"/>
                <w:sz w:val="15"/>
              </w:rPr>
            </w:r>
          </w:p>
        </w:tc>
      </w:tr>
      <w:tr>
        <w:trPr>
          <w:cantSplit/>
        </w:trPr>
        <w:tc>
          <w:tcPr>
            <w:tcW w:type="dxa" w:w="1219"/>
          </w:tcPr>
          <w:p>
            <w:r/>
            <w:r>
              <w:rPr>
                <w:color w:val="1A1D21"/>
                <w:sz w:val="15"/>
              </w:rPr>
              <w:t>gross profit fy25</w:t>
            </w:r>
          </w:p>
        </w:tc>
        <w:tc>
          <w:tcPr>
            <w:tcW w:type="dxa" w:w="777"/>
          </w:tcPr>
          <w:p>
            <w:pPr>
              <w:jc w:val="right"/>
            </w:pPr>
            <w:r/>
            <w:r>
              <w:rPr>
                <w:color w:val="1A1D21"/>
                <w:sz w:val="15"/>
              </w:rPr>
              <w:t>20,855</w:t>
            </w:r>
          </w:p>
        </w:tc>
        <w:tc>
          <w:tcPr>
            <w:tcW w:type="dxa" w:w="1037"/>
          </w:tcPr>
          <w:p>
            <w:r/>
            <w:r>
              <w:rPr>
                <w:color w:val="1A1D21"/>
                <w:sz w:val="15"/>
              </w:rPr>
              <w:t>EGP mn</w:t>
            </w:r>
          </w:p>
        </w:tc>
        <w:tc>
          <w:tcPr>
            <w:tcW w:type="dxa" w:w="1128"/>
          </w:tcPr>
          <w:p>
            <w:pPr>
              <w:jc w:val="right"/>
            </w:pPr>
            <w:r/>
            <w:r>
              <w:rPr>
                <w:color w:val="1A1D21"/>
                <w:sz w:val="15"/>
              </w:rPr>
              <w:t>2025-12-31</w:t>
            </w:r>
          </w:p>
        </w:tc>
        <w:tc>
          <w:tcPr>
            <w:tcW w:type="dxa" w:w="1344"/>
          </w:tcPr>
          <w:p>
            <w:r/>
            <w:r>
              <w:rPr>
                <w:color w:val="1A1D21"/>
                <w:sz w:val="15"/>
              </w:rPr>
              <w:t>A</w:t>
            </w:r>
          </w:p>
        </w:tc>
        <w:tc>
          <w:tcPr>
            <w:tcW w:type="dxa" w:w="3566"/>
          </w:tcPr>
          <w:p>
            <w:r/>
            <w:r>
              <w:rPr>
                <w:color w:val="1A1D21"/>
                <w:sz w:val="15"/>
              </w:rPr>
            </w:r>
          </w:p>
        </w:tc>
      </w:tr>
      <w:tr>
        <w:trPr>
          <w:cantSplit/>
        </w:trPr>
        <w:tc>
          <w:tcPr>
            <w:tcW w:type="dxa" w:w="1219"/>
          </w:tcPr>
          <w:p>
            <w:r/>
            <w:r>
              <w:rPr>
                <w:color w:val="1A1D21"/>
                <w:sz w:val="15"/>
              </w:rPr>
              <w:t>ip revaluation fy25</w:t>
            </w:r>
          </w:p>
        </w:tc>
        <w:tc>
          <w:tcPr>
            <w:tcW w:type="dxa" w:w="777"/>
          </w:tcPr>
          <w:p>
            <w:pPr>
              <w:jc w:val="right"/>
            </w:pPr>
            <w:r/>
            <w:r>
              <w:rPr>
                <w:color w:val="1A1D21"/>
                <w:sz w:val="15"/>
              </w:rPr>
              <w:t>3,952</w:t>
            </w:r>
          </w:p>
        </w:tc>
        <w:tc>
          <w:tcPr>
            <w:tcW w:type="dxa" w:w="1037"/>
          </w:tcPr>
          <w:p>
            <w:r/>
            <w:r>
              <w:rPr>
                <w:color w:val="1A1D21"/>
                <w:sz w:val="15"/>
              </w:rPr>
              <w:t>EGP mn</w:t>
            </w:r>
          </w:p>
        </w:tc>
        <w:tc>
          <w:tcPr>
            <w:tcW w:type="dxa" w:w="1128"/>
          </w:tcPr>
          <w:p>
            <w:pPr>
              <w:jc w:val="right"/>
            </w:pPr>
            <w:r/>
            <w:r>
              <w:rPr>
                <w:color w:val="1A1D21"/>
                <w:sz w:val="15"/>
              </w:rPr>
              <w:t>2025-12-31</w:t>
            </w:r>
          </w:p>
        </w:tc>
        <w:tc>
          <w:tcPr>
            <w:tcW w:type="dxa" w:w="1344"/>
          </w:tcPr>
          <w:p>
            <w:r/>
            <w:r>
              <w:rPr>
                <w:color w:val="1A1D21"/>
                <w:sz w:val="15"/>
              </w:rPr>
              <w:t>A</w:t>
            </w:r>
          </w:p>
        </w:tc>
        <w:tc>
          <w:tcPr>
            <w:tcW w:type="dxa" w:w="3566"/>
          </w:tcPr>
          <w:p>
            <w:r/>
            <w:r>
              <w:rPr>
                <w:color w:val="1A1D21"/>
                <w:sz w:val="15"/>
              </w:rPr>
              <w:t>non-cash fair-value gain on investment property; excluded from the cash-flow lens</w:t>
            </w:r>
          </w:p>
        </w:tc>
      </w:tr>
      <w:tr>
        <w:trPr>
          <w:cantSplit/>
        </w:trPr>
        <w:tc>
          <w:tcPr>
            <w:tcW w:type="dxa" w:w="1219"/>
          </w:tcPr>
          <w:p>
            <w:r/>
            <w:r>
              <w:rPr>
                <w:color w:val="1A1D21"/>
                <w:sz w:val="15"/>
              </w:rPr>
              <w:t>other income fy25</w:t>
            </w:r>
          </w:p>
        </w:tc>
        <w:tc>
          <w:tcPr>
            <w:tcW w:type="dxa" w:w="777"/>
          </w:tcPr>
          <w:p>
            <w:pPr>
              <w:jc w:val="right"/>
            </w:pPr>
            <w:r/>
            <w:r>
              <w:rPr>
                <w:color w:val="1A1D21"/>
                <w:sz w:val="15"/>
              </w:rPr>
              <w:t>3,654</w:t>
            </w:r>
          </w:p>
        </w:tc>
        <w:tc>
          <w:tcPr>
            <w:tcW w:type="dxa" w:w="1037"/>
          </w:tcPr>
          <w:p>
            <w:r/>
            <w:r>
              <w:rPr>
                <w:color w:val="1A1D21"/>
                <w:sz w:val="15"/>
              </w:rPr>
              <w:t>EGP mn</w:t>
            </w:r>
          </w:p>
        </w:tc>
        <w:tc>
          <w:tcPr>
            <w:tcW w:type="dxa" w:w="1128"/>
          </w:tcPr>
          <w:p>
            <w:pPr>
              <w:jc w:val="right"/>
            </w:pPr>
            <w:r/>
            <w:r>
              <w:rPr>
                <w:color w:val="1A1D21"/>
                <w:sz w:val="15"/>
              </w:rPr>
              <w:t>2025-12-31</w:t>
            </w:r>
          </w:p>
        </w:tc>
        <w:tc>
          <w:tcPr>
            <w:tcW w:type="dxa" w:w="1344"/>
          </w:tcPr>
          <w:p>
            <w:r/>
            <w:r>
              <w:rPr>
                <w:color w:val="1A1D21"/>
                <w:sz w:val="15"/>
              </w:rPr>
              <w:t>A</w:t>
            </w:r>
          </w:p>
        </w:tc>
        <w:tc>
          <w:tcPr>
            <w:tcW w:type="dxa" w:w="3566"/>
          </w:tcPr>
          <w:p>
            <w:r/>
            <w:r>
              <w:rPr>
                <w:color w:val="1A1D21"/>
                <w:sz w:val="15"/>
              </w:rPr>
            </w:r>
          </w:p>
        </w:tc>
      </w:tr>
      <w:tr>
        <w:trPr>
          <w:cantSplit/>
        </w:trPr>
        <w:tc>
          <w:tcPr>
            <w:tcW w:type="dxa" w:w="1219"/>
          </w:tcPr>
          <w:p>
            <w:r/>
            <w:r>
              <w:rPr>
                <w:color w:val="1A1D21"/>
                <w:sz w:val="15"/>
              </w:rPr>
              <w:t>ga fy25</w:t>
            </w:r>
          </w:p>
        </w:tc>
        <w:tc>
          <w:tcPr>
            <w:tcW w:type="dxa" w:w="777"/>
          </w:tcPr>
          <w:p>
            <w:pPr>
              <w:jc w:val="right"/>
            </w:pPr>
            <w:r/>
            <w:r>
              <w:rPr>
                <w:color w:val="1A1D21"/>
                <w:sz w:val="15"/>
              </w:rPr>
              <w:t>2,133</w:t>
            </w:r>
          </w:p>
        </w:tc>
        <w:tc>
          <w:tcPr>
            <w:tcW w:type="dxa" w:w="1037"/>
          </w:tcPr>
          <w:p>
            <w:r/>
            <w:r>
              <w:rPr>
                <w:color w:val="1A1D21"/>
                <w:sz w:val="15"/>
              </w:rPr>
              <w:t>EGP mn</w:t>
            </w:r>
          </w:p>
        </w:tc>
        <w:tc>
          <w:tcPr>
            <w:tcW w:type="dxa" w:w="1128"/>
          </w:tcPr>
          <w:p>
            <w:pPr>
              <w:jc w:val="right"/>
            </w:pPr>
            <w:r/>
            <w:r>
              <w:rPr>
                <w:color w:val="1A1D21"/>
                <w:sz w:val="15"/>
              </w:rPr>
              <w:t>2025-12-31</w:t>
            </w:r>
          </w:p>
        </w:tc>
        <w:tc>
          <w:tcPr>
            <w:tcW w:type="dxa" w:w="1344"/>
          </w:tcPr>
          <w:p>
            <w:r/>
            <w:r>
              <w:rPr>
                <w:color w:val="1A1D21"/>
                <w:sz w:val="15"/>
              </w:rPr>
              <w:t>A</w:t>
            </w:r>
          </w:p>
        </w:tc>
        <w:tc>
          <w:tcPr>
            <w:tcW w:type="dxa" w:w="3566"/>
          </w:tcPr>
          <w:p>
            <w:r/>
            <w:r>
              <w:rPr>
                <w:color w:val="1A1D21"/>
                <w:sz w:val="15"/>
              </w:rPr>
            </w:r>
          </w:p>
        </w:tc>
      </w:tr>
      <w:tr>
        <w:trPr>
          <w:cantSplit/>
        </w:trPr>
        <w:tc>
          <w:tcPr>
            <w:tcW w:type="dxa" w:w="1219"/>
          </w:tcPr>
          <w:p>
            <w:r/>
            <w:r>
              <w:rPr>
                <w:color w:val="1A1D21"/>
                <w:sz w:val="15"/>
              </w:rPr>
              <w:t>marketing fy25</w:t>
            </w:r>
          </w:p>
        </w:tc>
        <w:tc>
          <w:tcPr>
            <w:tcW w:type="dxa" w:w="777"/>
          </w:tcPr>
          <w:p>
            <w:pPr>
              <w:jc w:val="right"/>
            </w:pPr>
            <w:r/>
            <w:r>
              <w:rPr>
                <w:color w:val="1A1D21"/>
                <w:sz w:val="15"/>
              </w:rPr>
              <w:t>746</w:t>
            </w:r>
          </w:p>
        </w:tc>
        <w:tc>
          <w:tcPr>
            <w:tcW w:type="dxa" w:w="1037"/>
          </w:tcPr>
          <w:p>
            <w:r/>
            <w:r>
              <w:rPr>
                <w:color w:val="1A1D21"/>
                <w:sz w:val="15"/>
              </w:rPr>
              <w:t>EGP mn</w:t>
            </w:r>
          </w:p>
        </w:tc>
        <w:tc>
          <w:tcPr>
            <w:tcW w:type="dxa" w:w="1128"/>
          </w:tcPr>
          <w:p>
            <w:pPr>
              <w:jc w:val="right"/>
            </w:pPr>
            <w:r/>
            <w:r>
              <w:rPr>
                <w:color w:val="1A1D21"/>
                <w:sz w:val="15"/>
              </w:rPr>
              <w:t>2025-12-31</w:t>
            </w:r>
          </w:p>
        </w:tc>
        <w:tc>
          <w:tcPr>
            <w:tcW w:type="dxa" w:w="1344"/>
          </w:tcPr>
          <w:p>
            <w:r/>
            <w:r>
              <w:rPr>
                <w:color w:val="1A1D21"/>
                <w:sz w:val="15"/>
              </w:rPr>
              <w:t>A</w:t>
            </w:r>
          </w:p>
        </w:tc>
        <w:tc>
          <w:tcPr>
            <w:tcW w:type="dxa" w:w="3566"/>
          </w:tcPr>
          <w:p>
            <w:r/>
            <w:r>
              <w:rPr>
                <w:color w:val="1A1D21"/>
                <w:sz w:val="15"/>
              </w:rPr>
            </w:r>
          </w:p>
        </w:tc>
      </w:tr>
      <w:tr>
        <w:trPr>
          <w:cantSplit/>
        </w:trPr>
        <w:tc>
          <w:tcPr>
            <w:tcW w:type="dxa" w:w="1219"/>
          </w:tcPr>
          <w:p>
            <w:r/>
            <w:r>
              <w:rPr>
                <w:color w:val="1A1D21"/>
                <w:sz w:val="15"/>
              </w:rPr>
              <w:t>fx fy25</w:t>
            </w:r>
          </w:p>
        </w:tc>
        <w:tc>
          <w:tcPr>
            <w:tcW w:type="dxa" w:w="777"/>
          </w:tcPr>
          <w:p>
            <w:pPr>
              <w:jc w:val="right"/>
            </w:pPr>
            <w:r/>
            <w:r>
              <w:rPr>
                <w:color w:val="1A1D21"/>
                <w:sz w:val="15"/>
              </w:rPr>
              <w:t>-85.70</w:t>
            </w:r>
          </w:p>
        </w:tc>
        <w:tc>
          <w:tcPr>
            <w:tcW w:type="dxa" w:w="1037"/>
          </w:tcPr>
          <w:p>
            <w:r/>
            <w:r>
              <w:rPr>
                <w:color w:val="1A1D21"/>
                <w:sz w:val="15"/>
              </w:rPr>
              <w:t>EGP mn</w:t>
            </w:r>
          </w:p>
        </w:tc>
        <w:tc>
          <w:tcPr>
            <w:tcW w:type="dxa" w:w="1128"/>
          </w:tcPr>
          <w:p>
            <w:pPr>
              <w:jc w:val="right"/>
            </w:pPr>
            <w:r/>
            <w:r>
              <w:rPr>
                <w:color w:val="1A1D21"/>
                <w:sz w:val="15"/>
              </w:rPr>
              <w:t>2025-12-31</w:t>
            </w:r>
          </w:p>
        </w:tc>
        <w:tc>
          <w:tcPr>
            <w:tcW w:type="dxa" w:w="1344"/>
          </w:tcPr>
          <w:p>
            <w:r/>
            <w:r>
              <w:rPr>
                <w:color w:val="1A1D21"/>
                <w:sz w:val="15"/>
              </w:rPr>
              <w:t>A</w:t>
            </w:r>
          </w:p>
        </w:tc>
        <w:tc>
          <w:tcPr>
            <w:tcW w:type="dxa" w:w="3566"/>
          </w:tcPr>
          <w:p>
            <w:r/>
            <w:r>
              <w:rPr>
                <w:color w:val="1A1D21"/>
                <w:sz w:val="15"/>
              </w:rPr>
            </w:r>
          </w:p>
        </w:tc>
      </w:tr>
      <w:tr>
        <w:trPr>
          <w:cantSplit/>
        </w:trPr>
        <w:tc>
          <w:tcPr>
            <w:tcW w:type="dxa" w:w="1219"/>
          </w:tcPr>
          <w:p>
            <w:r/>
            <w:r>
              <w:rPr>
                <w:color w:val="1A1D21"/>
                <w:sz w:val="15"/>
              </w:rPr>
              <w:t>govt donations fy25</w:t>
            </w:r>
          </w:p>
        </w:tc>
        <w:tc>
          <w:tcPr>
            <w:tcW w:type="dxa" w:w="777"/>
          </w:tcPr>
          <w:p>
            <w:pPr>
              <w:jc w:val="right"/>
            </w:pPr>
            <w:r/>
            <w:r>
              <w:rPr>
                <w:color w:val="1A1D21"/>
                <w:sz w:val="15"/>
              </w:rPr>
              <w:t>1,340</w:t>
            </w:r>
          </w:p>
        </w:tc>
        <w:tc>
          <w:tcPr>
            <w:tcW w:type="dxa" w:w="1037"/>
          </w:tcPr>
          <w:p>
            <w:r/>
            <w:r>
              <w:rPr>
                <w:color w:val="1A1D21"/>
                <w:sz w:val="15"/>
              </w:rPr>
              <w:t>EGP mn</w:t>
            </w:r>
          </w:p>
        </w:tc>
        <w:tc>
          <w:tcPr>
            <w:tcW w:type="dxa" w:w="1128"/>
          </w:tcPr>
          <w:p>
            <w:pPr>
              <w:jc w:val="right"/>
            </w:pPr>
            <w:r/>
            <w:r>
              <w:rPr>
                <w:color w:val="1A1D21"/>
                <w:sz w:val="15"/>
              </w:rPr>
              <w:t>2025-12-31</w:t>
            </w:r>
          </w:p>
        </w:tc>
        <w:tc>
          <w:tcPr>
            <w:tcW w:type="dxa" w:w="1344"/>
          </w:tcPr>
          <w:p>
            <w:r/>
            <w:r>
              <w:rPr>
                <w:color w:val="1A1D21"/>
                <w:sz w:val="15"/>
              </w:rPr>
              <w:t>A</w:t>
            </w:r>
          </w:p>
        </w:tc>
        <w:tc>
          <w:tcPr>
            <w:tcW w:type="dxa" w:w="3566"/>
          </w:tcPr>
          <w:p>
            <w:r/>
            <w:r>
              <w:rPr>
                <w:color w:val="1A1D21"/>
                <w:sz w:val="15"/>
              </w:rPr>
            </w:r>
          </w:p>
        </w:tc>
      </w:tr>
      <w:tr>
        <w:trPr>
          <w:cantSplit/>
        </w:trPr>
        <w:tc>
          <w:tcPr>
            <w:tcW w:type="dxa" w:w="1219"/>
          </w:tcPr>
          <w:p>
            <w:r/>
            <w:r>
              <w:rPr>
                <w:color w:val="1A1D21"/>
                <w:sz w:val="15"/>
              </w:rPr>
              <w:t>provisions ecl fy25</w:t>
            </w:r>
          </w:p>
        </w:tc>
        <w:tc>
          <w:tcPr>
            <w:tcW w:type="dxa" w:w="777"/>
          </w:tcPr>
          <w:p>
            <w:pPr>
              <w:jc w:val="right"/>
            </w:pPr>
            <w:r/>
            <w:r>
              <w:rPr>
                <w:color w:val="1A1D21"/>
                <w:sz w:val="15"/>
              </w:rPr>
              <w:t>408</w:t>
            </w:r>
          </w:p>
        </w:tc>
        <w:tc>
          <w:tcPr>
            <w:tcW w:type="dxa" w:w="1037"/>
          </w:tcPr>
          <w:p>
            <w:r/>
            <w:r>
              <w:rPr>
                <w:color w:val="1A1D21"/>
                <w:sz w:val="15"/>
              </w:rPr>
              <w:t>EGP mn</w:t>
            </w:r>
          </w:p>
        </w:tc>
        <w:tc>
          <w:tcPr>
            <w:tcW w:type="dxa" w:w="1128"/>
          </w:tcPr>
          <w:p>
            <w:pPr>
              <w:jc w:val="right"/>
            </w:pPr>
            <w:r/>
            <w:r>
              <w:rPr>
                <w:color w:val="1A1D21"/>
                <w:sz w:val="15"/>
              </w:rPr>
              <w:t>2025-12-31</w:t>
            </w:r>
          </w:p>
        </w:tc>
        <w:tc>
          <w:tcPr>
            <w:tcW w:type="dxa" w:w="1344"/>
          </w:tcPr>
          <w:p>
            <w:r/>
            <w:r>
              <w:rPr>
                <w:color w:val="1A1D21"/>
                <w:sz w:val="15"/>
              </w:rPr>
              <w:t>A</w:t>
            </w:r>
          </w:p>
        </w:tc>
        <w:tc>
          <w:tcPr>
            <w:tcW w:type="dxa" w:w="3566"/>
          </w:tcPr>
          <w:p>
            <w:r/>
            <w:r>
              <w:rPr>
                <w:color w:val="1A1D21"/>
                <w:sz w:val="15"/>
              </w:rPr>
            </w:r>
          </w:p>
        </w:tc>
      </w:tr>
      <w:tr>
        <w:trPr>
          <w:cantSplit/>
        </w:trPr>
        <w:tc>
          <w:tcPr>
            <w:tcW w:type="dxa" w:w="1219"/>
          </w:tcPr>
          <w:p>
            <w:r/>
            <w:r>
              <w:rPr>
                <w:color w:val="1A1D21"/>
                <w:sz w:val="15"/>
              </w:rPr>
              <w:t>operating income fy25</w:t>
            </w:r>
          </w:p>
        </w:tc>
        <w:tc>
          <w:tcPr>
            <w:tcW w:type="dxa" w:w="777"/>
          </w:tcPr>
          <w:p>
            <w:pPr>
              <w:jc w:val="right"/>
            </w:pPr>
            <w:r/>
            <w:r>
              <w:rPr>
                <w:color w:val="1A1D21"/>
                <w:sz w:val="15"/>
              </w:rPr>
              <w:t>23,749</w:t>
            </w:r>
          </w:p>
        </w:tc>
        <w:tc>
          <w:tcPr>
            <w:tcW w:type="dxa" w:w="1037"/>
          </w:tcPr>
          <w:p>
            <w:r/>
            <w:r>
              <w:rPr>
                <w:color w:val="1A1D21"/>
                <w:sz w:val="15"/>
              </w:rPr>
              <w:t>EGP mn</w:t>
            </w:r>
          </w:p>
        </w:tc>
        <w:tc>
          <w:tcPr>
            <w:tcW w:type="dxa" w:w="1128"/>
          </w:tcPr>
          <w:p>
            <w:pPr>
              <w:jc w:val="right"/>
            </w:pPr>
            <w:r/>
            <w:r>
              <w:rPr>
                <w:color w:val="1A1D21"/>
                <w:sz w:val="15"/>
              </w:rPr>
              <w:t>2025-12-31</w:t>
            </w:r>
          </w:p>
        </w:tc>
        <w:tc>
          <w:tcPr>
            <w:tcW w:type="dxa" w:w="1344"/>
          </w:tcPr>
          <w:p>
            <w:r/>
            <w:r>
              <w:rPr>
                <w:color w:val="1A1D21"/>
                <w:sz w:val="15"/>
              </w:rPr>
              <w:t>A</w:t>
            </w:r>
          </w:p>
        </w:tc>
        <w:tc>
          <w:tcPr>
            <w:tcW w:type="dxa" w:w="3566"/>
          </w:tcPr>
          <w:p>
            <w:r/>
            <w:r>
              <w:rPr>
                <w:color w:val="1A1D21"/>
                <w:sz w:val="15"/>
              </w:rPr>
            </w:r>
          </w:p>
        </w:tc>
      </w:tr>
      <w:tr>
        <w:trPr>
          <w:cantSplit/>
        </w:trPr>
        <w:tc>
          <w:tcPr>
            <w:tcW w:type="dxa" w:w="1219"/>
          </w:tcPr>
          <w:p>
            <w:r/>
            <w:r>
              <w:rPr>
                <w:color w:val="1A1D21"/>
                <w:sz w:val="15"/>
              </w:rPr>
              <w:t>finance income fy25</w:t>
            </w:r>
          </w:p>
        </w:tc>
        <w:tc>
          <w:tcPr>
            <w:tcW w:type="dxa" w:w="777"/>
          </w:tcPr>
          <w:p>
            <w:pPr>
              <w:jc w:val="right"/>
            </w:pPr>
            <w:r/>
            <w:r>
              <w:rPr>
                <w:color w:val="1A1D21"/>
                <w:sz w:val="15"/>
              </w:rPr>
              <w:t>4,230</w:t>
            </w:r>
          </w:p>
        </w:tc>
        <w:tc>
          <w:tcPr>
            <w:tcW w:type="dxa" w:w="1037"/>
          </w:tcPr>
          <w:p>
            <w:r/>
            <w:r>
              <w:rPr>
                <w:color w:val="1A1D21"/>
                <w:sz w:val="15"/>
              </w:rPr>
              <w:t>EGP mn</w:t>
            </w:r>
          </w:p>
        </w:tc>
        <w:tc>
          <w:tcPr>
            <w:tcW w:type="dxa" w:w="1128"/>
          </w:tcPr>
          <w:p>
            <w:pPr>
              <w:jc w:val="right"/>
            </w:pPr>
            <w:r/>
            <w:r>
              <w:rPr>
                <w:color w:val="1A1D21"/>
                <w:sz w:val="15"/>
              </w:rPr>
              <w:t>2025-12-31</w:t>
            </w:r>
          </w:p>
        </w:tc>
        <w:tc>
          <w:tcPr>
            <w:tcW w:type="dxa" w:w="1344"/>
          </w:tcPr>
          <w:p>
            <w:r/>
            <w:r>
              <w:rPr>
                <w:color w:val="1A1D21"/>
                <w:sz w:val="15"/>
              </w:rPr>
              <w:t>A</w:t>
            </w:r>
          </w:p>
        </w:tc>
        <w:tc>
          <w:tcPr>
            <w:tcW w:type="dxa" w:w="3566"/>
          </w:tcPr>
          <w:p>
            <w:r/>
            <w:r>
              <w:rPr>
                <w:color w:val="1A1D21"/>
                <w:sz w:val="15"/>
              </w:rPr>
            </w:r>
          </w:p>
        </w:tc>
      </w:tr>
      <w:tr>
        <w:trPr>
          <w:cantSplit/>
        </w:trPr>
        <w:tc>
          <w:tcPr>
            <w:tcW w:type="dxa" w:w="1219"/>
          </w:tcPr>
          <w:p>
            <w:r/>
            <w:r>
              <w:rPr>
                <w:color w:val="1A1D21"/>
                <w:sz w:val="15"/>
              </w:rPr>
              <w:t>finance cost fy25</w:t>
            </w:r>
          </w:p>
        </w:tc>
        <w:tc>
          <w:tcPr>
            <w:tcW w:type="dxa" w:w="777"/>
          </w:tcPr>
          <w:p>
            <w:pPr>
              <w:jc w:val="right"/>
            </w:pPr>
            <w:r/>
            <w:r>
              <w:rPr>
                <w:color w:val="1A1D21"/>
                <w:sz w:val="15"/>
              </w:rPr>
              <w:t>3,936</w:t>
            </w:r>
          </w:p>
        </w:tc>
        <w:tc>
          <w:tcPr>
            <w:tcW w:type="dxa" w:w="1037"/>
          </w:tcPr>
          <w:p>
            <w:r/>
            <w:r>
              <w:rPr>
                <w:color w:val="1A1D21"/>
                <w:sz w:val="15"/>
              </w:rPr>
              <w:t>EGP mn</w:t>
            </w:r>
          </w:p>
        </w:tc>
        <w:tc>
          <w:tcPr>
            <w:tcW w:type="dxa" w:w="1128"/>
          </w:tcPr>
          <w:p>
            <w:pPr>
              <w:jc w:val="right"/>
            </w:pPr>
            <w:r/>
            <w:r>
              <w:rPr>
                <w:color w:val="1A1D21"/>
                <w:sz w:val="15"/>
              </w:rPr>
              <w:t>2025-12-31</w:t>
            </w:r>
          </w:p>
        </w:tc>
        <w:tc>
          <w:tcPr>
            <w:tcW w:type="dxa" w:w="1344"/>
          </w:tcPr>
          <w:p>
            <w:r/>
            <w:r>
              <w:rPr>
                <w:color w:val="1A1D21"/>
                <w:sz w:val="15"/>
              </w:rPr>
              <w:t>A</w:t>
            </w:r>
          </w:p>
        </w:tc>
        <w:tc>
          <w:tcPr>
            <w:tcW w:type="dxa" w:w="3566"/>
          </w:tcPr>
          <w:p>
            <w:r/>
            <w:r>
              <w:rPr>
                <w:color w:val="1A1D21"/>
                <w:sz w:val="15"/>
              </w:rPr>
              <w:t>finance expenses 3,820.4 plus bank charges 116.2 per note 37. NOT interest on borrowings alone; the statements do not split the two</w:t>
            </w:r>
          </w:p>
        </w:tc>
      </w:tr>
      <w:tr>
        <w:trPr>
          <w:cantSplit/>
        </w:trPr>
        <w:tc>
          <w:tcPr>
            <w:tcW w:type="dxa" w:w="1219"/>
          </w:tcPr>
          <w:p>
            <w:r/>
            <w:r>
              <w:rPr>
                <w:color w:val="1A1D21"/>
                <w:sz w:val="15"/>
              </w:rPr>
              <w:t>associates fy25</w:t>
            </w:r>
          </w:p>
        </w:tc>
        <w:tc>
          <w:tcPr>
            <w:tcW w:type="dxa" w:w="777"/>
          </w:tcPr>
          <w:p>
            <w:pPr>
              <w:jc w:val="right"/>
            </w:pPr>
            <w:r/>
            <w:r>
              <w:rPr>
                <w:color w:val="1A1D21"/>
                <w:sz w:val="15"/>
              </w:rPr>
              <w:t>38.10</w:t>
            </w:r>
          </w:p>
        </w:tc>
        <w:tc>
          <w:tcPr>
            <w:tcW w:type="dxa" w:w="1037"/>
          </w:tcPr>
          <w:p>
            <w:r/>
            <w:r>
              <w:rPr>
                <w:color w:val="1A1D21"/>
                <w:sz w:val="15"/>
              </w:rPr>
              <w:t>EGP mn</w:t>
            </w:r>
          </w:p>
        </w:tc>
        <w:tc>
          <w:tcPr>
            <w:tcW w:type="dxa" w:w="1128"/>
          </w:tcPr>
          <w:p>
            <w:pPr>
              <w:jc w:val="right"/>
            </w:pPr>
            <w:r/>
            <w:r>
              <w:rPr>
                <w:color w:val="1A1D21"/>
                <w:sz w:val="15"/>
              </w:rPr>
              <w:t>2025-12-31</w:t>
            </w:r>
          </w:p>
        </w:tc>
        <w:tc>
          <w:tcPr>
            <w:tcW w:type="dxa" w:w="1344"/>
          </w:tcPr>
          <w:p>
            <w:r/>
            <w:r>
              <w:rPr>
                <w:color w:val="1A1D21"/>
                <w:sz w:val="15"/>
              </w:rPr>
              <w:t>A</w:t>
            </w:r>
          </w:p>
        </w:tc>
        <w:tc>
          <w:tcPr>
            <w:tcW w:type="dxa" w:w="3566"/>
          </w:tcPr>
          <w:p>
            <w:r/>
            <w:r>
              <w:rPr>
                <w:color w:val="1A1D21"/>
                <w:sz w:val="15"/>
              </w:rPr>
            </w:r>
          </w:p>
        </w:tc>
      </w:tr>
      <w:tr>
        <w:trPr>
          <w:cantSplit/>
        </w:trPr>
        <w:tc>
          <w:tcPr>
            <w:tcW w:type="dxa" w:w="1219"/>
          </w:tcPr>
          <w:p>
            <w:r/>
            <w:r>
              <w:rPr>
                <w:color w:val="1A1D21"/>
                <w:sz w:val="15"/>
              </w:rPr>
              <w:t>da fy25</w:t>
            </w:r>
          </w:p>
        </w:tc>
        <w:tc>
          <w:tcPr>
            <w:tcW w:type="dxa" w:w="777"/>
          </w:tcPr>
          <w:p>
            <w:pPr>
              <w:jc w:val="right"/>
            </w:pPr>
            <w:r/>
            <w:r>
              <w:rPr>
                <w:color w:val="1A1D21"/>
                <w:sz w:val="15"/>
              </w:rPr>
              <w:t>427</w:t>
            </w:r>
          </w:p>
        </w:tc>
        <w:tc>
          <w:tcPr>
            <w:tcW w:type="dxa" w:w="1037"/>
          </w:tcPr>
          <w:p>
            <w:r/>
            <w:r>
              <w:rPr>
                <w:color w:val="1A1D21"/>
                <w:sz w:val="15"/>
              </w:rPr>
              <w:t>EGP mn</w:t>
            </w:r>
          </w:p>
        </w:tc>
        <w:tc>
          <w:tcPr>
            <w:tcW w:type="dxa" w:w="1128"/>
          </w:tcPr>
          <w:p>
            <w:pPr>
              <w:jc w:val="right"/>
            </w:pPr>
            <w:r/>
            <w:r>
              <w:rPr>
                <w:color w:val="1A1D21"/>
                <w:sz w:val="15"/>
              </w:rPr>
              <w:t>2025-12-31</w:t>
            </w:r>
          </w:p>
        </w:tc>
        <w:tc>
          <w:tcPr>
            <w:tcW w:type="dxa" w:w="1344"/>
          </w:tcPr>
          <w:p>
            <w:r/>
            <w:r>
              <w:rPr>
                <w:color w:val="1A1D21"/>
                <w:sz w:val="15"/>
              </w:rPr>
              <w:t>A</w:t>
            </w:r>
          </w:p>
        </w:tc>
        <w:tc>
          <w:tcPr>
            <w:tcW w:type="dxa" w:w="3566"/>
          </w:tcPr>
          <w:p>
            <w:r/>
            <w:r>
              <w:rPr>
                <w:color w:val="1A1D21"/>
                <w:sz w:val="15"/>
              </w:rPr>
            </w:r>
          </w:p>
        </w:tc>
      </w:tr>
      <w:tr>
        <w:trPr>
          <w:cantSplit/>
        </w:trPr>
        <w:tc>
          <w:tcPr>
            <w:tcW w:type="dxa" w:w="1219"/>
          </w:tcPr>
          <w:p>
            <w:r/>
            <w:r>
              <w:rPr>
                <w:color w:val="1A1D21"/>
                <w:sz w:val="15"/>
              </w:rPr>
              <w:t>pbt fy25</w:t>
            </w:r>
          </w:p>
        </w:tc>
        <w:tc>
          <w:tcPr>
            <w:tcW w:type="dxa" w:w="777"/>
          </w:tcPr>
          <w:p>
            <w:pPr>
              <w:jc w:val="right"/>
            </w:pPr>
            <w:r/>
            <w:r>
              <w:rPr>
                <w:color w:val="1A1D21"/>
                <w:sz w:val="15"/>
              </w:rPr>
              <w:t>23,654</w:t>
            </w:r>
          </w:p>
        </w:tc>
        <w:tc>
          <w:tcPr>
            <w:tcW w:type="dxa" w:w="1037"/>
          </w:tcPr>
          <w:p>
            <w:r/>
            <w:r>
              <w:rPr>
                <w:color w:val="1A1D21"/>
                <w:sz w:val="15"/>
              </w:rPr>
              <w:t>EGP mn</w:t>
            </w:r>
          </w:p>
        </w:tc>
        <w:tc>
          <w:tcPr>
            <w:tcW w:type="dxa" w:w="1128"/>
          </w:tcPr>
          <w:p>
            <w:pPr>
              <w:jc w:val="right"/>
            </w:pPr>
            <w:r/>
            <w:r>
              <w:rPr>
                <w:color w:val="1A1D21"/>
                <w:sz w:val="15"/>
              </w:rPr>
              <w:t>2025-12-31</w:t>
            </w:r>
          </w:p>
        </w:tc>
        <w:tc>
          <w:tcPr>
            <w:tcW w:type="dxa" w:w="1344"/>
          </w:tcPr>
          <w:p>
            <w:r/>
            <w:r>
              <w:rPr>
                <w:color w:val="1A1D21"/>
                <w:sz w:val="15"/>
              </w:rPr>
              <w:t>A</w:t>
            </w:r>
          </w:p>
        </w:tc>
        <w:tc>
          <w:tcPr>
            <w:tcW w:type="dxa" w:w="3566"/>
          </w:tcPr>
          <w:p>
            <w:r/>
            <w:r>
              <w:rPr>
                <w:color w:val="1A1D21"/>
                <w:sz w:val="15"/>
              </w:rPr>
            </w:r>
          </w:p>
        </w:tc>
      </w:tr>
      <w:tr>
        <w:trPr>
          <w:cantSplit/>
        </w:trPr>
        <w:tc>
          <w:tcPr>
            <w:tcW w:type="dxa" w:w="1219"/>
          </w:tcPr>
          <w:p>
            <w:r/>
            <w:r>
              <w:rPr>
                <w:color w:val="1A1D21"/>
                <w:sz w:val="15"/>
              </w:rPr>
              <w:t>tax fy25</w:t>
            </w:r>
          </w:p>
        </w:tc>
        <w:tc>
          <w:tcPr>
            <w:tcW w:type="dxa" w:w="777"/>
          </w:tcPr>
          <w:p>
            <w:pPr>
              <w:jc w:val="right"/>
            </w:pPr>
            <w:r/>
            <w:r>
              <w:rPr>
                <w:color w:val="1A1D21"/>
                <w:sz w:val="15"/>
              </w:rPr>
              <w:t>4,334</w:t>
            </w:r>
          </w:p>
        </w:tc>
        <w:tc>
          <w:tcPr>
            <w:tcW w:type="dxa" w:w="1037"/>
          </w:tcPr>
          <w:p>
            <w:r/>
            <w:r>
              <w:rPr>
                <w:color w:val="1A1D21"/>
                <w:sz w:val="15"/>
              </w:rPr>
              <w:t>EGP mn</w:t>
            </w:r>
          </w:p>
        </w:tc>
        <w:tc>
          <w:tcPr>
            <w:tcW w:type="dxa" w:w="1128"/>
          </w:tcPr>
          <w:p>
            <w:pPr>
              <w:jc w:val="right"/>
            </w:pPr>
            <w:r/>
            <w:r>
              <w:rPr>
                <w:color w:val="1A1D21"/>
                <w:sz w:val="15"/>
              </w:rPr>
              <w:t>2025-12-31</w:t>
            </w:r>
          </w:p>
        </w:tc>
        <w:tc>
          <w:tcPr>
            <w:tcW w:type="dxa" w:w="1344"/>
          </w:tcPr>
          <w:p>
            <w:r/>
            <w:r>
              <w:rPr>
                <w:color w:val="1A1D21"/>
                <w:sz w:val="15"/>
              </w:rPr>
              <w:t>A</w:t>
            </w:r>
          </w:p>
        </w:tc>
        <w:tc>
          <w:tcPr>
            <w:tcW w:type="dxa" w:w="3566"/>
          </w:tcPr>
          <w:p>
            <w:r/>
            <w:r>
              <w:rPr>
                <w:color w:val="1A1D21"/>
                <w:sz w:val="15"/>
              </w:rPr>
            </w:r>
          </w:p>
        </w:tc>
      </w:tr>
      <w:tr>
        <w:trPr>
          <w:cantSplit/>
        </w:trPr>
        <w:tc>
          <w:tcPr>
            <w:tcW w:type="dxa" w:w="1219"/>
          </w:tcPr>
          <w:p>
            <w:r/>
            <w:r>
              <w:rPr>
                <w:color w:val="1A1D21"/>
                <w:sz w:val="15"/>
              </w:rPr>
              <w:t>deferred tax fy25</w:t>
            </w:r>
          </w:p>
        </w:tc>
        <w:tc>
          <w:tcPr>
            <w:tcW w:type="dxa" w:w="777"/>
          </w:tcPr>
          <w:p>
            <w:pPr>
              <w:jc w:val="right"/>
            </w:pPr>
            <w:r/>
            <w:r>
              <w:rPr>
                <w:color w:val="1A1D21"/>
                <w:sz w:val="15"/>
              </w:rPr>
              <w:t>1,117</w:t>
            </w:r>
          </w:p>
        </w:tc>
        <w:tc>
          <w:tcPr>
            <w:tcW w:type="dxa" w:w="1037"/>
          </w:tcPr>
          <w:p>
            <w:r/>
            <w:r>
              <w:rPr>
                <w:color w:val="1A1D21"/>
                <w:sz w:val="15"/>
              </w:rPr>
              <w:t>EGP mn</w:t>
            </w:r>
          </w:p>
        </w:tc>
        <w:tc>
          <w:tcPr>
            <w:tcW w:type="dxa" w:w="1128"/>
          </w:tcPr>
          <w:p>
            <w:pPr>
              <w:jc w:val="right"/>
            </w:pPr>
            <w:r/>
            <w:r>
              <w:rPr>
                <w:color w:val="1A1D21"/>
                <w:sz w:val="15"/>
              </w:rPr>
              <w:t>2025-12-31</w:t>
            </w:r>
          </w:p>
        </w:tc>
        <w:tc>
          <w:tcPr>
            <w:tcW w:type="dxa" w:w="1344"/>
          </w:tcPr>
          <w:p>
            <w:r/>
            <w:r>
              <w:rPr>
                <w:color w:val="1A1D21"/>
                <w:sz w:val="15"/>
              </w:rPr>
              <w:t>A</w:t>
            </w:r>
          </w:p>
        </w:tc>
        <w:tc>
          <w:tcPr>
            <w:tcW w:type="dxa" w:w="3566"/>
          </w:tcPr>
          <w:p>
            <w:r/>
            <w:r>
              <w:rPr>
                <w:color w:val="1A1D21"/>
                <w:sz w:val="15"/>
              </w:rPr>
            </w:r>
          </w:p>
        </w:tc>
      </w:tr>
      <w:tr>
        <w:trPr>
          <w:cantSplit/>
        </w:trPr>
        <w:tc>
          <w:tcPr>
            <w:tcW w:type="dxa" w:w="1219"/>
          </w:tcPr>
          <w:p>
            <w:r/>
            <w:r>
              <w:rPr>
                <w:color w:val="1A1D21"/>
                <w:sz w:val="15"/>
              </w:rPr>
              <w:t>net profit fy25</w:t>
            </w:r>
          </w:p>
        </w:tc>
        <w:tc>
          <w:tcPr>
            <w:tcW w:type="dxa" w:w="777"/>
          </w:tcPr>
          <w:p>
            <w:pPr>
              <w:jc w:val="right"/>
            </w:pPr>
            <w:r/>
            <w:r>
              <w:rPr>
                <w:color w:val="1A1D21"/>
                <w:sz w:val="15"/>
              </w:rPr>
              <w:t>18,202</w:t>
            </w:r>
          </w:p>
        </w:tc>
        <w:tc>
          <w:tcPr>
            <w:tcW w:type="dxa" w:w="1037"/>
          </w:tcPr>
          <w:p>
            <w:r/>
            <w:r>
              <w:rPr>
                <w:color w:val="1A1D21"/>
                <w:sz w:val="15"/>
              </w:rPr>
              <w:t>EGP mn</w:t>
            </w:r>
          </w:p>
        </w:tc>
        <w:tc>
          <w:tcPr>
            <w:tcW w:type="dxa" w:w="1128"/>
          </w:tcPr>
          <w:p>
            <w:pPr>
              <w:jc w:val="right"/>
            </w:pPr>
            <w:r/>
            <w:r>
              <w:rPr>
                <w:color w:val="1A1D21"/>
                <w:sz w:val="15"/>
              </w:rPr>
              <w:t>2025-12-31</w:t>
            </w:r>
          </w:p>
        </w:tc>
        <w:tc>
          <w:tcPr>
            <w:tcW w:type="dxa" w:w="1344"/>
          </w:tcPr>
          <w:p>
            <w:r/>
            <w:r>
              <w:rPr>
                <w:color w:val="1A1D21"/>
                <w:sz w:val="15"/>
              </w:rPr>
              <w:t>A</w:t>
            </w:r>
          </w:p>
        </w:tc>
        <w:tc>
          <w:tcPr>
            <w:tcW w:type="dxa" w:w="3566"/>
          </w:tcPr>
          <w:p>
            <w:r/>
            <w:r>
              <w:rPr>
                <w:color w:val="1A1D21"/>
                <w:sz w:val="15"/>
              </w:rPr>
            </w:r>
          </w:p>
        </w:tc>
      </w:tr>
      <w:tr>
        <w:trPr>
          <w:cantSplit/>
        </w:trPr>
        <w:tc>
          <w:tcPr>
            <w:tcW w:type="dxa" w:w="1219"/>
          </w:tcPr>
          <w:p>
            <w:r/>
            <w:r>
              <w:rPr>
                <w:color w:val="1A1D21"/>
                <w:sz w:val="15"/>
              </w:rPr>
              <w:t>npat parent fy25</w:t>
            </w:r>
          </w:p>
        </w:tc>
        <w:tc>
          <w:tcPr>
            <w:tcW w:type="dxa" w:w="777"/>
          </w:tcPr>
          <w:p>
            <w:pPr>
              <w:jc w:val="right"/>
            </w:pPr>
            <w:r/>
            <w:r>
              <w:rPr>
                <w:color w:val="1A1D21"/>
                <w:sz w:val="15"/>
              </w:rPr>
              <w:t>14,384</w:t>
            </w:r>
          </w:p>
        </w:tc>
        <w:tc>
          <w:tcPr>
            <w:tcW w:type="dxa" w:w="1037"/>
          </w:tcPr>
          <w:p>
            <w:r/>
            <w:r>
              <w:rPr>
                <w:color w:val="1A1D21"/>
                <w:sz w:val="15"/>
              </w:rPr>
              <w:t>EGP mn</w:t>
            </w:r>
          </w:p>
        </w:tc>
        <w:tc>
          <w:tcPr>
            <w:tcW w:type="dxa" w:w="1128"/>
          </w:tcPr>
          <w:p>
            <w:pPr>
              <w:jc w:val="right"/>
            </w:pPr>
            <w:r/>
            <w:r>
              <w:rPr>
                <w:color w:val="1A1D21"/>
                <w:sz w:val="15"/>
              </w:rPr>
              <w:t>2025-12-31</w:t>
            </w:r>
          </w:p>
        </w:tc>
        <w:tc>
          <w:tcPr>
            <w:tcW w:type="dxa" w:w="1344"/>
          </w:tcPr>
          <w:p>
            <w:r/>
            <w:r>
              <w:rPr>
                <w:color w:val="1A1D21"/>
                <w:sz w:val="15"/>
              </w:rPr>
              <w:t>A</w:t>
            </w:r>
          </w:p>
        </w:tc>
        <w:tc>
          <w:tcPr>
            <w:tcW w:type="dxa" w:w="3566"/>
          </w:tcPr>
          <w:p>
            <w:r/>
            <w:r>
              <w:rPr>
                <w:color w:val="1A1D21"/>
                <w:sz w:val="15"/>
              </w:rPr>
            </w:r>
          </w:p>
        </w:tc>
      </w:tr>
      <w:tr>
        <w:trPr>
          <w:cantSplit/>
        </w:trPr>
        <w:tc>
          <w:tcPr>
            <w:tcW w:type="dxa" w:w="1219"/>
          </w:tcPr>
          <w:p>
            <w:r/>
            <w:r>
              <w:rPr>
                <w:color w:val="1A1D21"/>
                <w:sz w:val="15"/>
              </w:rPr>
              <w:t>nci profit fy25</w:t>
            </w:r>
          </w:p>
        </w:tc>
        <w:tc>
          <w:tcPr>
            <w:tcW w:type="dxa" w:w="777"/>
          </w:tcPr>
          <w:p>
            <w:pPr>
              <w:jc w:val="right"/>
            </w:pPr>
            <w:r/>
            <w:r>
              <w:rPr>
                <w:color w:val="1A1D21"/>
                <w:sz w:val="15"/>
              </w:rPr>
              <w:t>3,818</w:t>
            </w:r>
          </w:p>
        </w:tc>
        <w:tc>
          <w:tcPr>
            <w:tcW w:type="dxa" w:w="1037"/>
          </w:tcPr>
          <w:p>
            <w:r/>
            <w:r>
              <w:rPr>
                <w:color w:val="1A1D21"/>
                <w:sz w:val="15"/>
              </w:rPr>
              <w:t>EGP mn</w:t>
            </w:r>
          </w:p>
        </w:tc>
        <w:tc>
          <w:tcPr>
            <w:tcW w:type="dxa" w:w="1128"/>
          </w:tcPr>
          <w:p>
            <w:pPr>
              <w:jc w:val="right"/>
            </w:pPr>
            <w:r/>
            <w:r>
              <w:rPr>
                <w:color w:val="1A1D21"/>
                <w:sz w:val="15"/>
              </w:rPr>
              <w:t>2025-12-31</w:t>
            </w:r>
          </w:p>
        </w:tc>
        <w:tc>
          <w:tcPr>
            <w:tcW w:type="dxa" w:w="1344"/>
          </w:tcPr>
          <w:p>
            <w:r/>
            <w:r>
              <w:rPr>
                <w:color w:val="1A1D21"/>
                <w:sz w:val="15"/>
              </w:rPr>
              <w:t>A</w:t>
            </w:r>
          </w:p>
        </w:tc>
        <w:tc>
          <w:tcPr>
            <w:tcW w:type="dxa" w:w="3566"/>
          </w:tcPr>
          <w:p>
            <w:r/>
            <w:r>
              <w:rPr>
                <w:color w:val="1A1D21"/>
                <w:sz w:val="15"/>
              </w:rPr>
            </w:r>
          </w:p>
        </w:tc>
      </w:tr>
      <w:tr>
        <w:trPr>
          <w:cantSplit/>
        </w:trPr>
        <w:tc>
          <w:tcPr>
            <w:tcW w:type="dxa" w:w="1219"/>
          </w:tcPr>
          <w:p>
            <w:r/>
            <w:r>
              <w:rPr>
                <w:color w:val="1A1D21"/>
                <w:sz w:val="15"/>
              </w:rPr>
              <w:t>eps fy25</w:t>
            </w:r>
          </w:p>
        </w:tc>
        <w:tc>
          <w:tcPr>
            <w:tcW w:type="dxa" w:w="777"/>
          </w:tcPr>
          <w:p>
            <w:pPr>
              <w:jc w:val="right"/>
            </w:pPr>
            <w:r/>
            <w:r>
              <w:rPr>
                <w:color w:val="1A1D21"/>
                <w:sz w:val="15"/>
              </w:rPr>
              <w:t>6.98</w:t>
            </w:r>
          </w:p>
        </w:tc>
        <w:tc>
          <w:tcPr>
            <w:tcW w:type="dxa" w:w="1037"/>
          </w:tcPr>
          <w:p>
            <w:r/>
            <w:r>
              <w:rPr>
                <w:color w:val="1A1D21"/>
                <w:sz w:val="15"/>
              </w:rPr>
              <w:t>EGP/share</w:t>
            </w:r>
          </w:p>
        </w:tc>
        <w:tc>
          <w:tcPr>
            <w:tcW w:type="dxa" w:w="1128"/>
          </w:tcPr>
          <w:p>
            <w:pPr>
              <w:jc w:val="right"/>
            </w:pPr>
            <w:r/>
            <w:r>
              <w:rPr>
                <w:color w:val="1A1D21"/>
                <w:sz w:val="15"/>
              </w:rPr>
              <w:t>2025-12-31</w:t>
            </w:r>
          </w:p>
        </w:tc>
        <w:tc>
          <w:tcPr>
            <w:tcW w:type="dxa" w:w="1344"/>
          </w:tcPr>
          <w:p>
            <w:r/>
            <w:r>
              <w:rPr>
                <w:color w:val="1A1D21"/>
                <w:sz w:val="15"/>
              </w:rPr>
              <w:t>A</w:t>
            </w:r>
          </w:p>
        </w:tc>
        <w:tc>
          <w:tcPr>
            <w:tcW w:type="dxa" w:w="3566"/>
          </w:tcPr>
          <w:p>
            <w:r/>
            <w:r>
              <w:rPr>
                <w:color w:val="1A1D21"/>
                <w:sz w:val="15"/>
              </w:rPr>
            </w:r>
          </w:p>
        </w:tc>
      </w:tr>
      <w:tr>
        <w:trPr>
          <w:cantSplit/>
        </w:trPr>
        <w:tc>
          <w:tcPr>
            <w:tcW w:type="dxa" w:w="1219"/>
          </w:tcPr>
          <w:p>
            <w:r/>
            <w:r>
              <w:rPr>
                <w:color w:val="1A1D21"/>
                <w:sz w:val="15"/>
              </w:rPr>
              <w:t>dev revenue fy24</w:t>
            </w:r>
          </w:p>
        </w:tc>
        <w:tc>
          <w:tcPr>
            <w:tcW w:type="dxa" w:w="777"/>
          </w:tcPr>
          <w:p>
            <w:pPr>
              <w:jc w:val="right"/>
            </w:pPr>
            <w:r/>
            <w:r>
              <w:rPr>
                <w:color w:val="1A1D21"/>
                <w:sz w:val="15"/>
              </w:rPr>
              <w:t>24,518</w:t>
            </w:r>
          </w:p>
        </w:tc>
        <w:tc>
          <w:tcPr>
            <w:tcW w:type="dxa" w:w="1037"/>
          </w:tcPr>
          <w:p>
            <w:r/>
            <w:r>
              <w:rPr>
                <w:color w:val="1A1D21"/>
                <w:sz w:val="15"/>
              </w:rPr>
              <w:t>EGP mn</w:t>
            </w:r>
          </w:p>
        </w:tc>
        <w:tc>
          <w:tcPr>
            <w:tcW w:type="dxa" w:w="1128"/>
          </w:tcPr>
          <w:p>
            <w:pPr>
              <w:jc w:val="right"/>
            </w:pPr>
            <w:r/>
            <w:r>
              <w:rPr>
                <w:color w:val="1A1D21"/>
                <w:sz w:val="15"/>
              </w:rPr>
              <w:t>2024-12-31</w:t>
            </w:r>
          </w:p>
        </w:tc>
        <w:tc>
          <w:tcPr>
            <w:tcW w:type="dxa" w:w="1344"/>
          </w:tcPr>
          <w:p>
            <w:r/>
            <w:r>
              <w:rPr>
                <w:color w:val="1A1D21"/>
                <w:sz w:val="15"/>
              </w:rPr>
              <w:t>A</w:t>
            </w:r>
          </w:p>
        </w:tc>
        <w:tc>
          <w:tcPr>
            <w:tcW w:type="dxa" w:w="3566"/>
          </w:tcPr>
          <w:p>
            <w:r/>
            <w:r>
              <w:rPr>
                <w:color w:val="1A1D21"/>
                <w:sz w:val="15"/>
              </w:rPr>
            </w:r>
          </w:p>
        </w:tc>
      </w:tr>
      <w:tr>
        <w:trPr>
          <w:cantSplit/>
        </w:trPr>
        <w:tc>
          <w:tcPr>
            <w:tcW w:type="dxa" w:w="1219"/>
          </w:tcPr>
          <w:p>
            <w:r/>
            <w:r>
              <w:rPr>
                <w:color w:val="1A1D21"/>
                <w:sz w:val="15"/>
              </w:rPr>
              <w:t>hosp revenue fy24</w:t>
            </w:r>
          </w:p>
        </w:tc>
        <w:tc>
          <w:tcPr>
            <w:tcW w:type="dxa" w:w="777"/>
          </w:tcPr>
          <w:p>
            <w:pPr>
              <w:jc w:val="right"/>
            </w:pPr>
            <w:r/>
            <w:r>
              <w:rPr>
                <w:color w:val="1A1D21"/>
                <w:sz w:val="15"/>
              </w:rPr>
              <w:t>11,496</w:t>
            </w:r>
          </w:p>
        </w:tc>
        <w:tc>
          <w:tcPr>
            <w:tcW w:type="dxa" w:w="1037"/>
          </w:tcPr>
          <w:p>
            <w:r/>
            <w:r>
              <w:rPr>
                <w:color w:val="1A1D21"/>
                <w:sz w:val="15"/>
              </w:rPr>
              <w:t>EGP mn</w:t>
            </w:r>
          </w:p>
        </w:tc>
        <w:tc>
          <w:tcPr>
            <w:tcW w:type="dxa" w:w="1128"/>
          </w:tcPr>
          <w:p>
            <w:pPr>
              <w:jc w:val="right"/>
            </w:pPr>
            <w:r/>
            <w:r>
              <w:rPr>
                <w:color w:val="1A1D21"/>
                <w:sz w:val="15"/>
              </w:rPr>
              <w:t>2024-12-31</w:t>
            </w:r>
          </w:p>
        </w:tc>
        <w:tc>
          <w:tcPr>
            <w:tcW w:type="dxa" w:w="1344"/>
          </w:tcPr>
          <w:p>
            <w:r/>
            <w:r>
              <w:rPr>
                <w:color w:val="1A1D21"/>
                <w:sz w:val="15"/>
              </w:rPr>
              <w:t>A</w:t>
            </w:r>
          </w:p>
        </w:tc>
        <w:tc>
          <w:tcPr>
            <w:tcW w:type="dxa" w:w="3566"/>
          </w:tcPr>
          <w:p>
            <w:r/>
            <w:r>
              <w:rPr>
                <w:color w:val="1A1D21"/>
                <w:sz w:val="15"/>
              </w:rPr>
            </w:r>
          </w:p>
        </w:tc>
      </w:tr>
      <w:tr>
        <w:trPr>
          <w:cantSplit/>
        </w:trPr>
        <w:tc>
          <w:tcPr>
            <w:tcW w:type="dxa" w:w="1219"/>
          </w:tcPr>
          <w:p>
            <w:r/>
            <w:r>
              <w:rPr>
                <w:color w:val="1A1D21"/>
                <w:sz w:val="15"/>
              </w:rPr>
              <w:t>other revenue fy24</w:t>
            </w:r>
          </w:p>
        </w:tc>
        <w:tc>
          <w:tcPr>
            <w:tcW w:type="dxa" w:w="777"/>
          </w:tcPr>
          <w:p>
            <w:pPr>
              <w:jc w:val="right"/>
            </w:pPr>
            <w:r/>
            <w:r>
              <w:rPr>
                <w:color w:val="1A1D21"/>
                <w:sz w:val="15"/>
              </w:rPr>
              <w:t>6,656</w:t>
            </w:r>
          </w:p>
        </w:tc>
        <w:tc>
          <w:tcPr>
            <w:tcW w:type="dxa" w:w="1037"/>
          </w:tcPr>
          <w:p>
            <w:r/>
            <w:r>
              <w:rPr>
                <w:color w:val="1A1D21"/>
                <w:sz w:val="15"/>
              </w:rPr>
              <w:t>EGP mn</w:t>
            </w:r>
          </w:p>
        </w:tc>
        <w:tc>
          <w:tcPr>
            <w:tcW w:type="dxa" w:w="1128"/>
          </w:tcPr>
          <w:p>
            <w:pPr>
              <w:jc w:val="right"/>
            </w:pPr>
            <w:r/>
            <w:r>
              <w:rPr>
                <w:color w:val="1A1D21"/>
                <w:sz w:val="15"/>
              </w:rPr>
              <w:t>2024-12-31</w:t>
            </w:r>
          </w:p>
        </w:tc>
        <w:tc>
          <w:tcPr>
            <w:tcW w:type="dxa" w:w="1344"/>
          </w:tcPr>
          <w:p>
            <w:r/>
            <w:r>
              <w:rPr>
                <w:color w:val="1A1D21"/>
                <w:sz w:val="15"/>
              </w:rPr>
              <w:t>A</w:t>
            </w:r>
          </w:p>
        </w:tc>
        <w:tc>
          <w:tcPr>
            <w:tcW w:type="dxa" w:w="3566"/>
          </w:tcPr>
          <w:p>
            <w:r/>
            <w:r>
              <w:rPr>
                <w:color w:val="1A1D21"/>
                <w:sz w:val="15"/>
              </w:rPr>
            </w:r>
          </w:p>
        </w:tc>
      </w:tr>
      <w:tr>
        <w:trPr>
          <w:cantSplit/>
        </w:trPr>
        <w:tc>
          <w:tcPr>
            <w:tcW w:type="dxa" w:w="1219"/>
          </w:tcPr>
          <w:p>
            <w:r/>
            <w:r>
              <w:rPr>
                <w:color w:val="1A1D21"/>
                <w:sz w:val="15"/>
              </w:rPr>
              <w:t>gross profit fy24</w:t>
            </w:r>
          </w:p>
        </w:tc>
        <w:tc>
          <w:tcPr>
            <w:tcW w:type="dxa" w:w="777"/>
          </w:tcPr>
          <w:p>
            <w:pPr>
              <w:jc w:val="right"/>
            </w:pPr>
            <w:r/>
            <w:r>
              <w:rPr>
                <w:color w:val="1A1D21"/>
                <w:sz w:val="15"/>
              </w:rPr>
              <w:t>15,300</w:t>
            </w:r>
          </w:p>
        </w:tc>
        <w:tc>
          <w:tcPr>
            <w:tcW w:type="dxa" w:w="1037"/>
          </w:tcPr>
          <w:p>
            <w:r/>
            <w:r>
              <w:rPr>
                <w:color w:val="1A1D21"/>
                <w:sz w:val="15"/>
              </w:rPr>
              <w:t>EGP mn</w:t>
            </w:r>
          </w:p>
        </w:tc>
        <w:tc>
          <w:tcPr>
            <w:tcW w:type="dxa" w:w="1128"/>
          </w:tcPr>
          <w:p>
            <w:pPr>
              <w:jc w:val="right"/>
            </w:pPr>
            <w:r/>
            <w:r>
              <w:rPr>
                <w:color w:val="1A1D21"/>
                <w:sz w:val="15"/>
              </w:rPr>
              <w:t>2024-12-31</w:t>
            </w:r>
          </w:p>
        </w:tc>
        <w:tc>
          <w:tcPr>
            <w:tcW w:type="dxa" w:w="1344"/>
          </w:tcPr>
          <w:p>
            <w:r/>
            <w:r>
              <w:rPr>
                <w:color w:val="1A1D21"/>
                <w:sz w:val="15"/>
              </w:rPr>
              <w:t>A</w:t>
            </w:r>
          </w:p>
        </w:tc>
        <w:tc>
          <w:tcPr>
            <w:tcW w:type="dxa" w:w="3566"/>
          </w:tcPr>
          <w:p>
            <w:r/>
            <w:r>
              <w:rPr>
                <w:color w:val="1A1D21"/>
                <w:sz w:val="15"/>
              </w:rPr>
            </w:r>
          </w:p>
        </w:tc>
      </w:tr>
      <w:tr>
        <w:trPr>
          <w:cantSplit/>
        </w:trPr>
        <w:tc>
          <w:tcPr>
            <w:tcW w:type="dxa" w:w="1219"/>
          </w:tcPr>
          <w:p>
            <w:r/>
            <w:r>
              <w:rPr>
                <w:color w:val="1A1D21"/>
                <w:sz w:val="15"/>
              </w:rPr>
              <w:t>net profit fy24</w:t>
            </w:r>
          </w:p>
        </w:tc>
        <w:tc>
          <w:tcPr>
            <w:tcW w:type="dxa" w:w="777"/>
          </w:tcPr>
          <w:p>
            <w:pPr>
              <w:jc w:val="right"/>
            </w:pPr>
            <w:r/>
            <w:r>
              <w:rPr>
                <w:color w:val="1A1D21"/>
                <w:sz w:val="15"/>
              </w:rPr>
              <w:t>14,468</w:t>
            </w:r>
          </w:p>
        </w:tc>
        <w:tc>
          <w:tcPr>
            <w:tcW w:type="dxa" w:w="1037"/>
          </w:tcPr>
          <w:p>
            <w:r/>
            <w:r>
              <w:rPr>
                <w:color w:val="1A1D21"/>
                <w:sz w:val="15"/>
              </w:rPr>
              <w:t>EGP mn</w:t>
            </w:r>
          </w:p>
        </w:tc>
        <w:tc>
          <w:tcPr>
            <w:tcW w:type="dxa" w:w="1128"/>
          </w:tcPr>
          <w:p>
            <w:pPr>
              <w:jc w:val="right"/>
            </w:pPr>
            <w:r/>
            <w:r>
              <w:rPr>
                <w:color w:val="1A1D21"/>
                <w:sz w:val="15"/>
              </w:rPr>
              <w:t>2024-12-31</w:t>
            </w:r>
          </w:p>
        </w:tc>
        <w:tc>
          <w:tcPr>
            <w:tcW w:type="dxa" w:w="1344"/>
          </w:tcPr>
          <w:p>
            <w:r/>
            <w:r>
              <w:rPr>
                <w:color w:val="1A1D21"/>
                <w:sz w:val="15"/>
              </w:rPr>
              <w:t>A</w:t>
            </w:r>
          </w:p>
        </w:tc>
        <w:tc>
          <w:tcPr>
            <w:tcW w:type="dxa" w:w="3566"/>
          </w:tcPr>
          <w:p>
            <w:r/>
            <w:r>
              <w:rPr>
                <w:color w:val="1A1D21"/>
                <w:sz w:val="15"/>
              </w:rPr>
            </w:r>
          </w:p>
        </w:tc>
      </w:tr>
      <w:tr>
        <w:trPr>
          <w:cantSplit/>
        </w:trPr>
        <w:tc>
          <w:tcPr>
            <w:tcW w:type="dxa" w:w="1219"/>
          </w:tcPr>
          <w:p>
            <w:r/>
            <w:r>
              <w:rPr>
                <w:color w:val="1A1D21"/>
                <w:sz w:val="15"/>
              </w:rPr>
              <w:t>npat parent fy24</w:t>
            </w:r>
          </w:p>
        </w:tc>
        <w:tc>
          <w:tcPr>
            <w:tcW w:type="dxa" w:w="777"/>
          </w:tcPr>
          <w:p>
            <w:pPr>
              <w:jc w:val="right"/>
            </w:pPr>
            <w:r/>
            <w:r>
              <w:rPr>
                <w:color w:val="1A1D21"/>
                <w:sz w:val="15"/>
              </w:rPr>
              <w:t>10,723</w:t>
            </w:r>
          </w:p>
        </w:tc>
        <w:tc>
          <w:tcPr>
            <w:tcW w:type="dxa" w:w="1037"/>
          </w:tcPr>
          <w:p>
            <w:r/>
            <w:r>
              <w:rPr>
                <w:color w:val="1A1D21"/>
                <w:sz w:val="15"/>
              </w:rPr>
              <w:t>EGP mn</w:t>
            </w:r>
          </w:p>
        </w:tc>
        <w:tc>
          <w:tcPr>
            <w:tcW w:type="dxa" w:w="1128"/>
          </w:tcPr>
          <w:p>
            <w:pPr>
              <w:jc w:val="right"/>
            </w:pPr>
            <w:r/>
            <w:r>
              <w:rPr>
                <w:color w:val="1A1D21"/>
                <w:sz w:val="15"/>
              </w:rPr>
              <w:t>2024-12-31</w:t>
            </w:r>
          </w:p>
        </w:tc>
        <w:tc>
          <w:tcPr>
            <w:tcW w:type="dxa" w:w="1344"/>
          </w:tcPr>
          <w:p>
            <w:r/>
            <w:r>
              <w:rPr>
                <w:color w:val="1A1D21"/>
                <w:sz w:val="15"/>
              </w:rPr>
              <w:t>A</w:t>
            </w:r>
          </w:p>
        </w:tc>
        <w:tc>
          <w:tcPr>
            <w:tcW w:type="dxa" w:w="3566"/>
          </w:tcPr>
          <w:p>
            <w:r/>
            <w:r>
              <w:rPr>
                <w:color w:val="1A1D21"/>
                <w:sz w:val="15"/>
              </w:rPr>
            </w:r>
          </w:p>
        </w:tc>
      </w:tr>
      <w:tr>
        <w:trPr>
          <w:cantSplit/>
        </w:trPr>
        <w:tc>
          <w:tcPr>
            <w:tcW w:type="dxa" w:w="1219"/>
          </w:tcPr>
          <w:p>
            <w:r/>
            <w:r>
              <w:rPr>
                <w:color w:val="1A1D21"/>
                <w:sz w:val="15"/>
              </w:rPr>
              <w:t>gross profit fy24 restated</w:t>
            </w:r>
          </w:p>
        </w:tc>
        <w:tc>
          <w:tcPr>
            <w:tcW w:type="dxa" w:w="777"/>
          </w:tcPr>
          <w:p>
            <w:pPr>
              <w:jc w:val="right"/>
            </w:pPr>
            <w:r/>
            <w:r>
              <w:rPr>
                <w:color w:val="1A1D21"/>
                <w:sz w:val="15"/>
              </w:rPr>
              <w:t>14,002</w:t>
            </w:r>
          </w:p>
        </w:tc>
        <w:tc>
          <w:tcPr>
            <w:tcW w:type="dxa" w:w="1037"/>
          </w:tcPr>
          <w:p>
            <w:r/>
            <w:r>
              <w:rPr>
                <w:color w:val="1A1D21"/>
                <w:sz w:val="15"/>
              </w:rPr>
              <w:t>EGP mn</w:t>
            </w:r>
          </w:p>
        </w:tc>
        <w:tc>
          <w:tcPr>
            <w:tcW w:type="dxa" w:w="1128"/>
          </w:tcPr>
          <w:p>
            <w:pPr>
              <w:jc w:val="right"/>
            </w:pPr>
            <w:r/>
            <w:r>
              <w:rPr>
                <w:color w:val="1A1D21"/>
                <w:sz w:val="15"/>
              </w:rPr>
              <w:t>2024-12-31</w:t>
            </w:r>
          </w:p>
        </w:tc>
        <w:tc>
          <w:tcPr>
            <w:tcW w:type="dxa" w:w="1344"/>
          </w:tcPr>
          <w:p>
            <w:r/>
            <w:r>
              <w:rPr>
                <w:color w:val="1A1D21"/>
                <w:sz w:val="15"/>
              </w:rPr>
              <w:t>A</w:t>
            </w:r>
          </w:p>
        </w:tc>
        <w:tc>
          <w:tcPr>
            <w:tcW w:type="dxa" w:w="3566"/>
          </w:tcPr>
          <w:p>
            <w:r/>
            <w:r>
              <w:rPr>
                <w:color w:val="1A1D21"/>
                <w:sz w:val="15"/>
              </w:rPr>
            </w:r>
          </w:p>
        </w:tc>
      </w:tr>
      <w:tr>
        <w:trPr>
          <w:cantSplit/>
        </w:trPr>
        <w:tc>
          <w:tcPr>
            <w:tcW w:type="dxa" w:w="1219"/>
          </w:tcPr>
          <w:p>
            <w:r/>
            <w:r>
              <w:rPr>
                <w:color w:val="1A1D21"/>
                <w:sz w:val="15"/>
              </w:rPr>
              <w:t>net profit fy24 restated</w:t>
            </w:r>
          </w:p>
        </w:tc>
        <w:tc>
          <w:tcPr>
            <w:tcW w:type="dxa" w:w="777"/>
          </w:tcPr>
          <w:p>
            <w:pPr>
              <w:jc w:val="right"/>
            </w:pPr>
            <w:r/>
            <w:r>
              <w:rPr>
                <w:color w:val="1A1D21"/>
                <w:sz w:val="15"/>
              </w:rPr>
              <w:t>12,770</w:t>
            </w:r>
          </w:p>
        </w:tc>
        <w:tc>
          <w:tcPr>
            <w:tcW w:type="dxa" w:w="1037"/>
          </w:tcPr>
          <w:p>
            <w:r/>
            <w:r>
              <w:rPr>
                <w:color w:val="1A1D21"/>
                <w:sz w:val="15"/>
              </w:rPr>
              <w:t>EGP mn</w:t>
            </w:r>
          </w:p>
        </w:tc>
        <w:tc>
          <w:tcPr>
            <w:tcW w:type="dxa" w:w="1128"/>
          </w:tcPr>
          <w:p>
            <w:pPr>
              <w:jc w:val="right"/>
            </w:pPr>
            <w:r/>
            <w:r>
              <w:rPr>
                <w:color w:val="1A1D21"/>
                <w:sz w:val="15"/>
              </w:rPr>
              <w:t>2024-12-31</w:t>
            </w:r>
          </w:p>
        </w:tc>
        <w:tc>
          <w:tcPr>
            <w:tcW w:type="dxa" w:w="1344"/>
          </w:tcPr>
          <w:p>
            <w:r/>
            <w:r>
              <w:rPr>
                <w:color w:val="1A1D21"/>
                <w:sz w:val="15"/>
              </w:rPr>
              <w:t>A</w:t>
            </w:r>
          </w:p>
        </w:tc>
        <w:tc>
          <w:tcPr>
            <w:tcW w:type="dxa" w:w="3566"/>
          </w:tcPr>
          <w:p>
            <w:r/>
            <w:r>
              <w:rPr>
                <w:color w:val="1A1D21"/>
                <w:sz w:val="15"/>
              </w:rPr>
            </w:r>
          </w:p>
        </w:tc>
      </w:tr>
      <w:tr>
        <w:trPr>
          <w:cantSplit/>
        </w:trPr>
        <w:tc>
          <w:tcPr>
            <w:tcW w:type="dxa" w:w="1219"/>
          </w:tcPr>
          <w:p>
            <w:r/>
            <w:r>
              <w:rPr>
                <w:color w:val="1A1D21"/>
                <w:sz w:val="15"/>
              </w:rPr>
              <w:t>npat parent fy24 restated</w:t>
            </w:r>
          </w:p>
        </w:tc>
        <w:tc>
          <w:tcPr>
            <w:tcW w:type="dxa" w:w="777"/>
          </w:tcPr>
          <w:p>
            <w:pPr>
              <w:jc w:val="right"/>
            </w:pPr>
            <w:r/>
            <w:r>
              <w:rPr>
                <w:color w:val="1A1D21"/>
                <w:sz w:val="15"/>
              </w:rPr>
              <w:t>9,025</w:t>
            </w:r>
          </w:p>
        </w:tc>
        <w:tc>
          <w:tcPr>
            <w:tcW w:type="dxa" w:w="1037"/>
          </w:tcPr>
          <w:p>
            <w:r/>
            <w:r>
              <w:rPr>
                <w:color w:val="1A1D21"/>
                <w:sz w:val="15"/>
              </w:rPr>
              <w:t>EGP mn</w:t>
            </w:r>
          </w:p>
        </w:tc>
        <w:tc>
          <w:tcPr>
            <w:tcW w:type="dxa" w:w="1128"/>
          </w:tcPr>
          <w:p>
            <w:pPr>
              <w:jc w:val="right"/>
            </w:pPr>
            <w:r/>
            <w:r>
              <w:rPr>
                <w:color w:val="1A1D21"/>
                <w:sz w:val="15"/>
              </w:rPr>
              <w:t>2024-12-31</w:t>
            </w:r>
          </w:p>
        </w:tc>
        <w:tc>
          <w:tcPr>
            <w:tcW w:type="dxa" w:w="1344"/>
          </w:tcPr>
          <w:p>
            <w:r/>
            <w:r>
              <w:rPr>
                <w:color w:val="1A1D21"/>
                <w:sz w:val="15"/>
              </w:rPr>
              <w:t>A</w:t>
            </w:r>
          </w:p>
        </w:tc>
        <w:tc>
          <w:tcPr>
            <w:tcW w:type="dxa" w:w="3566"/>
          </w:tcPr>
          <w:p>
            <w:r/>
            <w:r>
              <w:rPr>
                <w:color w:val="1A1D21"/>
                <w:sz w:val="15"/>
              </w:rPr>
            </w:r>
          </w:p>
        </w:tc>
      </w:tr>
      <w:tr>
        <w:trPr>
          <w:cantSplit/>
        </w:trPr>
        <w:tc>
          <w:tcPr>
            <w:tcW w:type="dxa" w:w="1219"/>
          </w:tcPr>
          <w:p>
            <w:r/>
            <w:r>
              <w:rPr>
                <w:color w:val="1A1D21"/>
                <w:sz w:val="15"/>
              </w:rPr>
              <w:t>dev revenue fy23</w:t>
            </w:r>
          </w:p>
        </w:tc>
        <w:tc>
          <w:tcPr>
            <w:tcW w:type="dxa" w:w="777"/>
          </w:tcPr>
          <w:p>
            <w:pPr>
              <w:jc w:val="right"/>
            </w:pPr>
            <w:r/>
            <w:r>
              <w:rPr>
                <w:color w:val="1A1D21"/>
                <w:sz w:val="15"/>
              </w:rPr>
              <w:t>21,579</w:t>
            </w:r>
          </w:p>
        </w:tc>
        <w:tc>
          <w:tcPr>
            <w:tcW w:type="dxa" w:w="1037"/>
          </w:tcPr>
          <w:p>
            <w:r/>
            <w:r>
              <w:rPr>
                <w:color w:val="1A1D21"/>
                <w:sz w:val="15"/>
              </w:rPr>
              <w:t>EGP mn</w:t>
            </w:r>
          </w:p>
        </w:tc>
        <w:tc>
          <w:tcPr>
            <w:tcW w:type="dxa" w:w="1128"/>
          </w:tcPr>
          <w:p>
            <w:pPr>
              <w:jc w:val="right"/>
            </w:pPr>
            <w:r/>
            <w:r>
              <w:rPr>
                <w:color w:val="1A1D21"/>
                <w:sz w:val="15"/>
              </w:rPr>
              <w:t>2023-12-31</w:t>
            </w:r>
          </w:p>
        </w:tc>
        <w:tc>
          <w:tcPr>
            <w:tcW w:type="dxa" w:w="1344"/>
          </w:tcPr>
          <w:p>
            <w:r/>
            <w:r>
              <w:rPr>
                <w:color w:val="1A1D21"/>
                <w:sz w:val="15"/>
              </w:rPr>
              <w:t>A</w:t>
            </w:r>
          </w:p>
        </w:tc>
        <w:tc>
          <w:tcPr>
            <w:tcW w:type="dxa" w:w="3566"/>
          </w:tcPr>
          <w:p>
            <w:r/>
            <w:r>
              <w:rPr>
                <w:color w:val="1A1D21"/>
                <w:sz w:val="15"/>
              </w:rPr>
            </w:r>
          </w:p>
        </w:tc>
      </w:tr>
      <w:tr>
        <w:trPr>
          <w:cantSplit/>
        </w:trPr>
        <w:tc>
          <w:tcPr>
            <w:tcW w:type="dxa" w:w="1219"/>
          </w:tcPr>
          <w:p>
            <w:r/>
            <w:r>
              <w:rPr>
                <w:color w:val="1A1D21"/>
                <w:sz w:val="15"/>
              </w:rPr>
              <w:t>hosp revenue fy23</w:t>
            </w:r>
          </w:p>
        </w:tc>
        <w:tc>
          <w:tcPr>
            <w:tcW w:type="dxa" w:w="777"/>
          </w:tcPr>
          <w:p>
            <w:pPr>
              <w:jc w:val="right"/>
            </w:pPr>
            <w:r/>
            <w:r>
              <w:rPr>
                <w:color w:val="1A1D21"/>
                <w:sz w:val="15"/>
              </w:rPr>
              <w:t>3,541</w:t>
            </w:r>
          </w:p>
        </w:tc>
        <w:tc>
          <w:tcPr>
            <w:tcW w:type="dxa" w:w="1037"/>
          </w:tcPr>
          <w:p>
            <w:r/>
            <w:r>
              <w:rPr>
                <w:color w:val="1A1D21"/>
                <w:sz w:val="15"/>
              </w:rPr>
              <w:t>EGP mn</w:t>
            </w:r>
          </w:p>
        </w:tc>
        <w:tc>
          <w:tcPr>
            <w:tcW w:type="dxa" w:w="1128"/>
          </w:tcPr>
          <w:p>
            <w:pPr>
              <w:jc w:val="right"/>
            </w:pPr>
            <w:r/>
            <w:r>
              <w:rPr>
                <w:color w:val="1A1D21"/>
                <w:sz w:val="15"/>
              </w:rPr>
              <w:t>2023-12-31</w:t>
            </w:r>
          </w:p>
        </w:tc>
        <w:tc>
          <w:tcPr>
            <w:tcW w:type="dxa" w:w="1344"/>
          </w:tcPr>
          <w:p>
            <w:r/>
            <w:r>
              <w:rPr>
                <w:color w:val="1A1D21"/>
                <w:sz w:val="15"/>
              </w:rPr>
              <w:t>A</w:t>
            </w:r>
          </w:p>
        </w:tc>
        <w:tc>
          <w:tcPr>
            <w:tcW w:type="dxa" w:w="3566"/>
          </w:tcPr>
          <w:p>
            <w:r/>
            <w:r>
              <w:rPr>
                <w:color w:val="1A1D21"/>
                <w:sz w:val="15"/>
              </w:rPr>
            </w:r>
          </w:p>
        </w:tc>
      </w:tr>
      <w:tr>
        <w:trPr>
          <w:cantSplit/>
        </w:trPr>
        <w:tc>
          <w:tcPr>
            <w:tcW w:type="dxa" w:w="1219"/>
          </w:tcPr>
          <w:p>
            <w:r/>
            <w:r>
              <w:rPr>
                <w:color w:val="1A1D21"/>
                <w:sz w:val="15"/>
              </w:rPr>
              <w:t>other revenue fy23</w:t>
            </w:r>
          </w:p>
        </w:tc>
        <w:tc>
          <w:tcPr>
            <w:tcW w:type="dxa" w:w="777"/>
          </w:tcPr>
          <w:p>
            <w:pPr>
              <w:jc w:val="right"/>
            </w:pPr>
            <w:r/>
            <w:r>
              <w:rPr>
                <w:color w:val="1A1D21"/>
                <w:sz w:val="15"/>
              </w:rPr>
              <w:t>3,312</w:t>
            </w:r>
          </w:p>
        </w:tc>
        <w:tc>
          <w:tcPr>
            <w:tcW w:type="dxa" w:w="1037"/>
          </w:tcPr>
          <w:p>
            <w:r/>
            <w:r>
              <w:rPr>
                <w:color w:val="1A1D21"/>
                <w:sz w:val="15"/>
              </w:rPr>
              <w:t>EGP mn</w:t>
            </w:r>
          </w:p>
        </w:tc>
        <w:tc>
          <w:tcPr>
            <w:tcW w:type="dxa" w:w="1128"/>
          </w:tcPr>
          <w:p>
            <w:pPr>
              <w:jc w:val="right"/>
            </w:pPr>
            <w:r/>
            <w:r>
              <w:rPr>
                <w:color w:val="1A1D21"/>
                <w:sz w:val="15"/>
              </w:rPr>
              <w:t>2023-12-31</w:t>
            </w:r>
          </w:p>
        </w:tc>
        <w:tc>
          <w:tcPr>
            <w:tcW w:type="dxa" w:w="1344"/>
          </w:tcPr>
          <w:p>
            <w:r/>
            <w:r>
              <w:rPr>
                <w:color w:val="1A1D21"/>
                <w:sz w:val="15"/>
              </w:rPr>
              <w:t>A</w:t>
            </w:r>
          </w:p>
        </w:tc>
        <w:tc>
          <w:tcPr>
            <w:tcW w:type="dxa" w:w="3566"/>
          </w:tcPr>
          <w:p>
            <w:r/>
            <w:r>
              <w:rPr>
                <w:color w:val="1A1D21"/>
                <w:sz w:val="15"/>
              </w:rPr>
            </w:r>
          </w:p>
        </w:tc>
      </w:tr>
      <w:tr>
        <w:trPr>
          <w:cantSplit/>
        </w:trPr>
        <w:tc>
          <w:tcPr>
            <w:tcW w:type="dxa" w:w="1219"/>
          </w:tcPr>
          <w:p>
            <w:r/>
            <w:r>
              <w:rPr>
                <w:color w:val="1A1D21"/>
                <w:sz w:val="15"/>
              </w:rPr>
              <w:t>gross profit fy23</w:t>
            </w:r>
          </w:p>
        </w:tc>
        <w:tc>
          <w:tcPr>
            <w:tcW w:type="dxa" w:w="777"/>
          </w:tcPr>
          <w:p>
            <w:pPr>
              <w:jc w:val="right"/>
            </w:pPr>
            <w:r/>
            <w:r>
              <w:rPr>
                <w:color w:val="1A1D21"/>
                <w:sz w:val="15"/>
              </w:rPr>
              <w:t>8,637</w:t>
            </w:r>
          </w:p>
        </w:tc>
        <w:tc>
          <w:tcPr>
            <w:tcW w:type="dxa" w:w="1037"/>
          </w:tcPr>
          <w:p>
            <w:r/>
            <w:r>
              <w:rPr>
                <w:color w:val="1A1D21"/>
                <w:sz w:val="15"/>
              </w:rPr>
              <w:t>EGP mn</w:t>
            </w:r>
          </w:p>
        </w:tc>
        <w:tc>
          <w:tcPr>
            <w:tcW w:type="dxa" w:w="1128"/>
          </w:tcPr>
          <w:p>
            <w:pPr>
              <w:jc w:val="right"/>
            </w:pPr>
            <w:r/>
            <w:r>
              <w:rPr>
                <w:color w:val="1A1D21"/>
                <w:sz w:val="15"/>
              </w:rPr>
              <w:t>2023-12-31</w:t>
            </w:r>
          </w:p>
        </w:tc>
        <w:tc>
          <w:tcPr>
            <w:tcW w:type="dxa" w:w="1344"/>
          </w:tcPr>
          <w:p>
            <w:r/>
            <w:r>
              <w:rPr>
                <w:color w:val="1A1D21"/>
                <w:sz w:val="15"/>
              </w:rPr>
              <w:t>A</w:t>
            </w:r>
          </w:p>
        </w:tc>
        <w:tc>
          <w:tcPr>
            <w:tcW w:type="dxa" w:w="3566"/>
          </w:tcPr>
          <w:p>
            <w:r/>
            <w:r>
              <w:rPr>
                <w:color w:val="1A1D21"/>
                <w:sz w:val="15"/>
              </w:rPr>
            </w:r>
          </w:p>
        </w:tc>
      </w:tr>
      <w:tr>
        <w:trPr>
          <w:cantSplit/>
        </w:trPr>
        <w:tc>
          <w:tcPr>
            <w:tcW w:type="dxa" w:w="1219"/>
          </w:tcPr>
          <w:p>
            <w:r/>
            <w:r>
              <w:rPr>
                <w:color w:val="1A1D21"/>
                <w:sz w:val="15"/>
              </w:rPr>
              <w:t>net profit fy23</w:t>
            </w:r>
          </w:p>
        </w:tc>
        <w:tc>
          <w:tcPr>
            <w:tcW w:type="dxa" w:w="777"/>
          </w:tcPr>
          <w:p>
            <w:pPr>
              <w:jc w:val="right"/>
            </w:pPr>
            <w:r/>
            <w:r>
              <w:rPr>
                <w:color w:val="1A1D21"/>
                <w:sz w:val="15"/>
              </w:rPr>
              <w:t>3,347</w:t>
            </w:r>
          </w:p>
        </w:tc>
        <w:tc>
          <w:tcPr>
            <w:tcW w:type="dxa" w:w="1037"/>
          </w:tcPr>
          <w:p>
            <w:r/>
            <w:r>
              <w:rPr>
                <w:color w:val="1A1D21"/>
                <w:sz w:val="15"/>
              </w:rPr>
              <w:t>EGP mn</w:t>
            </w:r>
          </w:p>
        </w:tc>
        <w:tc>
          <w:tcPr>
            <w:tcW w:type="dxa" w:w="1128"/>
          </w:tcPr>
          <w:p>
            <w:pPr>
              <w:jc w:val="right"/>
            </w:pPr>
            <w:r/>
            <w:r>
              <w:rPr>
                <w:color w:val="1A1D21"/>
                <w:sz w:val="15"/>
              </w:rPr>
              <w:t>2023-12-31</w:t>
            </w:r>
          </w:p>
        </w:tc>
        <w:tc>
          <w:tcPr>
            <w:tcW w:type="dxa" w:w="1344"/>
          </w:tcPr>
          <w:p>
            <w:r/>
            <w:r>
              <w:rPr>
                <w:color w:val="1A1D21"/>
                <w:sz w:val="15"/>
              </w:rPr>
              <w:t>A</w:t>
            </w:r>
          </w:p>
        </w:tc>
        <w:tc>
          <w:tcPr>
            <w:tcW w:type="dxa" w:w="3566"/>
          </w:tcPr>
          <w:p>
            <w:r/>
            <w:r>
              <w:rPr>
                <w:color w:val="1A1D21"/>
                <w:sz w:val="15"/>
              </w:rPr>
            </w:r>
          </w:p>
        </w:tc>
      </w:tr>
      <w:tr>
        <w:trPr>
          <w:cantSplit/>
        </w:trPr>
        <w:tc>
          <w:tcPr>
            <w:tcW w:type="dxa" w:w="1219"/>
          </w:tcPr>
          <w:p>
            <w:r/>
            <w:r>
              <w:rPr>
                <w:color w:val="1A1D21"/>
                <w:sz w:val="15"/>
              </w:rPr>
              <w:t>npat parent fy23</w:t>
            </w:r>
          </w:p>
        </w:tc>
        <w:tc>
          <w:tcPr>
            <w:tcW w:type="dxa" w:w="777"/>
          </w:tcPr>
          <w:p>
            <w:pPr>
              <w:jc w:val="right"/>
            </w:pPr>
            <w:r/>
            <w:r>
              <w:rPr>
                <w:color w:val="1A1D21"/>
                <w:sz w:val="15"/>
              </w:rPr>
              <w:t>3,313</w:t>
            </w:r>
          </w:p>
        </w:tc>
        <w:tc>
          <w:tcPr>
            <w:tcW w:type="dxa" w:w="1037"/>
          </w:tcPr>
          <w:p>
            <w:r/>
            <w:r>
              <w:rPr>
                <w:color w:val="1A1D21"/>
                <w:sz w:val="15"/>
              </w:rPr>
              <w:t>EGP mn</w:t>
            </w:r>
          </w:p>
        </w:tc>
        <w:tc>
          <w:tcPr>
            <w:tcW w:type="dxa" w:w="1128"/>
          </w:tcPr>
          <w:p>
            <w:pPr>
              <w:jc w:val="right"/>
            </w:pPr>
            <w:r/>
            <w:r>
              <w:rPr>
                <w:color w:val="1A1D21"/>
                <w:sz w:val="15"/>
              </w:rPr>
              <w:t>2023-12-31</w:t>
            </w:r>
          </w:p>
        </w:tc>
        <w:tc>
          <w:tcPr>
            <w:tcW w:type="dxa" w:w="1344"/>
          </w:tcPr>
          <w:p>
            <w:r/>
            <w:r>
              <w:rPr>
                <w:color w:val="1A1D21"/>
                <w:sz w:val="15"/>
              </w:rPr>
              <w:t>A</w:t>
            </w:r>
          </w:p>
        </w:tc>
        <w:tc>
          <w:tcPr>
            <w:tcW w:type="dxa" w:w="3566"/>
          </w:tcPr>
          <w:p>
            <w:r/>
            <w:r>
              <w:rPr>
                <w:color w:val="1A1D21"/>
                <w:sz w:val="15"/>
              </w:rPr>
            </w:r>
          </w:p>
        </w:tc>
      </w:tr>
    </w:tbl>
    <w:p>
      <w:pPr>
        <w:spacing w:after="80"/>
      </w:pPr>
      <w:r>
        <w:rPr>
          <w:b w:val="0"/>
          <w:i w:val="0"/>
          <w:color w:val="1A1D21"/>
          <w:sz w:val="8"/>
        </w:rPr>
      </w:r>
    </w:p>
    <w:p>
      <w:pPr>
        <w:pStyle w:val="Heading2"/>
      </w:pPr>
      <w:r>
        <w:t>Company — most recent reviewed interim</w:t>
      </w:r>
    </w:p>
    <w:tbl>
      <w:tblPr>
        <w:tblStyle w:val="TableGrid"/>
        <w:tblW w:type="auto" w:w="0"/>
        <w:jc w:val="center"/>
        <w:tblLayout w:type="fixed"/>
        <w:tblLook w:firstColumn="1" w:firstRow="1" w:lastColumn="0" w:lastRow="0" w:noHBand="0" w:noVBand="1" w:val="04A0"/>
        <w:tblLayout w:type="fixed"/>
      </w:tblPr>
      <w:tblGrid>
        <w:gridCol w:w="1038"/>
        <w:gridCol w:w="777"/>
        <w:gridCol w:w="1038"/>
        <w:gridCol w:w="1128"/>
        <w:gridCol w:w="1344"/>
        <w:gridCol w:w="3748"/>
      </w:tblGrid>
      <w:tr>
        <w:trPr>
          <w:tblHeader w:val="true"/>
        </w:trPr>
        <w:tc>
          <w:tcPr>
            <w:tcW w:type="dxa" w:w="1037"/>
          </w:tcPr>
          <w:p>
            <w:r/>
            <w:r>
              <w:rPr>
                <w:b/>
                <w:color w:val="5B6570"/>
                <w:sz w:val="15"/>
              </w:rPr>
              <w:t>Input</w:t>
            </w:r>
          </w:p>
        </w:tc>
        <w:tc>
          <w:tcPr>
            <w:tcW w:type="dxa" w:w="777"/>
          </w:tcPr>
          <w:p>
            <w:r/>
            <w:r>
              <w:rPr>
                <w:b/>
                <w:color w:val="5B6570"/>
                <w:sz w:val="15"/>
              </w:rPr>
              <w:t>Value</w:t>
            </w:r>
          </w:p>
        </w:tc>
        <w:tc>
          <w:tcPr>
            <w:tcW w:type="dxa" w:w="1037"/>
          </w:tcPr>
          <w:p>
            <w:r/>
            <w:r>
              <w:rPr>
                <w:b/>
                <w:color w:val="5B6570"/>
                <w:sz w:val="15"/>
              </w:rPr>
              <w:t>Unit</w:t>
            </w:r>
          </w:p>
        </w:tc>
        <w:tc>
          <w:tcPr>
            <w:tcW w:type="dxa" w:w="1128"/>
          </w:tcPr>
          <w:p>
            <w:r/>
            <w:r>
              <w:rPr>
                <w:b/>
                <w:color w:val="5B6570"/>
                <w:sz w:val="15"/>
              </w:rPr>
              <w:t>As at</w:t>
            </w:r>
          </w:p>
        </w:tc>
        <w:tc>
          <w:tcPr>
            <w:tcW w:type="dxa" w:w="1344"/>
          </w:tcPr>
          <w:p>
            <w:r/>
            <w:r>
              <w:rPr>
                <w:b/>
                <w:color w:val="5B6570"/>
                <w:sz w:val="15"/>
              </w:rPr>
              <w:t>Reliability</w:t>
            </w:r>
          </w:p>
        </w:tc>
        <w:tc>
          <w:tcPr>
            <w:tcW w:type="dxa" w:w="3747"/>
          </w:tcPr>
          <w:p>
            <w:r/>
            <w:r>
              <w:rPr>
                <w:b/>
                <w:color w:val="5B6570"/>
                <w:sz w:val="15"/>
              </w:rPr>
              <w:t>Note</w:t>
            </w:r>
          </w:p>
        </w:tc>
      </w:tr>
      <w:tr>
        <w:trPr>
          <w:cantSplit/>
        </w:trPr>
        <w:tc>
          <w:tcPr>
            <w:tcW w:type="dxa" w:w="1037"/>
          </w:tcPr>
          <w:p>
            <w:r/>
            <w:r>
              <w:rPr>
                <w:color w:val="1A1D21"/>
                <w:sz w:val="15"/>
              </w:rPr>
              <w:t>dev revenue</w:t>
            </w:r>
          </w:p>
        </w:tc>
        <w:tc>
          <w:tcPr>
            <w:tcW w:type="dxa" w:w="777"/>
          </w:tcPr>
          <w:p>
            <w:pPr>
              <w:jc w:val="right"/>
            </w:pPr>
            <w:r/>
            <w:r>
              <w:rPr>
                <w:color w:val="1A1D21"/>
                <w:sz w:val="15"/>
              </w:rPr>
              <w:t>16,967</w:t>
            </w:r>
          </w:p>
        </w:tc>
        <w:tc>
          <w:tcPr>
            <w:tcW w:type="dxa" w:w="1037"/>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47"/>
          </w:tcPr>
          <w:p>
            <w:r/>
            <w:r>
              <w:rPr>
                <w:color w:val="1A1D21"/>
                <w:sz w:val="15"/>
              </w:rPr>
            </w:r>
          </w:p>
        </w:tc>
      </w:tr>
      <w:tr>
        <w:trPr>
          <w:cantSplit/>
        </w:trPr>
        <w:tc>
          <w:tcPr>
            <w:tcW w:type="dxa" w:w="1037"/>
          </w:tcPr>
          <w:p>
            <w:r/>
            <w:r>
              <w:rPr>
                <w:color w:val="1A1D21"/>
                <w:sz w:val="15"/>
              </w:rPr>
              <w:t>dev cost</w:t>
            </w:r>
          </w:p>
        </w:tc>
        <w:tc>
          <w:tcPr>
            <w:tcW w:type="dxa" w:w="777"/>
          </w:tcPr>
          <w:p>
            <w:pPr>
              <w:jc w:val="right"/>
            </w:pPr>
            <w:r/>
            <w:r>
              <w:rPr>
                <w:color w:val="1A1D21"/>
                <w:sz w:val="15"/>
              </w:rPr>
              <w:t>12,458</w:t>
            </w:r>
          </w:p>
        </w:tc>
        <w:tc>
          <w:tcPr>
            <w:tcW w:type="dxa" w:w="1037"/>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47"/>
          </w:tcPr>
          <w:p>
            <w:r/>
            <w:r>
              <w:rPr>
                <w:color w:val="1A1D21"/>
                <w:sz w:val="15"/>
              </w:rPr>
            </w:r>
          </w:p>
        </w:tc>
      </w:tr>
      <w:tr>
        <w:trPr>
          <w:cantSplit/>
        </w:trPr>
        <w:tc>
          <w:tcPr>
            <w:tcW w:type="dxa" w:w="1037"/>
          </w:tcPr>
          <w:p>
            <w:r/>
            <w:r>
              <w:rPr>
                <w:color w:val="1A1D21"/>
                <w:sz w:val="15"/>
              </w:rPr>
              <w:t>hosp revenue</w:t>
            </w:r>
          </w:p>
        </w:tc>
        <w:tc>
          <w:tcPr>
            <w:tcW w:type="dxa" w:w="777"/>
          </w:tcPr>
          <w:p>
            <w:pPr>
              <w:jc w:val="right"/>
            </w:pPr>
            <w:r/>
            <w:r>
              <w:rPr>
                <w:color w:val="1A1D21"/>
                <w:sz w:val="15"/>
              </w:rPr>
              <w:t>7,513</w:t>
            </w:r>
          </w:p>
        </w:tc>
        <w:tc>
          <w:tcPr>
            <w:tcW w:type="dxa" w:w="1037"/>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47"/>
          </w:tcPr>
          <w:p>
            <w:r/>
            <w:r>
              <w:rPr>
                <w:color w:val="1A1D21"/>
                <w:sz w:val="15"/>
              </w:rPr>
            </w:r>
          </w:p>
        </w:tc>
      </w:tr>
      <w:tr>
        <w:trPr>
          <w:cantSplit/>
        </w:trPr>
        <w:tc>
          <w:tcPr>
            <w:tcW w:type="dxa" w:w="1037"/>
          </w:tcPr>
          <w:p>
            <w:r/>
            <w:r>
              <w:rPr>
                <w:color w:val="1A1D21"/>
                <w:sz w:val="15"/>
              </w:rPr>
              <w:t>hosp cost</w:t>
            </w:r>
          </w:p>
        </w:tc>
        <w:tc>
          <w:tcPr>
            <w:tcW w:type="dxa" w:w="777"/>
          </w:tcPr>
          <w:p>
            <w:pPr>
              <w:jc w:val="right"/>
            </w:pPr>
            <w:r/>
            <w:r>
              <w:rPr>
                <w:color w:val="1A1D21"/>
                <w:sz w:val="15"/>
              </w:rPr>
              <w:t>4,104</w:t>
            </w:r>
          </w:p>
        </w:tc>
        <w:tc>
          <w:tcPr>
            <w:tcW w:type="dxa" w:w="1037"/>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47"/>
          </w:tcPr>
          <w:p>
            <w:r/>
            <w:r>
              <w:rPr>
                <w:color w:val="1A1D21"/>
                <w:sz w:val="15"/>
              </w:rPr>
            </w:r>
          </w:p>
        </w:tc>
      </w:tr>
      <w:tr>
        <w:trPr>
          <w:cantSplit/>
        </w:trPr>
        <w:tc>
          <w:tcPr>
            <w:tcW w:type="dxa" w:w="1037"/>
          </w:tcPr>
          <w:p>
            <w:r/>
            <w:r>
              <w:rPr>
                <w:color w:val="1A1D21"/>
                <w:sz w:val="15"/>
              </w:rPr>
              <w:t>other revenue</w:t>
            </w:r>
          </w:p>
        </w:tc>
        <w:tc>
          <w:tcPr>
            <w:tcW w:type="dxa" w:w="777"/>
          </w:tcPr>
          <w:p>
            <w:pPr>
              <w:jc w:val="right"/>
            </w:pPr>
            <w:r/>
            <w:r>
              <w:rPr>
                <w:color w:val="1A1D21"/>
                <w:sz w:val="15"/>
              </w:rPr>
              <w:t>5,712</w:t>
            </w:r>
          </w:p>
        </w:tc>
        <w:tc>
          <w:tcPr>
            <w:tcW w:type="dxa" w:w="1037"/>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47"/>
          </w:tcPr>
          <w:p>
            <w:r/>
            <w:r>
              <w:rPr>
                <w:color w:val="1A1D21"/>
                <w:sz w:val="15"/>
              </w:rPr>
            </w:r>
          </w:p>
        </w:tc>
      </w:tr>
      <w:tr>
        <w:trPr>
          <w:cantSplit/>
        </w:trPr>
        <w:tc>
          <w:tcPr>
            <w:tcW w:type="dxa" w:w="1037"/>
          </w:tcPr>
          <w:p>
            <w:r/>
            <w:r>
              <w:rPr>
                <w:color w:val="1A1D21"/>
                <w:sz w:val="15"/>
              </w:rPr>
              <w:t>other cost</w:t>
            </w:r>
          </w:p>
        </w:tc>
        <w:tc>
          <w:tcPr>
            <w:tcW w:type="dxa" w:w="777"/>
          </w:tcPr>
          <w:p>
            <w:pPr>
              <w:jc w:val="right"/>
            </w:pPr>
            <w:r/>
            <w:r>
              <w:rPr>
                <w:color w:val="1A1D21"/>
                <w:sz w:val="15"/>
              </w:rPr>
              <w:t>3,889</w:t>
            </w:r>
          </w:p>
        </w:tc>
        <w:tc>
          <w:tcPr>
            <w:tcW w:type="dxa" w:w="1037"/>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47"/>
          </w:tcPr>
          <w:p>
            <w:r/>
            <w:r>
              <w:rPr>
                <w:color w:val="1A1D21"/>
                <w:sz w:val="15"/>
              </w:rPr>
            </w:r>
          </w:p>
        </w:tc>
      </w:tr>
      <w:tr>
        <w:trPr>
          <w:cantSplit/>
        </w:trPr>
        <w:tc>
          <w:tcPr>
            <w:tcW w:type="dxa" w:w="1037"/>
          </w:tcPr>
          <w:p>
            <w:r/>
            <w:r>
              <w:rPr>
                <w:color w:val="1A1D21"/>
                <w:sz w:val="15"/>
              </w:rPr>
              <w:t>gross profit</w:t>
            </w:r>
          </w:p>
        </w:tc>
        <w:tc>
          <w:tcPr>
            <w:tcW w:type="dxa" w:w="777"/>
          </w:tcPr>
          <w:p>
            <w:pPr>
              <w:jc w:val="right"/>
            </w:pPr>
            <w:r/>
            <w:r>
              <w:rPr>
                <w:color w:val="1A1D21"/>
                <w:sz w:val="15"/>
              </w:rPr>
              <w:t>9,741</w:t>
            </w:r>
          </w:p>
        </w:tc>
        <w:tc>
          <w:tcPr>
            <w:tcW w:type="dxa" w:w="1037"/>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47"/>
          </w:tcPr>
          <w:p>
            <w:r/>
            <w:r>
              <w:rPr>
                <w:color w:val="1A1D21"/>
                <w:sz w:val="15"/>
              </w:rPr>
            </w:r>
          </w:p>
        </w:tc>
      </w:tr>
      <w:tr>
        <w:trPr>
          <w:cantSplit/>
        </w:trPr>
        <w:tc>
          <w:tcPr>
            <w:tcW w:type="dxa" w:w="1037"/>
          </w:tcPr>
          <w:p>
            <w:r/>
            <w:r>
              <w:rPr>
                <w:color w:val="1A1D21"/>
                <w:sz w:val="15"/>
              </w:rPr>
              <w:t>operating income</w:t>
            </w:r>
          </w:p>
        </w:tc>
        <w:tc>
          <w:tcPr>
            <w:tcW w:type="dxa" w:w="777"/>
          </w:tcPr>
          <w:p>
            <w:pPr>
              <w:jc w:val="right"/>
            </w:pPr>
            <w:r/>
            <w:r>
              <w:rPr>
                <w:color w:val="1A1D21"/>
                <w:sz w:val="15"/>
              </w:rPr>
              <w:t>12,932</w:t>
            </w:r>
          </w:p>
        </w:tc>
        <w:tc>
          <w:tcPr>
            <w:tcW w:type="dxa" w:w="1037"/>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47"/>
          </w:tcPr>
          <w:p>
            <w:r/>
            <w:r>
              <w:rPr>
                <w:color w:val="1A1D21"/>
                <w:sz w:val="15"/>
              </w:rPr>
            </w:r>
          </w:p>
        </w:tc>
      </w:tr>
      <w:tr>
        <w:trPr>
          <w:cantSplit/>
        </w:trPr>
        <w:tc>
          <w:tcPr>
            <w:tcW w:type="dxa" w:w="1037"/>
          </w:tcPr>
          <w:p>
            <w:r/>
            <w:r>
              <w:rPr>
                <w:color w:val="1A1D21"/>
                <w:sz w:val="15"/>
              </w:rPr>
              <w:t>finance income</w:t>
            </w:r>
          </w:p>
        </w:tc>
        <w:tc>
          <w:tcPr>
            <w:tcW w:type="dxa" w:w="777"/>
          </w:tcPr>
          <w:p>
            <w:pPr>
              <w:jc w:val="right"/>
            </w:pPr>
            <w:r/>
            <w:r>
              <w:rPr>
                <w:color w:val="1A1D21"/>
                <w:sz w:val="15"/>
              </w:rPr>
              <w:t>1,037</w:t>
            </w:r>
          </w:p>
        </w:tc>
        <w:tc>
          <w:tcPr>
            <w:tcW w:type="dxa" w:w="1037"/>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47"/>
          </w:tcPr>
          <w:p>
            <w:r/>
            <w:r>
              <w:rPr>
                <w:color w:val="1A1D21"/>
                <w:sz w:val="15"/>
              </w:rPr>
            </w:r>
          </w:p>
        </w:tc>
      </w:tr>
      <w:tr>
        <w:trPr>
          <w:cantSplit/>
        </w:trPr>
        <w:tc>
          <w:tcPr>
            <w:tcW w:type="dxa" w:w="1037"/>
          </w:tcPr>
          <w:p>
            <w:r/>
            <w:r>
              <w:rPr>
                <w:color w:val="1A1D21"/>
                <w:sz w:val="15"/>
              </w:rPr>
              <w:t>finance cost</w:t>
            </w:r>
          </w:p>
        </w:tc>
        <w:tc>
          <w:tcPr>
            <w:tcW w:type="dxa" w:w="777"/>
          </w:tcPr>
          <w:p>
            <w:pPr>
              <w:jc w:val="right"/>
            </w:pPr>
            <w:r/>
            <w:r>
              <w:rPr>
                <w:color w:val="1A1D21"/>
                <w:sz w:val="15"/>
              </w:rPr>
              <w:t>1,006</w:t>
            </w:r>
          </w:p>
        </w:tc>
        <w:tc>
          <w:tcPr>
            <w:tcW w:type="dxa" w:w="1037"/>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47"/>
          </w:tcPr>
          <w:p>
            <w:r/>
            <w:r>
              <w:rPr>
                <w:color w:val="1A1D21"/>
                <w:sz w:val="15"/>
              </w:rPr>
            </w:r>
          </w:p>
        </w:tc>
      </w:tr>
      <w:tr>
        <w:trPr>
          <w:cantSplit/>
        </w:trPr>
        <w:tc>
          <w:tcPr>
            <w:tcW w:type="dxa" w:w="1037"/>
          </w:tcPr>
          <w:p>
            <w:r/>
            <w:r>
              <w:rPr>
                <w:color w:val="1A1D21"/>
                <w:sz w:val="15"/>
              </w:rPr>
              <w:t>da</w:t>
            </w:r>
          </w:p>
        </w:tc>
        <w:tc>
          <w:tcPr>
            <w:tcW w:type="dxa" w:w="777"/>
          </w:tcPr>
          <w:p>
            <w:pPr>
              <w:jc w:val="right"/>
            </w:pPr>
            <w:r/>
            <w:r>
              <w:rPr>
                <w:color w:val="1A1D21"/>
                <w:sz w:val="15"/>
              </w:rPr>
              <w:t>260</w:t>
            </w:r>
          </w:p>
        </w:tc>
        <w:tc>
          <w:tcPr>
            <w:tcW w:type="dxa" w:w="1037"/>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47"/>
          </w:tcPr>
          <w:p>
            <w:r/>
            <w:r>
              <w:rPr>
                <w:color w:val="1A1D21"/>
                <w:sz w:val="15"/>
              </w:rPr>
            </w:r>
          </w:p>
        </w:tc>
      </w:tr>
      <w:tr>
        <w:trPr>
          <w:cantSplit/>
        </w:trPr>
        <w:tc>
          <w:tcPr>
            <w:tcW w:type="dxa" w:w="1037"/>
          </w:tcPr>
          <w:p>
            <w:r/>
            <w:r>
              <w:rPr>
                <w:color w:val="1A1D21"/>
                <w:sz w:val="15"/>
              </w:rPr>
              <w:t>pbt</w:t>
            </w:r>
          </w:p>
        </w:tc>
        <w:tc>
          <w:tcPr>
            <w:tcW w:type="dxa" w:w="777"/>
          </w:tcPr>
          <w:p>
            <w:pPr>
              <w:jc w:val="right"/>
            </w:pPr>
            <w:r/>
            <w:r>
              <w:rPr>
                <w:color w:val="1A1D21"/>
                <w:sz w:val="15"/>
              </w:rPr>
              <w:t>12,746</w:t>
            </w:r>
          </w:p>
        </w:tc>
        <w:tc>
          <w:tcPr>
            <w:tcW w:type="dxa" w:w="1037"/>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47"/>
          </w:tcPr>
          <w:p>
            <w:r/>
            <w:r>
              <w:rPr>
                <w:color w:val="1A1D21"/>
                <w:sz w:val="15"/>
              </w:rPr>
            </w:r>
          </w:p>
        </w:tc>
      </w:tr>
      <w:tr>
        <w:trPr>
          <w:cantSplit/>
        </w:trPr>
        <w:tc>
          <w:tcPr>
            <w:tcW w:type="dxa" w:w="1037"/>
          </w:tcPr>
          <w:p>
            <w:r/>
            <w:r>
              <w:rPr>
                <w:color w:val="1A1D21"/>
                <w:sz w:val="15"/>
              </w:rPr>
              <w:t>tax</w:t>
            </w:r>
          </w:p>
        </w:tc>
        <w:tc>
          <w:tcPr>
            <w:tcW w:type="dxa" w:w="777"/>
          </w:tcPr>
          <w:p>
            <w:pPr>
              <w:jc w:val="right"/>
            </w:pPr>
            <w:r/>
            <w:r>
              <w:rPr>
                <w:color w:val="1A1D21"/>
                <w:sz w:val="15"/>
              </w:rPr>
              <w:t>2,543</w:t>
            </w:r>
          </w:p>
        </w:tc>
        <w:tc>
          <w:tcPr>
            <w:tcW w:type="dxa" w:w="1037"/>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47"/>
          </w:tcPr>
          <w:p>
            <w:r/>
            <w:r>
              <w:rPr>
                <w:color w:val="1A1D21"/>
                <w:sz w:val="15"/>
              </w:rPr>
            </w:r>
          </w:p>
        </w:tc>
      </w:tr>
      <w:tr>
        <w:trPr>
          <w:cantSplit/>
        </w:trPr>
        <w:tc>
          <w:tcPr>
            <w:tcW w:type="dxa" w:w="1037"/>
          </w:tcPr>
          <w:p>
            <w:r/>
            <w:r>
              <w:rPr>
                <w:color w:val="1A1D21"/>
                <w:sz w:val="15"/>
              </w:rPr>
              <w:t>deferred tax</w:t>
            </w:r>
          </w:p>
        </w:tc>
        <w:tc>
          <w:tcPr>
            <w:tcW w:type="dxa" w:w="777"/>
          </w:tcPr>
          <w:p>
            <w:pPr>
              <w:jc w:val="right"/>
            </w:pPr>
            <w:r/>
            <w:r>
              <w:rPr>
                <w:color w:val="1A1D21"/>
                <w:sz w:val="15"/>
              </w:rPr>
              <w:t>257</w:t>
            </w:r>
          </w:p>
        </w:tc>
        <w:tc>
          <w:tcPr>
            <w:tcW w:type="dxa" w:w="1037"/>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47"/>
          </w:tcPr>
          <w:p>
            <w:r/>
            <w:r>
              <w:rPr>
                <w:color w:val="1A1D21"/>
                <w:sz w:val="15"/>
              </w:rPr>
            </w:r>
          </w:p>
        </w:tc>
      </w:tr>
      <w:tr>
        <w:trPr>
          <w:cantSplit/>
        </w:trPr>
        <w:tc>
          <w:tcPr>
            <w:tcW w:type="dxa" w:w="1037"/>
          </w:tcPr>
          <w:p>
            <w:r/>
            <w:r>
              <w:rPr>
                <w:color w:val="1A1D21"/>
                <w:sz w:val="15"/>
              </w:rPr>
              <w:t>net profit</w:t>
            </w:r>
          </w:p>
        </w:tc>
        <w:tc>
          <w:tcPr>
            <w:tcW w:type="dxa" w:w="777"/>
          </w:tcPr>
          <w:p>
            <w:pPr>
              <w:jc w:val="right"/>
            </w:pPr>
            <w:r/>
            <w:r>
              <w:rPr>
                <w:color w:val="1A1D21"/>
                <w:sz w:val="15"/>
              </w:rPr>
              <w:t>9,946</w:t>
            </w:r>
          </w:p>
        </w:tc>
        <w:tc>
          <w:tcPr>
            <w:tcW w:type="dxa" w:w="1037"/>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47"/>
          </w:tcPr>
          <w:p>
            <w:r/>
            <w:r>
              <w:rPr>
                <w:color w:val="1A1D21"/>
                <w:sz w:val="15"/>
              </w:rPr>
            </w:r>
          </w:p>
        </w:tc>
      </w:tr>
      <w:tr>
        <w:trPr>
          <w:cantSplit/>
        </w:trPr>
        <w:tc>
          <w:tcPr>
            <w:tcW w:type="dxa" w:w="1037"/>
          </w:tcPr>
          <w:p>
            <w:r/>
            <w:r>
              <w:rPr>
                <w:color w:val="1A1D21"/>
                <w:sz w:val="15"/>
              </w:rPr>
              <w:t>npat parent</w:t>
            </w:r>
          </w:p>
        </w:tc>
        <w:tc>
          <w:tcPr>
            <w:tcW w:type="dxa" w:w="777"/>
          </w:tcPr>
          <w:p>
            <w:pPr>
              <w:jc w:val="right"/>
            </w:pPr>
            <w:r/>
            <w:r>
              <w:rPr>
                <w:color w:val="1A1D21"/>
                <w:sz w:val="15"/>
              </w:rPr>
              <w:t>7,477</w:t>
            </w:r>
          </w:p>
        </w:tc>
        <w:tc>
          <w:tcPr>
            <w:tcW w:type="dxa" w:w="1037"/>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47"/>
          </w:tcPr>
          <w:p>
            <w:r/>
            <w:r>
              <w:rPr>
                <w:color w:val="1A1D21"/>
                <w:sz w:val="15"/>
              </w:rPr>
            </w:r>
          </w:p>
        </w:tc>
      </w:tr>
      <w:tr>
        <w:trPr>
          <w:cantSplit/>
        </w:trPr>
        <w:tc>
          <w:tcPr>
            <w:tcW w:type="dxa" w:w="1037"/>
          </w:tcPr>
          <w:p>
            <w:r/>
            <w:r>
              <w:rPr>
                <w:color w:val="1A1D21"/>
                <w:sz w:val="15"/>
              </w:rPr>
              <w:t>nci profit</w:t>
            </w:r>
          </w:p>
        </w:tc>
        <w:tc>
          <w:tcPr>
            <w:tcW w:type="dxa" w:w="777"/>
          </w:tcPr>
          <w:p>
            <w:pPr>
              <w:jc w:val="right"/>
            </w:pPr>
            <w:r/>
            <w:r>
              <w:rPr>
                <w:color w:val="1A1D21"/>
                <w:sz w:val="15"/>
              </w:rPr>
              <w:t>2,468</w:t>
            </w:r>
          </w:p>
        </w:tc>
        <w:tc>
          <w:tcPr>
            <w:tcW w:type="dxa" w:w="1037"/>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47"/>
          </w:tcPr>
          <w:p>
            <w:r/>
            <w:r>
              <w:rPr>
                <w:color w:val="1A1D21"/>
                <w:sz w:val="15"/>
              </w:rPr>
            </w:r>
          </w:p>
        </w:tc>
      </w:tr>
      <w:tr>
        <w:trPr>
          <w:cantSplit/>
        </w:trPr>
        <w:tc>
          <w:tcPr>
            <w:tcW w:type="dxa" w:w="1037"/>
          </w:tcPr>
          <w:p>
            <w:r/>
            <w:r>
              <w:rPr>
                <w:color w:val="1A1D21"/>
                <w:sz w:val="15"/>
              </w:rPr>
              <w:t>eps</w:t>
            </w:r>
          </w:p>
        </w:tc>
        <w:tc>
          <w:tcPr>
            <w:tcW w:type="dxa" w:w="777"/>
          </w:tcPr>
          <w:p>
            <w:pPr>
              <w:jc w:val="right"/>
            </w:pPr>
            <w:r/>
            <w:r>
              <w:rPr>
                <w:color w:val="1A1D21"/>
                <w:sz w:val="15"/>
              </w:rPr>
              <w:t>3.63</w:t>
            </w:r>
          </w:p>
        </w:tc>
        <w:tc>
          <w:tcPr>
            <w:tcW w:type="dxa" w:w="1037"/>
          </w:tcPr>
          <w:p>
            <w:r/>
            <w:r>
              <w:rPr>
                <w:color w:val="1A1D21"/>
                <w:sz w:val="15"/>
              </w:rPr>
              <w:t>EGP/share</w:t>
            </w:r>
          </w:p>
        </w:tc>
        <w:tc>
          <w:tcPr>
            <w:tcW w:type="dxa" w:w="1128"/>
          </w:tcPr>
          <w:p>
            <w:pPr>
              <w:jc w:val="right"/>
            </w:pPr>
            <w:r/>
            <w:r>
              <w:rPr>
                <w:color w:val="1A1D21"/>
                <w:sz w:val="15"/>
              </w:rPr>
              <w:t>2026-06-30</w:t>
            </w:r>
          </w:p>
        </w:tc>
        <w:tc>
          <w:tcPr>
            <w:tcW w:type="dxa" w:w="1344"/>
          </w:tcPr>
          <w:p>
            <w:r/>
            <w:r>
              <w:rPr>
                <w:color w:val="1A1D21"/>
                <w:sz w:val="15"/>
              </w:rPr>
              <w:t>A</w:t>
            </w:r>
          </w:p>
        </w:tc>
        <w:tc>
          <w:tcPr>
            <w:tcW w:type="dxa" w:w="3747"/>
          </w:tcPr>
          <w:p>
            <w:r/>
            <w:r>
              <w:rPr>
                <w:color w:val="1A1D21"/>
                <w:sz w:val="15"/>
              </w:rPr>
            </w:r>
          </w:p>
        </w:tc>
      </w:tr>
      <w:tr>
        <w:trPr>
          <w:cantSplit/>
        </w:trPr>
        <w:tc>
          <w:tcPr>
            <w:tcW w:type="dxa" w:w="1037"/>
          </w:tcPr>
          <w:p>
            <w:r/>
            <w:r>
              <w:rPr>
                <w:color w:val="1A1D21"/>
                <w:sz w:val="15"/>
              </w:rPr>
              <w:t>h1 25 dev revenue</w:t>
            </w:r>
          </w:p>
        </w:tc>
        <w:tc>
          <w:tcPr>
            <w:tcW w:type="dxa" w:w="777"/>
          </w:tcPr>
          <w:p>
            <w:pPr>
              <w:jc w:val="right"/>
            </w:pPr>
            <w:r/>
            <w:r>
              <w:rPr>
                <w:color w:val="1A1D21"/>
                <w:sz w:val="15"/>
              </w:rPr>
              <w:t>12,622</w:t>
            </w:r>
          </w:p>
        </w:tc>
        <w:tc>
          <w:tcPr>
            <w:tcW w:type="dxa" w:w="1037"/>
          </w:tcPr>
          <w:p>
            <w:r/>
            <w:r>
              <w:rPr>
                <w:color w:val="1A1D21"/>
                <w:sz w:val="15"/>
              </w:rPr>
              <w:t>EGP mn</w:t>
            </w:r>
          </w:p>
        </w:tc>
        <w:tc>
          <w:tcPr>
            <w:tcW w:type="dxa" w:w="1128"/>
          </w:tcPr>
          <w:p>
            <w:pPr>
              <w:jc w:val="right"/>
            </w:pPr>
            <w:r/>
            <w:r>
              <w:rPr>
                <w:color w:val="1A1D21"/>
                <w:sz w:val="15"/>
              </w:rPr>
              <w:t>2025-06-30</w:t>
            </w:r>
          </w:p>
        </w:tc>
        <w:tc>
          <w:tcPr>
            <w:tcW w:type="dxa" w:w="1344"/>
          </w:tcPr>
          <w:p>
            <w:r/>
            <w:r>
              <w:rPr>
                <w:color w:val="1A1D21"/>
                <w:sz w:val="15"/>
              </w:rPr>
              <w:t>A</w:t>
            </w:r>
          </w:p>
        </w:tc>
        <w:tc>
          <w:tcPr>
            <w:tcW w:type="dxa" w:w="3747"/>
          </w:tcPr>
          <w:p>
            <w:r/>
            <w:r>
              <w:rPr>
                <w:color w:val="1A1D21"/>
                <w:sz w:val="15"/>
              </w:rPr>
            </w:r>
          </w:p>
        </w:tc>
      </w:tr>
      <w:tr>
        <w:trPr>
          <w:cantSplit/>
        </w:trPr>
        <w:tc>
          <w:tcPr>
            <w:tcW w:type="dxa" w:w="1037"/>
          </w:tcPr>
          <w:p>
            <w:r/>
            <w:r>
              <w:rPr>
                <w:color w:val="1A1D21"/>
                <w:sz w:val="15"/>
              </w:rPr>
              <w:t>h1 25 net profit</w:t>
            </w:r>
          </w:p>
        </w:tc>
        <w:tc>
          <w:tcPr>
            <w:tcW w:type="dxa" w:w="777"/>
          </w:tcPr>
          <w:p>
            <w:pPr>
              <w:jc w:val="right"/>
            </w:pPr>
            <w:r/>
            <w:r>
              <w:rPr>
                <w:color w:val="1A1D21"/>
                <w:sz w:val="15"/>
              </w:rPr>
              <w:t>8,111</w:t>
            </w:r>
          </w:p>
        </w:tc>
        <w:tc>
          <w:tcPr>
            <w:tcW w:type="dxa" w:w="1037"/>
          </w:tcPr>
          <w:p>
            <w:r/>
            <w:r>
              <w:rPr>
                <w:color w:val="1A1D21"/>
                <w:sz w:val="15"/>
              </w:rPr>
              <w:t>EGP mn</w:t>
            </w:r>
          </w:p>
        </w:tc>
        <w:tc>
          <w:tcPr>
            <w:tcW w:type="dxa" w:w="1128"/>
          </w:tcPr>
          <w:p>
            <w:pPr>
              <w:jc w:val="right"/>
            </w:pPr>
            <w:r/>
            <w:r>
              <w:rPr>
                <w:color w:val="1A1D21"/>
                <w:sz w:val="15"/>
              </w:rPr>
              <w:t>2025-06-30</w:t>
            </w:r>
          </w:p>
        </w:tc>
        <w:tc>
          <w:tcPr>
            <w:tcW w:type="dxa" w:w="1344"/>
          </w:tcPr>
          <w:p>
            <w:r/>
            <w:r>
              <w:rPr>
                <w:color w:val="1A1D21"/>
                <w:sz w:val="15"/>
              </w:rPr>
              <w:t>A</w:t>
            </w:r>
          </w:p>
        </w:tc>
        <w:tc>
          <w:tcPr>
            <w:tcW w:type="dxa" w:w="3747"/>
          </w:tcPr>
          <w:p>
            <w:r/>
            <w:r>
              <w:rPr>
                <w:color w:val="1A1D21"/>
                <w:sz w:val="15"/>
              </w:rPr>
            </w:r>
          </w:p>
        </w:tc>
      </w:tr>
    </w:tbl>
    <w:p>
      <w:pPr>
        <w:spacing w:after="80"/>
      </w:pPr>
      <w:r>
        <w:rPr>
          <w:b w:val="0"/>
          <w:i w:val="0"/>
          <w:color w:val="1A1D21"/>
          <w:sz w:val="8"/>
        </w:rPr>
      </w:r>
    </w:p>
    <w:p>
      <w:pPr>
        <w:pStyle w:val="Heading2"/>
      </w:pPr>
      <w:r>
        <w:t>Company — balance sheet</w:t>
      </w:r>
    </w:p>
    <w:tbl>
      <w:tblPr>
        <w:tblStyle w:val="TableGrid"/>
        <w:tblW w:type="auto" w:w="0"/>
        <w:jc w:val="center"/>
        <w:tblLayout w:type="fixed"/>
        <w:tblLook w:firstColumn="1" w:firstRow="1" w:lastColumn="0" w:lastRow="0" w:noHBand="0" w:noVBand="1" w:val="04A0"/>
        <w:tblLayout w:type="fixed"/>
      </w:tblPr>
      <w:tblGrid>
        <w:gridCol w:w="1310"/>
        <w:gridCol w:w="879"/>
        <w:gridCol w:w="635"/>
        <w:gridCol w:w="1128"/>
        <w:gridCol w:w="1344"/>
        <w:gridCol w:w="3782"/>
      </w:tblGrid>
      <w:tr>
        <w:trPr>
          <w:tblHeader w:val="true"/>
        </w:trPr>
        <w:tc>
          <w:tcPr>
            <w:tcW w:type="dxa" w:w="1310"/>
          </w:tcPr>
          <w:p>
            <w:r/>
            <w:r>
              <w:rPr>
                <w:b/>
                <w:color w:val="5B6570"/>
                <w:sz w:val="15"/>
              </w:rPr>
              <w:t>Input</w:t>
            </w:r>
          </w:p>
        </w:tc>
        <w:tc>
          <w:tcPr>
            <w:tcW w:type="dxa" w:w="879"/>
          </w:tcPr>
          <w:p>
            <w:r/>
            <w:r>
              <w:rPr>
                <w:b/>
                <w:color w:val="5B6570"/>
                <w:sz w:val="15"/>
              </w:rPr>
              <w:t>Value</w:t>
            </w:r>
          </w:p>
        </w:tc>
        <w:tc>
          <w:tcPr>
            <w:tcW w:type="dxa" w:w="635"/>
          </w:tcPr>
          <w:p>
            <w:r/>
            <w:r>
              <w:rPr>
                <w:b/>
                <w:color w:val="5B6570"/>
                <w:sz w:val="15"/>
              </w:rPr>
              <w:t>Unit</w:t>
            </w:r>
          </w:p>
        </w:tc>
        <w:tc>
          <w:tcPr>
            <w:tcW w:type="dxa" w:w="1128"/>
          </w:tcPr>
          <w:p>
            <w:r/>
            <w:r>
              <w:rPr>
                <w:b/>
                <w:color w:val="5B6570"/>
                <w:sz w:val="15"/>
              </w:rPr>
              <w:t>As at</w:t>
            </w:r>
          </w:p>
        </w:tc>
        <w:tc>
          <w:tcPr>
            <w:tcW w:type="dxa" w:w="1344"/>
          </w:tcPr>
          <w:p>
            <w:r/>
            <w:r>
              <w:rPr>
                <w:b/>
                <w:color w:val="5B6570"/>
                <w:sz w:val="15"/>
              </w:rPr>
              <w:t>Reliability</w:t>
            </w:r>
          </w:p>
        </w:tc>
        <w:tc>
          <w:tcPr>
            <w:tcW w:type="dxa" w:w="3781"/>
          </w:tcPr>
          <w:p>
            <w:r/>
            <w:r>
              <w:rPr>
                <w:b/>
                <w:color w:val="5B6570"/>
                <w:sz w:val="15"/>
              </w:rPr>
              <w:t>Note</w:t>
            </w:r>
          </w:p>
        </w:tc>
      </w:tr>
      <w:tr>
        <w:trPr>
          <w:cantSplit/>
        </w:trPr>
        <w:tc>
          <w:tcPr>
            <w:tcW w:type="dxa" w:w="1310"/>
          </w:tcPr>
          <w:p>
            <w:r/>
            <w:r>
              <w:rPr>
                <w:color w:val="1A1D21"/>
                <w:sz w:val="15"/>
              </w:rPr>
              <w:t>ppe</w:t>
            </w:r>
          </w:p>
        </w:tc>
        <w:tc>
          <w:tcPr>
            <w:tcW w:type="dxa" w:w="879"/>
          </w:tcPr>
          <w:p>
            <w:pPr>
              <w:jc w:val="right"/>
            </w:pPr>
            <w:r/>
            <w:r>
              <w:rPr>
                <w:color w:val="1A1D21"/>
                <w:sz w:val="15"/>
              </w:rPr>
              <w:t>73,323</w:t>
            </w:r>
          </w:p>
        </w:tc>
        <w:tc>
          <w:tcPr>
            <w:tcW w:type="dxa" w:w="635"/>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investment property</w:t>
            </w:r>
          </w:p>
        </w:tc>
        <w:tc>
          <w:tcPr>
            <w:tcW w:type="dxa" w:w="879"/>
          </w:tcPr>
          <w:p>
            <w:pPr>
              <w:jc w:val="right"/>
            </w:pPr>
            <w:r/>
            <w:r>
              <w:rPr>
                <w:color w:val="1A1D21"/>
                <w:sz w:val="15"/>
              </w:rPr>
              <w:t>25,228</w:t>
            </w:r>
          </w:p>
        </w:tc>
        <w:tc>
          <w:tcPr>
            <w:tcW w:type="dxa" w:w="635"/>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assets under construction</w:t>
            </w:r>
          </w:p>
        </w:tc>
        <w:tc>
          <w:tcPr>
            <w:tcW w:type="dxa" w:w="879"/>
          </w:tcPr>
          <w:p>
            <w:pPr>
              <w:jc w:val="right"/>
            </w:pPr>
            <w:r/>
            <w:r>
              <w:rPr>
                <w:color w:val="1A1D21"/>
                <w:sz w:val="15"/>
              </w:rPr>
              <w:t>21,902</w:t>
            </w:r>
          </w:p>
        </w:tc>
        <w:tc>
          <w:tcPr>
            <w:tcW w:type="dxa" w:w="635"/>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intangibles</w:t>
            </w:r>
          </w:p>
        </w:tc>
        <w:tc>
          <w:tcPr>
            <w:tcW w:type="dxa" w:w="879"/>
          </w:tcPr>
          <w:p>
            <w:pPr>
              <w:jc w:val="right"/>
            </w:pPr>
            <w:r/>
            <w:r>
              <w:rPr>
                <w:color w:val="1A1D21"/>
                <w:sz w:val="15"/>
              </w:rPr>
              <w:t>84.60</w:t>
            </w:r>
          </w:p>
        </w:tc>
        <w:tc>
          <w:tcPr>
            <w:tcW w:type="dxa" w:w="635"/>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right of use</w:t>
            </w:r>
          </w:p>
        </w:tc>
        <w:tc>
          <w:tcPr>
            <w:tcW w:type="dxa" w:w="879"/>
          </w:tcPr>
          <w:p>
            <w:pPr>
              <w:jc w:val="right"/>
            </w:pPr>
            <w:r/>
            <w:r>
              <w:rPr>
                <w:color w:val="1A1D21"/>
                <w:sz w:val="15"/>
              </w:rPr>
              <w:t>481</w:t>
            </w:r>
          </w:p>
        </w:tc>
        <w:tc>
          <w:tcPr>
            <w:tcW w:type="dxa" w:w="635"/>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goodwill</w:t>
            </w:r>
          </w:p>
        </w:tc>
        <w:tc>
          <w:tcPr>
            <w:tcW w:type="dxa" w:w="879"/>
          </w:tcPr>
          <w:p>
            <w:pPr>
              <w:jc w:val="right"/>
            </w:pPr>
            <w:r/>
            <w:r>
              <w:rPr>
                <w:color w:val="1A1D21"/>
                <w:sz w:val="15"/>
              </w:rPr>
              <w:t>12,665</w:t>
            </w:r>
          </w:p>
        </w:tc>
        <w:tc>
          <w:tcPr>
            <w:tcW w:type="dxa" w:w="635"/>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associates</w:t>
            </w:r>
          </w:p>
        </w:tc>
        <w:tc>
          <w:tcPr>
            <w:tcW w:type="dxa" w:w="879"/>
          </w:tcPr>
          <w:p>
            <w:pPr>
              <w:jc w:val="right"/>
            </w:pPr>
            <w:r/>
            <w:r>
              <w:rPr>
                <w:color w:val="1A1D21"/>
                <w:sz w:val="15"/>
              </w:rPr>
              <w:t>1,497</w:t>
            </w:r>
          </w:p>
        </w:tc>
        <w:tc>
          <w:tcPr>
            <w:tcW w:type="dxa" w:w="635"/>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fvoci</w:t>
            </w:r>
          </w:p>
        </w:tc>
        <w:tc>
          <w:tcPr>
            <w:tcW w:type="dxa" w:w="879"/>
          </w:tcPr>
          <w:p>
            <w:pPr>
              <w:jc w:val="right"/>
            </w:pPr>
            <w:r/>
            <w:r>
              <w:rPr>
                <w:color w:val="1A1D21"/>
                <w:sz w:val="15"/>
              </w:rPr>
              <w:t>1,803</w:t>
            </w:r>
          </w:p>
        </w:tc>
        <w:tc>
          <w:tcPr>
            <w:tcW w:type="dxa" w:w="635"/>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deposits noncurrent</w:t>
            </w:r>
          </w:p>
        </w:tc>
        <w:tc>
          <w:tcPr>
            <w:tcW w:type="dxa" w:w="879"/>
          </w:tcPr>
          <w:p>
            <w:pPr>
              <w:jc w:val="right"/>
            </w:pPr>
            <w:r/>
            <w:r>
              <w:rPr>
                <w:color w:val="1A1D21"/>
                <w:sz w:val="15"/>
              </w:rPr>
              <w:t>9,394</w:t>
            </w:r>
          </w:p>
        </w:tc>
        <w:tc>
          <w:tcPr>
            <w:tcW w:type="dxa" w:w="635"/>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deferred tax asset</w:t>
            </w:r>
          </w:p>
        </w:tc>
        <w:tc>
          <w:tcPr>
            <w:tcW w:type="dxa" w:w="879"/>
          </w:tcPr>
          <w:p>
            <w:pPr>
              <w:jc w:val="right"/>
            </w:pPr>
            <w:r/>
            <w:r>
              <w:rPr>
                <w:color w:val="1A1D21"/>
                <w:sz w:val="15"/>
              </w:rPr>
              <w:t>182</w:t>
            </w:r>
          </w:p>
        </w:tc>
        <w:tc>
          <w:tcPr>
            <w:tcW w:type="dxa" w:w="635"/>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total noncurrent assets</w:t>
            </w:r>
          </w:p>
        </w:tc>
        <w:tc>
          <w:tcPr>
            <w:tcW w:type="dxa" w:w="879"/>
          </w:tcPr>
          <w:p>
            <w:pPr>
              <w:jc w:val="right"/>
            </w:pPr>
            <w:r/>
            <w:r>
              <w:rPr>
                <w:color w:val="1A1D21"/>
                <w:sz w:val="15"/>
              </w:rPr>
              <w:t>146,559</w:t>
            </w:r>
          </w:p>
        </w:tc>
        <w:tc>
          <w:tcPr>
            <w:tcW w:type="dxa" w:w="635"/>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properties under development</w:t>
            </w:r>
          </w:p>
        </w:tc>
        <w:tc>
          <w:tcPr>
            <w:tcW w:type="dxa" w:w="879"/>
          </w:tcPr>
          <w:p>
            <w:pPr>
              <w:jc w:val="right"/>
            </w:pPr>
            <w:r/>
            <w:r>
              <w:rPr>
                <w:color w:val="1A1D21"/>
                <w:sz w:val="15"/>
              </w:rPr>
              <w:t>148,315</w:t>
            </w:r>
          </w:p>
        </w:tc>
        <w:tc>
          <w:tcPr>
            <w:tcW w:type="dxa" w:w="635"/>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work in progress</w:t>
            </w:r>
          </w:p>
        </w:tc>
        <w:tc>
          <w:tcPr>
            <w:tcW w:type="dxa" w:w="879"/>
          </w:tcPr>
          <w:p>
            <w:pPr>
              <w:jc w:val="right"/>
            </w:pPr>
            <w:r/>
            <w:r>
              <w:rPr>
                <w:color w:val="1A1D21"/>
                <w:sz w:val="15"/>
              </w:rPr>
              <w:t>23.60</w:t>
            </w:r>
          </w:p>
        </w:tc>
        <w:tc>
          <w:tcPr>
            <w:tcW w:type="dxa" w:w="635"/>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inventories</w:t>
            </w:r>
          </w:p>
        </w:tc>
        <w:tc>
          <w:tcPr>
            <w:tcW w:type="dxa" w:w="879"/>
          </w:tcPr>
          <w:p>
            <w:pPr>
              <w:jc w:val="right"/>
            </w:pPr>
            <w:r/>
            <w:r>
              <w:rPr>
                <w:color w:val="1A1D21"/>
                <w:sz w:val="15"/>
              </w:rPr>
              <w:t>4,592</w:t>
            </w:r>
          </w:p>
        </w:tc>
        <w:tc>
          <w:tcPr>
            <w:tcW w:type="dxa" w:w="635"/>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trade notes receivable</w:t>
            </w:r>
          </w:p>
        </w:tc>
        <w:tc>
          <w:tcPr>
            <w:tcW w:type="dxa" w:w="879"/>
          </w:tcPr>
          <w:p>
            <w:pPr>
              <w:jc w:val="right"/>
            </w:pPr>
            <w:r/>
            <w:r>
              <w:rPr>
                <w:color w:val="1A1D21"/>
                <w:sz w:val="15"/>
              </w:rPr>
              <w:t>24,007</w:t>
            </w:r>
          </w:p>
        </w:tc>
        <w:tc>
          <w:tcPr>
            <w:tcW w:type="dxa" w:w="635"/>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nr undelivered</w:t>
            </w:r>
          </w:p>
        </w:tc>
        <w:tc>
          <w:tcPr>
            <w:tcW w:type="dxa" w:w="879"/>
          </w:tcPr>
          <w:p>
            <w:pPr>
              <w:jc w:val="right"/>
            </w:pPr>
            <w:r/>
            <w:r>
              <w:rPr>
                <w:color w:val="1A1D21"/>
                <w:sz w:val="15"/>
              </w:rPr>
              <w:t>13,770</w:t>
            </w:r>
          </w:p>
        </w:tc>
        <w:tc>
          <w:tcPr>
            <w:tcW w:type="dxa" w:w="635"/>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other current assets</w:t>
            </w:r>
          </w:p>
        </w:tc>
        <w:tc>
          <w:tcPr>
            <w:tcW w:type="dxa" w:w="879"/>
          </w:tcPr>
          <w:p>
            <w:pPr>
              <w:jc w:val="right"/>
            </w:pPr>
            <w:r/>
            <w:r>
              <w:rPr>
                <w:color w:val="1A1D21"/>
                <w:sz w:val="15"/>
              </w:rPr>
              <w:t>72,648</w:t>
            </w:r>
          </w:p>
        </w:tc>
        <w:tc>
          <w:tcPr>
            <w:tcW w:type="dxa" w:w="635"/>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fvtpl</w:t>
            </w:r>
          </w:p>
        </w:tc>
        <w:tc>
          <w:tcPr>
            <w:tcW w:type="dxa" w:w="879"/>
          </w:tcPr>
          <w:p>
            <w:pPr>
              <w:jc w:val="right"/>
            </w:pPr>
            <w:r/>
            <w:r>
              <w:rPr>
                <w:color w:val="1A1D21"/>
                <w:sz w:val="15"/>
              </w:rPr>
              <w:t>1,604</w:t>
            </w:r>
          </w:p>
        </w:tc>
        <w:tc>
          <w:tcPr>
            <w:tcW w:type="dxa" w:w="635"/>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deposits current</w:t>
            </w:r>
          </w:p>
        </w:tc>
        <w:tc>
          <w:tcPr>
            <w:tcW w:type="dxa" w:w="879"/>
          </w:tcPr>
          <w:p>
            <w:pPr>
              <w:jc w:val="right"/>
            </w:pPr>
            <w:r/>
            <w:r>
              <w:rPr>
                <w:color w:val="1A1D21"/>
                <w:sz w:val="15"/>
              </w:rPr>
              <w:t>19,273</w:t>
            </w:r>
          </w:p>
        </w:tc>
        <w:tc>
          <w:tcPr>
            <w:tcW w:type="dxa" w:w="635"/>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cash</w:t>
            </w:r>
          </w:p>
        </w:tc>
        <w:tc>
          <w:tcPr>
            <w:tcW w:type="dxa" w:w="879"/>
          </w:tcPr>
          <w:p>
            <w:pPr>
              <w:jc w:val="right"/>
            </w:pPr>
            <w:r/>
            <w:r>
              <w:rPr>
                <w:color w:val="1A1D21"/>
                <w:sz w:val="15"/>
              </w:rPr>
              <w:t>47,106</w:t>
            </w:r>
          </w:p>
        </w:tc>
        <w:tc>
          <w:tcPr>
            <w:tcW w:type="dxa" w:w="635"/>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total current assets</w:t>
            </w:r>
          </w:p>
        </w:tc>
        <w:tc>
          <w:tcPr>
            <w:tcW w:type="dxa" w:w="879"/>
          </w:tcPr>
          <w:p>
            <w:pPr>
              <w:jc w:val="right"/>
            </w:pPr>
            <w:r/>
            <w:r>
              <w:rPr>
                <w:color w:val="1A1D21"/>
                <w:sz w:val="15"/>
              </w:rPr>
              <w:t>331,339</w:t>
            </w:r>
          </w:p>
        </w:tc>
        <w:tc>
          <w:tcPr>
            <w:tcW w:type="dxa" w:w="635"/>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total assets</w:t>
            </w:r>
          </w:p>
        </w:tc>
        <w:tc>
          <w:tcPr>
            <w:tcW w:type="dxa" w:w="879"/>
          </w:tcPr>
          <w:p>
            <w:pPr>
              <w:jc w:val="right"/>
            </w:pPr>
            <w:r/>
            <w:r>
              <w:rPr>
                <w:color w:val="1A1D21"/>
                <w:sz w:val="15"/>
              </w:rPr>
              <w:t>477,898</w:t>
            </w:r>
          </w:p>
        </w:tc>
        <w:tc>
          <w:tcPr>
            <w:tcW w:type="dxa" w:w="635"/>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paid capital</w:t>
            </w:r>
          </w:p>
        </w:tc>
        <w:tc>
          <w:tcPr>
            <w:tcW w:type="dxa" w:w="879"/>
          </w:tcPr>
          <w:p>
            <w:pPr>
              <w:jc w:val="right"/>
            </w:pPr>
            <w:r/>
            <w:r>
              <w:rPr>
                <w:color w:val="1A1D21"/>
                <w:sz w:val="15"/>
              </w:rPr>
              <w:t>20,606</w:t>
            </w:r>
          </w:p>
        </w:tc>
        <w:tc>
          <w:tcPr>
            <w:tcW w:type="dxa" w:w="635"/>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retained earnings</w:t>
            </w:r>
          </w:p>
        </w:tc>
        <w:tc>
          <w:tcPr>
            <w:tcW w:type="dxa" w:w="879"/>
          </w:tcPr>
          <w:p>
            <w:pPr>
              <w:jc w:val="right"/>
            </w:pPr>
            <w:r/>
            <w:r>
              <w:rPr>
                <w:color w:val="1A1D21"/>
                <w:sz w:val="15"/>
              </w:rPr>
              <w:t>65,681</w:t>
            </w:r>
          </w:p>
        </w:tc>
        <w:tc>
          <w:tcPr>
            <w:tcW w:type="dxa" w:w="635"/>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equity parent</w:t>
            </w:r>
          </w:p>
        </w:tc>
        <w:tc>
          <w:tcPr>
            <w:tcW w:type="dxa" w:w="879"/>
          </w:tcPr>
          <w:p>
            <w:pPr>
              <w:jc w:val="right"/>
            </w:pPr>
            <w:r/>
            <w:r>
              <w:rPr>
                <w:color w:val="1A1D21"/>
                <w:sz w:val="15"/>
              </w:rPr>
              <w:t>91,671</w:t>
            </w:r>
          </w:p>
        </w:tc>
        <w:tc>
          <w:tcPr>
            <w:tcW w:type="dxa" w:w="635"/>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nci equity</w:t>
            </w:r>
          </w:p>
        </w:tc>
        <w:tc>
          <w:tcPr>
            <w:tcW w:type="dxa" w:w="879"/>
          </w:tcPr>
          <w:p>
            <w:pPr>
              <w:jc w:val="right"/>
            </w:pPr>
            <w:r/>
            <w:r>
              <w:rPr>
                <w:color w:val="1A1D21"/>
                <w:sz w:val="15"/>
              </w:rPr>
              <w:t>75,653</w:t>
            </w:r>
          </w:p>
        </w:tc>
        <w:tc>
          <w:tcPr>
            <w:tcW w:type="dxa" w:w="635"/>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total equity</w:t>
            </w:r>
          </w:p>
        </w:tc>
        <w:tc>
          <w:tcPr>
            <w:tcW w:type="dxa" w:w="879"/>
          </w:tcPr>
          <w:p>
            <w:pPr>
              <w:jc w:val="right"/>
            </w:pPr>
            <w:r/>
            <w:r>
              <w:rPr>
                <w:color w:val="1A1D21"/>
                <w:sz w:val="15"/>
              </w:rPr>
              <w:t>167,324</w:t>
            </w:r>
          </w:p>
        </w:tc>
        <w:tc>
          <w:tcPr>
            <w:tcW w:type="dxa" w:w="635"/>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other noncurrent liab</w:t>
            </w:r>
          </w:p>
        </w:tc>
        <w:tc>
          <w:tcPr>
            <w:tcW w:type="dxa" w:w="879"/>
          </w:tcPr>
          <w:p>
            <w:pPr>
              <w:jc w:val="right"/>
            </w:pPr>
            <w:r/>
            <w:r>
              <w:rPr>
                <w:color w:val="1A1D21"/>
                <w:sz w:val="15"/>
              </w:rPr>
              <w:t>51,440</w:t>
            </w:r>
          </w:p>
        </w:tc>
        <w:tc>
          <w:tcPr>
            <w:tcW w:type="dxa" w:w="635"/>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loans noncurrent</w:t>
            </w:r>
          </w:p>
        </w:tc>
        <w:tc>
          <w:tcPr>
            <w:tcW w:type="dxa" w:w="879"/>
          </w:tcPr>
          <w:p>
            <w:pPr>
              <w:jc w:val="right"/>
            </w:pPr>
            <w:r/>
            <w:r>
              <w:rPr>
                <w:color w:val="1A1D21"/>
                <w:sz w:val="15"/>
              </w:rPr>
              <w:t>13,814</w:t>
            </w:r>
          </w:p>
        </w:tc>
        <w:tc>
          <w:tcPr>
            <w:tcW w:type="dxa" w:w="635"/>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lease noncurrent</w:t>
            </w:r>
          </w:p>
        </w:tc>
        <w:tc>
          <w:tcPr>
            <w:tcW w:type="dxa" w:w="879"/>
          </w:tcPr>
          <w:p>
            <w:pPr>
              <w:jc w:val="right"/>
            </w:pPr>
            <w:r/>
            <w:r>
              <w:rPr>
                <w:color w:val="1A1D21"/>
                <w:sz w:val="15"/>
              </w:rPr>
              <w:t>272</w:t>
            </w:r>
          </w:p>
        </w:tc>
        <w:tc>
          <w:tcPr>
            <w:tcW w:type="dxa" w:w="635"/>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deferred tax liab</w:t>
            </w:r>
          </w:p>
        </w:tc>
        <w:tc>
          <w:tcPr>
            <w:tcW w:type="dxa" w:w="879"/>
          </w:tcPr>
          <w:p>
            <w:pPr>
              <w:jc w:val="right"/>
            </w:pPr>
            <w:r/>
            <w:r>
              <w:rPr>
                <w:color w:val="1A1D21"/>
                <w:sz w:val="15"/>
              </w:rPr>
              <w:t>3,240</w:t>
            </w:r>
          </w:p>
        </w:tc>
        <w:tc>
          <w:tcPr>
            <w:tcW w:type="dxa" w:w="635"/>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total noncurrent liab</w:t>
            </w:r>
          </w:p>
        </w:tc>
        <w:tc>
          <w:tcPr>
            <w:tcW w:type="dxa" w:w="879"/>
          </w:tcPr>
          <w:p>
            <w:pPr>
              <w:jc w:val="right"/>
            </w:pPr>
            <w:r/>
            <w:r>
              <w:rPr>
                <w:color w:val="1A1D21"/>
                <w:sz w:val="15"/>
              </w:rPr>
              <w:t>68,765</w:t>
            </w:r>
          </w:p>
        </w:tc>
        <w:tc>
          <w:tcPr>
            <w:tcW w:type="dxa" w:w="635"/>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credit facilities</w:t>
            </w:r>
          </w:p>
        </w:tc>
        <w:tc>
          <w:tcPr>
            <w:tcW w:type="dxa" w:w="879"/>
          </w:tcPr>
          <w:p>
            <w:pPr>
              <w:jc w:val="right"/>
            </w:pPr>
            <w:r/>
            <w:r>
              <w:rPr>
                <w:color w:val="1A1D21"/>
                <w:sz w:val="15"/>
              </w:rPr>
              <w:t>1,662</w:t>
            </w:r>
          </w:p>
        </w:tc>
        <w:tc>
          <w:tcPr>
            <w:tcW w:type="dxa" w:w="635"/>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loans current</w:t>
            </w:r>
          </w:p>
        </w:tc>
        <w:tc>
          <w:tcPr>
            <w:tcW w:type="dxa" w:w="879"/>
          </w:tcPr>
          <w:p>
            <w:pPr>
              <w:jc w:val="right"/>
            </w:pPr>
            <w:r/>
            <w:r>
              <w:rPr>
                <w:color w:val="1A1D21"/>
                <w:sz w:val="15"/>
              </w:rPr>
              <w:t>1,018</w:t>
            </w:r>
          </w:p>
        </w:tc>
        <w:tc>
          <w:tcPr>
            <w:tcW w:type="dxa" w:w="635"/>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lease current</w:t>
            </w:r>
          </w:p>
        </w:tc>
        <w:tc>
          <w:tcPr>
            <w:tcW w:type="dxa" w:w="879"/>
          </w:tcPr>
          <w:p>
            <w:pPr>
              <w:jc w:val="right"/>
            </w:pPr>
            <w:r/>
            <w:r>
              <w:rPr>
                <w:color w:val="1A1D21"/>
                <w:sz w:val="15"/>
              </w:rPr>
              <w:t>242</w:t>
            </w:r>
          </w:p>
        </w:tc>
        <w:tc>
          <w:tcPr>
            <w:tcW w:type="dxa" w:w="635"/>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suppliers contractors</w:t>
            </w:r>
          </w:p>
        </w:tc>
        <w:tc>
          <w:tcPr>
            <w:tcW w:type="dxa" w:w="879"/>
          </w:tcPr>
          <w:p>
            <w:pPr>
              <w:jc w:val="right"/>
            </w:pPr>
            <w:r/>
            <w:r>
              <w:rPr>
                <w:color w:val="1A1D21"/>
                <w:sz w:val="15"/>
              </w:rPr>
              <w:t>45,167</w:t>
            </w:r>
          </w:p>
        </w:tc>
        <w:tc>
          <w:tcPr>
            <w:tcW w:type="dxa" w:w="635"/>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customer advances</w:t>
            </w:r>
          </w:p>
        </w:tc>
        <w:tc>
          <w:tcPr>
            <w:tcW w:type="dxa" w:w="879"/>
          </w:tcPr>
          <w:p>
            <w:pPr>
              <w:jc w:val="right"/>
            </w:pPr>
            <w:r/>
            <w:r>
              <w:rPr>
                <w:color w:val="1A1D21"/>
                <w:sz w:val="15"/>
              </w:rPr>
              <w:t>133,993</w:t>
            </w:r>
          </w:p>
        </w:tc>
        <w:tc>
          <w:tcPr>
            <w:tcW w:type="dxa" w:w="635"/>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obligations nr undelivered</w:t>
            </w:r>
          </w:p>
        </w:tc>
        <w:tc>
          <w:tcPr>
            <w:tcW w:type="dxa" w:w="879"/>
          </w:tcPr>
          <w:p>
            <w:pPr>
              <w:jc w:val="right"/>
            </w:pPr>
            <w:r/>
            <w:r>
              <w:rPr>
                <w:color w:val="1A1D21"/>
                <w:sz w:val="15"/>
              </w:rPr>
              <w:t>13,770</w:t>
            </w:r>
          </w:p>
        </w:tc>
        <w:tc>
          <w:tcPr>
            <w:tcW w:type="dxa" w:w="635"/>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dividends payable</w:t>
            </w:r>
          </w:p>
        </w:tc>
        <w:tc>
          <w:tcPr>
            <w:tcW w:type="dxa" w:w="879"/>
          </w:tcPr>
          <w:p>
            <w:pPr>
              <w:jc w:val="right"/>
            </w:pPr>
            <w:r/>
            <w:r>
              <w:rPr>
                <w:color w:val="1A1D21"/>
                <w:sz w:val="15"/>
              </w:rPr>
              <w:t>377</w:t>
            </w:r>
          </w:p>
        </w:tc>
        <w:tc>
          <w:tcPr>
            <w:tcW w:type="dxa" w:w="635"/>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provisions</w:t>
            </w:r>
          </w:p>
        </w:tc>
        <w:tc>
          <w:tcPr>
            <w:tcW w:type="dxa" w:w="879"/>
          </w:tcPr>
          <w:p>
            <w:pPr>
              <w:jc w:val="right"/>
            </w:pPr>
            <w:r/>
            <w:r>
              <w:rPr>
                <w:color w:val="1A1D21"/>
                <w:sz w:val="15"/>
              </w:rPr>
              <w:t>1,146</w:t>
            </w:r>
          </w:p>
        </w:tc>
        <w:tc>
          <w:tcPr>
            <w:tcW w:type="dxa" w:w="635"/>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creditors other</w:t>
            </w:r>
          </w:p>
        </w:tc>
        <w:tc>
          <w:tcPr>
            <w:tcW w:type="dxa" w:w="879"/>
          </w:tcPr>
          <w:p>
            <w:pPr>
              <w:jc w:val="right"/>
            </w:pPr>
            <w:r/>
            <w:r>
              <w:rPr>
                <w:color w:val="1A1D21"/>
                <w:sz w:val="15"/>
              </w:rPr>
              <w:t>41,921</w:t>
            </w:r>
          </w:p>
        </w:tc>
        <w:tc>
          <w:tcPr>
            <w:tcW w:type="dxa" w:w="635"/>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tax payable</w:t>
            </w:r>
          </w:p>
        </w:tc>
        <w:tc>
          <w:tcPr>
            <w:tcW w:type="dxa" w:w="879"/>
          </w:tcPr>
          <w:p>
            <w:pPr>
              <w:jc w:val="right"/>
            </w:pPr>
            <w:r/>
            <w:r>
              <w:rPr>
                <w:color w:val="1A1D21"/>
                <w:sz w:val="15"/>
              </w:rPr>
              <w:t>2,515</w:t>
            </w:r>
          </w:p>
        </w:tc>
        <w:tc>
          <w:tcPr>
            <w:tcW w:type="dxa" w:w="635"/>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total current liab</w:t>
            </w:r>
          </w:p>
        </w:tc>
        <w:tc>
          <w:tcPr>
            <w:tcW w:type="dxa" w:w="879"/>
          </w:tcPr>
          <w:p>
            <w:pPr>
              <w:jc w:val="right"/>
            </w:pPr>
            <w:r/>
            <w:r>
              <w:rPr>
                <w:color w:val="1A1D21"/>
                <w:sz w:val="15"/>
              </w:rPr>
              <w:t>241,810</w:t>
            </w:r>
          </w:p>
        </w:tc>
        <w:tc>
          <w:tcPr>
            <w:tcW w:type="dxa" w:w="635"/>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total liabilities</w:t>
            </w:r>
          </w:p>
        </w:tc>
        <w:tc>
          <w:tcPr>
            <w:tcW w:type="dxa" w:w="879"/>
          </w:tcPr>
          <w:p>
            <w:pPr>
              <w:jc w:val="right"/>
            </w:pPr>
            <w:r/>
            <w:r>
              <w:rPr>
                <w:color w:val="1A1D21"/>
                <w:sz w:val="15"/>
              </w:rPr>
              <w:t>310,574</w:t>
            </w:r>
          </w:p>
        </w:tc>
        <w:tc>
          <w:tcPr>
            <w:tcW w:type="dxa" w:w="635"/>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postdated cheques offbs</w:t>
            </w:r>
          </w:p>
        </w:tc>
        <w:tc>
          <w:tcPr>
            <w:tcW w:type="dxa" w:w="879"/>
          </w:tcPr>
          <w:p>
            <w:pPr>
              <w:jc w:val="right"/>
            </w:pPr>
            <w:r/>
            <w:r>
              <w:rPr>
                <w:color w:val="1A1D21"/>
                <w:sz w:val="15"/>
              </w:rPr>
              <w:t>210,449</w:t>
            </w:r>
          </w:p>
        </w:tc>
        <w:tc>
          <w:tcPr>
            <w:tcW w:type="dxa" w:w="635"/>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81"/>
          </w:tcPr>
          <w:p>
            <w:r/>
            <w:r>
              <w:rPr>
                <w:color w:val="1A1D21"/>
                <w:sz w:val="15"/>
              </w:rPr>
              <w:t>post-dated cheques for sold and undelivered units, deliberately NOT on the balance sheet</w:t>
            </w:r>
          </w:p>
        </w:tc>
      </w:tr>
      <w:tr>
        <w:trPr>
          <w:cantSplit/>
        </w:trPr>
        <w:tc>
          <w:tcPr>
            <w:tcW w:type="dxa" w:w="1310"/>
          </w:tcPr>
          <w:p>
            <w:r/>
            <w:r>
              <w:rPr>
                <w:color w:val="1A1D21"/>
                <w:sz w:val="15"/>
              </w:rPr>
              <w:t>cash fy25</w:t>
            </w:r>
          </w:p>
        </w:tc>
        <w:tc>
          <w:tcPr>
            <w:tcW w:type="dxa" w:w="879"/>
          </w:tcPr>
          <w:p>
            <w:pPr>
              <w:jc w:val="right"/>
            </w:pPr>
            <w:r/>
            <w:r>
              <w:rPr>
                <w:color w:val="1A1D21"/>
                <w:sz w:val="15"/>
              </w:rPr>
              <w:t>44,846</w:t>
            </w:r>
          </w:p>
        </w:tc>
        <w:tc>
          <w:tcPr>
            <w:tcW w:type="dxa" w:w="635"/>
          </w:tcPr>
          <w:p>
            <w:r/>
            <w:r>
              <w:rPr>
                <w:color w:val="1A1D21"/>
                <w:sz w:val="15"/>
              </w:rPr>
              <w:t>EGP mn</w:t>
            </w:r>
          </w:p>
        </w:tc>
        <w:tc>
          <w:tcPr>
            <w:tcW w:type="dxa" w:w="1128"/>
          </w:tcPr>
          <w:p>
            <w:pPr>
              <w:jc w:val="right"/>
            </w:pPr>
            <w:r/>
            <w:r>
              <w:rPr>
                <w:color w:val="1A1D21"/>
                <w:sz w:val="15"/>
              </w:rPr>
              <w:t>2025-12-31</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deposits current fy25</w:t>
            </w:r>
          </w:p>
        </w:tc>
        <w:tc>
          <w:tcPr>
            <w:tcW w:type="dxa" w:w="879"/>
          </w:tcPr>
          <w:p>
            <w:pPr>
              <w:jc w:val="right"/>
            </w:pPr>
            <w:r/>
            <w:r>
              <w:rPr>
                <w:color w:val="1A1D21"/>
                <w:sz w:val="15"/>
              </w:rPr>
              <w:t>20,086</w:t>
            </w:r>
          </w:p>
        </w:tc>
        <w:tc>
          <w:tcPr>
            <w:tcW w:type="dxa" w:w="635"/>
          </w:tcPr>
          <w:p>
            <w:r/>
            <w:r>
              <w:rPr>
                <w:color w:val="1A1D21"/>
                <w:sz w:val="15"/>
              </w:rPr>
              <w:t>EGP mn</w:t>
            </w:r>
          </w:p>
        </w:tc>
        <w:tc>
          <w:tcPr>
            <w:tcW w:type="dxa" w:w="1128"/>
          </w:tcPr>
          <w:p>
            <w:pPr>
              <w:jc w:val="right"/>
            </w:pPr>
            <w:r/>
            <w:r>
              <w:rPr>
                <w:color w:val="1A1D21"/>
                <w:sz w:val="15"/>
              </w:rPr>
              <w:t>2025-12-31</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deposits noncurrent fy25</w:t>
            </w:r>
          </w:p>
        </w:tc>
        <w:tc>
          <w:tcPr>
            <w:tcW w:type="dxa" w:w="879"/>
          </w:tcPr>
          <w:p>
            <w:pPr>
              <w:jc w:val="right"/>
            </w:pPr>
            <w:r/>
            <w:r>
              <w:rPr>
                <w:color w:val="1A1D21"/>
                <w:sz w:val="15"/>
              </w:rPr>
              <w:t>8,978</w:t>
            </w:r>
          </w:p>
        </w:tc>
        <w:tc>
          <w:tcPr>
            <w:tcW w:type="dxa" w:w="635"/>
          </w:tcPr>
          <w:p>
            <w:r/>
            <w:r>
              <w:rPr>
                <w:color w:val="1A1D21"/>
                <w:sz w:val="15"/>
              </w:rPr>
              <w:t>EGP mn</w:t>
            </w:r>
          </w:p>
        </w:tc>
        <w:tc>
          <w:tcPr>
            <w:tcW w:type="dxa" w:w="1128"/>
          </w:tcPr>
          <w:p>
            <w:pPr>
              <w:jc w:val="right"/>
            </w:pPr>
            <w:r/>
            <w:r>
              <w:rPr>
                <w:color w:val="1A1D21"/>
                <w:sz w:val="15"/>
              </w:rPr>
              <w:t>2025-12-31</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loans noncurrent fy25</w:t>
            </w:r>
          </w:p>
        </w:tc>
        <w:tc>
          <w:tcPr>
            <w:tcW w:type="dxa" w:w="879"/>
          </w:tcPr>
          <w:p>
            <w:pPr>
              <w:jc w:val="right"/>
            </w:pPr>
            <w:r/>
            <w:r>
              <w:rPr>
                <w:color w:val="1A1D21"/>
                <w:sz w:val="15"/>
              </w:rPr>
              <w:t>9,738</w:t>
            </w:r>
          </w:p>
        </w:tc>
        <w:tc>
          <w:tcPr>
            <w:tcW w:type="dxa" w:w="635"/>
          </w:tcPr>
          <w:p>
            <w:r/>
            <w:r>
              <w:rPr>
                <w:color w:val="1A1D21"/>
                <w:sz w:val="15"/>
              </w:rPr>
              <w:t>EGP mn</w:t>
            </w:r>
          </w:p>
        </w:tc>
        <w:tc>
          <w:tcPr>
            <w:tcW w:type="dxa" w:w="1128"/>
          </w:tcPr>
          <w:p>
            <w:pPr>
              <w:jc w:val="right"/>
            </w:pPr>
            <w:r/>
            <w:r>
              <w:rPr>
                <w:color w:val="1A1D21"/>
                <w:sz w:val="15"/>
              </w:rPr>
              <w:t>2025-12-31</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loans current fy25</w:t>
            </w:r>
          </w:p>
        </w:tc>
        <w:tc>
          <w:tcPr>
            <w:tcW w:type="dxa" w:w="879"/>
          </w:tcPr>
          <w:p>
            <w:pPr>
              <w:jc w:val="right"/>
            </w:pPr>
            <w:r/>
            <w:r>
              <w:rPr>
                <w:color w:val="1A1D21"/>
                <w:sz w:val="15"/>
              </w:rPr>
              <w:t>791</w:t>
            </w:r>
          </w:p>
        </w:tc>
        <w:tc>
          <w:tcPr>
            <w:tcW w:type="dxa" w:w="635"/>
          </w:tcPr>
          <w:p>
            <w:r/>
            <w:r>
              <w:rPr>
                <w:color w:val="1A1D21"/>
                <w:sz w:val="15"/>
              </w:rPr>
              <w:t>EGP mn</w:t>
            </w:r>
          </w:p>
        </w:tc>
        <w:tc>
          <w:tcPr>
            <w:tcW w:type="dxa" w:w="1128"/>
          </w:tcPr>
          <w:p>
            <w:pPr>
              <w:jc w:val="right"/>
            </w:pPr>
            <w:r/>
            <w:r>
              <w:rPr>
                <w:color w:val="1A1D21"/>
                <w:sz w:val="15"/>
              </w:rPr>
              <w:t>2025-12-31</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credit facilities fy25</w:t>
            </w:r>
          </w:p>
        </w:tc>
        <w:tc>
          <w:tcPr>
            <w:tcW w:type="dxa" w:w="879"/>
          </w:tcPr>
          <w:p>
            <w:pPr>
              <w:jc w:val="right"/>
            </w:pPr>
            <w:r/>
            <w:r>
              <w:rPr>
                <w:color w:val="1A1D21"/>
                <w:sz w:val="15"/>
              </w:rPr>
              <w:t>1,273</w:t>
            </w:r>
          </w:p>
        </w:tc>
        <w:tc>
          <w:tcPr>
            <w:tcW w:type="dxa" w:w="635"/>
          </w:tcPr>
          <w:p>
            <w:r/>
            <w:r>
              <w:rPr>
                <w:color w:val="1A1D21"/>
                <w:sz w:val="15"/>
              </w:rPr>
              <w:t>EGP mn</w:t>
            </w:r>
          </w:p>
        </w:tc>
        <w:tc>
          <w:tcPr>
            <w:tcW w:type="dxa" w:w="1128"/>
          </w:tcPr>
          <w:p>
            <w:pPr>
              <w:jc w:val="right"/>
            </w:pPr>
            <w:r/>
            <w:r>
              <w:rPr>
                <w:color w:val="1A1D21"/>
                <w:sz w:val="15"/>
              </w:rPr>
              <w:t>2025-12-31</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customer advances fy25</w:t>
            </w:r>
          </w:p>
        </w:tc>
        <w:tc>
          <w:tcPr>
            <w:tcW w:type="dxa" w:w="879"/>
          </w:tcPr>
          <w:p>
            <w:pPr>
              <w:jc w:val="right"/>
            </w:pPr>
            <w:r/>
            <w:r>
              <w:rPr>
                <w:color w:val="1A1D21"/>
                <w:sz w:val="15"/>
              </w:rPr>
              <w:t>117,676</w:t>
            </w:r>
          </w:p>
        </w:tc>
        <w:tc>
          <w:tcPr>
            <w:tcW w:type="dxa" w:w="635"/>
          </w:tcPr>
          <w:p>
            <w:r/>
            <w:r>
              <w:rPr>
                <w:color w:val="1A1D21"/>
                <w:sz w:val="15"/>
              </w:rPr>
              <w:t>EGP mn</w:t>
            </w:r>
          </w:p>
        </w:tc>
        <w:tc>
          <w:tcPr>
            <w:tcW w:type="dxa" w:w="1128"/>
          </w:tcPr>
          <w:p>
            <w:pPr>
              <w:jc w:val="right"/>
            </w:pPr>
            <w:r/>
            <w:r>
              <w:rPr>
                <w:color w:val="1A1D21"/>
                <w:sz w:val="15"/>
              </w:rPr>
              <w:t>2025-12-31</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properties under development fy25</w:t>
            </w:r>
          </w:p>
        </w:tc>
        <w:tc>
          <w:tcPr>
            <w:tcW w:type="dxa" w:w="879"/>
          </w:tcPr>
          <w:p>
            <w:pPr>
              <w:jc w:val="right"/>
            </w:pPr>
            <w:r/>
            <w:r>
              <w:rPr>
                <w:color w:val="1A1D21"/>
                <w:sz w:val="15"/>
              </w:rPr>
              <w:t>130,059</w:t>
            </w:r>
          </w:p>
        </w:tc>
        <w:tc>
          <w:tcPr>
            <w:tcW w:type="dxa" w:w="635"/>
          </w:tcPr>
          <w:p>
            <w:r/>
            <w:r>
              <w:rPr>
                <w:color w:val="1A1D21"/>
                <w:sz w:val="15"/>
              </w:rPr>
              <w:t>EGP mn</w:t>
            </w:r>
          </w:p>
        </w:tc>
        <w:tc>
          <w:tcPr>
            <w:tcW w:type="dxa" w:w="1128"/>
          </w:tcPr>
          <w:p>
            <w:pPr>
              <w:jc w:val="right"/>
            </w:pPr>
            <w:r/>
            <w:r>
              <w:rPr>
                <w:color w:val="1A1D21"/>
                <w:sz w:val="15"/>
              </w:rPr>
              <w:t>2025-12-31</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equity parent fy25</w:t>
            </w:r>
          </w:p>
        </w:tc>
        <w:tc>
          <w:tcPr>
            <w:tcW w:type="dxa" w:w="879"/>
          </w:tcPr>
          <w:p>
            <w:pPr>
              <w:jc w:val="right"/>
            </w:pPr>
            <w:r/>
            <w:r>
              <w:rPr>
                <w:color w:val="1A1D21"/>
                <w:sz w:val="15"/>
              </w:rPr>
              <w:t>81,048</w:t>
            </w:r>
          </w:p>
        </w:tc>
        <w:tc>
          <w:tcPr>
            <w:tcW w:type="dxa" w:w="635"/>
          </w:tcPr>
          <w:p>
            <w:r/>
            <w:r>
              <w:rPr>
                <w:color w:val="1A1D21"/>
                <w:sz w:val="15"/>
              </w:rPr>
              <w:t>EGP mn</w:t>
            </w:r>
          </w:p>
        </w:tc>
        <w:tc>
          <w:tcPr>
            <w:tcW w:type="dxa" w:w="1128"/>
          </w:tcPr>
          <w:p>
            <w:pPr>
              <w:jc w:val="right"/>
            </w:pPr>
            <w:r/>
            <w:r>
              <w:rPr>
                <w:color w:val="1A1D21"/>
                <w:sz w:val="15"/>
              </w:rPr>
              <w:t>2025-12-31</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nci equity fy25</w:t>
            </w:r>
          </w:p>
        </w:tc>
        <w:tc>
          <w:tcPr>
            <w:tcW w:type="dxa" w:w="879"/>
          </w:tcPr>
          <w:p>
            <w:pPr>
              <w:jc w:val="right"/>
            </w:pPr>
            <w:r/>
            <w:r>
              <w:rPr>
                <w:color w:val="1A1D21"/>
                <w:sz w:val="15"/>
              </w:rPr>
              <w:t>76,661</w:t>
            </w:r>
          </w:p>
        </w:tc>
        <w:tc>
          <w:tcPr>
            <w:tcW w:type="dxa" w:w="635"/>
          </w:tcPr>
          <w:p>
            <w:r/>
            <w:r>
              <w:rPr>
                <w:color w:val="1A1D21"/>
                <w:sz w:val="15"/>
              </w:rPr>
              <w:t>EGP mn</w:t>
            </w:r>
          </w:p>
        </w:tc>
        <w:tc>
          <w:tcPr>
            <w:tcW w:type="dxa" w:w="1128"/>
          </w:tcPr>
          <w:p>
            <w:pPr>
              <w:jc w:val="right"/>
            </w:pPr>
            <w:r/>
            <w:r>
              <w:rPr>
                <w:color w:val="1A1D21"/>
                <w:sz w:val="15"/>
              </w:rPr>
              <w:t>2025-12-31</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total equity fy25</w:t>
            </w:r>
          </w:p>
        </w:tc>
        <w:tc>
          <w:tcPr>
            <w:tcW w:type="dxa" w:w="879"/>
          </w:tcPr>
          <w:p>
            <w:pPr>
              <w:jc w:val="right"/>
            </w:pPr>
            <w:r/>
            <w:r>
              <w:rPr>
                <w:color w:val="1A1D21"/>
                <w:sz w:val="15"/>
              </w:rPr>
              <w:t>157,708</w:t>
            </w:r>
          </w:p>
        </w:tc>
        <w:tc>
          <w:tcPr>
            <w:tcW w:type="dxa" w:w="635"/>
          </w:tcPr>
          <w:p>
            <w:r/>
            <w:r>
              <w:rPr>
                <w:color w:val="1A1D21"/>
                <w:sz w:val="15"/>
              </w:rPr>
              <w:t>EGP mn</w:t>
            </w:r>
          </w:p>
        </w:tc>
        <w:tc>
          <w:tcPr>
            <w:tcW w:type="dxa" w:w="1128"/>
          </w:tcPr>
          <w:p>
            <w:pPr>
              <w:jc w:val="right"/>
            </w:pPr>
            <w:r/>
            <w:r>
              <w:rPr>
                <w:color w:val="1A1D21"/>
                <w:sz w:val="15"/>
              </w:rPr>
              <w:t>2025-12-31</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total assets fy25</w:t>
            </w:r>
          </w:p>
        </w:tc>
        <w:tc>
          <w:tcPr>
            <w:tcW w:type="dxa" w:w="879"/>
          </w:tcPr>
          <w:p>
            <w:pPr>
              <w:jc w:val="right"/>
            </w:pPr>
            <w:r/>
            <w:r>
              <w:rPr>
                <w:color w:val="1A1D21"/>
                <w:sz w:val="15"/>
              </w:rPr>
              <w:t>436,222</w:t>
            </w:r>
          </w:p>
        </w:tc>
        <w:tc>
          <w:tcPr>
            <w:tcW w:type="dxa" w:w="635"/>
          </w:tcPr>
          <w:p>
            <w:r/>
            <w:r>
              <w:rPr>
                <w:color w:val="1A1D21"/>
                <w:sz w:val="15"/>
              </w:rPr>
              <w:t>EGP mn</w:t>
            </w:r>
          </w:p>
        </w:tc>
        <w:tc>
          <w:tcPr>
            <w:tcW w:type="dxa" w:w="1128"/>
          </w:tcPr>
          <w:p>
            <w:pPr>
              <w:jc w:val="right"/>
            </w:pPr>
            <w:r/>
            <w:r>
              <w:rPr>
                <w:color w:val="1A1D21"/>
                <w:sz w:val="15"/>
              </w:rPr>
              <w:t>2025-12-31</w:t>
            </w:r>
          </w:p>
        </w:tc>
        <w:tc>
          <w:tcPr>
            <w:tcW w:type="dxa" w:w="1344"/>
          </w:tcPr>
          <w:p>
            <w:r/>
            <w:r>
              <w:rPr>
                <w:color w:val="1A1D21"/>
                <w:sz w:val="15"/>
              </w:rPr>
              <w:t>A</w:t>
            </w:r>
          </w:p>
        </w:tc>
        <w:tc>
          <w:tcPr>
            <w:tcW w:type="dxa" w:w="3781"/>
          </w:tcPr>
          <w:p>
            <w:r/>
            <w:r>
              <w:rPr>
                <w:color w:val="1A1D21"/>
                <w:sz w:val="15"/>
              </w:rPr>
            </w:r>
          </w:p>
        </w:tc>
      </w:tr>
    </w:tbl>
    <w:p>
      <w:pPr>
        <w:spacing w:after="80"/>
      </w:pPr>
      <w:r>
        <w:rPr>
          <w:b w:val="0"/>
          <w:i w:val="0"/>
          <w:color w:val="1A1D21"/>
          <w:sz w:val="8"/>
        </w:rPr>
      </w:r>
    </w:p>
    <w:p>
      <w:pPr>
        <w:pStyle w:val="Heading2"/>
      </w:pPr>
      <w:r>
        <w:t>Company — operating indicators</w:t>
      </w:r>
    </w:p>
    <w:tbl>
      <w:tblPr>
        <w:tblStyle w:val="TableGrid"/>
        <w:tblW w:type="auto" w:w="0"/>
        <w:jc w:val="center"/>
        <w:tblLayout w:type="fixed"/>
        <w:tblLook w:firstColumn="1" w:firstRow="1" w:lastColumn="0" w:lastRow="0" w:noHBand="0" w:noVBand="1" w:val="04A0"/>
        <w:tblLayout w:type="fixed"/>
      </w:tblPr>
      <w:tblGrid>
        <w:gridCol w:w="1310"/>
        <w:gridCol w:w="879"/>
        <w:gridCol w:w="1446"/>
        <w:gridCol w:w="1128"/>
        <w:gridCol w:w="1344"/>
        <w:gridCol w:w="2965"/>
      </w:tblGrid>
      <w:tr>
        <w:trPr>
          <w:tblHeader w:val="true"/>
        </w:trPr>
        <w:tc>
          <w:tcPr>
            <w:tcW w:type="dxa" w:w="1310"/>
          </w:tcPr>
          <w:p>
            <w:r/>
            <w:r>
              <w:rPr>
                <w:b/>
                <w:color w:val="5B6570"/>
                <w:sz w:val="15"/>
              </w:rPr>
              <w:t>Input</w:t>
            </w:r>
          </w:p>
        </w:tc>
        <w:tc>
          <w:tcPr>
            <w:tcW w:type="dxa" w:w="879"/>
          </w:tcPr>
          <w:p>
            <w:r/>
            <w:r>
              <w:rPr>
                <w:b/>
                <w:color w:val="5B6570"/>
                <w:sz w:val="15"/>
              </w:rPr>
              <w:t>Value</w:t>
            </w:r>
          </w:p>
        </w:tc>
        <w:tc>
          <w:tcPr>
            <w:tcW w:type="dxa" w:w="1446"/>
          </w:tcPr>
          <w:p>
            <w:r/>
            <w:r>
              <w:rPr>
                <w:b/>
                <w:color w:val="5B6570"/>
                <w:sz w:val="15"/>
              </w:rPr>
              <w:t>Unit</w:t>
            </w:r>
          </w:p>
        </w:tc>
        <w:tc>
          <w:tcPr>
            <w:tcW w:type="dxa" w:w="1128"/>
          </w:tcPr>
          <w:p>
            <w:r/>
            <w:r>
              <w:rPr>
                <w:b/>
                <w:color w:val="5B6570"/>
                <w:sz w:val="15"/>
              </w:rPr>
              <w:t>As at</w:t>
            </w:r>
          </w:p>
        </w:tc>
        <w:tc>
          <w:tcPr>
            <w:tcW w:type="dxa" w:w="1344"/>
          </w:tcPr>
          <w:p>
            <w:r/>
            <w:r>
              <w:rPr>
                <w:b/>
                <w:color w:val="5B6570"/>
                <w:sz w:val="15"/>
              </w:rPr>
              <w:t>Reliability</w:t>
            </w:r>
          </w:p>
        </w:tc>
        <w:tc>
          <w:tcPr>
            <w:tcW w:type="dxa" w:w="2965"/>
          </w:tcPr>
          <w:p>
            <w:r/>
            <w:r>
              <w:rPr>
                <w:b/>
                <w:color w:val="5B6570"/>
                <w:sz w:val="15"/>
              </w:rPr>
              <w:t>Note</w:t>
            </w:r>
          </w:p>
        </w:tc>
      </w:tr>
      <w:tr>
        <w:trPr>
          <w:cantSplit/>
        </w:trPr>
        <w:tc>
          <w:tcPr>
            <w:tcW w:type="dxa" w:w="1310"/>
          </w:tcPr>
          <w:p>
            <w:r/>
            <w:r>
              <w:rPr>
                <w:color w:val="1A1D21"/>
                <w:sz w:val="15"/>
              </w:rPr>
              <w:t>backlog jun26</w:t>
            </w:r>
          </w:p>
        </w:tc>
        <w:tc>
          <w:tcPr>
            <w:tcW w:type="dxa" w:w="879"/>
          </w:tcPr>
          <w:p>
            <w:pPr>
              <w:jc w:val="right"/>
            </w:pPr>
            <w:r/>
            <w:r>
              <w:rPr>
                <w:color w:val="1A1D21"/>
                <w:sz w:val="15"/>
              </w:rPr>
              <w:t>491,000</w:t>
            </w:r>
          </w:p>
        </w:tc>
        <w:tc>
          <w:tcPr>
            <w:tcW w:type="dxa" w:w="1446"/>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2965"/>
          </w:tcPr>
          <w:p>
            <w:r/>
            <w:r>
              <w:rPr>
                <w:color w:val="1A1D21"/>
                <w:sz w:val="15"/>
              </w:rPr>
              <w:t>sold but not yet recognised</w:t>
            </w:r>
          </w:p>
        </w:tc>
      </w:tr>
      <w:tr>
        <w:trPr>
          <w:cantSplit/>
        </w:trPr>
        <w:tc>
          <w:tcPr>
            <w:tcW w:type="dxa" w:w="1310"/>
          </w:tcPr>
          <w:p>
            <w:r/>
            <w:r>
              <w:rPr>
                <w:color w:val="1A1D21"/>
                <w:sz w:val="15"/>
              </w:rPr>
              <w:t>backlog mar26</w:t>
            </w:r>
          </w:p>
        </w:tc>
        <w:tc>
          <w:tcPr>
            <w:tcW w:type="dxa" w:w="879"/>
          </w:tcPr>
          <w:p>
            <w:pPr>
              <w:jc w:val="right"/>
            </w:pPr>
            <w:r/>
            <w:r>
              <w:rPr>
                <w:color w:val="1A1D21"/>
                <w:sz w:val="15"/>
              </w:rPr>
              <w:t>457,900</w:t>
            </w:r>
          </w:p>
        </w:tc>
        <w:tc>
          <w:tcPr>
            <w:tcW w:type="dxa" w:w="1446"/>
          </w:tcPr>
          <w:p>
            <w:r/>
            <w:r>
              <w:rPr>
                <w:color w:val="1A1D21"/>
                <w:sz w:val="15"/>
              </w:rPr>
              <w:t>EGP mn</w:t>
            </w:r>
          </w:p>
        </w:tc>
        <w:tc>
          <w:tcPr>
            <w:tcW w:type="dxa" w:w="1128"/>
          </w:tcPr>
          <w:p>
            <w:pPr>
              <w:jc w:val="right"/>
            </w:pPr>
            <w:r/>
            <w:r>
              <w:rPr>
                <w:color w:val="1A1D21"/>
                <w:sz w:val="15"/>
              </w:rPr>
              <w:t>2026-03-31</w:t>
            </w:r>
          </w:p>
        </w:tc>
        <w:tc>
          <w:tcPr>
            <w:tcW w:type="dxa" w:w="1344"/>
          </w:tcPr>
          <w:p>
            <w:r/>
            <w:r>
              <w:rPr>
                <w:color w:val="1A1D21"/>
                <w:sz w:val="15"/>
              </w:rPr>
              <w:t>A</w:t>
            </w:r>
          </w:p>
        </w:tc>
        <w:tc>
          <w:tcPr>
            <w:tcW w:type="dxa" w:w="2965"/>
          </w:tcPr>
          <w:p>
            <w:r/>
            <w:r>
              <w:rPr>
                <w:color w:val="1A1D21"/>
                <w:sz w:val="15"/>
              </w:rPr>
            </w:r>
          </w:p>
        </w:tc>
      </w:tr>
      <w:tr>
        <w:trPr>
          <w:cantSplit/>
        </w:trPr>
        <w:tc>
          <w:tcPr>
            <w:tcW w:type="dxa" w:w="1310"/>
          </w:tcPr>
          <w:p>
            <w:r/>
            <w:r>
              <w:rPr>
                <w:color w:val="1A1D21"/>
                <w:sz w:val="15"/>
              </w:rPr>
              <w:t>backlog jun25</w:t>
            </w:r>
          </w:p>
        </w:tc>
        <w:tc>
          <w:tcPr>
            <w:tcW w:type="dxa" w:w="879"/>
          </w:tcPr>
          <w:p>
            <w:pPr>
              <w:jc w:val="right"/>
            </w:pPr>
            <w:r/>
            <w:r>
              <w:rPr>
                <w:color w:val="1A1D21"/>
                <w:sz w:val="15"/>
              </w:rPr>
              <w:t>363,800</w:t>
            </w:r>
          </w:p>
        </w:tc>
        <w:tc>
          <w:tcPr>
            <w:tcW w:type="dxa" w:w="1446"/>
          </w:tcPr>
          <w:p>
            <w:r/>
            <w:r>
              <w:rPr>
                <w:color w:val="1A1D21"/>
                <w:sz w:val="15"/>
              </w:rPr>
              <w:t>EGP mn</w:t>
            </w:r>
          </w:p>
        </w:tc>
        <w:tc>
          <w:tcPr>
            <w:tcW w:type="dxa" w:w="1128"/>
          </w:tcPr>
          <w:p>
            <w:pPr>
              <w:jc w:val="right"/>
            </w:pPr>
            <w:r/>
            <w:r>
              <w:rPr>
                <w:color w:val="1A1D21"/>
                <w:sz w:val="15"/>
              </w:rPr>
              <w:t>2025-06-30</w:t>
            </w:r>
          </w:p>
        </w:tc>
        <w:tc>
          <w:tcPr>
            <w:tcW w:type="dxa" w:w="1344"/>
          </w:tcPr>
          <w:p>
            <w:r/>
            <w:r>
              <w:rPr>
                <w:color w:val="1A1D21"/>
                <w:sz w:val="15"/>
              </w:rPr>
              <w:t>A</w:t>
            </w:r>
          </w:p>
        </w:tc>
        <w:tc>
          <w:tcPr>
            <w:tcW w:type="dxa" w:w="2965"/>
          </w:tcPr>
          <w:p>
            <w:r/>
            <w:r>
              <w:rPr>
                <w:color w:val="1A1D21"/>
                <w:sz w:val="15"/>
              </w:rPr>
            </w:r>
          </w:p>
        </w:tc>
      </w:tr>
      <w:tr>
        <w:trPr>
          <w:cantSplit/>
        </w:trPr>
        <w:tc>
          <w:tcPr>
            <w:tcW w:type="dxa" w:w="1310"/>
          </w:tcPr>
          <w:p>
            <w:r/>
            <w:r>
              <w:rPr>
                <w:color w:val="1A1D21"/>
                <w:sz w:val="15"/>
              </w:rPr>
              <w:t>backlog fy25</w:t>
            </w:r>
          </w:p>
        </w:tc>
        <w:tc>
          <w:tcPr>
            <w:tcW w:type="dxa" w:w="879"/>
          </w:tcPr>
          <w:p>
            <w:pPr>
              <w:jc w:val="right"/>
            </w:pPr>
            <w:r/>
            <w:r>
              <w:rPr>
                <w:color w:val="1A1D21"/>
                <w:sz w:val="15"/>
              </w:rPr>
              <w:t>441,200</w:t>
            </w:r>
          </w:p>
        </w:tc>
        <w:tc>
          <w:tcPr>
            <w:tcW w:type="dxa" w:w="1446"/>
          </w:tcPr>
          <w:p>
            <w:r/>
            <w:r>
              <w:rPr>
                <w:color w:val="1A1D21"/>
                <w:sz w:val="15"/>
              </w:rPr>
              <w:t>EGP mn</w:t>
            </w:r>
          </w:p>
        </w:tc>
        <w:tc>
          <w:tcPr>
            <w:tcW w:type="dxa" w:w="1128"/>
          </w:tcPr>
          <w:p>
            <w:pPr>
              <w:jc w:val="right"/>
            </w:pPr>
            <w:r/>
            <w:r>
              <w:rPr>
                <w:color w:val="1A1D21"/>
                <w:sz w:val="15"/>
              </w:rPr>
              <w:t>2025-12-31</w:t>
            </w:r>
          </w:p>
        </w:tc>
        <w:tc>
          <w:tcPr>
            <w:tcW w:type="dxa" w:w="1344"/>
          </w:tcPr>
          <w:p>
            <w:r/>
            <w:r>
              <w:rPr>
                <w:color w:val="1A1D21"/>
                <w:sz w:val="15"/>
              </w:rPr>
              <w:t>A</w:t>
            </w:r>
          </w:p>
        </w:tc>
        <w:tc>
          <w:tcPr>
            <w:tcW w:type="dxa" w:w="2965"/>
          </w:tcPr>
          <w:p>
            <w:r/>
            <w:r>
              <w:rPr>
                <w:color w:val="1A1D21"/>
                <w:sz w:val="15"/>
              </w:rPr>
            </w:r>
          </w:p>
        </w:tc>
      </w:tr>
      <w:tr>
        <w:trPr>
          <w:cantSplit/>
        </w:trPr>
        <w:tc>
          <w:tcPr>
            <w:tcW w:type="dxa" w:w="1310"/>
          </w:tcPr>
          <w:p>
            <w:r/>
            <w:r>
              <w:rPr>
                <w:color w:val="1A1D21"/>
                <w:sz w:val="15"/>
              </w:rPr>
              <w:t>contracted sales h1 26</w:t>
            </w:r>
          </w:p>
        </w:tc>
        <w:tc>
          <w:tcPr>
            <w:tcW w:type="dxa" w:w="879"/>
          </w:tcPr>
          <w:p>
            <w:pPr>
              <w:jc w:val="right"/>
            </w:pPr>
            <w:r/>
            <w:r>
              <w:rPr>
                <w:color w:val="1A1D21"/>
                <w:sz w:val="15"/>
              </w:rPr>
              <w:t>219,100</w:t>
            </w:r>
          </w:p>
        </w:tc>
        <w:tc>
          <w:tcPr>
            <w:tcW w:type="dxa" w:w="1446"/>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2965"/>
          </w:tcPr>
          <w:p>
            <w:r/>
            <w:r>
              <w:rPr>
                <w:color w:val="1A1D21"/>
                <w:sz w:val="15"/>
              </w:rPr>
            </w:r>
          </w:p>
        </w:tc>
      </w:tr>
      <w:tr>
        <w:trPr>
          <w:cantSplit/>
        </w:trPr>
        <w:tc>
          <w:tcPr>
            <w:tcW w:type="dxa" w:w="1310"/>
          </w:tcPr>
          <w:p>
            <w:r/>
            <w:r>
              <w:rPr>
                <w:color w:val="1A1D21"/>
                <w:sz w:val="15"/>
              </w:rPr>
              <w:t>contracted sales q2 26</w:t>
            </w:r>
          </w:p>
        </w:tc>
        <w:tc>
          <w:tcPr>
            <w:tcW w:type="dxa" w:w="879"/>
          </w:tcPr>
          <w:p>
            <w:pPr>
              <w:jc w:val="right"/>
            </w:pPr>
            <w:r/>
            <w:r>
              <w:rPr>
                <w:color w:val="1A1D21"/>
                <w:sz w:val="15"/>
              </w:rPr>
              <w:t>170,100</w:t>
            </w:r>
          </w:p>
        </w:tc>
        <w:tc>
          <w:tcPr>
            <w:tcW w:type="dxa" w:w="1446"/>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2965"/>
          </w:tcPr>
          <w:p>
            <w:r/>
            <w:r>
              <w:rPr>
                <w:color w:val="1A1D21"/>
                <w:sz w:val="15"/>
              </w:rPr>
            </w:r>
          </w:p>
        </w:tc>
      </w:tr>
      <w:tr>
        <w:trPr>
          <w:cantSplit/>
        </w:trPr>
        <w:tc>
          <w:tcPr>
            <w:tcW w:type="dxa" w:w="1310"/>
          </w:tcPr>
          <w:p>
            <w:r/>
            <w:r>
              <w:rPr>
                <w:color w:val="1A1D21"/>
                <w:sz w:val="15"/>
              </w:rPr>
              <w:t>contracted sales fy25</w:t>
            </w:r>
          </w:p>
        </w:tc>
        <w:tc>
          <w:tcPr>
            <w:tcW w:type="dxa" w:w="879"/>
          </w:tcPr>
          <w:p>
            <w:pPr>
              <w:jc w:val="right"/>
            </w:pPr>
            <w:r/>
            <w:r>
              <w:rPr>
                <w:color w:val="1A1D21"/>
                <w:sz w:val="15"/>
              </w:rPr>
              <w:t>382,200</w:t>
            </w:r>
          </w:p>
        </w:tc>
        <w:tc>
          <w:tcPr>
            <w:tcW w:type="dxa" w:w="1446"/>
          </w:tcPr>
          <w:p>
            <w:r/>
            <w:r>
              <w:rPr>
                <w:color w:val="1A1D21"/>
                <w:sz w:val="15"/>
              </w:rPr>
              <w:t>EGP mn</w:t>
            </w:r>
          </w:p>
        </w:tc>
        <w:tc>
          <w:tcPr>
            <w:tcW w:type="dxa" w:w="1128"/>
          </w:tcPr>
          <w:p>
            <w:pPr>
              <w:jc w:val="right"/>
            </w:pPr>
            <w:r/>
            <w:r>
              <w:rPr>
                <w:color w:val="1A1D21"/>
                <w:sz w:val="15"/>
              </w:rPr>
              <w:t>2025-12-31</w:t>
            </w:r>
          </w:p>
        </w:tc>
        <w:tc>
          <w:tcPr>
            <w:tcW w:type="dxa" w:w="1344"/>
          </w:tcPr>
          <w:p>
            <w:r/>
            <w:r>
              <w:rPr>
                <w:color w:val="1A1D21"/>
                <w:sz w:val="15"/>
              </w:rPr>
              <w:t>A</w:t>
            </w:r>
          </w:p>
        </w:tc>
        <w:tc>
          <w:tcPr>
            <w:tcW w:type="dxa" w:w="2965"/>
          </w:tcPr>
          <w:p>
            <w:r/>
            <w:r>
              <w:rPr>
                <w:color w:val="1A1D21"/>
                <w:sz w:val="15"/>
              </w:rPr>
            </w:r>
          </w:p>
        </w:tc>
      </w:tr>
      <w:tr>
        <w:trPr>
          <w:cantSplit/>
        </w:trPr>
        <w:tc>
          <w:tcPr>
            <w:tcW w:type="dxa" w:w="1310"/>
          </w:tcPr>
          <w:p>
            <w:r/>
            <w:r>
              <w:rPr>
                <w:color w:val="1A1D21"/>
                <w:sz w:val="15"/>
              </w:rPr>
              <w:t>contracted sales fy24</w:t>
            </w:r>
          </w:p>
        </w:tc>
        <w:tc>
          <w:tcPr>
            <w:tcW w:type="dxa" w:w="879"/>
          </w:tcPr>
          <w:p>
            <w:pPr>
              <w:jc w:val="right"/>
            </w:pPr>
            <w:r/>
            <w:r>
              <w:rPr>
                <w:color w:val="1A1D21"/>
                <w:sz w:val="15"/>
              </w:rPr>
              <w:t>504,000</w:t>
            </w:r>
          </w:p>
        </w:tc>
        <w:tc>
          <w:tcPr>
            <w:tcW w:type="dxa" w:w="1446"/>
          </w:tcPr>
          <w:p>
            <w:r/>
            <w:r>
              <w:rPr>
                <w:color w:val="1A1D21"/>
                <w:sz w:val="15"/>
              </w:rPr>
              <w:t>EGP mn</w:t>
            </w:r>
          </w:p>
        </w:tc>
        <w:tc>
          <w:tcPr>
            <w:tcW w:type="dxa" w:w="1128"/>
          </w:tcPr>
          <w:p>
            <w:pPr>
              <w:jc w:val="right"/>
            </w:pPr>
            <w:r/>
            <w:r>
              <w:rPr>
                <w:color w:val="1A1D21"/>
                <w:sz w:val="15"/>
              </w:rPr>
              <w:t>2024-12-31</w:t>
            </w:r>
          </w:p>
        </w:tc>
        <w:tc>
          <w:tcPr>
            <w:tcW w:type="dxa" w:w="1344"/>
          </w:tcPr>
          <w:p>
            <w:r/>
            <w:r>
              <w:rPr>
                <w:color w:val="1A1D21"/>
                <w:sz w:val="15"/>
              </w:rPr>
              <w:t>A</w:t>
            </w:r>
          </w:p>
        </w:tc>
        <w:tc>
          <w:tcPr>
            <w:tcW w:type="dxa" w:w="2965"/>
          </w:tcPr>
          <w:p>
            <w:r/>
            <w:r>
              <w:rPr>
                <w:color w:val="1A1D21"/>
                <w:sz w:val="15"/>
              </w:rPr>
            </w:r>
          </w:p>
        </w:tc>
      </w:tr>
      <w:tr>
        <w:trPr>
          <w:cantSplit/>
        </w:trPr>
        <w:tc>
          <w:tcPr>
            <w:tcW w:type="dxa" w:w="1310"/>
          </w:tcPr>
          <w:p>
            <w:r/>
            <w:r>
              <w:rPr>
                <w:color w:val="1A1D21"/>
                <w:sz w:val="15"/>
              </w:rPr>
              <w:t>landbank msqm</w:t>
            </w:r>
          </w:p>
        </w:tc>
        <w:tc>
          <w:tcPr>
            <w:tcW w:type="dxa" w:w="879"/>
          </w:tcPr>
          <w:p>
            <w:pPr>
              <w:jc w:val="right"/>
            </w:pPr>
            <w:r/>
            <w:r>
              <w:rPr>
                <w:color w:val="1A1D21"/>
                <w:sz w:val="15"/>
              </w:rPr>
              <w:t>20.00</w:t>
            </w:r>
          </w:p>
        </w:tc>
        <w:tc>
          <w:tcPr>
            <w:tcW w:type="dxa" w:w="1446"/>
          </w:tcPr>
          <w:p>
            <w:r/>
            <w:r>
              <w:rPr>
                <w:color w:val="1A1D21"/>
                <w:sz w:val="15"/>
              </w:rPr>
              <w:t>mn sqm</w:t>
            </w:r>
          </w:p>
        </w:tc>
        <w:tc>
          <w:tcPr>
            <w:tcW w:type="dxa" w:w="1128"/>
          </w:tcPr>
          <w:p>
            <w:pPr>
              <w:jc w:val="right"/>
            </w:pPr>
            <w:r/>
            <w:r>
              <w:rPr>
                <w:color w:val="1A1D21"/>
                <w:sz w:val="15"/>
              </w:rPr>
              <w:t>2026-06-30</w:t>
            </w:r>
          </w:p>
        </w:tc>
        <w:tc>
          <w:tcPr>
            <w:tcW w:type="dxa" w:w="1344"/>
          </w:tcPr>
          <w:p>
            <w:r/>
            <w:r>
              <w:rPr>
                <w:color w:val="1A1D21"/>
                <w:sz w:val="15"/>
              </w:rPr>
              <w:t>A</w:t>
            </w:r>
          </w:p>
        </w:tc>
        <w:tc>
          <w:tcPr>
            <w:tcW w:type="dxa" w:w="2965"/>
          </w:tcPr>
          <w:p>
            <w:r/>
            <w:r>
              <w:rPr>
                <w:color w:val="1A1D21"/>
                <w:sz w:val="15"/>
              </w:rPr>
              <w:t>stated as 'c.20 mn sqm' on the release's own indicator panel. THIS IS THE REMAINING DEVELOPABLE LAND AND NOT THE GROUP TOTAL, and the distinction is w</w:t>
            </w:r>
          </w:p>
        </w:tc>
      </w:tr>
      <w:tr>
        <w:trPr>
          <w:cantSplit/>
        </w:trPr>
        <w:tc>
          <w:tcPr>
            <w:tcW w:type="dxa" w:w="1310"/>
          </w:tcPr>
          <w:p>
            <w:r/>
            <w:r>
              <w:rPr>
                <w:color w:val="1A1D21"/>
                <w:sz w:val="15"/>
              </w:rPr>
              <w:t>landbank group total msqm</w:t>
            </w:r>
          </w:p>
        </w:tc>
        <w:tc>
          <w:tcPr>
            <w:tcW w:type="dxa" w:w="879"/>
          </w:tcPr>
          <w:p>
            <w:pPr>
              <w:jc w:val="right"/>
            </w:pPr>
            <w:r/>
            <w:r>
              <w:rPr>
                <w:color w:val="1A1D21"/>
                <w:sz w:val="15"/>
              </w:rPr>
              <w:t>128</w:t>
            </w:r>
          </w:p>
        </w:tc>
        <w:tc>
          <w:tcPr>
            <w:tcW w:type="dxa" w:w="1446"/>
          </w:tcPr>
          <w:p>
            <w:r/>
            <w:r>
              <w:rPr>
                <w:color w:val="1A1D21"/>
                <w:sz w:val="15"/>
              </w:rPr>
              <w:t>mn sqm</w:t>
            </w:r>
          </w:p>
        </w:tc>
        <w:tc>
          <w:tcPr>
            <w:tcW w:type="dxa" w:w="1128"/>
          </w:tcPr>
          <w:p>
            <w:pPr>
              <w:jc w:val="right"/>
            </w:pPr>
            <w:r/>
            <w:r>
              <w:rPr>
                <w:color w:val="1A1D21"/>
                <w:sz w:val="15"/>
              </w:rPr>
              <w:t>2026-05-31</w:t>
            </w:r>
          </w:p>
        </w:tc>
        <w:tc>
          <w:tcPr>
            <w:tcW w:type="dxa" w:w="1344"/>
          </w:tcPr>
          <w:p>
            <w:r/>
            <w:r>
              <w:rPr>
                <w:color w:val="1A1D21"/>
                <w:sz w:val="15"/>
              </w:rPr>
              <w:t>A</w:t>
            </w:r>
          </w:p>
        </w:tc>
        <w:tc>
          <w:tcPr>
            <w:tcW w:type="dxa" w:w="2965"/>
          </w:tcPr>
          <w:p>
            <w:r/>
            <w:r>
              <w:rPr>
                <w:color w:val="1A1D21"/>
                <w:sz w:val="15"/>
              </w:rPr>
              <w:t>REGISTERED FOR CONTEXT AND FEEDS NOTHING. It is the gross-acquired measure described above; the 12.8mn sqm Baghdad addition inside it is an Iraqi inve</w:t>
            </w:r>
          </w:p>
        </w:tc>
      </w:tr>
      <w:tr>
        <w:trPr>
          <w:cantSplit/>
        </w:trPr>
        <w:tc>
          <w:tcPr>
            <w:tcW w:type="dxa" w:w="1310"/>
          </w:tcPr>
          <w:p>
            <w:r/>
            <w:r>
              <w:rPr>
                <w:color w:val="1A1D21"/>
                <w:sz w:val="15"/>
              </w:rPr>
              <w:t>hotel keys operating</w:t>
            </w:r>
          </w:p>
        </w:tc>
        <w:tc>
          <w:tcPr>
            <w:tcW w:type="dxa" w:w="879"/>
          </w:tcPr>
          <w:p>
            <w:pPr>
              <w:jc w:val="right"/>
            </w:pPr>
            <w:r/>
            <w:r>
              <w:rPr>
                <w:color w:val="1A1D21"/>
                <w:sz w:val="15"/>
              </w:rPr>
              <w:t>3,500</w:t>
            </w:r>
          </w:p>
        </w:tc>
        <w:tc>
          <w:tcPr>
            <w:tcW w:type="dxa" w:w="1446"/>
          </w:tcPr>
          <w:p>
            <w:r/>
            <w:r>
              <w:rPr>
                <w:color w:val="1A1D21"/>
                <w:sz w:val="15"/>
              </w:rPr>
              <w:t>keys</w:t>
            </w:r>
          </w:p>
        </w:tc>
        <w:tc>
          <w:tcPr>
            <w:tcW w:type="dxa" w:w="1128"/>
          </w:tcPr>
          <w:p>
            <w:pPr>
              <w:jc w:val="right"/>
            </w:pPr>
            <w:r/>
            <w:r>
              <w:rPr>
                <w:color w:val="1A1D21"/>
                <w:sz w:val="15"/>
              </w:rPr>
              <w:t>2026-06-30</w:t>
            </w:r>
          </w:p>
        </w:tc>
        <w:tc>
          <w:tcPr>
            <w:tcW w:type="dxa" w:w="1344"/>
          </w:tcPr>
          <w:p>
            <w:r/>
            <w:r>
              <w:rPr>
                <w:color w:val="1A1D21"/>
                <w:sz w:val="15"/>
              </w:rPr>
              <w:t>A</w:t>
            </w:r>
          </w:p>
        </w:tc>
        <w:tc>
          <w:tcPr>
            <w:tcW w:type="dxa" w:w="2965"/>
          </w:tcPr>
          <w:p>
            <w:r/>
            <w:r>
              <w:rPr>
                <w:color w:val="1A1D21"/>
                <w:sz w:val="15"/>
              </w:rPr>
              <w:t>stated as 'c.3,500'</w:t>
            </w:r>
          </w:p>
        </w:tc>
      </w:tr>
      <w:tr>
        <w:trPr>
          <w:cantSplit/>
        </w:trPr>
        <w:tc>
          <w:tcPr>
            <w:tcW w:type="dxa" w:w="1310"/>
          </w:tcPr>
          <w:p>
            <w:r/>
            <w:r>
              <w:rPr>
                <w:color w:val="1A1D21"/>
                <w:sz w:val="15"/>
              </w:rPr>
              <w:t>hotel keys under construction</w:t>
            </w:r>
          </w:p>
        </w:tc>
        <w:tc>
          <w:tcPr>
            <w:tcW w:type="dxa" w:w="879"/>
          </w:tcPr>
          <w:p>
            <w:pPr>
              <w:jc w:val="right"/>
            </w:pPr>
            <w:r/>
            <w:r>
              <w:rPr>
                <w:color w:val="1A1D21"/>
                <w:sz w:val="15"/>
              </w:rPr>
              <w:t>1,500</w:t>
            </w:r>
          </w:p>
        </w:tc>
        <w:tc>
          <w:tcPr>
            <w:tcW w:type="dxa" w:w="1446"/>
          </w:tcPr>
          <w:p>
            <w:r/>
            <w:r>
              <w:rPr>
                <w:color w:val="1A1D21"/>
                <w:sz w:val="15"/>
              </w:rPr>
              <w:t>keys</w:t>
            </w:r>
          </w:p>
        </w:tc>
        <w:tc>
          <w:tcPr>
            <w:tcW w:type="dxa" w:w="1128"/>
          </w:tcPr>
          <w:p>
            <w:pPr>
              <w:jc w:val="right"/>
            </w:pPr>
            <w:r/>
            <w:r>
              <w:rPr>
                <w:color w:val="1A1D21"/>
                <w:sz w:val="15"/>
              </w:rPr>
              <w:t>2026-06-30</w:t>
            </w:r>
          </w:p>
        </w:tc>
        <w:tc>
          <w:tcPr>
            <w:tcW w:type="dxa" w:w="1344"/>
          </w:tcPr>
          <w:p>
            <w:r/>
            <w:r>
              <w:rPr>
                <w:color w:val="1A1D21"/>
                <w:sz w:val="15"/>
              </w:rPr>
              <w:t>A</w:t>
            </w:r>
          </w:p>
        </w:tc>
        <w:tc>
          <w:tcPr>
            <w:tcW w:type="dxa" w:w="2965"/>
          </w:tcPr>
          <w:p>
            <w:r/>
            <w:r>
              <w:rPr>
                <w:color w:val="1A1D21"/>
                <w:sz w:val="15"/>
              </w:rPr>
            </w:r>
          </w:p>
        </w:tc>
      </w:tr>
      <w:tr>
        <w:trPr>
          <w:cantSplit/>
        </w:trPr>
        <w:tc>
          <w:tcPr>
            <w:tcW w:type="dxa" w:w="1310"/>
          </w:tcPr>
          <w:p>
            <w:r/>
            <w:r>
              <w:rPr>
                <w:color w:val="1A1D21"/>
                <w:sz w:val="15"/>
              </w:rPr>
              <w:t>hotel arr h1 26</w:t>
            </w:r>
          </w:p>
        </w:tc>
        <w:tc>
          <w:tcPr>
            <w:tcW w:type="dxa" w:w="879"/>
          </w:tcPr>
          <w:p>
            <w:pPr>
              <w:jc w:val="right"/>
            </w:pPr>
            <w:r/>
            <w:r>
              <w:rPr>
                <w:color w:val="1A1D21"/>
                <w:sz w:val="15"/>
              </w:rPr>
              <w:t>13,209</w:t>
            </w:r>
          </w:p>
        </w:tc>
        <w:tc>
          <w:tcPr>
            <w:tcW w:type="dxa" w:w="1446"/>
          </w:tcPr>
          <w:p>
            <w:r/>
            <w:r>
              <w:rPr>
                <w:color w:val="1A1D21"/>
                <w:sz w:val="15"/>
              </w:rPr>
              <w:t>EGP/room-night</w:t>
            </w:r>
          </w:p>
        </w:tc>
        <w:tc>
          <w:tcPr>
            <w:tcW w:type="dxa" w:w="1128"/>
          </w:tcPr>
          <w:p>
            <w:pPr>
              <w:jc w:val="right"/>
            </w:pPr>
            <w:r/>
            <w:r>
              <w:rPr>
                <w:color w:val="1A1D21"/>
                <w:sz w:val="15"/>
              </w:rPr>
              <w:t>2026-06-30</w:t>
            </w:r>
          </w:p>
        </w:tc>
        <w:tc>
          <w:tcPr>
            <w:tcW w:type="dxa" w:w="1344"/>
          </w:tcPr>
          <w:p>
            <w:r/>
            <w:r>
              <w:rPr>
                <w:color w:val="1A1D21"/>
                <w:sz w:val="15"/>
              </w:rPr>
              <w:t>A</w:t>
            </w:r>
          </w:p>
        </w:tc>
        <w:tc>
          <w:tcPr>
            <w:tcW w:type="dxa" w:w="2965"/>
          </w:tcPr>
          <w:p>
            <w:r/>
            <w:r>
              <w:rPr>
                <w:color w:val="1A1D21"/>
                <w:sz w:val="15"/>
              </w:rPr>
            </w:r>
          </w:p>
        </w:tc>
      </w:tr>
      <w:tr>
        <w:trPr>
          <w:cantSplit/>
        </w:trPr>
        <w:tc>
          <w:tcPr>
            <w:tcW w:type="dxa" w:w="1310"/>
          </w:tcPr>
          <w:p>
            <w:r/>
            <w:r>
              <w:rPr>
                <w:color w:val="1A1D21"/>
                <w:sz w:val="15"/>
              </w:rPr>
              <w:t>hospitality ebitda h1 26</w:t>
            </w:r>
          </w:p>
        </w:tc>
        <w:tc>
          <w:tcPr>
            <w:tcW w:type="dxa" w:w="879"/>
          </w:tcPr>
          <w:p>
            <w:pPr>
              <w:jc w:val="right"/>
            </w:pPr>
            <w:r/>
            <w:r>
              <w:rPr>
                <w:color w:val="1A1D21"/>
                <w:sz w:val="15"/>
              </w:rPr>
              <w:t>3,900</w:t>
            </w:r>
          </w:p>
        </w:tc>
        <w:tc>
          <w:tcPr>
            <w:tcW w:type="dxa" w:w="1446"/>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2965"/>
          </w:tcPr>
          <w:p>
            <w:r/>
            <w:r>
              <w:rPr>
                <w:color w:val="1A1D21"/>
                <w:sz w:val="15"/>
              </w:rPr>
            </w:r>
          </w:p>
        </w:tc>
      </w:tr>
      <w:tr>
        <w:trPr>
          <w:cantSplit/>
        </w:trPr>
        <w:tc>
          <w:tcPr>
            <w:tcW w:type="dxa" w:w="1310"/>
          </w:tcPr>
          <w:p>
            <w:r/>
            <w:r>
              <w:rPr>
                <w:color w:val="1A1D21"/>
                <w:sz w:val="15"/>
              </w:rPr>
              <w:t>hospitality ebitda margin h1 26</w:t>
            </w:r>
          </w:p>
        </w:tc>
        <w:tc>
          <w:tcPr>
            <w:tcW w:type="dxa" w:w="879"/>
          </w:tcPr>
          <w:p>
            <w:pPr>
              <w:jc w:val="right"/>
            </w:pPr>
            <w:r/>
            <w:r>
              <w:rPr>
                <w:color w:val="1A1D21"/>
                <w:sz w:val="15"/>
              </w:rPr>
              <w:t>0.52</w:t>
            </w:r>
          </w:p>
        </w:tc>
        <w:tc>
          <w:tcPr>
            <w:tcW w:type="dxa" w:w="1446"/>
          </w:tcPr>
          <w:p>
            <w:r/>
            <w:r>
              <w:rPr>
                <w:color w:val="1A1D21"/>
                <w:sz w:val="15"/>
              </w:rPr>
              <w:t>fraction</w:t>
            </w:r>
          </w:p>
        </w:tc>
        <w:tc>
          <w:tcPr>
            <w:tcW w:type="dxa" w:w="1128"/>
          </w:tcPr>
          <w:p>
            <w:pPr>
              <w:jc w:val="right"/>
            </w:pPr>
            <w:r/>
            <w:r>
              <w:rPr>
                <w:color w:val="1A1D21"/>
                <w:sz w:val="15"/>
              </w:rPr>
              <w:t>2026-06-30</w:t>
            </w:r>
          </w:p>
        </w:tc>
        <w:tc>
          <w:tcPr>
            <w:tcW w:type="dxa" w:w="1344"/>
          </w:tcPr>
          <w:p>
            <w:r/>
            <w:r>
              <w:rPr>
                <w:color w:val="1A1D21"/>
                <w:sz w:val="15"/>
              </w:rPr>
              <w:t>A</w:t>
            </w:r>
          </w:p>
        </w:tc>
        <w:tc>
          <w:tcPr>
            <w:tcW w:type="dxa" w:w="2965"/>
          </w:tcPr>
          <w:p>
            <w:r/>
            <w:r>
              <w:rPr>
                <w:color w:val="1A1D21"/>
                <w:sz w:val="15"/>
              </w:rPr>
            </w:r>
          </w:p>
        </w:tc>
      </w:tr>
      <w:tr>
        <w:trPr>
          <w:cantSplit/>
        </w:trPr>
        <w:tc>
          <w:tcPr>
            <w:tcW w:type="dxa" w:w="1310"/>
          </w:tcPr>
          <w:p>
            <w:r/>
            <w:r>
              <w:rPr>
                <w:color w:val="1A1D21"/>
                <w:sz w:val="15"/>
              </w:rPr>
              <w:t>southmed cumulative sales</w:t>
            </w:r>
          </w:p>
        </w:tc>
        <w:tc>
          <w:tcPr>
            <w:tcW w:type="dxa" w:w="879"/>
          </w:tcPr>
          <w:p>
            <w:pPr>
              <w:jc w:val="right"/>
            </w:pPr>
            <w:r/>
            <w:r>
              <w:rPr>
                <w:color w:val="1A1D21"/>
                <w:sz w:val="15"/>
              </w:rPr>
              <w:t>500,000</w:t>
            </w:r>
          </w:p>
        </w:tc>
        <w:tc>
          <w:tcPr>
            <w:tcW w:type="dxa" w:w="1446"/>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2965"/>
          </w:tcPr>
          <w:p>
            <w:r/>
            <w:r>
              <w:rPr>
                <w:color w:val="1A1D21"/>
                <w:sz w:val="15"/>
              </w:rPr>
              <w:t>since launch to 30 June 2026</w:t>
            </w:r>
          </w:p>
        </w:tc>
      </w:tr>
      <w:tr>
        <w:trPr>
          <w:cantSplit/>
        </w:trPr>
        <w:tc>
          <w:tcPr>
            <w:tcW w:type="dxa" w:w="1310"/>
          </w:tcPr>
          <w:p>
            <w:r/>
            <w:r>
              <w:rPr>
                <w:color w:val="1A1D21"/>
                <w:sz w:val="15"/>
              </w:rPr>
              <w:t>spine sales since launch</w:t>
            </w:r>
          </w:p>
        </w:tc>
        <w:tc>
          <w:tcPr>
            <w:tcW w:type="dxa" w:w="879"/>
          </w:tcPr>
          <w:p>
            <w:pPr>
              <w:jc w:val="right"/>
            </w:pPr>
            <w:r/>
            <w:r>
              <w:rPr>
                <w:color w:val="1A1D21"/>
                <w:sz w:val="15"/>
              </w:rPr>
              <w:t>33,800</w:t>
            </w:r>
          </w:p>
        </w:tc>
        <w:tc>
          <w:tcPr>
            <w:tcW w:type="dxa" w:w="1446"/>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2965"/>
          </w:tcPr>
          <w:p>
            <w:r/>
            <w:r>
              <w:rPr>
                <w:color w:val="1A1D21"/>
                <w:sz w:val="15"/>
              </w:rPr>
              <w:t>launched April 2026</w:t>
            </w:r>
          </w:p>
        </w:tc>
      </w:tr>
      <w:tr>
        <w:trPr>
          <w:cantSplit/>
        </w:trPr>
        <w:tc>
          <w:tcPr>
            <w:tcW w:type="dxa" w:w="1310"/>
          </w:tcPr>
          <w:p>
            <w:r/>
            <w:r>
              <w:rPr>
                <w:color w:val="1A1D21"/>
                <w:sz w:val="15"/>
              </w:rPr>
              <w:t>banan share of re revenue h1 26</w:t>
            </w:r>
          </w:p>
        </w:tc>
        <w:tc>
          <w:tcPr>
            <w:tcW w:type="dxa" w:w="879"/>
          </w:tcPr>
          <w:p>
            <w:pPr>
              <w:jc w:val="right"/>
            </w:pPr>
            <w:r/>
            <w:r>
              <w:rPr>
                <w:color w:val="1A1D21"/>
                <w:sz w:val="15"/>
              </w:rPr>
              <w:t>0.53</w:t>
            </w:r>
          </w:p>
        </w:tc>
        <w:tc>
          <w:tcPr>
            <w:tcW w:type="dxa" w:w="1446"/>
          </w:tcPr>
          <w:p>
            <w:r/>
            <w:r>
              <w:rPr>
                <w:color w:val="1A1D21"/>
                <w:sz w:val="15"/>
              </w:rPr>
              <w:t>fraction</w:t>
            </w:r>
          </w:p>
        </w:tc>
        <w:tc>
          <w:tcPr>
            <w:tcW w:type="dxa" w:w="1128"/>
          </w:tcPr>
          <w:p>
            <w:pPr>
              <w:jc w:val="right"/>
            </w:pPr>
            <w:r/>
            <w:r>
              <w:rPr>
                <w:color w:val="1A1D21"/>
                <w:sz w:val="15"/>
              </w:rPr>
              <w:t>2026-06-30</w:t>
            </w:r>
          </w:p>
        </w:tc>
        <w:tc>
          <w:tcPr>
            <w:tcW w:type="dxa" w:w="1344"/>
          </w:tcPr>
          <w:p>
            <w:r/>
            <w:r>
              <w:rPr>
                <w:color w:val="1A1D21"/>
                <w:sz w:val="15"/>
              </w:rPr>
              <w:t>A</w:t>
            </w:r>
          </w:p>
        </w:tc>
        <w:tc>
          <w:tcPr>
            <w:tcW w:type="dxa" w:w="2965"/>
          </w:tcPr>
          <w:p>
            <w:r/>
            <w:r>
              <w:rPr>
                <w:color w:val="1A1D21"/>
                <w:sz w:val="15"/>
              </w:rPr>
              <w:t>the percentage-of-completion leg</w:t>
            </w:r>
          </w:p>
        </w:tc>
      </w:tr>
      <w:tr>
        <w:trPr>
          <w:cantSplit/>
        </w:trPr>
        <w:tc>
          <w:tcPr>
            <w:tcW w:type="dxa" w:w="1310"/>
          </w:tcPr>
          <w:p>
            <w:r/>
            <w:r>
              <w:rPr>
                <w:color w:val="1A1D21"/>
                <w:sz w:val="15"/>
              </w:rPr>
              <w:t>units delivered fy25</w:t>
            </w:r>
          </w:p>
        </w:tc>
        <w:tc>
          <w:tcPr>
            <w:tcW w:type="dxa" w:w="879"/>
          </w:tcPr>
          <w:p>
            <w:pPr>
              <w:jc w:val="right"/>
            </w:pPr>
            <w:r/>
            <w:r>
              <w:rPr>
                <w:color w:val="1A1D21"/>
                <w:sz w:val="15"/>
              </w:rPr>
              <w:t>3,196</w:t>
            </w:r>
          </w:p>
        </w:tc>
        <w:tc>
          <w:tcPr>
            <w:tcW w:type="dxa" w:w="1446"/>
          </w:tcPr>
          <w:p>
            <w:r/>
            <w:r>
              <w:rPr>
                <w:color w:val="1A1D21"/>
                <w:sz w:val="15"/>
              </w:rPr>
              <w:t>units</w:t>
            </w:r>
          </w:p>
        </w:tc>
        <w:tc>
          <w:tcPr>
            <w:tcW w:type="dxa" w:w="1128"/>
          </w:tcPr>
          <w:p>
            <w:pPr>
              <w:jc w:val="right"/>
            </w:pPr>
            <w:r/>
            <w:r>
              <w:rPr>
                <w:color w:val="1A1D21"/>
                <w:sz w:val="15"/>
              </w:rPr>
              <w:t>2025-12-31</w:t>
            </w:r>
          </w:p>
        </w:tc>
        <w:tc>
          <w:tcPr>
            <w:tcW w:type="dxa" w:w="1344"/>
          </w:tcPr>
          <w:p>
            <w:r/>
            <w:r>
              <w:rPr>
                <w:color w:val="1A1D21"/>
                <w:sz w:val="15"/>
              </w:rPr>
              <w:t>A</w:t>
            </w:r>
          </w:p>
        </w:tc>
        <w:tc>
          <w:tcPr>
            <w:tcW w:type="dxa" w:w="2965"/>
          </w:tcPr>
          <w:p>
            <w:r/>
            <w:r>
              <w:rPr>
                <w:color w:val="1A1D21"/>
                <w:sz w:val="15"/>
              </w:rPr>
            </w:r>
          </w:p>
        </w:tc>
      </w:tr>
      <w:tr>
        <w:trPr>
          <w:cantSplit/>
        </w:trPr>
        <w:tc>
          <w:tcPr>
            <w:tcW w:type="dxa" w:w="1310"/>
          </w:tcPr>
          <w:p>
            <w:r/>
            <w:r>
              <w:rPr>
                <w:color w:val="1A1D21"/>
                <w:sz w:val="15"/>
              </w:rPr>
              <w:t>shares outstanding</w:t>
            </w:r>
          </w:p>
        </w:tc>
        <w:tc>
          <w:tcPr>
            <w:tcW w:type="dxa" w:w="879"/>
          </w:tcPr>
          <w:p>
            <w:pPr>
              <w:jc w:val="right"/>
            </w:pPr>
            <w:r/>
            <w:r>
              <w:rPr>
                <w:color w:val="1A1D21"/>
                <w:sz w:val="15"/>
              </w:rPr>
              <w:t>2,061</w:t>
            </w:r>
          </w:p>
        </w:tc>
        <w:tc>
          <w:tcPr>
            <w:tcW w:type="dxa" w:w="1446"/>
          </w:tcPr>
          <w:p>
            <w:r/>
            <w:r>
              <w:rPr>
                <w:color w:val="1A1D21"/>
                <w:sz w:val="15"/>
              </w:rPr>
              <w:t>mn shares</w:t>
            </w:r>
          </w:p>
        </w:tc>
        <w:tc>
          <w:tcPr>
            <w:tcW w:type="dxa" w:w="1128"/>
          </w:tcPr>
          <w:p>
            <w:pPr>
              <w:jc w:val="right"/>
            </w:pPr>
            <w:r/>
            <w:r>
              <w:rPr>
                <w:color w:val="1A1D21"/>
                <w:sz w:val="15"/>
              </w:rPr>
              <w:t>2025-12-31</w:t>
            </w:r>
          </w:p>
        </w:tc>
        <w:tc>
          <w:tcPr>
            <w:tcW w:type="dxa" w:w="1344"/>
          </w:tcPr>
          <w:p>
            <w:r/>
            <w:r>
              <w:rPr>
                <w:color w:val="1A1D21"/>
                <w:sz w:val="15"/>
              </w:rPr>
              <w:t>A</w:t>
            </w:r>
          </w:p>
        </w:tc>
        <w:tc>
          <w:tcPr>
            <w:tcW w:type="dxa" w:w="2965"/>
          </w:tcPr>
          <w:p>
            <w:r/>
            <w:r>
              <w:rPr>
                <w:color w:val="1A1D21"/>
                <w:sz w:val="15"/>
              </w:rPr>
              <w:t>paid-up capital EGP 20,606,537,860 at EGP 10 par. Cross-checks: FY2025 attributable profit 14,383.9 / EPS 6.98 = 2,060.7mn</w:t>
            </w:r>
          </w:p>
        </w:tc>
      </w:tr>
    </w:tbl>
    <w:p>
      <w:pPr>
        <w:spacing w:after="80"/>
      </w:pPr>
      <w:r>
        <w:rPr>
          <w:b w:val="0"/>
          <w:i w:val="0"/>
          <w:color w:val="1A1D21"/>
          <w:sz w:val="8"/>
        </w:rPr>
      </w:r>
    </w:p>
    <w:p>
      <w:pPr>
        <w:pStyle w:val="Heading2"/>
      </w:pPr>
      <w:r>
        <w:t>Country-level inputs</w:t>
      </w:r>
    </w:p>
    <w:tbl>
      <w:tblPr>
        <w:tblStyle w:val="TableGrid"/>
        <w:tblW w:type="auto" w:w="0"/>
        <w:jc w:val="center"/>
        <w:tblLayout w:type="fixed"/>
        <w:tblLook w:firstColumn="1" w:firstRow="1" w:lastColumn="0" w:lastRow="0" w:noHBand="0" w:noVBand="1" w:val="04A0"/>
        <w:tblLayout w:type="fixed"/>
      </w:tblPr>
      <w:tblGrid>
        <w:gridCol w:w="2268"/>
        <w:gridCol w:w="1247"/>
        <w:gridCol w:w="4196"/>
        <w:gridCol w:w="1247"/>
      </w:tblGrid>
      <w:tr>
        <w:trPr>
          <w:tblHeader w:val="true"/>
        </w:trPr>
        <w:tc>
          <w:tcPr>
            <w:tcW w:type="dxa" w:w="2268"/>
          </w:tcPr>
          <w:p>
            <w:r/>
            <w:r>
              <w:rPr>
                <w:b/>
                <w:color w:val="5B6570"/>
                <w:sz w:val="17"/>
              </w:rPr>
              <w:t>Input</w:t>
            </w:r>
          </w:p>
        </w:tc>
        <w:tc>
          <w:tcPr>
            <w:tcW w:type="dxa" w:w="1247"/>
          </w:tcPr>
          <w:p>
            <w:r/>
            <w:r>
              <w:rPr>
                <w:b/>
                <w:color w:val="5B6570"/>
                <w:sz w:val="17"/>
              </w:rPr>
              <w:t>Value</w:t>
            </w:r>
          </w:p>
        </w:tc>
        <w:tc>
          <w:tcPr>
            <w:tcW w:type="dxa" w:w="4195"/>
          </w:tcPr>
          <w:p>
            <w:r/>
            <w:r>
              <w:rPr>
                <w:b/>
                <w:color w:val="5B6570"/>
                <w:sz w:val="17"/>
              </w:rPr>
              <w:t>Source</w:t>
            </w:r>
          </w:p>
        </w:tc>
        <w:tc>
          <w:tcPr>
            <w:tcW w:type="dxa" w:w="1247"/>
          </w:tcPr>
          <w:p>
            <w:r/>
            <w:r>
              <w:rPr>
                <w:b/>
                <w:color w:val="5B6570"/>
                <w:sz w:val="17"/>
              </w:rPr>
              <w:t>Reliability</w:t>
            </w:r>
          </w:p>
        </w:tc>
      </w:tr>
      <w:tr>
        <w:trPr>
          <w:cantSplit/>
        </w:trPr>
        <w:tc>
          <w:tcPr>
            <w:tcW w:type="dxa" w:w="2268"/>
          </w:tcPr>
          <w:p>
            <w:r/>
            <w:r>
              <w:rPr>
                <w:color w:val="1A1D21"/>
                <w:sz w:val="17"/>
              </w:rPr>
              <w:t>Egyptian ten-year government bond yield</w:t>
            </w:r>
          </w:p>
        </w:tc>
        <w:tc>
          <w:tcPr>
            <w:tcW w:type="dxa" w:w="1247"/>
          </w:tcPr>
          <w:p>
            <w:pPr>
              <w:jc w:val="right"/>
            </w:pPr>
            <w:r/>
            <w:r>
              <w:rPr>
                <w:color w:val="1A1D21"/>
                <w:sz w:val="17"/>
              </w:rPr>
              <w:t>23.00%</w:t>
            </w:r>
          </w:p>
        </w:tc>
        <w:tc>
          <w:tcPr>
            <w:tcW w:type="dxa" w:w="4195"/>
          </w:tcPr>
          <w:p>
            <w:r/>
            <w:r>
              <w:rPr>
                <w:color w:val="1A1D21"/>
                <w:sz w:val="17"/>
              </w:rPr>
              <w:t>market quote dated 6 August 2026, cross-checked against a central-bank policy rate of 19.00%, an overnight lending rate of 20.00% and an interbank rate of 19.51% at the August 2026 meeting</w:t>
            </w:r>
          </w:p>
        </w:tc>
        <w:tc>
          <w:tcPr>
            <w:tcW w:type="dxa" w:w="1247"/>
          </w:tcPr>
          <w:p>
            <w:r/>
            <w:r>
              <w:rPr>
                <w:color w:val="1A1D21"/>
                <w:sz w:val="17"/>
              </w:rPr>
              <w:t>C</w:t>
            </w:r>
          </w:p>
        </w:tc>
      </w:tr>
      <w:tr>
        <w:trPr>
          <w:cantSplit/>
        </w:trPr>
        <w:tc>
          <w:tcPr>
            <w:tcW w:type="dxa" w:w="2268"/>
          </w:tcPr>
          <w:p>
            <w:r/>
            <w:r>
              <w:rPr>
                <w:color w:val="1A1D21"/>
                <w:sz w:val="17"/>
              </w:rPr>
              <w:t>Egypt's credit rating</w:t>
            </w:r>
          </w:p>
        </w:tc>
        <w:tc>
          <w:tcPr>
            <w:tcW w:type="dxa" w:w="1247"/>
          </w:tcPr>
          <w:p>
            <w:r/>
            <w:r>
              <w:rPr>
                <w:color w:val="1A1D21"/>
                <w:sz w:val="17"/>
              </w:rPr>
              <w:t>Caa1</w:t>
            </w:r>
          </w:p>
        </w:tc>
        <w:tc>
          <w:tcPr>
            <w:tcW w:type="dxa" w:w="4195"/>
          </w:tcPr>
          <w:p>
            <w:r/>
            <w:r>
              <w:rPr>
                <w:color w:val="1A1D21"/>
                <w:sz w:val="17"/>
              </w:rPr>
              <w:t>published country-premium file, Egypt's own row, read 1 September 2026</w:t>
            </w:r>
          </w:p>
        </w:tc>
        <w:tc>
          <w:tcPr>
            <w:tcW w:type="dxa" w:w="1247"/>
          </w:tcPr>
          <w:p>
            <w:r/>
            <w:r>
              <w:rPr>
                <w:color w:val="1A1D21"/>
                <w:sz w:val="17"/>
              </w:rPr>
              <w:t>C</w:t>
            </w:r>
          </w:p>
        </w:tc>
      </w:tr>
      <w:tr>
        <w:trPr>
          <w:cantSplit/>
        </w:trPr>
        <w:tc>
          <w:tcPr>
            <w:tcW w:type="dxa" w:w="2268"/>
          </w:tcPr>
          <w:p>
            <w:r/>
            <w:r>
              <w:rPr>
                <w:color w:val="1A1D21"/>
                <w:sz w:val="17"/>
              </w:rPr>
              <w:t>Egypt's adjusted default spread</w:t>
            </w:r>
          </w:p>
        </w:tc>
        <w:tc>
          <w:tcPr>
            <w:tcW w:type="dxa" w:w="1247"/>
          </w:tcPr>
          <w:p>
            <w:pPr>
              <w:jc w:val="right"/>
            </w:pPr>
            <w:r/>
            <w:r>
              <w:rPr>
                <w:color w:val="1A1D21"/>
                <w:sz w:val="17"/>
              </w:rPr>
              <w:t>6.37%</w:t>
            </w:r>
          </w:p>
        </w:tc>
        <w:tc>
          <w:tcPr>
            <w:tcW w:type="dxa" w:w="4195"/>
          </w:tcPr>
          <w:p>
            <w:r/>
            <w:r>
              <w:rPr>
                <w:color w:val="1A1D21"/>
                <w:sz w:val="17"/>
              </w:rPr>
              <w:t>the same file</w:t>
            </w:r>
          </w:p>
        </w:tc>
        <w:tc>
          <w:tcPr>
            <w:tcW w:type="dxa" w:w="1247"/>
          </w:tcPr>
          <w:p>
            <w:r/>
            <w:r>
              <w:rPr>
                <w:color w:val="1A1D21"/>
                <w:sz w:val="17"/>
              </w:rPr>
              <w:t>C</w:t>
            </w:r>
          </w:p>
        </w:tc>
      </w:tr>
      <w:tr>
        <w:trPr>
          <w:cantSplit/>
        </w:trPr>
        <w:tc>
          <w:tcPr>
            <w:tcW w:type="dxa" w:w="2268"/>
          </w:tcPr>
          <w:p>
            <w:r/>
            <w:r>
              <w:rPr>
                <w:color w:val="1A1D21"/>
                <w:sz w:val="17"/>
              </w:rPr>
              <w:t>Egypt's country risk premium</w:t>
            </w:r>
          </w:p>
        </w:tc>
        <w:tc>
          <w:tcPr>
            <w:tcW w:type="dxa" w:w="1247"/>
          </w:tcPr>
          <w:p>
            <w:pPr>
              <w:jc w:val="right"/>
            </w:pPr>
            <w:r/>
            <w:r>
              <w:rPr>
                <w:color w:val="1A1D21"/>
                <w:sz w:val="17"/>
              </w:rPr>
              <w:t>9.71%</w:t>
            </w:r>
          </w:p>
        </w:tc>
        <w:tc>
          <w:tcPr>
            <w:tcW w:type="dxa" w:w="4195"/>
          </w:tcPr>
          <w:p>
            <w:r/>
            <w:r>
              <w:rPr>
                <w:color w:val="1A1D21"/>
                <w:sz w:val="17"/>
              </w:rPr>
              <w:t>the same file</w:t>
            </w:r>
          </w:p>
        </w:tc>
        <w:tc>
          <w:tcPr>
            <w:tcW w:type="dxa" w:w="1247"/>
          </w:tcPr>
          <w:p>
            <w:r/>
            <w:r>
              <w:rPr>
                <w:color w:val="1A1D21"/>
                <w:sz w:val="17"/>
              </w:rPr>
              <w:t>C</w:t>
            </w:r>
          </w:p>
        </w:tc>
      </w:tr>
      <w:tr>
        <w:trPr>
          <w:cantSplit/>
        </w:trPr>
        <w:tc>
          <w:tcPr>
            <w:tcW w:type="dxa" w:w="2268"/>
          </w:tcPr>
          <w:p>
            <w:r/>
            <w:r>
              <w:rPr>
                <w:color w:val="1A1D21"/>
                <w:sz w:val="17"/>
              </w:rPr>
              <w:t>Equity risk premium, rating basis</w:t>
            </w:r>
          </w:p>
        </w:tc>
        <w:tc>
          <w:tcPr>
            <w:tcW w:type="dxa" w:w="1247"/>
          </w:tcPr>
          <w:p>
            <w:pPr>
              <w:jc w:val="right"/>
            </w:pPr>
            <w:r/>
            <w:r>
              <w:rPr>
                <w:color w:val="1A1D21"/>
                <w:sz w:val="17"/>
              </w:rPr>
              <w:t>13.94%</w:t>
            </w:r>
          </w:p>
        </w:tc>
        <w:tc>
          <w:tcPr>
            <w:tcW w:type="dxa" w:w="4195"/>
          </w:tcPr>
          <w:p>
            <w:r/>
            <w:r>
              <w:rPr>
                <w:color w:val="1A1D21"/>
                <w:sz w:val="17"/>
              </w:rPr>
              <w:t>the same file</w:t>
            </w:r>
          </w:p>
        </w:tc>
        <w:tc>
          <w:tcPr>
            <w:tcW w:type="dxa" w:w="1247"/>
          </w:tcPr>
          <w:p>
            <w:r/>
            <w:r>
              <w:rPr>
                <w:color w:val="1A1D21"/>
                <w:sz w:val="17"/>
              </w:rPr>
              <w:t>C</w:t>
            </w:r>
          </w:p>
        </w:tc>
      </w:tr>
      <w:tr>
        <w:trPr>
          <w:cantSplit/>
        </w:trPr>
        <w:tc>
          <w:tcPr>
            <w:tcW w:type="dxa" w:w="2268"/>
          </w:tcPr>
          <w:p>
            <w:r/>
            <w:r>
              <w:rPr>
                <w:color w:val="1A1D21"/>
                <w:sz w:val="17"/>
              </w:rPr>
              <w:t>Equity risk premium, swap basis</w:t>
            </w:r>
          </w:p>
        </w:tc>
        <w:tc>
          <w:tcPr>
            <w:tcW w:type="dxa" w:w="1247"/>
          </w:tcPr>
          <w:p>
            <w:pPr>
              <w:jc w:val="right"/>
            </w:pPr>
            <w:r/>
            <w:r>
              <w:rPr>
                <w:color w:val="1A1D21"/>
                <w:sz w:val="17"/>
              </w:rPr>
              <w:t>9.41%</w:t>
            </w:r>
          </w:p>
        </w:tc>
        <w:tc>
          <w:tcPr>
            <w:tcW w:type="dxa" w:w="4195"/>
          </w:tcPr>
          <w:p>
            <w:r/>
            <w:r>
              <w:rPr>
                <w:color w:val="1A1D21"/>
                <w:sz w:val="17"/>
              </w:rPr>
              <w:t>the same file</w:t>
            </w:r>
          </w:p>
        </w:tc>
        <w:tc>
          <w:tcPr>
            <w:tcW w:type="dxa" w:w="1247"/>
          </w:tcPr>
          <w:p>
            <w:r/>
            <w:r>
              <w:rPr>
                <w:color w:val="1A1D21"/>
                <w:sz w:val="17"/>
              </w:rPr>
              <w:t>C</w:t>
            </w:r>
          </w:p>
        </w:tc>
      </w:tr>
      <w:tr>
        <w:trPr>
          <w:cantSplit/>
        </w:trPr>
        <w:tc>
          <w:tcPr>
            <w:tcW w:type="dxa" w:w="2268"/>
          </w:tcPr>
          <w:p>
            <w:r/>
            <w:r>
              <w:rPr>
                <w:color w:val="1A1D21"/>
                <w:sz w:val="17"/>
              </w:rPr>
              <w:t>Statutory corporate tax rate</w:t>
            </w:r>
          </w:p>
        </w:tc>
        <w:tc>
          <w:tcPr>
            <w:tcW w:type="dxa" w:w="1247"/>
          </w:tcPr>
          <w:p>
            <w:pPr>
              <w:jc w:val="right"/>
            </w:pPr>
            <w:r/>
            <w:r>
              <w:rPr>
                <w:color w:val="1A1D21"/>
                <w:sz w:val="17"/>
              </w:rPr>
              <w:t>22.50%</w:t>
            </w:r>
          </w:p>
        </w:tc>
        <w:tc>
          <w:tcPr>
            <w:tcW w:type="dxa" w:w="4195"/>
          </w:tcPr>
          <w:p>
            <w:r/>
            <w:r>
              <w:rPr>
                <w:color w:val="1A1D21"/>
                <w:sz w:val="17"/>
              </w:rPr>
              <w:t>the same file</w:t>
            </w:r>
          </w:p>
        </w:tc>
        <w:tc>
          <w:tcPr>
            <w:tcW w:type="dxa" w:w="1247"/>
          </w:tcPr>
          <w:p>
            <w:r/>
            <w:r>
              <w:rPr>
                <w:color w:val="1A1D21"/>
                <w:sz w:val="17"/>
              </w:rPr>
              <w:t>C</w:t>
            </w:r>
          </w:p>
        </w:tc>
      </w:tr>
      <w:tr>
        <w:trPr>
          <w:cantSplit/>
        </w:trPr>
        <w:tc>
          <w:tcPr>
            <w:tcW w:type="dxa" w:w="2268"/>
          </w:tcPr>
          <w:p>
            <w:r/>
            <w:r>
              <w:rPr>
                <w:color w:val="1A1D21"/>
                <w:sz w:val="17"/>
              </w:rPr>
              <w:t>Egyptian inflation, exchange rate, population</w:t>
            </w:r>
          </w:p>
        </w:tc>
        <w:tc>
          <w:tcPr>
            <w:tcW w:type="dxa" w:w="1247"/>
          </w:tcPr>
          <w:p>
            <w:r/>
            <w:r>
              <w:rPr>
                <w:color w:val="1A1D21"/>
                <w:sz w:val="17"/>
              </w:rPr>
              <w:t>series, 2004–2025</w:t>
            </w:r>
          </w:p>
        </w:tc>
        <w:tc>
          <w:tcPr>
            <w:tcW w:type="dxa" w:w="4195"/>
          </w:tcPr>
          <w:p>
            <w:r/>
            <w:r>
              <w:rPr>
                <w:color w:val="1A1D21"/>
                <w:sz w:val="17"/>
              </w:rPr>
              <w:t>World Bank development indicators, retrieved 1 September 2026</w:t>
            </w:r>
          </w:p>
        </w:tc>
        <w:tc>
          <w:tcPr>
            <w:tcW w:type="dxa" w:w="1247"/>
          </w:tcPr>
          <w:p>
            <w:r/>
            <w:r>
              <w:rPr>
                <w:color w:val="1A1D21"/>
                <w:sz w:val="17"/>
              </w:rPr>
              <w:t>C</w:t>
            </w:r>
          </w:p>
        </w:tc>
      </w:tr>
      <w:tr>
        <w:trPr>
          <w:cantSplit/>
        </w:trPr>
        <w:tc>
          <w:tcPr>
            <w:tcW w:type="dxa" w:w="2268"/>
          </w:tcPr>
          <w:p>
            <w:r/>
            <w:r>
              <w:rPr>
                <w:color w:val="1A1D21"/>
                <w:sz w:val="17"/>
              </w:rPr>
              <w:t>Beta against the exchange's published index</w:t>
            </w:r>
          </w:p>
        </w:tc>
        <w:tc>
          <w:tcPr>
            <w:tcW w:type="dxa" w:w="1247"/>
          </w:tcPr>
          <w:p>
            <w:pPr>
              <w:jc w:val="right"/>
            </w:pPr>
            <w:r/>
            <w:r>
              <w:rPr>
                <w:color w:val="1A1D21"/>
                <w:sz w:val="17"/>
              </w:rPr>
              <w:t>1.4687</w:t>
            </w:r>
          </w:p>
        </w:tc>
        <w:tc>
          <w:tcPr>
            <w:tcW w:type="dxa" w:w="4195"/>
          </w:tcPr>
          <w:p>
            <w:r/>
            <w:r>
              <w:rPr>
                <w:color w:val="1A1D21"/>
                <w:sz w:val="17"/>
              </w:rPr>
              <w:t>TMGH's own weekly returns against the Egyptian Exchange's published index, 4.94 years to 2026-08-20, 256 observations</w:t>
            </w:r>
          </w:p>
        </w:tc>
        <w:tc>
          <w:tcPr>
            <w:tcW w:type="dxa" w:w="1247"/>
          </w:tcPr>
          <w:p>
            <w:r/>
            <w:r>
              <w:rPr>
                <w:color w:val="1A1D21"/>
                <w:sz w:val="17"/>
              </w:rPr>
              <w:t>A</w:t>
            </w:r>
          </w:p>
        </w:tc>
      </w:tr>
      <w:tr>
        <w:trPr>
          <w:cantSplit/>
        </w:trPr>
        <w:tc>
          <w:tcPr>
            <w:tcW w:type="dxa" w:w="2268"/>
          </w:tcPr>
          <w:p>
            <w:r/>
            <w:r>
              <w:rPr>
                <w:color w:val="1A1D21"/>
                <w:sz w:val="17"/>
              </w:rPr>
              <w:t>Last traded price</w:t>
            </w:r>
          </w:p>
        </w:tc>
        <w:tc>
          <w:tcPr>
            <w:tcW w:type="dxa" w:w="1247"/>
          </w:tcPr>
          <w:p>
            <w:pPr>
              <w:jc w:val="right"/>
            </w:pPr>
            <w:r/>
            <w:r>
              <w:rPr>
                <w:color w:val="1A1D21"/>
                <w:sz w:val="17"/>
              </w:rPr>
              <w:t>96.60</w:t>
            </w:r>
          </w:p>
        </w:tc>
        <w:tc>
          <w:tcPr>
            <w:tcW w:type="dxa" w:w="4195"/>
          </w:tcPr>
          <w:p>
            <w:r/>
            <w:r>
              <w:rPr>
                <w:color w:val="1A1D21"/>
                <w:sz w:val="17"/>
              </w:rPr>
              <w:t>Egyptian Exchange close for 2 September 2026, the latest price this repository holds for this name, read from the committed supplied price file through gap_today.latest_price_per_ticker(). SUPERSEDES the 23 August 2026 close of 97.80 the study was struck at: a fair value put against a price ten days old is a comparison a reader cannot use, however good the fair value is.</w:t>
            </w:r>
          </w:p>
        </w:tc>
        <w:tc>
          <w:tcPr>
            <w:tcW w:type="dxa" w:w="1247"/>
          </w:tcPr>
          <w:p>
            <w:r/>
            <w:r>
              <w:rPr>
                <w:color w:val="1A1D21"/>
                <w:sz w:val="17"/>
              </w:rPr>
              <w:t>A</w:t>
            </w:r>
          </w:p>
        </w:tc>
      </w:tr>
    </w:tbl>
    <w:p>
      <w:pPr>
        <w:spacing w:after="80"/>
      </w:pPr>
      <w:r>
        <w:rPr>
          <w:b w:val="0"/>
          <w:i w:val="0"/>
          <w:color w:val="1A1D21"/>
          <w:sz w:val="8"/>
        </w:rPr>
      </w:r>
    </w:p>
    <w:tbl>
      <w:tblPr>
        <w:tblStyle w:val="TableGrid"/>
        <w:tblW w:type="auto" w:w="0"/>
        <w:jc w:val="center"/>
        <w:tblLayout w:type="fixed"/>
        <w:tblLook w:firstColumn="1" w:firstRow="1" w:lastColumn="0" w:lastRow="0" w:noHBand="0" w:noVBand="1" w:val="04A0"/>
        <w:tblLayout w:type="fixed"/>
      </w:tblPr>
      <w:tblGrid>
        <w:gridCol w:w="1361"/>
        <w:gridCol w:w="7598"/>
      </w:tblGrid>
      <w:tr>
        <w:trPr>
          <w:tblHeader w:val="true"/>
        </w:trPr>
        <w:tc>
          <w:tcPr>
            <w:tcW w:type="dxa" w:w="1361"/>
          </w:tcPr>
          <w:p>
            <w:r/>
            <w:r>
              <w:rPr>
                <w:b/>
                <w:color w:val="5B6570"/>
                <w:sz w:val="17"/>
              </w:rPr>
              <w:t>Code</w:t>
            </w:r>
          </w:p>
        </w:tc>
        <w:tc>
          <w:tcPr>
            <w:tcW w:type="dxa" w:w="7597"/>
          </w:tcPr>
          <w:p>
            <w:r/>
            <w:r>
              <w:rPr>
                <w:b/>
                <w:color w:val="5B6570"/>
                <w:sz w:val="17"/>
              </w:rPr>
              <w:t>What it means</w:t>
            </w:r>
          </w:p>
        </w:tc>
      </w:tr>
      <w:tr>
        <w:trPr>
          <w:cantSplit/>
        </w:trPr>
        <w:tc>
          <w:tcPr>
            <w:tcW w:type="dxa" w:w="1361"/>
          </w:tcPr>
          <w:p>
            <w:r/>
            <w:r>
              <w:rPr>
                <w:color w:val="1A1D21"/>
                <w:sz w:val="17"/>
              </w:rPr>
              <w:t>A</w:t>
            </w:r>
          </w:p>
        </w:tc>
        <w:tc>
          <w:tcPr>
            <w:tcW w:type="dxa" w:w="7597"/>
          </w:tcPr>
          <w:p>
            <w:r/>
            <w:r>
              <w:rPr>
                <w:color w:val="1A1D21"/>
                <w:sz w:val="17"/>
              </w:rPr>
              <w:t>the company's own audited or reviewed statements, or its own investor documents</w:t>
            </w:r>
          </w:p>
        </w:tc>
      </w:tr>
      <w:tr>
        <w:trPr>
          <w:cantSplit/>
        </w:trPr>
        <w:tc>
          <w:tcPr>
            <w:tcW w:type="dxa" w:w="1361"/>
          </w:tcPr>
          <w:p>
            <w:r/>
            <w:r>
              <w:rPr>
                <w:color w:val="1A1D21"/>
                <w:sz w:val="17"/>
              </w:rPr>
              <w:t>B</w:t>
            </w:r>
          </w:p>
        </w:tc>
        <w:tc>
          <w:tcPr>
            <w:tcW w:type="dxa" w:w="7597"/>
          </w:tcPr>
          <w:p>
            <w:r/>
            <w:r>
              <w:rPr>
                <w:color w:val="1A1D21"/>
                <w:sz w:val="17"/>
              </w:rPr>
              <w:t>an exchange or regulator filing</w:t>
            </w:r>
          </w:p>
        </w:tc>
      </w:tr>
      <w:tr>
        <w:trPr>
          <w:cantSplit/>
        </w:trPr>
        <w:tc>
          <w:tcPr>
            <w:tcW w:type="dxa" w:w="1361"/>
          </w:tcPr>
          <w:p>
            <w:r/>
            <w:r>
              <w:rPr>
                <w:color w:val="1A1D21"/>
                <w:sz w:val="17"/>
              </w:rPr>
              <w:t>C</w:t>
            </w:r>
          </w:p>
        </w:tc>
        <w:tc>
          <w:tcPr>
            <w:tcW w:type="dxa" w:w="7597"/>
          </w:tcPr>
          <w:p>
            <w:r/>
            <w:r>
              <w:rPr>
                <w:color w:val="1A1D21"/>
                <w:sz w:val="17"/>
              </w:rPr>
              <w:t>a named third party, used only for country-level inputs</w:t>
            </w:r>
          </w:p>
        </w:tc>
      </w:tr>
      <w:tr>
        <w:trPr>
          <w:cantSplit/>
        </w:trPr>
        <w:tc>
          <w:tcPr>
            <w:tcW w:type="dxa" w:w="1361"/>
          </w:tcPr>
          <w:p>
            <w:r/>
            <w:r>
              <w:rPr>
                <w:color w:val="1A1D21"/>
                <w:sz w:val="17"/>
              </w:rPr>
              <w:t>DERIVED</w:t>
            </w:r>
          </w:p>
        </w:tc>
        <w:tc>
          <w:tcPr>
            <w:tcW w:type="dxa" w:w="7597"/>
          </w:tcPr>
          <w:p>
            <w:r/>
            <w:r>
              <w:rPr>
                <w:color w:val="1A1D21"/>
                <w:sz w:val="17"/>
              </w:rPr>
              <w:t>recovered from the statement's own arithmetic</w:t>
            </w:r>
          </w:p>
        </w:tc>
      </w:tr>
    </w:tbl>
    <w:p>
      <w:pPr>
        <w:spacing w:after="200"/>
      </w:pPr>
      <w:r>
        <w:rPr>
          <w:b w:val="0"/>
          <w:i/>
          <w:color w:val="5B6570"/>
          <w:sz w:val="16"/>
        </w:rPr>
        <w:t>No country-level source is ever used for a figure about the company itself, and no competitor is ever a source for TMG's own reported numbers.</w:t>
      </w:r>
    </w:p>
    <w:p>
      <w:pPr>
        <w:pStyle w:val="Heading1"/>
      </w:pPr>
      <w:r>
        <w:t>Judgements, and what would overturn each</w:t>
      </w:r>
    </w:p>
    <w:tbl>
      <w:tblPr>
        <w:tblStyle w:val="TableGrid"/>
        <w:tblW w:type="auto" w:w="0"/>
        <w:jc w:val="center"/>
        <w:tblLayout w:type="fixed"/>
        <w:tblLook w:firstColumn="1" w:firstRow="1" w:lastColumn="0" w:lastRow="0" w:noHBand="0" w:noVBand="1" w:val="04A0"/>
        <w:tblLayout w:type="fixed"/>
      </w:tblPr>
      <w:tblGrid>
        <w:gridCol w:w="2041"/>
        <w:gridCol w:w="3742"/>
        <w:gridCol w:w="3175"/>
      </w:tblGrid>
      <w:tr>
        <w:trPr>
          <w:tblHeader w:val="true"/>
        </w:trPr>
        <w:tc>
          <w:tcPr>
            <w:tcW w:type="dxa" w:w="2041"/>
          </w:tcPr>
          <w:p>
            <w:r/>
            <w:r>
              <w:rPr>
                <w:b/>
                <w:color w:val="5B6570"/>
                <w:sz w:val="17"/>
              </w:rPr>
              <w:t>Judgement</w:t>
            </w:r>
          </w:p>
        </w:tc>
        <w:tc>
          <w:tcPr>
            <w:tcW w:type="dxa" w:w="3742"/>
          </w:tcPr>
          <w:p>
            <w:r/>
            <w:r>
              <w:rPr>
                <w:b/>
                <w:color w:val="5B6570"/>
                <w:sz w:val="17"/>
              </w:rPr>
              <w:t>What was decided</w:t>
            </w:r>
          </w:p>
        </w:tc>
        <w:tc>
          <w:tcPr>
            <w:tcW w:type="dxa" w:w="3175"/>
          </w:tcPr>
          <w:p>
            <w:r/>
            <w:r>
              <w:rPr>
                <w:b/>
                <w:color w:val="5B6570"/>
                <w:sz w:val="17"/>
              </w:rPr>
              <w:t>What would overturn it</w:t>
            </w:r>
          </w:p>
        </w:tc>
      </w:tr>
      <w:tr>
        <w:trPr>
          <w:cantSplit/>
        </w:trPr>
        <w:tc>
          <w:tcPr>
            <w:tcW w:type="dxa" w:w="2041"/>
          </w:tcPr>
          <w:p>
            <w:r/>
            <w:r>
              <w:rPr>
                <w:color w:val="1A1D21"/>
                <w:sz w:val="17"/>
              </w:rPr>
              <w:t>How fast the order book converts</w:t>
            </w:r>
          </w:p>
        </w:tc>
        <w:tc>
          <w:tcPr>
            <w:tcW w:type="dxa" w:w="3742"/>
          </w:tcPr>
          <w:p>
            <w:r/>
            <w:r>
              <w:rPr>
                <w:color w:val="1A1D21"/>
                <w:sz w:val="17"/>
              </w:rPr>
              <w:t>not decided — the study publishes a slower reading of 14 years and a faster one of 10 years, and never averages them</w:t>
            </w:r>
          </w:p>
        </w:tc>
        <w:tc>
          <w:tcPr>
            <w:tcW w:type="dxa" w:w="3175"/>
          </w:tcPr>
          <w:p>
            <w:r/>
            <w:r>
              <w:rPr>
                <w:color w:val="1A1D21"/>
                <w:sz w:val="17"/>
              </w:rPr>
              <w:t>a published delivery schedule by project</w:t>
            </w:r>
          </w:p>
        </w:tc>
      </w:tr>
      <w:tr>
        <w:trPr>
          <w:cantSplit/>
        </w:trPr>
        <w:tc>
          <w:tcPr>
            <w:tcW w:type="dxa" w:w="2041"/>
          </w:tcPr>
          <w:p>
            <w:r/>
            <w:r>
              <w:rPr>
                <w:color w:val="1A1D21"/>
                <w:sz w:val="17"/>
              </w:rPr>
              <w:t>How the minority interest is deducted</w:t>
            </w:r>
          </w:p>
        </w:tc>
        <w:tc>
          <w:tcPr>
            <w:tcW w:type="dxa" w:w="3742"/>
          </w:tcPr>
          <w:p>
            <w:r/>
            <w:r>
              <w:rPr>
                <w:color w:val="1A1D21"/>
                <w:sz w:val="17"/>
              </w:rPr>
              <w:t>at its share of value, proxied by the filed profit share (adopted); at book and pro rata shown beside it</w:t>
            </w:r>
          </w:p>
        </w:tc>
        <w:tc>
          <w:tcPr>
            <w:tcW w:type="dxa" w:w="3175"/>
          </w:tcPr>
          <w:p>
            <w:r/>
            <w:r>
              <w:rPr>
                <w:color w:val="1A1D21"/>
                <w:sz w:val="17"/>
              </w:rPr>
              <w:t>a disclosure of TMG's economic share of each project company</w:t>
            </w:r>
          </w:p>
        </w:tc>
      </w:tr>
      <w:tr>
        <w:trPr>
          <w:cantSplit/>
        </w:trPr>
        <w:tc>
          <w:tcPr>
            <w:tcW w:type="dxa" w:w="2041"/>
          </w:tcPr>
          <w:p>
            <w:r/>
            <w:r>
              <w:rPr>
                <w:color w:val="1A1D21"/>
                <w:sz w:val="17"/>
              </w:rPr>
              <w:t>Which equity risk premium to use</w:t>
            </w:r>
          </w:p>
        </w:tc>
        <w:tc>
          <w:tcPr>
            <w:tcW w:type="dxa" w:w="3742"/>
          </w:tcPr>
          <w:p>
            <w:r/>
            <w:r>
              <w:rPr>
                <w:color w:val="1A1D21"/>
                <w:sz w:val="17"/>
              </w:rPr>
              <w:t>both, published side by side</w:t>
            </w:r>
          </w:p>
        </w:tc>
        <w:tc>
          <w:tcPr>
            <w:tcW w:type="dxa" w:w="3175"/>
          </w:tcPr>
          <w:p>
            <w:r/>
            <w:r>
              <w:rPr>
                <w:color w:val="1A1D21"/>
                <w:sz w:val="17"/>
              </w:rPr>
              <w:t>nothing; the two measures are genuinely different questions</w:t>
            </w:r>
          </w:p>
        </w:tc>
      </w:tr>
      <w:tr>
        <w:trPr>
          <w:cantSplit/>
        </w:trPr>
        <w:tc>
          <w:tcPr>
            <w:tcW w:type="dxa" w:w="2041"/>
          </w:tcPr>
          <w:p>
            <w:r/>
            <w:r>
              <w:rPr>
                <w:color w:val="1A1D21"/>
                <w:sz w:val="17"/>
              </w:rPr>
              <w:t>Whether to extrapolate the current sales rate</w:t>
            </w:r>
          </w:p>
        </w:tc>
        <w:tc>
          <w:tcPr>
            <w:tcW w:type="dxa" w:w="3742"/>
          </w:tcPr>
          <w:p>
            <w:r/>
            <w:r>
              <w:rPr>
                <w:color w:val="1A1D21"/>
                <w:sz w:val="17"/>
              </w:rPr>
              <w:t>no. TMG sold about ten times what it delivered in 2025, and that is not a steady state; sales are held flat in real terms, not extrapolated</w:t>
            </w:r>
          </w:p>
        </w:tc>
        <w:tc>
          <w:tcPr>
            <w:tcW w:type="dxa" w:w="3175"/>
          </w:tcPr>
          <w:p>
            <w:r/>
            <w:r>
              <w:rPr>
                <w:color w:val="1A1D21"/>
                <w:sz w:val="17"/>
              </w:rPr>
              <w:t>sustained sales at the current rate alongside deliveries rising to meet them</w:t>
            </w:r>
          </w:p>
        </w:tc>
      </w:tr>
      <w:tr>
        <w:trPr>
          <w:cantSplit/>
        </w:trPr>
        <w:tc>
          <w:tcPr>
            <w:tcW w:type="dxa" w:w="2041"/>
          </w:tcPr>
          <w:p>
            <w:r/>
            <w:r>
              <w:rPr>
                <w:color w:val="1A1D21"/>
                <w:sz w:val="17"/>
              </w:rPr>
              <w:t>Whether to correct the finance-cost forecast</w:t>
            </w:r>
          </w:p>
        </w:tc>
        <w:tc>
          <w:tcPr>
            <w:tcW w:type="dxa" w:w="3742"/>
          </w:tcPr>
          <w:p>
            <w:r/>
            <w:r>
              <w:rPr>
                <w:color w:val="1A1D21"/>
                <w:sz w:val="17"/>
              </w:rPr>
              <w:t>no. A correction passed every statistical test and was rejected because the reported charge is not interest on borrowings alone</w:t>
            </w:r>
          </w:p>
        </w:tc>
        <w:tc>
          <w:tcPr>
            <w:tcW w:type="dxa" w:w="3175"/>
          </w:tcPr>
          <w:p>
            <w:r/>
            <w:r>
              <w:rPr>
                <w:color w:val="1A1D21"/>
                <w:sz w:val="17"/>
              </w:rPr>
              <w:t>a disclosure splitting interest on borrowings from the financing component of customer contracts</w:t>
            </w:r>
          </w:p>
        </w:tc>
      </w:tr>
      <w:tr>
        <w:trPr>
          <w:cantSplit/>
        </w:trPr>
        <w:tc>
          <w:tcPr>
            <w:tcW w:type="dxa" w:w="2041"/>
          </w:tcPr>
          <w:p>
            <w:r/>
            <w:r>
              <w:rPr>
                <w:color w:val="1A1D21"/>
                <w:sz w:val="17"/>
              </w:rPr>
              <w:t>What margin to carry forward</w:t>
            </w:r>
          </w:p>
        </w:tc>
        <w:tc>
          <w:tcPr>
            <w:tcW w:type="dxa" w:w="3742"/>
          </w:tcPr>
          <w:p>
            <w:r/>
            <w:r>
              <w:rPr>
                <w:color w:val="1A1D21"/>
                <w:sz w:val="17"/>
              </w:rPr>
              <w:t>the ratio from the reviewed first half of 2026, held flat. The margin is an output of that ratio and is never set directly</w:t>
            </w:r>
          </w:p>
        </w:tc>
        <w:tc>
          <w:tcPr>
            <w:tcW w:type="dxa" w:w="3175"/>
          </w:tcPr>
          <w:p>
            <w:r/>
            <w:r>
              <w:rPr>
                <w:color w:val="1A1D21"/>
                <w:sz w:val="17"/>
              </w:rPr>
              <w:t>a structural change in the cost base with a measured direction in the company's own figures</w:t>
            </w:r>
          </w:p>
        </w:tc>
      </w:tr>
      <w:tr>
        <w:trPr>
          <w:cantSplit/>
        </w:trPr>
        <w:tc>
          <w:tcPr>
            <w:tcW w:type="dxa" w:w="2041"/>
          </w:tcPr>
          <w:p>
            <w:r/>
            <w:r>
              <w:rPr>
                <w:color w:val="1A1D21"/>
                <w:sz w:val="17"/>
              </w:rPr>
              <w:t>Whether to build unit economics</w:t>
            </w:r>
          </w:p>
        </w:tc>
        <w:tc>
          <w:tcPr>
            <w:tcW w:type="dxa" w:w="3742"/>
          </w:tcPr>
          <w:p>
            <w:r/>
            <w:r>
              <w:rPr>
                <w:color w:val="1A1D21"/>
                <w:sz w:val="17"/>
              </w:rPr>
              <w:t>no — the disclosure does not support it, and the study says so rather than inventing an average unit</w:t>
            </w:r>
          </w:p>
        </w:tc>
        <w:tc>
          <w:tcPr>
            <w:tcW w:type="dxa" w:w="3175"/>
          </w:tcPr>
          <w:p>
            <w:r/>
            <w:r>
              <w:rPr>
                <w:color w:val="1A1D21"/>
                <w:sz w:val="17"/>
              </w:rPr>
              <w:t>disclosure of units and areas by project</w:t>
            </w:r>
          </w:p>
        </w:tc>
      </w:tr>
    </w:tbl>
    <w:p>
      <w:pPr>
        <w:spacing w:after="80"/>
      </w:pPr>
      <w:r>
        <w:rPr>
          <w:b w:val="0"/>
          <w:i w:val="0"/>
          <w:color w:val="1A1D21"/>
          <w:sz w:val="8"/>
        </w:rPr>
      </w:r>
    </w:p>
    <w:p>
      <w:pPr>
        <w:pStyle w:val="Heading1"/>
      </w:pPr>
      <w:r>
        <w:t>What was looked for and not found</w:t>
      </w:r>
    </w:p>
    <w:tbl>
      <w:tblPr>
        <w:tblStyle w:val="TableGrid"/>
        <w:tblW w:type="auto" w:w="0"/>
        <w:jc w:val="center"/>
        <w:tblLayout w:type="fixed"/>
        <w:tblLook w:firstColumn="1" w:firstRow="1" w:lastColumn="0" w:lastRow="0" w:noHBand="0" w:noVBand="1" w:val="04A0"/>
        <w:tblLayout w:type="fixed"/>
      </w:tblPr>
      <w:tblGrid>
        <w:gridCol w:w="2381"/>
        <w:gridCol w:w="6577"/>
      </w:tblGrid>
      <w:tr>
        <w:trPr>
          <w:tblHeader w:val="true"/>
        </w:trPr>
        <w:tc>
          <w:tcPr>
            <w:tcW w:type="dxa" w:w="2381"/>
          </w:tcPr>
          <w:p>
            <w:r/>
            <w:r>
              <w:rPr>
                <w:b/>
                <w:color w:val="5B6570"/>
                <w:sz w:val="17"/>
              </w:rPr>
              <w:t>What</w:t>
            </w:r>
          </w:p>
        </w:tc>
        <w:tc>
          <w:tcPr>
            <w:tcW w:type="dxa" w:w="6576"/>
          </w:tcPr>
          <w:p>
            <w:r/>
            <w:r>
              <w:rPr>
                <w:b/>
                <w:color w:val="5B6570"/>
                <w:sz w:val="17"/>
              </w:rPr>
              <w:t>What is missing, and what would close it</w:t>
            </w:r>
          </w:p>
        </w:tc>
      </w:tr>
      <w:tr>
        <w:trPr>
          <w:cantSplit/>
        </w:trPr>
        <w:tc>
          <w:tcPr>
            <w:tcW w:type="dxa" w:w="2381"/>
          </w:tcPr>
          <w:p>
            <w:r/>
            <w:r>
              <w:rPr>
                <w:color w:val="1A1D21"/>
                <w:sz w:val="17"/>
              </w:rPr>
              <w:t>unit economics</w:t>
            </w:r>
          </w:p>
        </w:tc>
        <w:tc>
          <w:tcPr>
            <w:tcW w:type="dxa" w:w="6576"/>
          </w:tcPr>
          <w:p>
            <w:r/>
            <w:r>
              <w:rPr>
                <w:color w:val="1A1D21"/>
                <w:sz w:val="17"/>
              </w:rPr>
              <w:t>TMG publishes unit counts only occasionally (3,196 delivered in FY2025; 6,102 units sold in FY2022) and never as a continuous series, and publishes no average unit area, price per sqm or construction cost per sqm. Unit economics cannot be built without inventing them. WHAT WOULD CLOSE IT: a disclosure of units sold and delivered by project with average areas, as several regional peers publish.</w:t>
            </w:r>
          </w:p>
        </w:tc>
      </w:tr>
      <w:tr>
        <w:trPr>
          <w:cantSplit/>
        </w:trPr>
        <w:tc>
          <w:tcPr>
            <w:tcW w:type="dxa" w:w="2381"/>
          </w:tcPr>
          <w:p>
            <w:r/>
            <w:r>
              <w:rPr>
                <w:color w:val="1A1D21"/>
                <w:sz w:val="17"/>
              </w:rPr>
              <w:t>finance cost split</w:t>
            </w:r>
          </w:p>
        </w:tc>
        <w:tc>
          <w:tcPr>
            <w:tcW w:type="dxa" w:w="6576"/>
          </w:tcPr>
          <w:p>
            <w:r/>
            <w:r>
              <w:rPr>
                <w:color w:val="1A1D21"/>
                <w:sz w:val="17"/>
              </w:rPr>
              <w:t>Finance cost is disclosed as finance expenses plus bank charges, with no split between interest on borrowings and the unwinding of the significant financing component on customer contracts. The implied rate on opening interest-bearing debt -- which section 1.6 computes and prints -- is therefore not a borrowing rate. WHAT WOULD CLOSE IT: the split, or a disclosed weighted average borrowing rate.</w:t>
            </w:r>
          </w:p>
        </w:tc>
      </w:tr>
      <w:tr>
        <w:trPr>
          <w:cantSplit/>
        </w:trPr>
        <w:tc>
          <w:tcPr>
            <w:tcW w:type="dxa" w:w="2381"/>
          </w:tcPr>
          <w:p>
            <w:r/>
            <w:r>
              <w:rPr>
                <w:color w:val="1A1D21"/>
                <w:sz w:val="17"/>
              </w:rPr>
              <w:t>segment capex</w:t>
            </w:r>
          </w:p>
        </w:tc>
        <w:tc>
          <w:tcPr>
            <w:tcW w:type="dxa" w:w="6576"/>
          </w:tcPr>
          <w:p>
            <w:r/>
            <w:r>
              <w:rPr>
                <w:color w:val="1A1D21"/>
                <w:sz w:val="17"/>
              </w:rPr>
              <w:t>Capital expenditure is not disclosed by segment, so the hospitality build programme cannot be separated from the development one. WHAT WOULD CLOSE IT: a segment note carrying additions to fixed assets and assets under construction.</w:t>
            </w:r>
          </w:p>
        </w:tc>
      </w:tr>
      <w:tr>
        <w:trPr>
          <w:cantSplit/>
        </w:trPr>
        <w:tc>
          <w:tcPr>
            <w:tcW w:type="dxa" w:w="2381"/>
          </w:tcPr>
          <w:p>
            <w:r/>
            <w:r>
              <w:rPr>
                <w:color w:val="1A1D21"/>
                <w:sz w:val="17"/>
              </w:rPr>
              <w:t>banan economics</w:t>
            </w:r>
          </w:p>
        </w:tc>
        <w:tc>
          <w:tcPr>
            <w:tcW w:type="dxa" w:w="6576"/>
          </w:tcPr>
          <w:p>
            <w:r/>
            <w:r>
              <w:rPr>
                <w:color w:val="1A1D21"/>
                <w:sz w:val="17"/>
              </w:rPr>
              <w:t>The Saudi project's contract value, cost to complete and margin are not disclosed separately, only its share of segment revenue. WHAT WOULD CLOSE IT: a geographic segment note.</w:t>
            </w:r>
          </w:p>
        </w:tc>
      </w:tr>
      <w:tr>
        <w:trPr>
          <w:cantSplit/>
        </w:trPr>
        <w:tc>
          <w:tcPr>
            <w:tcW w:type="dxa" w:w="2381"/>
          </w:tcPr>
          <w:p>
            <w:r/>
            <w:r>
              <w:rPr>
                <w:color w:val="1A1D21"/>
                <w:sz w:val="17"/>
              </w:rPr>
              <w:t>The company's own borrowing rate</w:t>
            </w:r>
          </w:p>
        </w:tc>
        <w:tc>
          <w:tcPr>
            <w:tcW w:type="dxa" w:w="6576"/>
          </w:tcPr>
          <w:p>
            <w:r/>
            <w:r>
              <w:rPr>
                <w:color w:val="1A1D21"/>
                <w:sz w:val="17"/>
              </w:rPr>
              <w:t>no facility pricing appears in any statement or release held, so the cost of debt is built from the sovereign yield plus a stated spread and labelled as such</w:t>
            </w:r>
          </w:p>
        </w:tc>
      </w:tr>
      <w:tr>
        <w:trPr>
          <w:cantSplit/>
        </w:trPr>
        <w:tc>
          <w:tcPr>
            <w:tcW w:type="dxa" w:w="2381"/>
          </w:tcPr>
          <w:p>
            <w:r/>
            <w:r>
              <w:rPr>
                <w:color w:val="1A1D21"/>
                <w:sz w:val="17"/>
              </w:rPr>
              <w:t>Competitors' financial statements</w:t>
            </w:r>
          </w:p>
        </w:tc>
        <w:tc>
          <w:tcPr>
            <w:tcW w:type="dxa" w:w="6576"/>
          </w:tcPr>
          <w:p>
            <w:r/>
            <w:r>
              <w:rPr>
                <w:color w:val="1A1D21"/>
                <w:sz w:val="17"/>
              </w:rPr>
              <w:t>not sourced for this edition. A competitor multiple built on an unsourced denominator would be a number wearing a decimal point, so the relative lens is built on TMGH's own history instead and the competitor list carries prices only</w:t>
            </w:r>
          </w:p>
        </w:tc>
      </w:tr>
      <w:tr>
        <w:trPr>
          <w:cantSplit/>
        </w:trPr>
        <w:tc>
          <w:tcPr>
            <w:tcW w:type="dxa" w:w="2381"/>
          </w:tcPr>
          <w:p>
            <w:r/>
            <w:r>
              <w:rPr>
                <w:color w:val="1A1D21"/>
                <w:sz w:val="17"/>
              </w:rPr>
              <w:t>Results releases for the first half of 2009 and the second quarter of 2017</w:t>
            </w:r>
          </w:p>
        </w:tc>
        <w:tc>
          <w:tcPr>
            <w:tcW w:type="dxa" w:w="6576"/>
          </w:tcPr>
          <w:p>
            <w:r/>
            <w:r>
              <w:rPr>
                <w:color w:val="1A1D21"/>
                <w:sz w:val="17"/>
              </w:rPr>
              <w:t>linked from the company's own investor-relations page but returning errors; both attempts are logged rather than passed over in silence</w:t>
            </w:r>
          </w:p>
        </w:tc>
      </w:tr>
    </w:tbl>
    <w:p>
      <w:pPr>
        <w:spacing w:after="80"/>
      </w:pPr>
      <w:r>
        <w:rPr>
          <w:b w:val="0"/>
          <w:i w:val="0"/>
          <w:color w:val="1A1D21"/>
          <w:sz w:val="8"/>
        </w:rPr>
      </w:r>
    </w:p>
    <w:p>
      <w:pPr>
        <w:pStyle w:val="Heading1"/>
      </w:pPr>
      <w:r>
        <w:t>Where two sources disagree</w:t>
      </w:r>
    </w:p>
    <w:tbl>
      <w:tblPr>
        <w:tblStyle w:val="TableGrid"/>
        <w:tblW w:type="auto" w:w="0"/>
        <w:jc w:val="center"/>
        <w:tblLayout w:type="fixed"/>
        <w:tblLook w:firstColumn="1" w:firstRow="1" w:lastColumn="0" w:lastRow="0" w:noHBand="0" w:noVBand="1" w:val="04A0"/>
        <w:tblLayout w:type="fixed"/>
      </w:tblPr>
      <w:tblGrid>
        <w:gridCol w:w="1928"/>
        <w:gridCol w:w="4082"/>
        <w:gridCol w:w="3062"/>
      </w:tblGrid>
      <w:tr>
        <w:trPr>
          <w:tblHeader w:val="true"/>
        </w:trPr>
        <w:tc>
          <w:tcPr>
            <w:tcW w:type="dxa" w:w="1928"/>
          </w:tcPr>
          <w:p>
            <w:r/>
            <w:r>
              <w:rPr>
                <w:b/>
                <w:color w:val="5B6570"/>
                <w:sz w:val="17"/>
              </w:rPr>
              <w:t>Figure</w:t>
            </w:r>
          </w:p>
        </w:tc>
        <w:tc>
          <w:tcPr>
            <w:tcW w:type="dxa" w:w="4082"/>
          </w:tcPr>
          <w:p>
            <w:r/>
            <w:r>
              <w:rPr>
                <w:b/>
                <w:color w:val="5B6570"/>
                <w:sz w:val="17"/>
              </w:rPr>
              <w:t>The disagreement</w:t>
            </w:r>
          </w:p>
        </w:tc>
        <w:tc>
          <w:tcPr>
            <w:tcW w:type="dxa" w:w="3061"/>
          </w:tcPr>
          <w:p>
            <w:r/>
            <w:r>
              <w:rPr>
                <w:b/>
                <w:color w:val="5B6570"/>
                <w:sz w:val="17"/>
              </w:rPr>
              <w:t>What this study does</w:t>
            </w:r>
          </w:p>
        </w:tc>
      </w:tr>
      <w:tr>
        <w:trPr>
          <w:cantSplit/>
        </w:trPr>
        <w:tc>
          <w:tcPr>
            <w:tcW w:type="dxa" w:w="1928"/>
          </w:tcPr>
          <w:p>
            <w:r/>
            <w:r>
              <w:rPr>
                <w:color w:val="1A1D21"/>
                <w:sz w:val="17"/>
              </w:rPr>
              <w:t>2024 gross profit, net profit and earnings per share</w:t>
            </w:r>
          </w:p>
        </w:tc>
        <w:tc>
          <w:tcPr>
            <w:tcW w:type="dxa" w:w="4082"/>
          </w:tcPr>
          <w:p>
            <w:r/>
            <w:r>
              <w:rPr>
                <w:color w:val="1A1D21"/>
                <w:sz w:val="17"/>
              </w:rPr>
              <w:t>the 2024 statements report EGP 15,300 million of gross profit and EGP 10,723 million of attributable profit; the 2025 statements restate the same year to EGP 14,002 million and EGP 9,025 million after completing the accounting for the hotel acquisition</w:t>
            </w:r>
          </w:p>
        </w:tc>
        <w:tc>
          <w:tcPr>
            <w:tcW w:type="dxa" w:w="3061"/>
          </w:tcPr>
          <w:p>
            <w:r/>
            <w:r>
              <w:rPr>
                <w:color w:val="1A1D21"/>
                <w:sz w:val="17"/>
              </w:rPr>
              <w:t>uses the figures as first reported for the historical record and shows the restatement beside them; neither is discarded</w:t>
            </w:r>
          </w:p>
        </w:tc>
      </w:tr>
      <w:tr>
        <w:trPr>
          <w:cantSplit/>
        </w:trPr>
        <w:tc>
          <w:tcPr>
            <w:tcW w:type="dxa" w:w="1928"/>
          </w:tcPr>
          <w:p>
            <w:r/>
            <w:r>
              <w:rPr>
                <w:color w:val="1A1D21"/>
                <w:sz w:val="17"/>
              </w:rPr>
              <w:t>2023 new contracted sales</w:t>
            </w:r>
          </w:p>
        </w:tc>
        <w:tc>
          <w:tcPr>
            <w:tcW w:type="dxa" w:w="4082"/>
          </w:tcPr>
          <w:p>
            <w:r/>
            <w:r>
              <w:rPr>
                <w:color w:val="1A1D21"/>
                <w:sz w:val="17"/>
              </w:rPr>
              <w:t>the company reports both a total of EGP 142.8 billion and a core figure of EGP 94.9 billion, the difference being a large non-core land transaction</w:t>
            </w:r>
          </w:p>
        </w:tc>
        <w:tc>
          <w:tcPr>
            <w:tcW w:type="dxa" w:w="3061"/>
          </w:tcPr>
          <w:p>
            <w:r/>
            <w:r>
              <w:rPr>
                <w:color w:val="1A1D21"/>
                <w:sz w:val="17"/>
              </w:rPr>
              <w:t>uses the total, consistently with every other year, and records the core figure beside it</w:t>
            </w:r>
          </w:p>
        </w:tc>
      </w:tr>
      <w:tr>
        <w:trPr>
          <w:cantSplit/>
        </w:trPr>
        <w:tc>
          <w:tcPr>
            <w:tcW w:type="dxa" w:w="1928"/>
          </w:tcPr>
          <w:p>
            <w:r/>
            <w:r>
              <w:rPr>
                <w:color w:val="1A1D21"/>
                <w:sz w:val="17"/>
              </w:rPr>
              <w:t>The discount rate</w:t>
            </w:r>
          </w:p>
        </w:tc>
        <w:tc>
          <w:tcPr>
            <w:tcW w:type="dxa" w:w="4082"/>
          </w:tcPr>
          <w:p>
            <w:r/>
            <w:r>
              <w:rPr>
                <w:color w:val="1A1D21"/>
                <w:sz w:val="17"/>
              </w:rPr>
              <w:t>the method used here gives 31.56%; the price the shares trade at implies 17.6% to 32.3%</w:t>
            </w:r>
          </w:p>
        </w:tc>
        <w:tc>
          <w:tcPr>
            <w:tcW w:type="dxa" w:w="3061"/>
          </w:tcPr>
          <w:p>
            <w:r/>
            <w:r>
              <w:rPr>
                <w:color w:val="1A1D21"/>
                <w:sz w:val="17"/>
              </w:rPr>
              <w:t>publishes both and says plainly that the difference is the disagreement</w:t>
            </w:r>
          </w:p>
        </w:tc>
      </w:tr>
    </w:tbl>
    <w:p>
      <w:pPr>
        <w:spacing w:after="80"/>
      </w:pPr>
      <w:r>
        <w:rPr>
          <w:b w:val="0"/>
          <w:i w:val="0"/>
          <w:color w:val="1A1D21"/>
          <w:sz w:val="8"/>
        </w:rPr>
      </w:r>
    </w:p>
    <w:p>
      <w:pPr>
        <w:pStyle w:val="Heading1"/>
      </w:pPr>
      <w:r>
        <w:t>How these numbers were checked</w:t>
      </w:r>
    </w:p>
    <w:p>
      <w:pPr>
        <w:pStyle w:val="ListBullet"/>
        <w:spacing w:after="60"/>
      </w:pPr>
      <w:r>
        <w:rPr>
          <w:color w:val="1A1D21"/>
          <w:sz w:val="20"/>
        </w:rPr>
        <w:t>Every statement was accepted only if it added up. The segment gross profits were checked against their own revenue and cost lines, their sum against the reported total, and the profit waterfall against the bottom line, for every year used. Where a figure did not add up it was dropped rather than adjusted.</w:t>
      </w:r>
    </w:p>
    <w:p>
      <w:pPr>
        <w:pStyle w:val="ListBullet"/>
        <w:spacing w:after="60"/>
      </w:pPr>
      <w:r>
        <w:rPr>
          <w:color w:val="1A1D21"/>
          <w:sz w:val="20"/>
        </w:rPr>
        <w:t>The 2025 balance sheet and the June 2026 balance sheet were checked to balance to the currency unit.</w:t>
      </w:r>
    </w:p>
    <w:p>
      <w:pPr>
        <w:pStyle w:val="ListBullet"/>
        <w:spacing w:after="60"/>
      </w:pPr>
      <w:r>
        <w:rPr>
          <w:color w:val="1A1D21"/>
          <w:sz w:val="20"/>
        </w:rPr>
        <w:t>Several of the company's older documents survive only as scans. Figures read from those were checked against the same figure quoted in a later document wherever one existed, and three fiscal years were left out of the historical record entirely because their tables could not be read reliably. Nothing was estimated to fill those years.</w:t>
      </w:r>
    </w:p>
    <w:p>
      <w:pPr>
        <w:pStyle w:val="ListBullet"/>
        <w:spacing w:after="60"/>
      </w:pPr>
      <w:r>
        <w:rPr>
          <w:color w:val="1A1D21"/>
          <w:sz w:val="20"/>
        </w:rPr>
        <w:t>The forecasting method was tested against the company's own record before being used on its future, and the results are reported in section 1.6 of the study — including the cases where the method performs worse than assuming last year's figure repeats.</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83" w:lineRule="auto"/>
    </w:pPr>
    <w:rPr>
      <w:rFonts w:ascii="Georgia" w:hAnsi="Georgia"/>
      <w:color w:val="1A1D21"/>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Georgia" w:hAnsi="Georgia"/>
      <w:b/>
      <w:bCs/>
      <w:color w:val="2E5E4E"/>
      <w:sz w:val="32"/>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Georgia" w:hAnsi="Georgia"/>
      <w:b/>
      <w:bCs/>
      <w:color w:val="1A1D21"/>
      <w:sz w:val="25"/>
      <w:szCs w:val="26"/>
    </w:rPr>
  </w:style>
  <w:style w:type="paragraph" w:styleId="Heading3">
    <w:name w:val="heading 3"/>
    <w:basedOn w:val="Normal"/>
    <w:next w:val="Normal"/>
    <w:link w:val="Heading3Char"/>
    <w:uiPriority w:val="9"/>
    <w:unhideWhenUsed/>
    <w:qFormat/>
    <w:rsid w:val="00FC693F"/>
    <w:pPr>
      <w:keepNext/>
      <w:keepLines/>
      <w:spacing w:before="280" w:after="100"/>
      <w:outlineLvl w:val="2"/>
    </w:pPr>
    <w:rPr>
      <w:rFonts w:asciiTheme="majorHAnsi" w:eastAsiaTheme="majorEastAsia" w:hAnsiTheme="majorHAnsi" w:cstheme="majorBidi" w:ascii="Georgia" w:hAnsi="Georgia"/>
      <w:b/>
      <w:bCs/>
      <w:color w:val="1A1D21"/>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