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88888"/>
          <w:sz w:val="22"/>
          <w:szCs w:val="22"/>
        </w:rPr>
        <w:t xml:space="preserve">TESTAHIL</w:t>
      </w:r>
    </w:p>
    <w:p>
      <w:pPr>
        <w:spacing w:after="80"/>
      </w:pPr>
      <w:r>
        <w:rPr>
          <w:b/>
          <w:bCs/>
          <w:sz w:val="44"/>
          <w:szCs w:val="44"/>
        </w:rPr>
        <w:t xml:space="preserve">The Technical Lessons Register</w:t>
      </w:r>
    </w:p>
    <w:p>
      <w:pPr>
        <w:spacing w:after="120"/>
      </w:pPr>
      <w:r>
        <w:rPr>
          <w:i/>
          <w:iCs/>
          <w:sz w:val="22"/>
          <w:szCs w:val="22"/>
        </w:rPr>
        <w:t xml:space="preserve">Everything the price history has taught us about reading a chart, in plain language, and how far each lesson travels.</w:t>
      </w:r>
    </w:p>
    <w:p>
      <w:pPr>
        <w:spacing w:after="120"/>
      </w:pPr>
      <w:r>
        <w:rPr>
          <w:color w:val="666666"/>
          <w:sz w:val="18"/>
          <w:szCs w:val="18"/>
        </w:rPr>
        <w:t xml:space="preserve">Generated 31 August 2026 from the register's own source. Not hand-written, and not hand-editable — every figure is resolved from the calibration results file at build time, so the register cannot drift from the measurement that produced it.</w:t>
      </w:r>
    </w:p>
    <w:p>
      <w:pPr>
        <w:spacing w:after="120"/>
      </w:pPr>
      <w:r>
        <w:rPr>
          <w:color w:val="666666"/>
          <w:sz w:val="18"/>
          <w:szCs w:val="18"/>
        </w:rPr>
        <w:t xml:space="preserve">Nothing in this register binds any study. It is a record, not a gate. No standing rule refers to it and no quality gate consults it, deliberately — a lesson earns its way into the method by being adopted, not by being written down.</w:t>
      </w:r>
    </w:p>
    <w:p>
      <w:pPr>
        <w:pStyle w:val="Heading1"/>
        <w:spacing w:after="160" w:before="320"/>
      </w:pPr>
      <w:r>
        <w:t xml:space="preserve">How to read this</w:t>
      </w:r>
    </w:p>
    <w:p>
      <w:pPr>
        <w:spacing w:after="120"/>
      </w:pPr>
      <w:r>
        <w:t xml:space="preserve">A lesson is useless until you know how far it carries. Every entry is tagged with one of three scopes, and the difference is not a matter of emphasis: applying a one-ticker lesson to another company is superstition, and applying an every-ticker lesson is mandatory. The middle rung is where most of the value sits and it is the one that has to be earned — a set of per-class numbers is not a class-level finding, because ten draws from one distribution also look different. Each candidate class is therefore tested for heterogeneity, and only reported as a class when the classes differ by more than their own standard errors explain.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100"/>
      </w:tblGrid>
      <w:tr>
        <w:tc>
          <w:tcPr>
            <w:tcW w:type="dxa" w:w="1900"/>
            <w:shd w:fill="F2F2F2" w:val="clear"/>
          </w:tcPr>
          <w:p>
            <w:pPr>
              <w:spacing w:after="0"/>
            </w:pPr>
            <w:r>
              <w:rPr>
                <w:b/>
                <w:bCs/>
                <w:sz w:val="18"/>
                <w:szCs w:val="18"/>
              </w:rPr>
              <w:t xml:space="preserve">Scope</w:t>
            </w:r>
          </w:p>
        </w:tc>
        <w:tc>
          <w:tcPr>
            <w:tcW w:type="dxa" w:w="4200"/>
            <w:shd w:fill="F2F2F2" w:val="clear"/>
          </w:tcPr>
          <w:p>
            <w:pPr>
              <w:spacing w:after="0"/>
            </w:pPr>
            <w:r>
              <w:rPr>
                <w:b/>
                <w:bCs/>
                <w:sz w:val="18"/>
                <w:szCs w:val="18"/>
              </w:rPr>
              <w:t xml:space="preserve">Means</w:t>
            </w:r>
          </w:p>
        </w:tc>
        <w:tc>
          <w:tcPr>
            <w:tcW w:type="dxa" w:w="3100"/>
            <w:shd w:fill="F2F2F2" w:val="clear"/>
          </w:tcPr>
          <w:p>
            <w:pPr>
              <w:spacing w:after="0"/>
            </w:pPr>
            <w:r>
              <w:rPr>
                <w:b/>
                <w:bCs/>
                <w:sz w:val="18"/>
                <w:szCs w:val="18"/>
              </w:rPr>
              <w:t xml:space="preserve">Who must read it</w:t>
            </w:r>
          </w:p>
        </w:tc>
      </w:tr>
      <w:tr>
        <w:tc>
          <w:tcPr>
            <w:tcW w:type="dxa" w:w="1900"/>
          </w:tcPr>
          <w:p>
            <w:pPr>
              <w:spacing w:after="0"/>
            </w:pPr>
            <w:r>
              <w:rPr>
                <w:b w:val="false"/>
                <w:bCs w:val="false"/>
                <w:sz w:val="18"/>
                <w:szCs w:val="18"/>
              </w:rPr>
              <w:t xml:space="preserve">EVERY TICKER</w:t>
            </w:r>
          </w:p>
        </w:tc>
        <w:tc>
          <w:tcPr>
            <w:tcW w:type="dxa" w:w="4200"/>
          </w:tcPr>
          <w:p>
            <w:pPr>
              <w:spacing w:after="0"/>
            </w:pPr>
            <w:r>
              <w:rPr>
                <w:b w:val="false"/>
                <w:bCs w:val="false"/>
                <w:sz w:val="18"/>
                <w:szCs w:val="18"/>
              </w:rPr>
              <w:t xml:space="preserve">holds pooled across the book, and no class differs beyond noise</w:t>
            </w:r>
          </w:p>
        </w:tc>
        <w:tc>
          <w:tcPr>
            <w:tcW w:type="dxa" w:w="3100"/>
          </w:tcPr>
          <w:p>
            <w:pPr>
              <w:spacing w:after="0"/>
            </w:pPr>
            <w:r>
              <w:rPr>
                <w:b w:val="false"/>
                <w:bCs w:val="false"/>
                <w:sz w:val="18"/>
                <w:szCs w:val="18"/>
              </w:rPr>
              <w:t xml:space="preserve">everyone, on every name</w:t>
            </w:r>
          </w:p>
        </w:tc>
      </w:tr>
      <w:tr>
        <w:tc>
          <w:tcPr>
            <w:tcW w:type="dxa" w:w="1900"/>
          </w:tcPr>
          <w:p>
            <w:pPr>
              <w:spacing w:after="0"/>
            </w:pPr>
            <w:r>
              <w:rPr>
                <w:b w:val="false"/>
                <w:bCs w:val="false"/>
                <w:sz w:val="18"/>
                <w:szCs w:val="18"/>
              </w:rPr>
              <w:t xml:space="preserve">A CLASS OF TICKER</w:t>
            </w:r>
          </w:p>
        </w:tc>
        <w:tc>
          <w:tcPr>
            <w:tcW w:type="dxa" w:w="4200"/>
          </w:tcPr>
          <w:p>
            <w:pPr>
              <w:spacing w:after="0"/>
            </w:pPr>
            <w:r>
              <w:rPr>
                <w:b w:val="false"/>
                <w:bCs w:val="false"/>
                <w:sz w:val="18"/>
                <w:szCs w:val="18"/>
              </w:rPr>
              <w:t xml:space="preserve">the classes genuinely disagree (Cochran Q)</w:t>
            </w:r>
          </w:p>
        </w:tc>
        <w:tc>
          <w:tcPr>
            <w:tcW w:type="dxa" w:w="3100"/>
          </w:tcPr>
          <w:p>
            <w:pPr>
              <w:spacing w:after="0"/>
            </w:pPr>
            <w:r>
              <w:rPr>
                <w:b w:val="false"/>
                <w:bCs w:val="false"/>
                <w:sz w:val="18"/>
                <w:szCs w:val="18"/>
              </w:rPr>
              <w:t xml:space="preserve">anyone reading a name in that class</w:t>
            </w:r>
          </w:p>
        </w:tc>
      </w:tr>
      <w:tr>
        <w:tc>
          <w:tcPr>
            <w:tcW w:type="dxa" w:w="1900"/>
          </w:tcPr>
          <w:p>
            <w:pPr>
              <w:spacing w:after="0"/>
            </w:pPr>
            <w:r>
              <w:rPr>
                <w:b w:val="false"/>
                <w:bCs w:val="false"/>
                <w:sz w:val="18"/>
                <w:szCs w:val="18"/>
              </w:rPr>
              <w:t xml:space="preserve">ONE TICKER ONLY</w:t>
            </w:r>
          </w:p>
        </w:tc>
        <w:tc>
          <w:tcPr>
            <w:tcW w:type="dxa" w:w="4200"/>
          </w:tcPr>
          <w:p>
            <w:pPr>
              <w:spacing w:after="0"/>
            </w:pPr>
            <w:r>
              <w:rPr>
                <w:b w:val="false"/>
                <w:bCs w:val="false"/>
                <w:sz w:val="18"/>
                <w:szCs w:val="18"/>
              </w:rPr>
              <w:t xml:space="preserve">proven on that name’s own history alone</w:t>
            </w:r>
          </w:p>
        </w:tc>
        <w:tc>
          <w:tcPr>
            <w:tcW w:type="dxa" w:w="3100"/>
          </w:tcPr>
          <w:p>
            <w:pPr>
              <w:spacing w:after="0"/>
            </w:pPr>
            <w:r>
              <w:rPr>
                <w:b w:val="false"/>
                <w:bCs w:val="false"/>
                <w:sz w:val="18"/>
                <w:szCs w:val="18"/>
              </w:rPr>
              <w:t xml:space="preserve">anyone reading that name</w:t>
            </w:r>
          </w:p>
        </w:tc>
      </w:tr>
    </w:tbl>
    <w:p>
      <w:pPr>
        <w:spacing w:after="120"/>
      </w:pPr>
      <w:r>
        <w:t xml:space="preserve"/>
      </w:r>
    </w:p>
    <w:p>
      <w:pPr>
        <w:spacing w:after="120"/>
      </w:pPr>
      <w:r>
        <w:t xml:space="preserve">Every lesson also records how it was learned, because the strength of the evidence differs enormously, and what would overturn it. A lesson with no falsifier is a habit, not a finding.</w:t>
      </w:r>
    </w:p>
    <w:p>
      <w:pPr>
        <w:pStyle w:val="Heading1"/>
        <w:spacing w:after="160" w:before="320"/>
      </w:pPr>
      <w:r>
        <w:t xml:space="preserve">The four things worth knowing, in pictures</w:t>
      </w:r>
    </w:p>
    <w:p>
      <w:pPr>
        <w:spacing w:after="120"/>
      </w:pPr>
      <w:r>
        <w:t xml:space="preserve">If you read nothing else, read these four charts. The rest of the document is the evidence behind them.</w:t>
      </w:r>
    </w:p>
    <w:p>
      <w:pPr>
        <w:spacing w:after="40" w:before="140"/>
      </w:pPr>
      <w:r>
        <w:drawing>
          <wp:inline distT="0" distB="0" distL="0" distR="0">
            <wp:extent cx="57531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53100" cy="2638425"/>
                    </a:xfrm>
                    <a:prstGeom prst="rect">
                      <a:avLst/>
                    </a:prstGeom>
                  </pic:spPr>
                </pic:pic>
              </a:graphicData>
            </a:graphic>
          </wp:inline>
        </w:drawing>
      </w:r>
    </w:p>
    <w:p>
      <w:pPr>
        <w:spacing w:after="200"/>
      </w:pPr>
      <w:r>
        <w:rPr>
          <w:i/>
          <w:iCs/>
          <w:color w:val="777777"/>
          <w:sz w:val="16"/>
          <w:szCs w:val="16"/>
        </w:rPr>
        <w:t xml:space="preserve">Levels matter, and they matter most over days rather than months. This is why the whole calibration was re-run — the first pass scored a short-term read against three-month outcomes and reported the weakest number in this chart.</w:t>
      </w:r>
    </w:p>
    <w:p>
      <w:pPr>
        <w:spacing w:after="40" w:before="140"/>
      </w:pPr>
      <w:r>
        <w:drawing>
          <wp:inline distT="0" distB="0" distL="0" distR="0">
            <wp:extent cx="57531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53100" cy="2847975"/>
                    </a:xfrm>
                    <a:prstGeom prst="rect">
                      <a:avLst/>
                    </a:prstGeom>
                  </pic:spPr>
                </pic:pic>
              </a:graphicData>
            </a:graphic>
          </wp:inline>
        </w:drawing>
      </w:r>
    </w:p>
    <w:p>
      <w:pPr>
        <w:spacing w:after="200"/>
      </w:pPr>
      <w:r>
        <w:rPr>
          <w:i/>
          <w:iCs/>
          <w:color w:val="777777"/>
          <w:sz w:val="16"/>
          <w:szCs w:val="16"/>
        </w:rPr>
        <w:t xml:space="preserve">The tape sentence is the best thing the read publishes. Four words, four clearly different amounts of movement in the month that follows.</w:t>
      </w:r>
    </w:p>
    <w:p>
      <w:pPr>
        <w:spacing w:after="40" w:before="140"/>
      </w:pPr>
      <w:r>
        <w:drawing>
          <wp:inline distT="0" distB="0" distL="0" distR="0">
            <wp:extent cx="57531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2628900"/>
                    </a:xfrm>
                    <a:prstGeom prst="rect">
                      <a:avLst/>
                    </a:prstGeom>
                  </pic:spPr>
                </pic:pic>
              </a:graphicData>
            </a:graphic>
          </wp:inline>
        </w:drawing>
      </w:r>
    </w:p>
    <w:p>
      <w:pPr>
        <w:spacing w:after="200"/>
      </w:pPr>
      <w:r>
        <w:rPr>
          <w:i/>
          <w:iCs/>
          <w:color w:val="777777"/>
          <w:sz w:val="16"/>
          <w:szCs w:val="16"/>
        </w:rPr>
        <w:t xml:space="preserve">The trigger sentence said clearing a level opens the next one. It does the opposite — and that follows from levels being real, because the far level holds too.</w:t>
      </w:r>
    </w:p>
    <w:p>
      <w:pPr>
        <w:spacing w:after="40" w:before="140"/>
      </w:pPr>
      <w:r>
        <w:drawing>
          <wp:inline distT="0" distB="0" distL="0" distR="0">
            <wp:extent cx="57531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2314575"/>
                    </a:xfrm>
                    <a:prstGeom prst="rect">
                      <a:avLst/>
                    </a:prstGeom>
                  </pic:spPr>
                </pic:pic>
              </a:graphicData>
            </a:graphic>
          </wp:inline>
        </w:drawing>
      </w:r>
    </w:p>
    <w:p>
      <w:pPr>
        <w:spacing w:after="200"/>
      </w:pPr>
      <w:r>
        <w:rPr>
          <w:i/>
          <w:iCs/>
          <w:color w:val="777777"/>
          <w:sz w:val="16"/>
          <w:szCs w:val="16"/>
        </w:rPr>
        <w:t xml:space="preserve">Split the fifteen years in half and two of the three main claims survive. The trend claim does not.</w:t>
      </w:r>
    </w:p>
    <w:p>
      <w:pPr>
        <w:pStyle w:val="Heading1"/>
        <w:spacing w:after="160" w:before="320"/>
      </w:pPr>
      <w:r>
        <w:t xml:space="preserve">What is in here, and what is honestly missing</w:t>
      </w:r>
    </w:p>
    <w:p>
      <w:pPr>
        <w:pStyle w:val="Heading2"/>
        <w:spacing w:after="120" w:before="240"/>
      </w:pPr>
      <w:r>
        <w:t xml:space="preserve">This tests the read, not the cone and not the study</w:t>
      </w:r>
    </w:p>
    <w:p>
      <w:pPr>
        <w:spacing w:after="120"/>
      </w:pPr>
      <w:r>
        <w:t xml:space="preserve">Three different tests in this project are all called a walk-forward, and they test different machinery on different evidence. This register covers only the first: the technical read, re-run at every historical origin on a truncated library and graded on what the tape actually did. It covers 85 names carrying enough history to be assessed, over 45,331 readings per horizon.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500"/>
        <w:gridCol w:w="2100"/>
      </w:tblGrid>
      <w:tr>
        <w:tc>
          <w:tcPr>
            <w:tcW w:type="dxa" w:w="2400"/>
            <w:shd w:fill="F2F2F2" w:val="clear"/>
          </w:tcPr>
          <w:p>
            <w:pPr>
              <w:spacing w:after="0"/>
            </w:pPr>
            <w:r>
              <w:rPr>
                <w:b/>
                <w:bCs/>
                <w:sz w:val="18"/>
                <w:szCs w:val="18"/>
              </w:rPr>
              <w:t xml:space="preserve"/>
            </w:r>
          </w:p>
        </w:tc>
        <w:tc>
          <w:tcPr>
            <w:tcW w:type="dxa" w:w="4400"/>
            <w:shd w:fill="F2F2F2" w:val="clear"/>
          </w:tcPr>
          <w:p>
            <w:pPr>
              <w:spacing w:after="0"/>
            </w:pPr>
            <w:r>
              <w:rPr>
                <w:b/>
                <w:bCs/>
                <w:sz w:val="18"/>
                <w:szCs w:val="18"/>
              </w:rPr>
              <w:t xml:space="preserve">What it tests</w:t>
            </w:r>
          </w:p>
        </w:tc>
        <w:tc>
          <w:tcPr>
            <w:tcW w:type="dxa" w:w="1500"/>
            <w:shd w:fill="F2F2F2" w:val="clear"/>
          </w:tcPr>
          <w:p>
            <w:pPr>
              <w:spacing w:after="0"/>
            </w:pPr>
            <w:r>
              <w:rPr>
                <w:b/>
                <w:bCs/>
                <w:sz w:val="18"/>
                <w:szCs w:val="18"/>
              </w:rPr>
              <w:t xml:space="preserve">Names</w:t>
            </w:r>
          </w:p>
        </w:tc>
        <w:tc>
          <w:tcPr>
            <w:tcW w:type="dxa" w:w="2100"/>
            <w:shd w:fill="F2F2F2" w:val="clear"/>
          </w:tcPr>
          <w:p>
            <w:pPr>
              <w:spacing w:after="0"/>
            </w:pPr>
            <w:r>
              <w:rPr>
                <w:b/>
                <w:bCs/>
                <w:sz w:val="18"/>
                <w:szCs w:val="18"/>
              </w:rPr>
              <w:t xml:space="preserve">Resolved observations</w:t>
            </w:r>
          </w:p>
        </w:tc>
      </w:tr>
      <w:tr>
        <w:tc>
          <w:tcPr>
            <w:tcW w:type="dxa" w:w="2400"/>
          </w:tcPr>
          <w:p>
            <w:pPr>
              <w:spacing w:after="0"/>
            </w:pPr>
            <w:r>
              <w:rPr>
                <w:b w:val="false"/>
                <w:bCs w:val="false"/>
                <w:sz w:val="18"/>
                <w:szCs w:val="18"/>
              </w:rPr>
              <w:t xml:space="preserve">Technical walk-forward</w:t>
            </w:r>
          </w:p>
        </w:tc>
        <w:tc>
          <w:tcPr>
            <w:tcW w:type="dxa" w:w="4400"/>
          </w:tcPr>
          <w:p>
            <w:pPr>
              <w:spacing w:after="0"/>
            </w:pPr>
            <w:r>
              <w:rPr>
                <w:b w:val="false"/>
                <w:bCs w:val="false"/>
                <w:sz w:val="18"/>
                <w:szCs w:val="18"/>
              </w:rPr>
              <w:t xml:space="preserve">the technical read, replayed at every historical origin and graded on the tape</w:t>
            </w:r>
          </w:p>
        </w:tc>
        <w:tc>
          <w:tcPr>
            <w:tcW w:type="dxa" w:w="1500"/>
          </w:tcPr>
          <w:p>
            <w:pPr>
              <w:spacing w:after="0"/>
            </w:pPr>
            <w:r>
              <w:rPr>
                <w:b w:val="false"/>
                <w:bCs w:val="false"/>
                <w:sz w:val="18"/>
                <w:szCs w:val="18"/>
              </w:rPr>
              <w:t xml:space="preserve">85 names</w:t>
            </w:r>
          </w:p>
        </w:tc>
        <w:tc>
          <w:tcPr>
            <w:tcW w:type="dxa" w:w="2100"/>
          </w:tcPr>
          <w:p>
            <w:pPr>
              <w:spacing w:after="0"/>
            </w:pPr>
            <w:r>
              <w:rPr>
                <w:b w:val="false"/>
                <w:bCs w:val="false"/>
                <w:sz w:val="18"/>
                <w:szCs w:val="18"/>
              </w:rPr>
              <w:t xml:space="preserve">45,331 readings</w:t>
            </w:r>
          </w:p>
        </w:tc>
      </w:tr>
      <w:tr>
        <w:tc>
          <w:tcPr>
            <w:tcW w:type="dxa" w:w="2400"/>
          </w:tcPr>
          <w:p>
            <w:pPr>
              <w:spacing w:after="0"/>
            </w:pPr>
            <w:r>
              <w:rPr>
                <w:b w:val="false"/>
                <w:bCs w:val="false"/>
                <w:sz w:val="18"/>
                <w:szCs w:val="18"/>
              </w:rPr>
              <w:t xml:space="preserve">Price-engine walk-forward</w:t>
            </w:r>
          </w:p>
        </w:tc>
        <w:tc>
          <w:tcPr>
            <w:tcW w:type="dxa" w:w="4400"/>
          </w:tcPr>
          <w:p>
            <w:pPr>
              <w:spacing w:after="0"/>
            </w:pPr>
            <w:r>
              <w:rPr>
                <w:b w:val="false"/>
                <w:bCs w:val="false"/>
                <w:sz w:val="18"/>
                <w:szCs w:val="18"/>
              </w:rPr>
              <w:t xml:space="preserve">the probability cone, graded against resolved forecasts</w:t>
            </w:r>
          </w:p>
        </w:tc>
        <w:tc>
          <w:tcPr>
            <w:tcW w:type="dxa" w:w="1500"/>
          </w:tcPr>
          <w:p>
            <w:pPr>
              <w:spacing w:after="0"/>
            </w:pPr>
            <w:r>
              <w:rPr>
                <w:b w:val="false"/>
                <w:bCs w:val="false"/>
                <w:sz w:val="18"/>
                <w:szCs w:val="18"/>
              </w:rPr>
              <w:t xml:space="preserve">19 names</w:t>
            </w:r>
          </w:p>
        </w:tc>
        <w:tc>
          <w:tcPr>
            <w:tcW w:type="dxa" w:w="2100"/>
          </w:tcPr>
          <w:p>
            <w:pPr>
              <w:spacing w:after="0"/>
            </w:pPr>
            <w:r>
              <w:rPr>
                <w:b w:val="false"/>
                <w:bCs w:val="false"/>
                <w:sz w:val="18"/>
                <w:szCs w:val="18"/>
              </w:rPr>
              <w:t xml:space="preserve">per the fundamental register</w:t>
            </w:r>
          </w:p>
        </w:tc>
      </w:tr>
      <w:tr>
        <w:tc>
          <w:tcPr>
            <w:tcW w:type="dxa" w:w="2400"/>
          </w:tcPr>
          <w:p>
            <w:pPr>
              <w:spacing w:after="0"/>
            </w:pPr>
            <w:r>
              <w:rPr>
                <w:b w:val="false"/>
                <w:bCs w:val="false"/>
                <w:sz w:val="18"/>
                <w:szCs w:val="18"/>
              </w:rPr>
              <w:t xml:space="preserve">Fundamental walk-forward</w:t>
            </w:r>
          </w:p>
        </w:tc>
        <w:tc>
          <w:tcPr>
            <w:tcW w:type="dxa" w:w="4400"/>
          </w:tcPr>
          <w:p>
            <w:pPr>
              <w:spacing w:after="0"/>
            </w:pPr>
            <w:r>
              <w:rPr>
                <w:b w:val="false"/>
                <w:bCs w:val="false"/>
                <w:sz w:val="18"/>
                <w:szCs w:val="18"/>
              </w:rPr>
              <w:t xml:space="preserve">the valuation method, graded against filed actuals</w:t>
            </w:r>
          </w:p>
        </w:tc>
        <w:tc>
          <w:tcPr>
            <w:tcW w:type="dxa" w:w="1500"/>
          </w:tcPr>
          <w:p>
            <w:pPr>
              <w:spacing w:after="0"/>
            </w:pPr>
            <w:r>
              <w:rPr>
                <w:b w:val="false"/>
                <w:bCs w:val="false"/>
                <w:sz w:val="18"/>
                <w:szCs w:val="18"/>
              </w:rPr>
              <w:t xml:space="preserve">1 name (PHDC)</w:t>
            </w:r>
          </w:p>
        </w:tc>
        <w:tc>
          <w:tcPr>
            <w:tcW w:type="dxa" w:w="2100"/>
          </w:tcPr>
          <w:p>
            <w:pPr>
              <w:spacing w:after="0"/>
            </w:pPr>
            <w:r>
              <w:rPr>
                <w:b w:val="false"/>
                <w:bCs w:val="false"/>
                <w:sz w:val="18"/>
                <w:szCs w:val="18"/>
              </w:rPr>
              <w:t xml:space="preserve">per the fundamental register</w:t>
            </w:r>
          </w:p>
        </w:tc>
      </w:tr>
    </w:tbl>
    <w:p>
      <w:pPr>
        <w:spacing w:after="120"/>
      </w:pPr>
      <w:r>
        <w:t xml:space="preserve"/>
      </w:r>
    </w:p>
    <w:p>
      <w:pPr>
        <w:spacing w:after="120"/>
      </w:pPr>
      <w:r>
        <w:t xml:space="preserve">Every sentence the read publishes has now been scored. The bull and bear trigger, the fresh golden-cross clause and volume were the three gaps in the first edition and all three are closed below — two of them by finding the published claim points the wrong way, which is why they were worth closing. What remains genuinely untested: intraday structure, which these libraries do not carry, and any level-drawing method other than the one the read uses.</w:t>
      </w:r>
    </w:p>
    <w:p>
      <w:pPr>
        <w:pStyle w:val="Heading1"/>
        <w:spacing w:after="160" w:before="320"/>
      </w:pPr>
      <w:r>
        <w:t xml:space="preserve">The indicators this read is built from</w:t>
      </w:r>
    </w:p>
    <w:p>
      <w:pPr>
        <w:spacing w:after="120"/>
      </w:pPr>
      <w:r>
        <w:t xml:space="preserve">Everything below is computed from the same daily price history the probability cone runs on, through the same data-quality gate. Nothing is fitted and nothing is hand-drawn — every number is a fixed function of the price series, and every sentence on a page is chosen by one of these numbers.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600"/>
      </w:tblGrid>
      <w:tr>
        <w:tc>
          <w:tcPr>
            <w:tcW w:type="dxa" w:w="2500"/>
            <w:shd w:fill="F2F2F2" w:val="clear"/>
          </w:tcPr>
          <w:p>
            <w:pPr>
              <w:spacing w:after="0"/>
            </w:pPr>
            <w:r>
              <w:rPr>
                <w:b/>
                <w:bCs/>
                <w:sz w:val="18"/>
                <w:szCs w:val="18"/>
              </w:rPr>
              <w:t xml:space="preserve">Indicator</w:t>
            </w:r>
          </w:p>
        </w:tc>
        <w:tc>
          <w:tcPr>
            <w:tcW w:type="dxa" w:w="3100"/>
            <w:shd w:fill="F2F2F2" w:val="clear"/>
          </w:tcPr>
          <w:p>
            <w:pPr>
              <w:spacing w:after="0"/>
            </w:pPr>
            <w:r>
              <w:rPr>
                <w:b/>
                <w:bCs/>
                <w:sz w:val="18"/>
                <w:szCs w:val="18"/>
              </w:rPr>
              <w:t xml:space="preserve">Setting</w:t>
            </w:r>
          </w:p>
        </w:tc>
        <w:tc>
          <w:tcPr>
            <w:tcW w:type="dxa" w:w="3600"/>
            <w:shd w:fill="F2F2F2" w:val="clear"/>
          </w:tcPr>
          <w:p>
            <w:pPr>
              <w:spacing w:after="0"/>
            </w:pPr>
            <w:r>
              <w:rPr>
                <w:b/>
                <w:bCs/>
                <w:sz w:val="18"/>
                <w:szCs w:val="18"/>
              </w:rPr>
              <w:t xml:space="preserve">What it is</w:t>
            </w:r>
          </w:p>
        </w:tc>
      </w:tr>
      <w:tr>
        <w:tc>
          <w:tcPr>
            <w:tcW w:type="dxa" w:w="2500"/>
          </w:tcPr>
          <w:p>
            <w:pPr>
              <w:spacing w:after="0"/>
            </w:pPr>
            <w:r>
              <w:rPr>
                <w:b w:val="false"/>
                <w:bCs w:val="false"/>
                <w:sz w:val="18"/>
                <w:szCs w:val="18"/>
              </w:rPr>
              <w:t xml:space="preserve">Moving averages</w:t>
            </w:r>
          </w:p>
        </w:tc>
        <w:tc>
          <w:tcPr>
            <w:tcW w:type="dxa" w:w="3100"/>
          </w:tcPr>
          <w:p>
            <w:pPr>
              <w:spacing w:after="0"/>
            </w:pPr>
            <w:r>
              <w:rPr>
                <w:b w:val="false"/>
                <w:bCs w:val="false"/>
                <w:sz w:val="18"/>
                <w:szCs w:val="18"/>
              </w:rPr>
              <w:t xml:space="preserve">20, 50 and 200 sessions</w:t>
            </w:r>
          </w:p>
        </w:tc>
        <w:tc>
          <w:tcPr>
            <w:tcW w:type="dxa" w:w="3600"/>
          </w:tcPr>
          <w:p>
            <w:pPr>
              <w:spacing w:after="0"/>
            </w:pPr>
            <w:r>
              <w:rPr>
                <w:b w:val="false"/>
                <w:bCs w:val="false"/>
                <w:sz w:val="18"/>
                <w:szCs w:val="18"/>
              </w:rPr>
              <w:t xml:space="preserve">Simple averages of the closing price. The read states which of them price sits above.</w:t>
            </w:r>
          </w:p>
        </w:tc>
      </w:tr>
      <w:tr>
        <w:tc>
          <w:tcPr>
            <w:tcW w:type="dxa" w:w="2500"/>
          </w:tcPr>
          <w:p>
            <w:pPr>
              <w:spacing w:after="0"/>
            </w:pPr>
            <w:r>
              <w:rPr>
                <w:b w:val="false"/>
                <w:bCs w:val="false"/>
                <w:sz w:val="18"/>
                <w:szCs w:val="18"/>
              </w:rPr>
              <w:t xml:space="preserve">Moving-average slope</w:t>
            </w:r>
          </w:p>
        </w:tc>
        <w:tc>
          <w:tcPr>
            <w:tcW w:type="dxa" w:w="3100"/>
          </w:tcPr>
          <w:p>
            <w:pPr>
              <w:spacing w:after="0"/>
            </w:pPr>
            <w:r>
              <w:rPr>
                <w:b w:val="false"/>
                <w:bCs w:val="false"/>
                <w:sz w:val="18"/>
                <w:szCs w:val="18"/>
              </w:rPr>
              <w:t xml:space="preserve">change over 10 sessions; flat if within 0.3%</w:t>
            </w:r>
          </w:p>
        </w:tc>
        <w:tc>
          <w:tcPr>
            <w:tcW w:type="dxa" w:w="3600"/>
          </w:tcPr>
          <w:p>
            <w:pPr>
              <w:spacing w:after="0"/>
            </w:pPr>
            <w:r>
              <w:rPr>
                <w:b w:val="false"/>
                <w:bCs w:val="false"/>
                <w:sz w:val="18"/>
                <w:szCs w:val="18"/>
              </w:rPr>
              <w:t xml:space="preserve">Whether each average is rising, flat or falling.</w:t>
            </w:r>
          </w:p>
        </w:tc>
      </w:tr>
      <w:tr>
        <w:tc>
          <w:tcPr>
            <w:tcW w:type="dxa" w:w="2500"/>
          </w:tcPr>
          <w:p>
            <w:pPr>
              <w:spacing w:after="0"/>
            </w:pPr>
            <w:r>
              <w:rPr>
                <w:b w:val="false"/>
                <w:bCs w:val="false"/>
                <w:sz w:val="18"/>
                <w:szCs w:val="18"/>
              </w:rPr>
              <w:t xml:space="preserve">RSI</w:t>
            </w:r>
          </w:p>
        </w:tc>
        <w:tc>
          <w:tcPr>
            <w:tcW w:type="dxa" w:w="3100"/>
          </w:tcPr>
          <w:p>
            <w:pPr>
              <w:spacing w:after="0"/>
            </w:pPr>
            <w:r>
              <w:rPr>
                <w:b w:val="false"/>
                <w:bCs w:val="false"/>
                <w:sz w:val="18"/>
                <w:szCs w:val="18"/>
              </w:rPr>
              <w:t xml:space="preserve">Wilder's, 14 sessions</w:t>
            </w:r>
          </w:p>
        </w:tc>
        <w:tc>
          <w:tcPr>
            <w:tcW w:type="dxa" w:w="3600"/>
          </w:tcPr>
          <w:p>
            <w:pPr>
              <w:spacing w:after="0"/>
            </w:pPr>
            <w:r>
              <w:rPr>
                <w:b w:val="false"/>
                <w:bCs w:val="false"/>
                <w:sz w:val="18"/>
                <w:szCs w:val="18"/>
              </w:rPr>
              <w:t xml:space="preserve">A 0-100 momentum gauge. High means price has risen on most recent days.</w:t>
            </w:r>
          </w:p>
        </w:tc>
      </w:tr>
      <w:tr>
        <w:tc>
          <w:tcPr>
            <w:tcW w:type="dxa" w:w="2500"/>
          </w:tcPr>
          <w:p>
            <w:pPr>
              <w:spacing w:after="0"/>
            </w:pPr>
            <w:r>
              <w:rPr>
                <w:b w:val="false"/>
                <w:bCs w:val="false"/>
                <w:sz w:val="18"/>
                <w:szCs w:val="18"/>
              </w:rPr>
              <w:t xml:space="preserve">ATR</w:t>
            </w:r>
          </w:p>
        </w:tc>
        <w:tc>
          <w:tcPr>
            <w:tcW w:type="dxa" w:w="3100"/>
          </w:tcPr>
          <w:p>
            <w:pPr>
              <w:spacing w:after="0"/>
            </w:pPr>
            <w:r>
              <w:rPr>
                <w:b w:val="false"/>
                <w:bCs w:val="false"/>
                <w:sz w:val="18"/>
                <w:szCs w:val="18"/>
              </w:rPr>
              <w:t xml:space="preserve">Wilder's, 14 sessions, on the true range</w:t>
            </w:r>
          </w:p>
        </w:tc>
        <w:tc>
          <w:tcPr>
            <w:tcW w:type="dxa" w:w="3600"/>
          </w:tcPr>
          <w:p>
            <w:pPr>
              <w:spacing w:after="0"/>
            </w:pPr>
            <w:r>
              <w:rPr>
                <w:b w:val="false"/>
                <w:bCs w:val="false"/>
                <w:sz w:val="18"/>
                <w:szCs w:val="18"/>
              </w:rPr>
              <w:t xml:space="preserve">The average distance price travels in a day, gaps included. The read turns it into the tape sentence.</w:t>
            </w:r>
          </w:p>
        </w:tc>
      </w:tr>
      <w:tr>
        <w:tc>
          <w:tcPr>
            <w:tcW w:type="dxa" w:w="2500"/>
          </w:tcPr>
          <w:p>
            <w:pPr>
              <w:spacing w:after="0"/>
            </w:pPr>
            <w:r>
              <w:rPr>
                <w:b w:val="false"/>
                <w:bCs w:val="false"/>
                <w:sz w:val="18"/>
                <w:szCs w:val="18"/>
              </w:rPr>
              <w:t xml:space="preserve">MACD</w:t>
            </w:r>
          </w:p>
        </w:tc>
        <w:tc>
          <w:tcPr>
            <w:tcW w:type="dxa" w:w="3100"/>
          </w:tcPr>
          <w:p>
            <w:pPr>
              <w:spacing w:after="0"/>
            </w:pPr>
            <w:r>
              <w:rPr>
                <w:b w:val="false"/>
                <w:bCs w:val="false"/>
                <w:sz w:val="18"/>
                <w:szCs w:val="18"/>
              </w:rPr>
              <w:t xml:space="preserve">12 and 26 session averages, 9-session signal</w:t>
            </w:r>
          </w:p>
        </w:tc>
        <w:tc>
          <w:tcPr>
            <w:tcW w:type="dxa" w:w="3600"/>
          </w:tcPr>
          <w:p>
            <w:pPr>
              <w:spacing w:after="0"/>
            </w:pPr>
            <w:r>
              <w:rPr>
                <w:b w:val="false"/>
                <w:bCs w:val="false"/>
                <w:sz w:val="18"/>
                <w:szCs w:val="18"/>
              </w:rPr>
              <w:t xml:space="preserve">A trend-following oscillator. The read states the line, the signal and the histogram.</w:t>
            </w:r>
          </w:p>
        </w:tc>
      </w:tr>
      <w:tr>
        <w:tc>
          <w:tcPr>
            <w:tcW w:type="dxa" w:w="2500"/>
          </w:tcPr>
          <w:p>
            <w:pPr>
              <w:spacing w:after="0"/>
            </w:pPr>
            <w:r>
              <w:rPr>
                <w:b w:val="false"/>
                <w:bCs w:val="false"/>
                <w:sz w:val="18"/>
                <w:szCs w:val="18"/>
              </w:rPr>
              <w:t xml:space="preserve">50/200 cross</w:t>
            </w:r>
          </w:p>
        </w:tc>
        <w:tc>
          <w:tcPr>
            <w:tcW w:type="dxa" w:w="3100"/>
          </w:tcPr>
          <w:p>
            <w:pPr>
              <w:spacing w:after="0"/>
            </w:pPr>
            <w:r>
              <w:rPr>
                <w:b w:val="false"/>
                <w:bCs w:val="false"/>
                <w:sz w:val="18"/>
                <w:szCs w:val="18"/>
              </w:rPr>
              <w:t xml:space="preserve">flagged as fresh within 25 sessions</w:t>
            </w:r>
          </w:p>
        </w:tc>
        <w:tc>
          <w:tcPr>
            <w:tcW w:type="dxa" w:w="3600"/>
          </w:tcPr>
          <w:p>
            <w:pPr>
              <w:spacing w:after="0"/>
            </w:pPr>
            <w:r>
              <w:rPr>
                <w:b w:val="false"/>
                <w:bCs w:val="false"/>
                <w:sz w:val="18"/>
                <w:szCs w:val="18"/>
              </w:rPr>
              <w:t xml:space="preserve">The golden cross and the death cross.</w:t>
            </w:r>
          </w:p>
        </w:tc>
      </w:tr>
      <w:tr>
        <w:tc>
          <w:tcPr>
            <w:tcW w:type="dxa" w:w="2500"/>
          </w:tcPr>
          <w:p>
            <w:pPr>
              <w:spacing w:after="0"/>
            </w:pPr>
            <w:r>
              <w:rPr>
                <w:b w:val="false"/>
                <w:bCs w:val="false"/>
                <w:sz w:val="18"/>
                <w:szCs w:val="18"/>
              </w:rPr>
              <w:t xml:space="preserve">52-week range</w:t>
            </w:r>
          </w:p>
        </w:tc>
        <w:tc>
          <w:tcPr>
            <w:tcW w:type="dxa" w:w="3100"/>
          </w:tcPr>
          <w:p>
            <w:pPr>
              <w:spacing w:after="0"/>
            </w:pPr>
            <w:r>
              <w:rPr>
                <w:b w:val="false"/>
                <w:bCs w:val="false"/>
                <w:sz w:val="18"/>
                <w:szCs w:val="18"/>
              </w:rPr>
              <w:t xml:space="preserve">252 sessions</w:t>
            </w:r>
          </w:p>
        </w:tc>
        <w:tc>
          <w:tcPr>
            <w:tcW w:type="dxa" w:w="3600"/>
          </w:tcPr>
          <w:p>
            <w:pPr>
              <w:spacing w:after="0"/>
            </w:pPr>
            <w:r>
              <w:rPr>
                <w:b w:val="false"/>
                <w:bCs w:val="false"/>
                <w:sz w:val="18"/>
                <w:szCs w:val="18"/>
              </w:rPr>
              <w:t xml:space="preserve">The high, the low, and how far the last close sits from each.</w:t>
            </w:r>
          </w:p>
        </w:tc>
      </w:tr>
      <w:tr>
        <w:tc>
          <w:tcPr>
            <w:tcW w:type="dxa" w:w="2500"/>
          </w:tcPr>
          <w:p>
            <w:pPr>
              <w:spacing w:after="0"/>
            </w:pPr>
            <w:r>
              <w:rPr>
                <w:b w:val="false"/>
                <w:bCs w:val="false"/>
                <w:sz w:val="18"/>
                <w:szCs w:val="18"/>
              </w:rPr>
              <w:t xml:space="preserve">Support and resistance</w:t>
            </w:r>
          </w:p>
        </w:tc>
        <w:tc>
          <w:tcPr>
            <w:tcW w:type="dxa" w:w="3100"/>
          </w:tcPr>
          <w:p>
            <w:pPr>
              <w:spacing w:after="0"/>
            </w:pPr>
            <w:r>
              <w:rPr>
                <w:b w:val="false"/>
                <w:bCs w:val="false"/>
                <w:sz w:val="18"/>
                <w:szCs w:val="18"/>
              </w:rPr>
              <w:t xml:space="preserve">fractal pivots, half-width 5 bars, 500-session lookback</w:t>
            </w:r>
          </w:p>
        </w:tc>
        <w:tc>
          <w:tcPr>
            <w:tcW w:type="dxa" w:w="3600"/>
          </w:tcPr>
          <w:p>
            <w:pPr>
              <w:spacing w:after="0"/>
            </w:pPr>
            <w:r>
              <w:rPr>
                <w:b w:val="false"/>
                <w:bCs w:val="false"/>
                <w:sz w:val="18"/>
                <w:szCs w:val="18"/>
              </w:rPr>
              <w:t xml:space="preserve">Turning points on the chart, grouped into levels when within 1.5% of each other.</w:t>
            </w:r>
          </w:p>
        </w:tc>
      </w:tr>
      <w:tr>
        <w:tc>
          <w:tcPr>
            <w:tcW w:type="dxa" w:w="2500"/>
          </w:tcPr>
          <w:p>
            <w:pPr>
              <w:spacing w:after="0"/>
            </w:pPr>
            <w:r>
              <w:rPr>
                <w:b w:val="false"/>
                <w:bCs w:val="false"/>
                <w:sz w:val="18"/>
                <w:szCs w:val="18"/>
              </w:rPr>
              <w:t xml:space="preserve">  - level weighting</w:t>
            </w:r>
          </w:p>
        </w:tc>
        <w:tc>
          <w:tcPr>
            <w:tcW w:type="dxa" w:w="3100"/>
          </w:tcPr>
          <w:p>
            <w:pPr>
              <w:spacing w:after="0"/>
            </w:pPr>
            <w:r>
              <w:rPr>
                <w:b w:val="false"/>
                <w:bCs w:val="false"/>
                <w:sz w:val="18"/>
                <w:szCs w:val="18"/>
              </w:rPr>
              <w:t xml:space="preserve">recency half-life 180 sessions, weighted by touch count</w:t>
            </w:r>
          </w:p>
        </w:tc>
        <w:tc>
          <w:tcPr>
            <w:tcW w:type="dxa" w:w="3600"/>
          </w:tcPr>
          <w:p>
            <w:pPr>
              <w:spacing w:after="0"/>
            </w:pPr>
            <w:r>
              <w:rPr>
                <w:b w:val="false"/>
                <w:bCs w:val="false"/>
                <w:sz w:val="18"/>
                <w:szCs w:val="18"/>
              </w:rPr>
              <w:t xml:space="preserve">Recent tests count for more than old ones; more tests counts for more than fewer.</w:t>
            </w:r>
          </w:p>
        </w:tc>
      </w:tr>
      <w:tr>
        <w:tc>
          <w:tcPr>
            <w:tcW w:type="dxa" w:w="2500"/>
          </w:tcPr>
          <w:p>
            <w:pPr>
              <w:spacing w:after="0"/>
            </w:pPr>
            <w:r>
              <w:rPr>
                <w:b w:val="false"/>
                <w:bCs w:val="false"/>
                <w:sz w:val="18"/>
                <w:szCs w:val="18"/>
              </w:rPr>
              <w:t xml:space="preserve">  - level filtering</w:t>
            </w:r>
          </w:p>
        </w:tc>
        <w:tc>
          <w:tcPr>
            <w:tcW w:type="dxa" w:w="3100"/>
          </w:tcPr>
          <w:p>
            <w:pPr>
              <w:spacing w:after="0"/>
            </w:pPr>
            <w:r>
              <w:rPr>
                <w:b w:val="false"/>
                <w:bCs w:val="false"/>
                <w:sz w:val="18"/>
                <w:szCs w:val="18"/>
              </w:rPr>
              <w:t xml:space="preserve">at least 0.8% from spot, at most 35%; 3 published per side</w:t>
            </w:r>
          </w:p>
        </w:tc>
        <w:tc>
          <w:tcPr>
            <w:tcW w:type="dxa" w:w="3600"/>
          </w:tcPr>
          <w:p>
            <w:pPr>
              <w:spacing w:after="0"/>
            </w:pPr>
            <w:r>
              <w:rPr>
                <w:b w:val="false"/>
                <w:bCs w:val="false"/>
                <w:sz w:val="18"/>
                <w:szCs w:val="18"/>
              </w:rPr>
              <w:t xml:space="preserve">A line too close to the price is not a level.</w:t>
            </w:r>
          </w:p>
        </w:tc>
      </w:tr>
      <w:tr>
        <w:tc>
          <w:tcPr>
            <w:tcW w:type="dxa" w:w="2500"/>
          </w:tcPr>
          <w:p>
            <w:pPr>
              <w:spacing w:after="0"/>
            </w:pPr>
            <w:r>
              <w:rPr>
                <w:b w:val="false"/>
                <w:bCs w:val="false"/>
                <w:sz w:val="18"/>
                <w:szCs w:val="18"/>
              </w:rPr>
              <w:t xml:space="preserve">  - other level sources</w:t>
            </w:r>
          </w:p>
        </w:tc>
        <w:tc>
          <w:tcPr>
            <w:tcW w:type="dxa" w:w="3100"/>
          </w:tcPr>
          <w:p>
            <w:pPr>
              <w:spacing w:after="0"/>
            </w:pPr>
            <w:r>
              <w:rPr>
                <w:b w:val="false"/>
                <w:bCs w:val="false"/>
                <w:sz w:val="18"/>
                <w:szCs w:val="18"/>
              </w:rPr>
              <w:t xml:space="preserve">the three averages, the 52-week extremes, round numbers</w:t>
            </w:r>
          </w:p>
        </w:tc>
        <w:tc>
          <w:tcPr>
            <w:tcW w:type="dxa" w:w="3600"/>
          </w:tcPr>
          <w:p>
            <w:pPr>
              <w:spacing w:after="0"/>
            </w:pPr>
            <w:r>
              <w:rPr>
                <w:b w:val="false"/>
                <w:bCs w:val="false"/>
                <w:sz w:val="18"/>
                <w:szCs w:val="18"/>
              </w:rPr>
              <w:t xml:space="preserve">Admitted only when swing structure does not fill the slot, and scored below it.</w:t>
            </w:r>
          </w:p>
        </w:tc>
      </w:tr>
      <w:tr>
        <w:tc>
          <w:tcPr>
            <w:tcW w:type="dxa" w:w="2500"/>
          </w:tcPr>
          <w:p>
            <w:pPr>
              <w:spacing w:after="0"/>
            </w:pPr>
            <w:r>
              <w:rPr>
                <w:b w:val="false"/>
                <w:bCs w:val="false"/>
                <w:sz w:val="18"/>
                <w:szCs w:val="18"/>
              </w:rPr>
              <w:t xml:space="preserve">Volume</w:t>
            </w:r>
          </w:p>
        </w:tc>
        <w:tc>
          <w:tcPr>
            <w:tcW w:type="dxa" w:w="3100"/>
          </w:tcPr>
          <w:p>
            <w:pPr>
              <w:spacing w:after="0"/>
            </w:pPr>
            <w:r>
              <w:rPr>
                <w:b w:val="false"/>
                <w:bCs w:val="false"/>
                <w:sz w:val="18"/>
                <w:szCs w:val="18"/>
              </w:rPr>
              <w:t xml:space="preserve">tested here, used nowhere</w:t>
            </w:r>
          </w:p>
        </w:tc>
        <w:tc>
          <w:tcPr>
            <w:tcW w:type="dxa" w:w="3600"/>
          </w:tcPr>
          <w:p>
            <w:pPr>
              <w:spacing w:after="0"/>
            </w:pPr>
            <w:r>
              <w:rPr>
                <w:b w:val="false"/>
                <w:bCs w:val="false"/>
                <w:sz w:val="18"/>
                <w:szCs w:val="18"/>
              </w:rPr>
              <w:t xml:space="preserve">Present in every library. Scored in T-013 and not adopted.</w:t>
            </w:r>
          </w:p>
        </w:tc>
      </w:tr>
    </w:tbl>
    <w:p>
      <w:pPr>
        <w:spacing w:after="120"/>
      </w:pPr>
      <w:r>
        <w:t xml:space="preserve"/>
      </w:r>
    </w:p>
    <w:p>
      <w:pPr>
        <w:spacing w:after="120"/>
      </w:pPr>
      <w:r>
        <w:t xml:space="preserve">The settings are conventional ones, chosen before any of this was measured. They are NOT fitted to the data, which is why the calibration can test them honestly — but it also means several of them are simply inherited, and three lessons below (T-014, T-015, T-017) find that the read’s own ranking and weighting of levels do not match what the levels actually do.</w:t>
      </w:r>
    </w:p>
    <w:p>
      <w:pPr>
        <w:pStyle w:val="Heading1"/>
        <w:spacing w:after="160" w:before="320"/>
      </w:pPr>
      <w:r>
        <w:t xml:space="preserve">Lessons that bind on EVERY ticker</w:t>
      </w:r>
    </w:p>
    <w:p>
      <w:pPr>
        <w:spacing w:after="120"/>
      </w:pPr>
      <w:r>
        <w:t xml:space="preserve">Read these before reading any chart, of any company, in any market. Four of them say a sentence the read currently publishes is wrong — the two momentum words, the trigger and the cross — which is what a calibration is for.</w:t>
      </w:r>
    </w:p>
    <w:p>
      <w:pPr>
        <w:spacing w:after="60" w:before="260"/>
      </w:pPr>
      <w:r>
        <w:rPr>
          <w:b/>
          <w:bCs/>
          <w:sz w:val="24"/>
          <w:szCs w:val="24"/>
        </w:rPr>
        <w:t xml:space="preserve">T-001  Score a lens on its own clock, not on the clock of the lens next to it.</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In this project the technical read is the under-one-month view, the probability cone owns one to three months, and the fundamental study owns the year. The first calibration scored the technical read at one and three months — the cone's horizon — and every conclusion drawn from it understated the lens, one of them badly enough to be wrong.</w:t>
      </w:r>
    </w:p>
    <w:p>
      <w:pPr>
        <w:spacing w:after="120"/>
      </w:pPr>
      <w:r>
        <w:rPr>
          <w:b/>
          <w:bCs/>
          <w:sz w:val="21"/>
          <w:szCs w:val="21"/>
        </w:rPr>
        <w:t xml:space="preserve">How we know.  </w:t>
      </w:r>
      <w:r>
        <w:rPr>
          <w:sz w:val="21"/>
          <w:szCs w:val="21"/>
        </w:rPr>
        <w:t xml:space="preserve">A published support or resistance level beats a distance-matched non-level by +9.8pp at one week, +7.1pp at two weeks and +5.0pp at one month — and by only about +3.4pp at three months. Scoring at the cone's horizon reported the weakest reading available and concluded, wrongly, that a per-name level record could never be built. It also throttled the evidence: quarterly windows yield about 60 tests per name, weekly origins yield a median of 636.</w:t>
      </w:r>
    </w:p>
    <w:p>
      <w:pPr>
        <w:spacing w:after="120"/>
      </w:pPr>
      <w:r>
        <w:rPr>
          <w:b/>
          <w:bCs/>
          <w:sz w:val="21"/>
          <w:szCs w:val="21"/>
        </w:rPr>
        <w:t xml:space="preserve">What would overturn it.  </w:t>
      </w:r>
      <w:r>
        <w:rPr>
          <w:sz w:val="21"/>
          <w:szCs w:val="21"/>
        </w:rPr>
        <w:t xml:space="preserve">A lens whose published claims genuinely span the horizon it is scored at. The rule is about matching the two, not about any particular horizon.</w:t>
      </w:r>
    </w:p>
    <w:p>
      <w:pPr>
        <w:spacing w:after="60" w:before="260"/>
      </w:pPr>
      <w:r>
        <w:rPr>
          <w:b/>
          <w:bCs/>
          <w:sz w:val="24"/>
          <w:szCs w:val="24"/>
        </w:rPr>
        <w:t xml:space="preserve">T-002  The tape reading is the most reliable statement a technical read makes.</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ATR sentence — "an orderly tape", "a lively tape" — is a genuine forecast of how far the price is about to travel. It is the only clause that is proven on almost every individual name rather than on the book as a whole, and it is currently published as a bare adjective with no record.</w:t>
      </w:r>
    </w:p>
    <w:p>
      <w:pPr>
        <w:spacing w:after="120"/>
      </w:pPr>
      <w:r>
        <w:rPr>
          <w:b/>
          <w:bCs/>
          <w:sz w:val="21"/>
          <w:szCs w:val="21"/>
        </w:rPr>
        <w:t xml:space="preserve">How we know.  </w:t>
      </w:r>
      <w:r>
        <w:rPr>
          <w:sz w:val="21"/>
          <w:szCs w:val="21"/>
        </w:rPr>
        <w:t xml:space="preserve">Rank correlation between the ATR reading at the origin and realized forward volatility is +0.52 at one week and +0.63 at one month, over 45,331 readings (z = 110). It is individually significant on 82 of 85 names with enough history, and positive in every market and every sector tested.</w:t>
      </w:r>
    </w:p>
    <w:p>
      <w:pPr>
        <w:spacing w:after="120"/>
      </w:pPr>
      <w:r>
        <w:rPr>
          <w:b/>
          <w:bCs/>
          <w:sz w:val="21"/>
          <w:szCs w:val="21"/>
        </w:rPr>
        <w:t xml:space="preserve">What would overturn it.  </w:t>
      </w:r>
      <w:r>
        <w:rPr>
          <w:sz w:val="21"/>
          <w:szCs w:val="21"/>
        </w:rPr>
        <w:t xml:space="preserve">A market where the ATR reading and realized forward movement decouple — which would show up as a name-level correlation at or below zero.</w:t>
      </w:r>
    </w:p>
    <w:p>
      <w:pPr>
        <w:spacing w:after="40" w:before="140"/>
      </w:pPr>
      <w:r>
        <w:drawing>
          <wp:inline distT="0" distB="0" distL="0" distR="0">
            <wp:extent cx="57531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2676525"/>
                    </a:xfrm>
                    <a:prstGeom prst="rect">
                      <a:avLst/>
                    </a:prstGeom>
                  </pic:spPr>
                </pic:pic>
              </a:graphicData>
            </a:graphic>
          </wp:inline>
        </w:drawing>
      </w:r>
    </w:p>
    <w:p>
      <w:pPr>
        <w:spacing w:after="200"/>
      </w:pPr>
      <w:r>
        <w:rPr>
          <w:i/>
          <w:iCs/>
          <w:color w:val="777777"/>
          <w:sz w:val="16"/>
          <w:szCs w:val="16"/>
        </w:rPr>
        <w:t xml:space="preserve">Figure for T-002.</w:t>
      </w:r>
    </w:p>
    <w:p>
      <w:pPr>
        <w:spacing w:after="60" w:before="260"/>
      </w:pPr>
      <w:r>
        <w:rPr>
          <w:b/>
          <w:bCs/>
          <w:sz w:val="24"/>
          <w:szCs w:val="24"/>
        </w:rPr>
        <w:t xml:space="preserve">T-003  A charted level is real, and it is worth most in the first week.</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Support and resistance are not decoration, but they are also not walls. Measured against a price the same distance away that sits at no charted structure, a published level is broken through less often — and the edge decays steadily as the horizon lengthens.</w:t>
      </w:r>
    </w:p>
    <w:p>
      <w:pPr>
        <w:spacing w:after="120"/>
      </w:pPr>
      <w:r>
        <w:rPr>
          <w:b/>
          <w:bCs/>
          <w:sz w:val="21"/>
          <w:szCs w:val="21"/>
        </w:rPr>
        <w:t xml:space="preserve">How we know.  </w:t>
      </w:r>
      <w:r>
        <w:rPr>
          <w:sz w:val="21"/>
          <w:szCs w:val="21"/>
        </w:rPr>
        <w:t xml:space="preserve">Conditional on both being reached, the published level is broken through +9.8pp less often than the matched non-level at one week (n = 3,990, z = 15), +7.1pp at two weeks and +5.0pp at one month. The null is a pair — one non-level inside the published distance and one outside — so the comparison is centred on distance by construction.</w:t>
      </w:r>
    </w:p>
    <w:p>
      <w:pPr>
        <w:spacing w:after="120"/>
      </w:pPr>
      <w:r>
        <w:rPr>
          <w:b/>
          <w:bCs/>
          <w:sz w:val="21"/>
          <w:szCs w:val="21"/>
        </w:rPr>
        <w:t xml:space="preserve">What would overturn it.  </w:t>
      </w:r>
      <w:r>
        <w:rPr>
          <w:sz w:val="21"/>
          <w:szCs w:val="21"/>
        </w:rPr>
        <w:t xml:space="preserve">A level-drawing method whose edge does not decay with horizon, which would mean the effect is not about the level being tested.</w:t>
      </w:r>
    </w:p>
    <w:p>
      <w:pPr>
        <w:spacing w:after="60" w:before="260"/>
      </w:pPr>
      <w:r>
        <w:rPr>
          <w:b/>
          <w:bCs/>
          <w:sz w:val="24"/>
          <w:szCs w:val="24"/>
        </w:rPr>
        <w:t xml:space="preserve">T-004  Above the whole moving-average stack is worth about three points, everywhere.</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trend clause carries real direction, it is small, and it is the same size in every market tested. That combination is what makes it a rule rather than an observation: it does not need to be re-learned per venue.</w:t>
      </w:r>
    </w:p>
    <w:p>
      <w:pPr>
        <w:spacing w:after="120"/>
      </w:pPr>
      <w:r>
        <w:rPr>
          <w:b/>
          <w:bCs/>
          <w:sz w:val="21"/>
          <w:szCs w:val="21"/>
        </w:rPr>
        <w:t xml:space="preserve">How we know.  </w:t>
      </w:r>
      <w:r>
        <w:rPr>
          <w:sz w:val="21"/>
          <w:szCs w:val="21"/>
        </w:rPr>
        <w:t xml:space="preserve">Trading above the whole stack raises the odds of a higher close by +3.2pp at one week against trading below it (n = 26,943, z = 5.2). Across the three markets with enough names the estimates are +3.6pp, +3.4pp and +3.3pp — a Cochran Q test cannot separate them (p = 0.99), so they are one population.</w:t>
      </w:r>
    </w:p>
    <w:p>
      <w:pPr>
        <w:spacing w:after="120"/>
      </w:pPr>
      <w:r>
        <w:rPr>
          <w:b/>
          <w:bCs/>
          <w:sz w:val="21"/>
          <w:szCs w:val="21"/>
        </w:rPr>
        <w:t xml:space="preserve">What would overturn it.  </w:t>
      </w:r>
      <w:r>
        <w:rPr>
          <w:sz w:val="21"/>
          <w:szCs w:val="21"/>
        </w:rPr>
        <w:t xml:space="preserve">A market whose trend estimate sits outside the others by more than its own standard error, on at least four names.</w:t>
      </w:r>
    </w:p>
    <w:p>
      <w:pPr>
        <w:spacing w:after="40" w:before="140"/>
      </w:pPr>
      <w:r>
        <w:drawing>
          <wp:inline distT="0" distB="0" distL="0" distR="0">
            <wp:extent cx="57531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2914650"/>
                    </a:xfrm>
                    <a:prstGeom prst="rect">
                      <a:avLst/>
                    </a:prstGeom>
                  </pic:spPr>
                </pic:pic>
              </a:graphicData>
            </a:graphic>
          </wp:inline>
        </w:drawing>
      </w:r>
    </w:p>
    <w:p>
      <w:pPr>
        <w:spacing w:after="200"/>
      </w:pPr>
      <w:r>
        <w:rPr>
          <w:i/>
          <w:iCs/>
          <w:color w:val="777777"/>
          <w:sz w:val="16"/>
          <w:szCs w:val="16"/>
        </w:rPr>
        <w:t xml:space="preserve">Figure for T-004.</w:t>
      </w:r>
    </w:p>
    <w:p>
      <w:pPr>
        <w:spacing w:after="60" w:before="260"/>
      </w:pPr>
      <w:r>
        <w:rPr>
          <w:b/>
          <w:bCs/>
          <w:sz w:val="24"/>
          <w:szCs w:val="24"/>
        </w:rPr>
        <w:t xml:space="preserve">T-005  The MACD histogram carries no direction. Do not read one into it.</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A positive MACD histogram is followed by a higher close no more often than a negative one, at every horizon the technical lens covers. This is a measured null, not an absence of evidence — the test ran on tens of thousands of readings and found nothing.</w:t>
      </w:r>
    </w:p>
    <w:p>
      <w:pPr>
        <w:spacing w:after="120"/>
      </w:pPr>
      <w:r>
        <w:rPr>
          <w:b/>
          <w:bCs/>
          <w:sz w:val="21"/>
          <w:szCs w:val="21"/>
        </w:rPr>
        <w:t xml:space="preserve">How we know.  </w:t>
      </w:r>
      <w:r>
        <w:rPr>
          <w:sz w:val="21"/>
          <w:szCs w:val="21"/>
        </w:rPr>
        <w:t xml:space="preserve">The lift in forward up-rate from a positive histogram is -0.00pp at one week, -0.03pp at two weeks and -0.38pp at one month, on 22,709 readings — |z| below 1.2 throughout. Only 3 of 74 individual names show anything, about what chance alone produces at the 5% level.</w:t>
      </w:r>
    </w:p>
    <w:p>
      <w:pPr>
        <w:spacing w:after="120"/>
      </w:pPr>
      <w:r>
        <w:rPr>
          <w:b/>
          <w:bCs/>
          <w:sz w:val="21"/>
          <w:szCs w:val="21"/>
        </w:rPr>
        <w:t xml:space="preserve">What would overturn it.  </w:t>
      </w:r>
      <w:r>
        <w:rPr>
          <w:sz w:val="21"/>
          <w:szCs w:val="21"/>
        </w:rPr>
        <w:t xml:space="preserve">A construction of the MACD other than the histogram sign — a crossing, a divergence — tested on its own and clearing the same bar.</w:t>
      </w:r>
    </w:p>
    <w:p>
      <w:pPr>
        <w:spacing w:after="60" w:before="260"/>
      </w:pPr>
      <w:r>
        <w:rPr>
          <w:b/>
          <w:bCs/>
          <w:sz w:val="24"/>
          <w:szCs w:val="24"/>
        </w:rPr>
        <w:t xml:space="preserve">T-006  A cautious-sounding word is still a claim, and gets audited like one.</w:t>
      </w:r>
    </w:p>
    <w:p>
      <w:pPr>
        <w:spacing w:after="120"/>
      </w:pPr>
      <w:r>
        <w:rPr>
          <w:caps w:val="false"/>
          <w:color w:val="777777"/>
          <w:sz w:val="16"/>
          <w:szCs w:val="16"/>
        </w:rPr>
        <w:t xml:space="preserve">EVERY TICKER   applies to every ticker   ·   learned from a technical walk-forward test, 93-ticker replay, 31-Aug-2026   ·   STATUS: ACTED ON</w:t>
      </w:r>
    </w:p>
    <w:p>
      <w:pPr>
        <w:spacing w:after="120"/>
      </w:pPr>
      <w:r>
        <w:rPr>
          <w:sz w:val="21"/>
          <w:szCs w:val="21"/>
        </w:rPr>
        <w:t xml:space="preserve">The read described RSI at or above 70 as "stretched" and below 30 as "washed out". Both words imply a reversal to any reader. Both were followed by the opposite. The words survived precisely because they sounded like caution, and conservative-sounding language does not get checked the way a flattering claim would.</w:t>
      </w:r>
    </w:p>
    <w:p>
      <w:pPr>
        <w:spacing w:after="120"/>
      </w:pPr>
      <w:r>
        <w:rPr>
          <w:b/>
          <w:bCs/>
          <w:sz w:val="21"/>
          <w:szCs w:val="21"/>
        </w:rPr>
        <w:t xml:space="preserve">How we know.  </w:t>
      </w:r>
      <w:r>
        <w:rPr>
          <w:sz w:val="21"/>
          <w:szCs w:val="21"/>
        </w:rPr>
        <w:t xml:space="preserve">A reading at or above 70 is followed by an up-rate +2.4pp ABOVE the base rate at one week and +2.5pp at one month (n = 3,822); at three months the same bucket ran 7.6pp above base. Corrected to "very strong" and "very weak" on 31-Aug-2026 and live.</w:t>
      </w:r>
    </w:p>
    <w:p>
      <w:pPr>
        <w:spacing w:after="120"/>
      </w:pPr>
      <w:r>
        <w:rPr>
          <w:b/>
          <w:bCs/>
          <w:sz w:val="21"/>
          <w:szCs w:val="21"/>
        </w:rPr>
        <w:t xml:space="preserve">What would overturn it.  </w:t>
      </w:r>
      <w:r>
        <w:rPr>
          <w:sz w:val="21"/>
          <w:szCs w:val="21"/>
        </w:rPr>
        <w:t xml:space="preserve">Nothing about the direction — it is measured. The wording itself is replaceable by any phrasing that does not imply what it does not predict.</w:t>
      </w:r>
    </w:p>
    <w:p>
      <w:pPr>
        <w:spacing w:after="40" w:before="140"/>
      </w:pPr>
      <w:r>
        <w:drawing>
          <wp:inline distT="0" distB="0" distL="0" distR="0">
            <wp:extent cx="57531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686050"/>
                    </a:xfrm>
                    <a:prstGeom prst="rect">
                      <a:avLst/>
                    </a:prstGeom>
                  </pic:spPr>
                </pic:pic>
              </a:graphicData>
            </a:graphic>
          </wp:inline>
        </w:drawing>
      </w:r>
    </w:p>
    <w:p>
      <w:pPr>
        <w:spacing w:after="200"/>
      </w:pPr>
      <w:r>
        <w:rPr>
          <w:i/>
          <w:iCs/>
          <w:color w:val="777777"/>
          <w:sz w:val="16"/>
          <w:szCs w:val="16"/>
        </w:rPr>
        <w:t xml:space="preserve">Figure for T-006.</w:t>
      </w:r>
    </w:p>
    <w:p>
      <w:pPr>
        <w:spacing w:after="60" w:before="260"/>
      </w:pPr>
      <w:r>
        <w:rPr>
          <w:b/>
          <w:bCs/>
          <w:sz w:val="24"/>
          <w:szCs w:val="24"/>
        </w:rPr>
        <w:t xml:space="preserve">T-011  The bull and bear trigger sentence promises the opposite of what happens.</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"A daily close back above R1 would clear the nearest resistance and open the R3 zone" is the only explicitly conditional forecast the read makes, and it is wrong in direction. Clearing a REAL level is followed by the far level opening LESS often than clearing a non-level at the same distance is. The sentence reads as a green light and the tape treats it as a warning.</w:t>
      </w:r>
    </w:p>
    <w:p>
      <w:pPr>
        <w:spacing w:after="120"/>
      </w:pPr>
      <w:r>
        <w:rPr>
          <w:b/>
          <w:bCs/>
          <w:sz w:val="21"/>
          <w:szCs w:val="21"/>
        </w:rPr>
        <w:t xml:space="preserve">How we know.  </w:t>
      </w:r>
      <w:r>
        <w:rPr>
          <w:sz w:val="21"/>
          <w:szCs w:val="21"/>
        </w:rPr>
        <w:t xml:space="preserve">Scored in the order the sentence claims — the far rung must be reached AFTER the close that fired the trigger — against a null ladder moved off structure with the near/far ratio preserved. At one week the far zone opens 10.2% of the time after a real trigger against 15.2% after the null (-4.9pp, z = -5.1, 2,454 firings); at one month -5.3pp (z = -6.5). Both sides fail and the support side fails harder. The firing rates themselves match — 41% real against 38% null — so this is about what follows the trigger, not about how often it fires.</w:t>
      </w:r>
    </w:p>
    <w:p>
      <w:pPr>
        <w:spacing w:after="120"/>
      </w:pPr>
      <w:r>
        <w:rPr>
          <w:b/>
          <w:bCs/>
          <w:sz w:val="21"/>
          <w:szCs w:val="21"/>
        </w:rPr>
        <w:t xml:space="preserve">What would overturn it.  </w:t>
      </w:r>
      <w:r>
        <w:rPr>
          <w:sz w:val="21"/>
          <w:szCs w:val="21"/>
        </w:rPr>
        <w:t xml:space="preserve">Nothing about the direction — but note it FOLLOWS from T-003 rather than contradicting it. If a charted level genuinely holds, the far level holds too, so reaching it is harder, not easier. The prose was written as though only the near level were real.</w:t>
      </w:r>
    </w:p>
    <w:p>
      <w:pPr>
        <w:spacing w:after="60" w:before="260"/>
      </w:pPr>
      <w:r>
        <w:rPr>
          <w:b/>
          <w:bCs/>
          <w:sz w:val="24"/>
          <w:szCs w:val="24"/>
        </w:rPr>
        <w:t xml:space="preserve">T-012  A fresh moving-average cross is not a regime change.</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read calls a 50/200 cross inside the last 25 sessions "a momentum-regime change rather than noise inside an intact trend". Neither half of that survives testing. Volatility does not shift, and the direction leans gently the wrong way: a fresh golden cross is followed by a LOWER up-rate than an established one, and a fresh death cross by a higher one.</w:t>
      </w:r>
    </w:p>
    <w:p>
      <w:pPr>
        <w:spacing w:after="120"/>
      </w:pPr>
      <w:r>
        <w:rPr>
          <w:b/>
          <w:bCs/>
          <w:sz w:val="21"/>
          <w:szCs w:val="21"/>
        </w:rPr>
        <w:t xml:space="preserve">How we know.  </w:t>
      </w:r>
      <w:r>
        <w:rPr>
          <w:sz w:val="21"/>
          <w:szCs w:val="21"/>
        </w:rPr>
        <w:t xml:space="preserve">Compared against origins in the SAME cross state without the freshness, so the test isolates the cross rather than re-measuring the trend. At one month a fresh golden cross is followed by an up-rate of 52.2% against 54.8% for a stale one (-2.6pp, z = -2.7, n = 3,024); a fresh death cross runs +2.3pp the other way. Realized forward volatility is essentially unchanged — a ratio of 0.92 on golden and 1.01 on death — which is the reading that most directly refutes "regime change".</w:t>
      </w:r>
    </w:p>
    <w:p>
      <w:pPr>
        <w:spacing w:after="120"/>
      </w:pPr>
      <w:r>
        <w:rPr>
          <w:b/>
          <w:bCs/>
          <w:sz w:val="21"/>
          <w:szCs w:val="21"/>
        </w:rPr>
        <w:t xml:space="preserve">What would overturn it.  </w:t>
      </w:r>
      <w:r>
        <w:rPr>
          <w:sz w:val="21"/>
          <w:szCs w:val="21"/>
        </w:rPr>
        <w:t xml:space="preserve">A different freshness window, or a cross of different averages, showing a volatility shift. The 25-session window is the one the read publishes and is what was tested.</w:t>
      </w:r>
    </w:p>
    <w:p>
      <w:pPr>
        <w:spacing w:after="40" w:before="140"/>
      </w:pPr>
      <w:r>
        <w:drawing>
          <wp:inline distT="0" distB="0" distL="0" distR="0">
            <wp:extent cx="57531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2752725"/>
                    </a:xfrm>
                    <a:prstGeom prst="rect">
                      <a:avLst/>
                    </a:prstGeom>
                  </pic:spPr>
                </pic:pic>
              </a:graphicData>
            </a:graphic>
          </wp:inline>
        </w:drawing>
      </w:r>
    </w:p>
    <w:p>
      <w:pPr>
        <w:spacing w:after="200"/>
      </w:pPr>
      <w:r>
        <w:rPr>
          <w:i/>
          <w:iCs/>
          <w:color w:val="777777"/>
          <w:sz w:val="16"/>
          <w:szCs w:val="16"/>
        </w:rPr>
        <w:t xml:space="preserve">Figure for T-012.</w:t>
      </w:r>
    </w:p>
    <w:p>
      <w:pPr>
        <w:spacing w:after="60" w:before="260"/>
      </w:pPr>
      <w:r>
        <w:rPr>
          <w:b/>
          <w:bCs/>
          <w:sz w:val="24"/>
          <w:szCs w:val="24"/>
        </w:rPr>
        <w:t xml:space="preserve">T-013  Volume carries movement, not direction — and the tape reading already has it.</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Volume sits in every library and the read has never looked at it. Tested, it behaves exactly like a weaker version of the ATR sentence: it says something real about how far price will travel, nothing at all about which way, and almost all of what it says is already said better by a reading the page publishes today.</w:t>
      </w:r>
    </w:p>
    <w:p>
      <w:pPr>
        <w:spacing w:after="120"/>
      </w:pPr>
      <w:r>
        <w:rPr>
          <w:b/>
          <w:bCs/>
          <w:sz w:val="21"/>
          <w:szCs w:val="21"/>
        </w:rPr>
        <w:t xml:space="preserve">How we know.  </w:t>
      </w:r>
      <w:r>
        <w:rPr>
          <w:sz w:val="21"/>
          <w:szCs w:val="21"/>
        </w:rPr>
        <w:t xml:space="preserve">On 43,167 readings, a volume surge and a volume drought are followed by a higher close equally often — +0.5pp at one week (z = +0.6) and -0.0pp at one month. Against realized forward volatility the volume z-score scores +0.089 where the ATR reading scores +0.506; controlling for ATR, volume keeps +0.065 at one week and +0.033 at one month — real, highly significant, and about a twentieth of what the page already tells you.</w:t>
      </w:r>
    </w:p>
    <w:p>
      <w:pPr>
        <w:spacing w:after="120"/>
      </w:pPr>
      <w:r>
        <w:rPr>
          <w:b/>
          <w:bCs/>
          <w:sz w:val="21"/>
          <w:szCs w:val="21"/>
        </w:rPr>
        <w:t xml:space="preserve">What would overturn it.  </w:t>
      </w:r>
      <w:r>
        <w:rPr>
          <w:sz w:val="21"/>
          <w:szCs w:val="21"/>
        </w:rPr>
        <w:t xml:space="preserve">A volume construction other than a trailing z-score — turnover against float, or volume conditioned on direction — retaining a materially larger partial correlation. What is ruled out is the plain surge.</w:t>
      </w:r>
    </w:p>
    <w:p>
      <w:pPr>
        <w:spacing w:after="40" w:before="140"/>
      </w:pPr>
      <w:r>
        <w:drawing>
          <wp:inline distT="0" distB="0" distL="0" distR="0">
            <wp:extent cx="57531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2743200"/>
                    </a:xfrm>
                    <a:prstGeom prst="rect">
                      <a:avLst/>
                    </a:prstGeom>
                  </pic:spPr>
                </pic:pic>
              </a:graphicData>
            </a:graphic>
          </wp:inline>
        </w:drawing>
      </w:r>
    </w:p>
    <w:p>
      <w:pPr>
        <w:spacing w:after="200"/>
      </w:pPr>
      <w:r>
        <w:rPr>
          <w:i/>
          <w:iCs/>
          <w:color w:val="777777"/>
          <w:sz w:val="16"/>
          <w:szCs w:val="16"/>
        </w:rPr>
        <w:t xml:space="preserve">Figure for T-013.</w:t>
      </w:r>
    </w:p>
    <w:p>
      <w:pPr>
        <w:spacing w:after="60" w:before="260"/>
      </w:pPr>
      <w:r>
        <w:rPr>
          <w:b/>
          <w:bCs/>
          <w:sz w:val="24"/>
          <w:szCs w:val="24"/>
        </w:rPr>
        <w:t xml:space="preserve">T-014  A moving average is as good a line as charted structure — for about a week.</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read draws its support and resistance from swing highs and lows, and admits a moving average, a 52-week extreme or a round number only when real structure does not fill the slot — they are scored as second class. Over one week that ranking is wrong: the 20-day average holds better than anything else on the board. Over a month it is right, and for an obvious reason nobody had checked — a moving average MOVES, so as a fixed line it goes stale in days.</w:t>
      </w:r>
    </w:p>
    <w:p>
      <w:pPr>
        <w:spacing w:after="120"/>
      </w:pPr>
      <w:r>
        <w:rPr>
          <w:b/>
          <w:bCs/>
          <w:sz w:val="21"/>
          <w:szCs w:val="21"/>
        </w:rPr>
        <w:t xml:space="preserve">How we know.  </w:t>
      </w:r>
      <w:r>
        <w:rPr>
          <w:sz w:val="21"/>
          <w:szCs w:val="21"/>
        </w:rPr>
        <w:t xml:space="preserve">At one week the 20-day average is broken through +11.2pp less often than a matched non-level, against +10.7pp for a swing high or low, +7.8pp for a round number and +5.1pp for the 52-week high (n = 174 / 2,617 / 952 / 136). At one month the same average is worth -0.9pp — nothing at all — while swing structure still holds +5.2pp.</w:t>
      </w:r>
    </w:p>
    <w:p>
      <w:pPr>
        <w:spacing w:after="120"/>
      </w:pPr>
      <w:r>
        <w:rPr>
          <w:b/>
          <w:bCs/>
          <w:sz w:val="21"/>
          <w:szCs w:val="21"/>
        </w:rPr>
        <w:t xml:space="preserve">What would overturn it.  </w:t>
      </w:r>
      <w:r>
        <w:rPr>
          <w:sz w:val="21"/>
          <w:szCs w:val="21"/>
        </w:rPr>
        <w:t xml:space="preserve">The moving-average counts are small (174 tests at one week) because the read admits an average only when structure does not fill the slot. A larger sample moving the estimate toward the swing figure would fold this lesson into T-003.</w:t>
      </w:r>
    </w:p>
    <w:p>
      <w:pPr>
        <w:spacing w:after="40" w:before="140"/>
      </w:pPr>
      <w:r>
        <w:drawing>
          <wp:inline distT="0" distB="0" distL="0" distR="0">
            <wp:extent cx="57531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3100" cy="2809875"/>
                    </a:xfrm>
                    <a:prstGeom prst="rect">
                      <a:avLst/>
                    </a:prstGeom>
                  </pic:spPr>
                </pic:pic>
              </a:graphicData>
            </a:graphic>
          </wp:inline>
        </w:drawing>
      </w:r>
    </w:p>
    <w:p>
      <w:pPr>
        <w:spacing w:after="200"/>
      </w:pPr>
      <w:r>
        <w:rPr>
          <w:i/>
          <w:iCs/>
          <w:color w:val="777777"/>
          <w:sz w:val="16"/>
          <w:szCs w:val="16"/>
        </w:rPr>
        <w:t xml:space="preserve">Figure for T-014.</w:t>
      </w:r>
    </w:p>
    <w:p>
      <w:pPr>
        <w:spacing w:after="60" w:before="260"/>
      </w:pPr>
      <w:r>
        <w:rPr>
          <w:b/>
          <w:bCs/>
          <w:sz w:val="24"/>
          <w:szCs w:val="24"/>
        </w:rPr>
        <w:t xml:space="preserve">T-015  How many times a level was tested tells you nothing about whether it holds.</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It is an article of faith in chart reading that a level tested five times is stronger than one tested once, and the read believes it too — it weights each level by its touch count when deciding what to publish. Across the whole book the edge is flat. A level tested once and a level tested five times hold equally well.</w:t>
      </w:r>
    </w:p>
    <w:p>
      <w:pPr>
        <w:spacing w:after="120"/>
      </w:pPr>
      <w:r>
        <w:rPr>
          <w:b/>
          <w:bCs/>
          <w:sz w:val="21"/>
          <w:szCs w:val="21"/>
        </w:rPr>
        <w:t xml:space="preserve">How we know.  </w:t>
      </w:r>
      <w:r>
        <w:rPr>
          <w:sz w:val="21"/>
          <w:szCs w:val="21"/>
        </w:rPr>
        <w:t xml:space="preserve">At one month, by number of prior tests: none +4.5pp, once +5.3pp, twice +4.4pp, three or four +7.0pp, five or more +4.7pp — on 13,513 tests in total. There is no order in it.</w:t>
      </w:r>
    </w:p>
    <w:p>
      <w:pPr>
        <w:spacing w:after="120"/>
      </w:pPr>
      <w:r>
        <w:rPr>
          <w:b/>
          <w:bCs/>
          <w:sz w:val="21"/>
          <w:szCs w:val="21"/>
        </w:rPr>
        <w:t xml:space="preserve">What would overturn it.  </w:t>
      </w:r>
      <w:r>
        <w:rPr>
          <w:sz w:val="21"/>
          <w:szCs w:val="21"/>
        </w:rPr>
        <w:t xml:space="preserve">A touch count measured differently — tests clustered in time, or tests that produced a large rejection rather than any touch at all. What is ruled out is the plain count the read uses.</w:t>
      </w:r>
    </w:p>
    <w:p>
      <w:pPr>
        <w:spacing w:after="40" w:before="140"/>
      </w:pPr>
      <w:r>
        <w:drawing>
          <wp:inline distT="0" distB="0" distL="0" distR="0">
            <wp:extent cx="57531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53100" cy="2590800"/>
                    </a:xfrm>
                    <a:prstGeom prst="rect">
                      <a:avLst/>
                    </a:prstGeom>
                  </pic:spPr>
                </pic:pic>
              </a:graphicData>
            </a:graphic>
          </wp:inline>
        </w:drawing>
      </w:r>
    </w:p>
    <w:p>
      <w:pPr>
        <w:spacing w:after="200"/>
      </w:pPr>
      <w:r>
        <w:rPr>
          <w:i/>
          <w:iCs/>
          <w:color w:val="777777"/>
          <w:sz w:val="16"/>
          <w:szCs w:val="16"/>
        </w:rPr>
        <w:t xml:space="preserve">Figure for T-015.</w:t>
      </w:r>
    </w:p>
    <w:p>
      <w:pPr>
        <w:spacing w:after="60" w:before="260"/>
      </w:pPr>
      <w:r>
        <w:rPr>
          <w:b/>
          <w:bCs/>
          <w:sz w:val="24"/>
          <w:szCs w:val="24"/>
        </w:rPr>
        <w:t xml:space="preserve">T-016  Round numbers work. Not as well as structure, but they are not superstition.</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read treats a round number as a filler — a line to publish when the chart has nothing better to offer, scored below everything else. It earns more than that. Round numbers hold about three quarters as well as real charted structure, consistently, at every horizon.</w:t>
      </w:r>
    </w:p>
    <w:p>
      <w:pPr>
        <w:spacing w:after="120"/>
      </w:pPr>
      <w:r>
        <w:rPr>
          <w:b/>
          <w:bCs/>
          <w:sz w:val="21"/>
          <w:szCs w:val="21"/>
        </w:rPr>
        <w:t xml:space="preserve">How we know.  </w:t>
      </w:r>
      <w:r>
        <w:rPr>
          <w:sz w:val="21"/>
          <w:szCs w:val="21"/>
        </w:rPr>
        <w:t xml:space="preserve">A round number is broken through +7.8pp less often than a matched non-level at one week and +5.0pp at one month, on 2,772 tests — against +5.2pp for swing structure on the same clock. Both are far clear of chance.</w:t>
      </w:r>
    </w:p>
    <w:p>
      <w:pPr>
        <w:spacing w:after="120"/>
      </w:pPr>
      <w:r>
        <w:rPr>
          <w:b/>
          <w:bCs/>
          <w:sz w:val="21"/>
          <w:szCs w:val="21"/>
        </w:rPr>
        <w:t xml:space="preserve">What would overturn it.  </w:t>
      </w:r>
      <w:r>
        <w:rPr>
          <w:sz w:val="21"/>
          <w:szCs w:val="21"/>
        </w:rPr>
        <w:t xml:space="preserve">A market with no round-number convention in its tick sizes, where the effect should vanish.</w:t>
      </w:r>
    </w:p>
    <w:p>
      <w:pPr>
        <w:spacing w:after="60" w:before="260"/>
      </w:pPr>
      <w:r>
        <w:rPr>
          <w:b/>
          <w:bCs/>
          <w:sz w:val="24"/>
          <w:szCs w:val="24"/>
        </w:rPr>
        <w:t xml:space="preserve">T-017  The nearest level is not the strongest one.</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read publishes three levels a side and orders them by distance, and it is natural to read the first as the most important. It is not the strongest. Over a month the FURTHEST of the three holds best, and the nearest holds worst — nearly twice the difference.</w:t>
      </w:r>
    </w:p>
    <w:p>
      <w:pPr>
        <w:spacing w:after="120"/>
      </w:pPr>
      <w:r>
        <w:rPr>
          <w:b/>
          <w:bCs/>
          <w:sz w:val="21"/>
          <w:szCs w:val="21"/>
        </w:rPr>
        <w:t xml:space="preserve">How we know.  </w:t>
      </w:r>
      <w:r>
        <w:rPr>
          <w:sz w:val="21"/>
          <w:szCs w:val="21"/>
        </w:rPr>
        <w:t xml:space="preserve">At one month the three published rungs hold +3.1pp (nearest), +5.1pp and +5.8pp (furthest), on 2,190, 5,620 and 5,729 tests. At one week the middle rung is strongest (+10.9pp) and the ordering is not monotonic either way.</w:t>
      </w:r>
    </w:p>
    <w:p>
      <w:pPr>
        <w:spacing w:after="120"/>
      </w:pPr>
      <w:r>
        <w:rPr>
          <w:b/>
          <w:bCs/>
          <w:sz w:val="21"/>
          <w:szCs w:val="21"/>
        </w:rPr>
        <w:t xml:space="preserve">What would overturn it.  </w:t>
      </w:r>
      <w:r>
        <w:rPr>
          <w:sz w:val="21"/>
          <w:szCs w:val="21"/>
        </w:rPr>
        <w:t xml:space="preserve">An ordering that reproduces on a different level-drawing method. As it stands this may be about which levels survive the read's own distance filter rather than about rank itself.</w:t>
      </w:r>
    </w:p>
    <w:p>
      <w:pPr>
        <w:spacing w:after="60" w:before="260"/>
      </w:pPr>
      <w:r>
        <w:rPr>
          <w:b/>
          <w:bCs/>
          <w:sz w:val="24"/>
          <w:szCs w:val="24"/>
        </w:rPr>
        <w:t xml:space="preserve">T-018  Which way the 200-day is sloping is worth more than where the price sits.</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Every page states whether the 200-day average is rising, flat or falling, and nothing has ever been made of it. It is a cleaner directional signal than the moving-average stack the read leads with, and it moves in the order you would hope: rising is best, falling is worst, flat sits between them.</w:t>
      </w:r>
    </w:p>
    <w:p>
      <w:pPr>
        <w:spacing w:after="120"/>
      </w:pPr>
      <w:r>
        <w:rPr>
          <w:b/>
          <w:bCs/>
          <w:sz w:val="21"/>
          <w:szCs w:val="21"/>
        </w:rPr>
        <w:t xml:space="preserve">How we know.  </w:t>
      </w:r>
      <w:r>
        <w:rPr>
          <w:sz w:val="21"/>
          <w:szCs w:val="21"/>
        </w:rPr>
        <w:t xml:space="preserve">Against a base rate of 52.4%, a rising 200-day is followed by a higher close one month later +2.1pp more often, a flat one -0.4pp and a falling one -3.2pp — a spread of 5.3 points across 45,331 readings, against +2.4pp for the stack claim the read leads with.</w:t>
      </w:r>
    </w:p>
    <w:p>
      <w:pPr>
        <w:spacing w:after="120"/>
      </w:pPr>
      <w:r>
        <w:rPr>
          <w:b/>
          <w:bCs/>
          <w:sz w:val="21"/>
          <w:szCs w:val="21"/>
        </w:rPr>
        <w:t xml:space="preserve">What would overturn it.  </w:t>
      </w:r>
      <w:r>
        <w:rPr>
          <w:sz w:val="21"/>
          <w:szCs w:val="21"/>
        </w:rPr>
        <w:t xml:space="preserve">A slope definition other than the ten-session change the read uses, failing to reproduce it.</w:t>
      </w:r>
    </w:p>
    <w:p>
      <w:pPr>
        <w:spacing w:after="60" w:before="260"/>
      </w:pPr>
      <w:r>
        <w:rPr>
          <w:b/>
          <w:bCs/>
          <w:sz w:val="24"/>
          <w:szCs w:val="24"/>
        </w:rPr>
        <w:t xml:space="preserve">T-019  Stocks near their 52-week high keep doing better. The read states the distance and stops.</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Every page prints how far the last close sits below the 52-week high. That distance predicts what comes next, in the direction a momentum investor would expect and a bargain hunter would not: the closer to the high, the better the odds.</w:t>
      </w:r>
    </w:p>
    <w:p>
      <w:pPr>
        <w:spacing w:after="120"/>
      </w:pPr>
      <w:r>
        <w:rPr>
          <w:b/>
          <w:bCs/>
          <w:sz w:val="21"/>
          <w:szCs w:val="21"/>
        </w:rPr>
        <w:t xml:space="preserve">How we know.  </w:t>
      </w:r>
      <w:r>
        <w:rPr>
          <w:sz w:val="21"/>
          <w:szCs w:val="21"/>
        </w:rPr>
        <w:t xml:space="preserve">Sorted into eight equal groups by distance below the high, the closest group is followed by a higher close one month later +3.0pp more often than the base rate, and the group sitting about 31% below the high -3.8pp — on about 5,667 readings per group. The pattern is broadly monotonic across the middle.</w:t>
      </w:r>
    </w:p>
    <w:p>
      <w:pPr>
        <w:spacing w:after="120"/>
      </w:pPr>
      <w:r>
        <w:rPr>
          <w:b/>
          <w:bCs/>
          <w:sz w:val="21"/>
          <w:szCs w:val="21"/>
        </w:rPr>
        <w:t xml:space="preserve">What would overturn it.  </w:t>
      </w:r>
      <w:r>
        <w:rPr>
          <w:sz w:val="21"/>
          <w:szCs w:val="21"/>
        </w:rPr>
        <w:t xml:space="preserve">The deepest group breaks the pattern, which is what a genuine washed-out rebound would look like. A larger sample confirming that turn would make this a U-shape rather than a slope.</w:t>
      </w:r>
    </w:p>
    <w:p>
      <w:pPr>
        <w:spacing w:after="40" w:before="140"/>
      </w:pPr>
      <w:r>
        <w:drawing>
          <wp:inline distT="0" distB="0" distL="0" distR="0">
            <wp:extent cx="57531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2247900"/>
                    </a:xfrm>
                    <a:prstGeom prst="rect">
                      <a:avLst/>
                    </a:prstGeom>
                  </pic:spPr>
                </pic:pic>
              </a:graphicData>
            </a:graphic>
          </wp:inline>
        </w:drawing>
      </w:r>
    </w:p>
    <w:p>
      <w:pPr>
        <w:spacing w:after="200"/>
      </w:pPr>
      <w:r>
        <w:rPr>
          <w:i/>
          <w:iCs/>
          <w:color w:val="777777"/>
          <w:sz w:val="16"/>
          <w:szCs w:val="16"/>
        </w:rPr>
        <w:t xml:space="preserve">Figure for T-019.</w:t>
      </w:r>
    </w:p>
    <w:p>
      <w:pPr>
        <w:spacing w:after="60" w:before="260"/>
      </w:pPr>
      <w:r>
        <w:rPr>
          <w:b/>
          <w:bCs/>
          <w:sz w:val="24"/>
          <w:szCs w:val="24"/>
        </w:rPr>
        <w:t xml:space="preserve">T-020  RSI is flat across nine tenths of its range.</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read has five words for RSI. Measured decile by decile, the first nine are indistinguishable from one another and from the base rate. Everything RSI knows sits in its top tenth. That is why the word for the top mattered so much (T-006) and why the words for the middle carry nothing.</w:t>
      </w:r>
    </w:p>
    <w:p>
      <w:pPr>
        <w:spacing w:after="120"/>
      </w:pPr>
      <w:r>
        <w:rPr>
          <w:b/>
          <w:bCs/>
          <w:sz w:val="21"/>
          <w:szCs w:val="21"/>
        </w:rPr>
        <w:t xml:space="preserve">How we know.  </w:t>
      </w:r>
      <w:r>
        <w:rPr>
          <w:sz w:val="21"/>
          <w:szCs w:val="21"/>
        </w:rPr>
        <w:t xml:space="preserve">Across ten equal groups at one week, the lifts run between -1.5 and +0.8 points, each on about 4,534 readings and each inside its own error bar. The top group — RSI above 69 — is +2.6pp, and +2.0pp at one month.</w:t>
      </w:r>
    </w:p>
    <w:p>
      <w:pPr>
        <w:spacing w:after="120"/>
      </w:pPr>
      <w:r>
        <w:rPr>
          <w:b/>
          <w:bCs/>
          <w:sz w:val="21"/>
          <w:szCs w:val="21"/>
        </w:rPr>
        <w:t xml:space="preserve">What would overturn it.  </w:t>
      </w:r>
      <w:r>
        <w:rPr>
          <w:sz w:val="21"/>
          <w:szCs w:val="21"/>
        </w:rPr>
        <w:t xml:space="preserve">An RSI period other than 14, or a reading taken relative to the stock's own history rather than the fixed 0-100 scale.</w:t>
      </w:r>
    </w:p>
    <w:p>
      <w:pPr>
        <w:spacing w:after="60" w:before="260"/>
      </w:pPr>
      <w:r>
        <w:rPr>
          <w:b/>
          <w:bCs/>
          <w:sz w:val="24"/>
          <w:szCs w:val="24"/>
        </w:rPr>
        <w:t xml:space="preserve">T-021  The trend claim has faded. It worked before 2020 and has not since.</w:t>
      </w:r>
    </w:p>
    <w:p>
      <w:pPr>
        <w:spacing w:after="120"/>
      </w:pPr>
      <w:r>
        <w:rPr>
          <w:caps w:val="false"/>
          <w:color w:val="777777"/>
          <w:sz w:val="16"/>
          <w:szCs w:val="16"/>
        </w:rPr>
        <w:t xml:space="preserve">EVERY TICKER   applies to every ticker   ·   learned from a technical walk-forward test, 93-ticker replay, 31-Aug-2026   ·   STATUS: WATCH</w:t>
      </w:r>
    </w:p>
    <w:p>
      <w:pPr>
        <w:spacing w:after="120"/>
      </w:pPr>
      <w:r>
        <w:rPr>
          <w:sz w:val="21"/>
          <w:szCs w:val="21"/>
        </w:rPr>
        <w:t xml:space="preserve">Splitting the fifteen years in half is the cheapest honesty check there is, and the trend claim fails it. Trading above the whole moving-average stack was worth something in the first half and nothing in the second — it does not merely weaken, it changes sign. The pooled figure this register publishes for it is therefore an average of a real effect and its absence.</w:t>
      </w:r>
    </w:p>
    <w:p>
      <w:pPr>
        <w:spacing w:after="120"/>
      </w:pPr>
      <w:r>
        <w:rPr>
          <w:b/>
          <w:bCs/>
          <w:sz w:val="21"/>
          <w:szCs w:val="21"/>
        </w:rPr>
        <w:t xml:space="preserve">How we know.  </w:t>
      </w:r>
      <w:r>
        <w:rPr>
          <w:sz w:val="21"/>
          <w:szCs w:val="21"/>
        </w:rPr>
        <w:t xml:space="preserve">At one month, split at 2020-08-14: the above-versus-below gap is +5.1pp in the earlier half and -1.2pp in the later one. At one week it survives with the same sign but decays hard — +4.0pp to +1.6pp.</w:t>
      </w:r>
    </w:p>
    <w:p>
      <w:pPr>
        <w:spacing w:after="120"/>
      </w:pPr>
      <w:r>
        <w:rPr>
          <w:b/>
          <w:bCs/>
          <w:sz w:val="21"/>
          <w:szCs w:val="21"/>
        </w:rPr>
        <w:t xml:space="preserve">What would overturn it.  </w:t>
      </w:r>
      <w:r>
        <w:rPr>
          <w:sz w:val="21"/>
          <w:szCs w:val="21"/>
        </w:rPr>
        <w:t xml:space="preserve">The next few years restoring it. This is flagged as a WATCH rather than a withdrawal because half a sample is a blunt instrument, and the shorter horizon still holds.</w:t>
      </w:r>
    </w:p>
    <w:p>
      <w:pPr>
        <w:spacing w:after="60" w:before="260"/>
      </w:pPr>
      <w:r>
        <w:rPr>
          <w:b/>
          <w:bCs/>
          <w:sz w:val="24"/>
          <w:szCs w:val="24"/>
        </w:rPr>
        <w:t xml:space="preserve">T-022  Levels and the tape reading do survive that same test.</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The split-half check that broke the trend claim leaves the other two standing. The level edge is close to unchanged across the two halves, and the tape reading is actually stronger in the recent one. A finding that holds in both halves of fifteen years is a different quality of evidence from one that holds only on average.</w:t>
      </w:r>
    </w:p>
    <w:p>
      <w:pPr>
        <w:spacing w:after="120"/>
      </w:pPr>
      <w:r>
        <w:rPr>
          <w:b/>
          <w:bCs/>
          <w:sz w:val="21"/>
          <w:szCs w:val="21"/>
        </w:rPr>
        <w:t xml:space="preserve">How we know.  </w:t>
      </w:r>
      <w:r>
        <w:rPr>
          <w:sz w:val="21"/>
          <w:szCs w:val="21"/>
        </w:rPr>
        <w:t xml:space="preserve">At one month the level edge is +6.0pp before 2020-08-14 and +4.1pp after; at one week, +9.2pp and +10.3pp. The tape correlation runs +0.596 then +0.659.</w:t>
      </w:r>
    </w:p>
    <w:p>
      <w:pPr>
        <w:spacing w:after="120"/>
      </w:pPr>
      <w:r>
        <w:rPr>
          <w:b/>
          <w:bCs/>
          <w:sz w:val="21"/>
          <w:szCs w:val="21"/>
        </w:rPr>
        <w:t xml:space="preserve">What would overturn it.  </w:t>
      </w:r>
      <w:r>
        <w:rPr>
          <w:sz w:val="21"/>
          <w:szCs w:val="21"/>
        </w:rPr>
        <w:t xml:space="preserve">Either measure dropping toward zero in a future half. The check is cheap and should be re-run at every calibration pass.</w:t>
      </w:r>
    </w:p>
    <w:p>
      <w:pPr>
        <w:spacing w:after="60" w:before="260"/>
      </w:pPr>
      <w:r>
        <w:rPr>
          <w:b/>
          <w:bCs/>
          <w:sz w:val="24"/>
          <w:szCs w:val="24"/>
        </w:rPr>
        <w:t xml:space="preserve">T-023  The four tape words are a properly calibrated ladder, not adjectives.</w:t>
      </w:r>
    </w:p>
    <w:p>
      <w:pPr>
        <w:spacing w:after="120"/>
      </w:pPr>
      <w:r>
        <w:rPr>
          <w:caps w:val="false"/>
          <w:color w:val="777777"/>
          <w:sz w:val="16"/>
          <w:szCs w:val="16"/>
        </w:rPr>
        <w:t xml:space="preserve">EVERY TICKER   applies to every ticker   ·   learned from a technical walk-forward test, 93-ticker replay, 31-Aug-2026   ·   STATUS: PROVISIONAL</w:t>
      </w:r>
    </w:p>
    <w:p>
      <w:pPr>
        <w:spacing w:after="120"/>
      </w:pPr>
      <w:r>
        <w:rPr>
          <w:sz w:val="21"/>
          <w:szCs w:val="21"/>
        </w:rPr>
        <w:t xml:space="preserve">"An orderly tape", "a normal tape", "a lively tape", "a volatile tape". Each maps to a distinct and correctly ordered amount of movement in the month that follows, and the gaps between them are wide enough that the words are doing real work. This is the one place the read already behaves like a calibrated instrument.</w:t>
      </w:r>
    </w:p>
    <w:p>
      <w:pPr>
        <w:spacing w:after="120"/>
      </w:pPr>
      <w:r>
        <w:rPr>
          <w:b/>
          <w:bCs/>
          <w:sz w:val="21"/>
          <w:szCs w:val="21"/>
        </w:rPr>
        <w:t xml:space="preserve">How we know.  </w:t>
      </w:r>
      <w:r>
        <w:rPr>
          <w:sz w:val="21"/>
          <w:szCs w:val="21"/>
        </w:rPr>
        <w:t xml:space="preserve">an orderly tape → 15% · a normal tape → 24% · a lively tape → 34% · a volatile tape → 47% (median annualised movement over the following month, on 45,331 readings). The middle half of outcomes for "an orderly tape" runs 11–20% against 36–61% for "a volatile tape" — barely overlapping.</w:t>
      </w:r>
    </w:p>
    <w:p>
      <w:pPr>
        <w:spacing w:after="120"/>
      </w:pPr>
      <w:r>
        <w:rPr>
          <w:b/>
          <w:bCs/>
          <w:sz w:val="21"/>
          <w:szCs w:val="21"/>
        </w:rPr>
        <w:t xml:space="preserve">What would overturn it.  </w:t>
      </w:r>
      <w:r>
        <w:rPr>
          <w:sz w:val="21"/>
          <w:szCs w:val="21"/>
        </w:rPr>
        <w:t xml:space="preserve">A market where the ladder inverts or collapses. The cut points are fixed percentages of price and could in principle suit one market and not another; tested per market, all of them keep the order.</w:t>
      </w:r>
    </w:p>
    <w:p>
      <w:pPr>
        <w:pStyle w:val="Heading1"/>
        <w:spacing w:after="160" w:before="320"/>
      </w:pPr>
      <w:r>
        <w:t xml:space="preserve">Lessons that bind on a CLASS of ticker</w:t>
      </w:r>
    </w:p>
    <w:p>
      <w:pPr>
        <w:spacing w:after="120"/>
      </w:pPr>
      <w:r>
        <w:t xml:space="preserve">Two candidate classes were tested: the market a ticker trades on, and its industry sector. They did not fare equally.</w:t>
      </w:r>
    </w:p>
    <w:p>
      <w:pPr>
        <w:pStyle w:val="Heading2"/>
        <w:spacing w:after="120" w:before="240"/>
      </w:pPr>
      <w:r>
        <w:t xml:space="preserve">Market / exchange</w:t>
      </w:r>
    </w:p>
    <w:p>
      <w:pPr>
        <w:spacing w:after="60" w:before="260"/>
      </w:pPr>
      <w:r>
        <w:rPr>
          <w:b/>
          <w:bCs/>
          <w:sz w:val="24"/>
          <w:szCs w:val="24"/>
        </w:rPr>
        <w:t xml:space="preserve">T-007  How much a level is worth depends on the market it is drawn in.</w:t>
      </w:r>
    </w:p>
    <w:p>
      <w:pPr>
        <w:spacing w:after="120"/>
      </w:pPr>
      <w:r>
        <w:rPr>
          <w:caps w:val="false"/>
          <w:color w:val="777777"/>
          <w:sz w:val="16"/>
          <w:szCs w:val="16"/>
        </w:rPr>
        <w:t xml:space="preserve">A CLASS OF TICKER   applies to every ticker in that market   ·   learned from a technical walk-forward test, 93-ticker replay, 31-Aug-2026   ·   STATUS: PROVISIONAL</w:t>
      </w:r>
    </w:p>
    <w:p>
      <w:pPr>
        <w:spacing w:after="120"/>
      </w:pPr>
      <w:r>
        <w:rPr>
          <w:sz w:val="21"/>
          <w:szCs w:val="21"/>
        </w:rPr>
        <w:t xml:space="preserve">The level edge holds everywhere, but not equally. A level in the Saudi market is worth roughly twice one in Egypt. This is the one place where a class genuinely earns its rung: the classes differ by more than their own standard errors explain.</w:t>
      </w:r>
    </w:p>
    <w:p>
      <w:pPr>
        <w:spacing w:after="120"/>
      </w:pPr>
      <w:r>
        <w:rPr>
          <w:b/>
          <w:bCs/>
          <w:sz w:val="21"/>
          <w:szCs w:val="21"/>
        </w:rPr>
        <w:t xml:space="preserve">How we know.  </w:t>
      </w:r>
      <w:r>
        <w:rPr>
          <w:sz w:val="21"/>
          <w:szCs w:val="21"/>
        </w:rPr>
        <w:t xml:space="preserve">At one week the edge is +17.3pp in Saudi, +12.2pp in the UAE and +8.5pp in Egypt. Cochran Q = 9.6 on 2 degrees of freedom (p = 0.008), I-squared = 79% — the spread is real, not sampling noise.</w:t>
      </w:r>
    </w:p>
    <w:p>
      <w:pPr>
        <w:spacing w:after="120"/>
      </w:pPr>
      <w:r>
        <w:rPr>
          <w:b/>
          <w:bCs/>
          <w:sz w:val="21"/>
          <w:szCs w:val="21"/>
        </w:rPr>
        <w:t xml:space="preserve">What would overturn it.  </w:t>
      </w:r>
      <w:r>
        <w:rPr>
          <w:sz w:val="21"/>
          <w:szCs w:val="21"/>
        </w:rPr>
        <w:t xml:space="preserve">Only three markets carry four or more names, so this rests on three estimates. A fourth market landing between them would weaken it; one landing outside would strengthen it.</w:t>
      </w:r>
    </w:p>
    <w:p>
      <w:pPr>
        <w:spacing w:after="40" w:before="140"/>
      </w:pPr>
      <w:r>
        <w:drawing>
          <wp:inline distT="0" distB="0" distL="0" distR="0">
            <wp:extent cx="57531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2733675"/>
                    </a:xfrm>
                    <a:prstGeom prst="rect">
                      <a:avLst/>
                    </a:prstGeom>
                  </pic:spPr>
                </pic:pic>
              </a:graphicData>
            </a:graphic>
          </wp:inline>
        </w:drawing>
      </w:r>
    </w:p>
    <w:p>
      <w:pPr>
        <w:spacing w:after="200"/>
      </w:pPr>
      <w:r>
        <w:rPr>
          <w:i/>
          <w:iCs/>
          <w:color w:val="777777"/>
          <w:sz w:val="16"/>
          <w:szCs w:val="16"/>
        </w:rPr>
        <w:t xml:space="preserve">Figure for T-007.</w:t>
      </w:r>
    </w:p>
    <w:p>
      <w:pPr>
        <w:spacing w:after="60" w:before="260"/>
      </w:pPr>
      <w:r>
        <w:rPr>
          <w:b/>
          <w:bCs/>
          <w:sz w:val="24"/>
          <w:szCs w:val="24"/>
        </w:rPr>
        <w:t xml:space="preserve">T-008  The tape reading works everywhere, but not equally hard.</w:t>
      </w:r>
    </w:p>
    <w:p>
      <w:pPr>
        <w:spacing w:after="120"/>
      </w:pPr>
      <w:r>
        <w:rPr>
          <w:caps w:val="false"/>
          <w:color w:val="777777"/>
          <w:sz w:val="16"/>
          <w:szCs w:val="16"/>
        </w:rPr>
        <w:t xml:space="preserve">A CLASS OF TICKER   applies to every ticker in that market   ·   learned from a technical walk-forward test, 93-ticker replay, 31-Aug-2026   ·   STATUS: PROVISIONAL</w:t>
      </w:r>
    </w:p>
    <w:p>
      <w:pPr>
        <w:spacing w:after="120"/>
      </w:pPr>
      <w:r>
        <w:rPr>
          <w:sz w:val="21"/>
          <w:szCs w:val="21"/>
        </w:rPr>
        <w:t xml:space="preserve">Class changes the strength of the tape claim, never its sign. That is an important distinction: the claim itself is universal and belongs on every page, while how much weight it carries is a market-level fact.</w:t>
      </w:r>
    </w:p>
    <w:p>
      <w:pPr>
        <w:spacing w:after="120"/>
      </w:pPr>
      <w:r>
        <w:rPr>
          <w:b/>
          <w:bCs/>
          <w:sz w:val="21"/>
          <w:szCs w:val="21"/>
        </w:rPr>
        <w:t xml:space="preserve">How we know.  </w:t>
      </w:r>
      <w:r>
        <w:rPr>
          <w:sz w:val="21"/>
          <w:szCs w:val="21"/>
        </w:rPr>
        <w:t xml:space="preserve">At one week the correlation runs +0.50 in the UAE, +0.50 in Saudi and +0.37 in Egypt; by sector it spans +0.33 to +0.62. Every class is individually significant and every one is positive.</w:t>
      </w:r>
    </w:p>
    <w:p>
      <w:pPr>
        <w:spacing w:after="120"/>
      </w:pPr>
      <w:r>
        <w:rPr>
          <w:b/>
          <w:bCs/>
          <w:sz w:val="21"/>
          <w:szCs w:val="21"/>
        </w:rPr>
        <w:t xml:space="preserve">What would overturn it.  </w:t>
      </w:r>
      <w:r>
        <w:rPr>
          <w:sz w:val="21"/>
          <w:szCs w:val="21"/>
        </w:rPr>
        <w:t xml:space="preserve">A class whose tape correlation is not distinguishable from zero on at least four names — which would make the claim conditional rather than universal.</w:t>
      </w:r>
    </w:p>
    <w:p>
      <w:pPr>
        <w:pStyle w:val="Heading2"/>
        <w:spacing w:after="120" w:before="240"/>
      </w:pPr>
      <w:r>
        <w:t xml:space="preserve">Industry sector</w:t>
      </w:r>
    </w:p>
    <w:p>
      <w:pPr>
        <w:spacing w:after="60" w:before="260"/>
      </w:pPr>
      <w:r>
        <w:rPr>
          <w:b/>
          <w:bCs/>
          <w:sz w:val="24"/>
          <w:szCs w:val="24"/>
        </w:rPr>
        <w:t xml:space="preserve">T-009  Industry sector is a far weaker class than market, and mostly is not one.</w:t>
      </w:r>
    </w:p>
    <w:p>
      <w:pPr>
        <w:spacing w:after="120"/>
      </w:pPr>
      <w:r>
        <w:rPr>
          <w:caps w:val="false"/>
          <w:color w:val="777777"/>
          <w:sz w:val="16"/>
          <w:szCs w:val="16"/>
        </w:rPr>
        <w:t xml:space="preserve">A CLASS OF TICKER   applies to every ticker in that sector   ·   learned from a technical walk-forward test, 93-ticker replay, 31-Aug-2026   ·   STATUS: WATCH</w:t>
      </w:r>
    </w:p>
    <w:p>
      <w:pPr>
        <w:spacing w:after="120"/>
      </w:pPr>
      <w:r>
        <w:rPr>
          <w:sz w:val="21"/>
          <w:szCs w:val="21"/>
        </w:rPr>
        <w:t xml:space="preserve">The fundamental register learns lessons per class of company, and it is natural to assume the technical lens should too. Tested, it mostly does not: the venue matters and the industry usually does not. Where a sector split does separate, the market split separates harder on the same claim.</w:t>
      </w:r>
    </w:p>
    <w:p>
      <w:pPr>
        <w:spacing w:after="120"/>
      </w:pPr>
      <w:r>
        <w:rPr>
          <w:b/>
          <w:bCs/>
          <w:sz w:val="21"/>
          <w:szCs w:val="21"/>
        </w:rPr>
        <w:t xml:space="preserve">How we know.  </w:t>
      </w:r>
      <w:r>
        <w:rPr>
          <w:sz w:val="21"/>
          <w:szCs w:val="21"/>
        </w:rPr>
        <w:t xml:space="preserve">The trend claim is one population across sectors at one week (Q p = 0.54) and across markets too. The MACD null is one population on both. Sector labels are also thin: the repository carries 32 distinct labels for 84 names, which had to be collapsed into 10 coarse buckets before anything could be tested, and four of those hold five names or fewer.</w:t>
      </w:r>
    </w:p>
    <w:p>
      <w:pPr>
        <w:spacing w:after="120"/>
      </w:pPr>
      <w:r>
        <w:rPr>
          <w:b/>
          <w:bCs/>
          <w:sz w:val="21"/>
          <w:szCs w:val="21"/>
        </w:rPr>
        <w:t xml:space="preserve">What would overturn it.  </w:t>
      </w:r>
      <w:r>
        <w:rPr>
          <w:sz w:val="21"/>
          <w:szCs w:val="21"/>
        </w:rPr>
        <w:t xml:space="preserve">A claim that separates by sector while staying one population across markets — the pattern this lesson says is absent.</w:t>
      </w:r>
    </w:p>
    <w:p>
      <w:pPr>
        <w:pStyle w:val="Heading1"/>
        <w:spacing w:after="160" w:before="320"/>
      </w:pPr>
      <w:r>
        <w:t xml:space="preserve">Lessons that bind on ONE ticker</w:t>
      </w:r>
    </w:p>
    <w:p>
      <w:pPr>
        <w:spacing w:after="120"/>
      </w:pPr>
      <w:r>
        <w:t xml:space="preserve">No single-name lesson has been earned yet. What has been established is which claims can ever be stated per name on the evidence available, which is the entry below.</w:t>
      </w:r>
    </w:p>
    <w:p>
      <w:pPr>
        <w:spacing w:after="60" w:before="260"/>
      </w:pPr>
      <w:r>
        <w:rPr>
          <w:b/>
          <w:bCs/>
          <w:sz w:val="24"/>
          <w:szCs w:val="24"/>
        </w:rPr>
        <w:t xml:space="preserve">T-010  Only the tape claim survives per name. The trend claim does not, and it looked as if it did.</w:t>
      </w:r>
    </w:p>
    <w:p>
      <w:pPr>
        <w:spacing w:after="120"/>
      </w:pPr>
      <w:r>
        <w:rPr>
          <w:caps w:val="false"/>
          <w:color w:val="777777"/>
          <w:sz w:val="16"/>
          <w:szCs w:val="16"/>
        </w:rPr>
        <w:t xml:space="preserve">ONE TICKER ONLY   applies to a named ticker only   ·   learned from a technical walk-forward test, 93-ticker replay, 31-Aug-2026   ·   STATUS: PROVISIONAL</w:t>
      </w:r>
    </w:p>
    <w:p>
      <w:pPr>
        <w:spacing w:after="120"/>
      </w:pPr>
      <w:r>
        <w:rPr>
          <w:sz w:val="21"/>
          <w:szCs w:val="21"/>
        </w:rPr>
        <w:t xml:space="preserve">A per-name record needs the name's own history to resolve the effect. The tape claim clears that bar on almost the whole book. The trend claim appears to clear it on a handful of names — and that appearance is the trap. Count the names it appears to work BACKWARDS on and the two are the same size, which is what per-name noise looks like when there is a real pooled effect and no real per-name one.</w:t>
      </w:r>
    </w:p>
    <w:p>
      <w:pPr>
        <w:spacing w:after="120"/>
      </w:pPr>
      <w:r>
        <w:rPr>
          <w:b/>
          <w:bCs/>
          <w:sz w:val="21"/>
          <w:szCs w:val="21"/>
        </w:rPr>
        <w:t xml:space="preserve">How we know.  </w:t>
      </w:r>
      <w:r>
        <w:rPr>
          <w:sz w:val="21"/>
          <w:szCs w:val="21"/>
        </w:rPr>
        <w:t xml:space="preserve">The tape claim is significantly POSITIVE on 82 of 85 names at one week and 83 at one month, against one and two significantly negative — chance produces about 4.6 either way, so the asymmetry is the finding. The trend claim splits 7 for and 4 against at one week, 6 and 7 at two weeks, and 13 and 12 at one month; a sign test on the last of those returns p = 1.00. An earlier edition of this register read the positive half alone and reported "trend, per name where earned" — on the cone's horizon, where a quarter of the origins hid the other half.</w:t>
      </w:r>
    </w:p>
    <w:p>
      <w:pPr>
        <w:spacing w:after="120"/>
      </w:pPr>
      <w:r>
        <w:rPr>
          <w:b/>
          <w:bCs/>
          <w:sz w:val="21"/>
          <w:szCs w:val="21"/>
        </w:rPr>
        <w:t xml:space="preserve">What would overturn it.  </w:t>
      </w:r>
      <w:r>
        <w:rPr>
          <w:sz w:val="21"/>
          <w:szCs w:val="21"/>
        </w:rPr>
        <w:t xml:space="preserve">A construction of the trend clause whose per-name hits outnumber its per-name reversals by more than chance. The counts are the test and are re-run every pass.</w:t>
      </w:r>
    </w:p>
    <w:p>
      <w:pPr>
        <w:pStyle w:val="Heading1"/>
        <w:spacing w:after="160" w:before="320"/>
      </w:pPr>
      <w:r>
        <w:t xml:space="preserve">How a lesson gets added</w:t>
      </w:r>
    </w:p>
    <w:p>
      <w:pPr>
        <w:spacing w:after="120"/>
      </w:pPr>
      <w:r>
        <w:t xml:space="preserve">A lesson enters this register when a measurement produces it, never when someone believes it. It carries a scope that has been tested rather than assumed, evidence with the numbers inline, and a condition that would overturn it. It is regenerated from the results file on every calibration pass, so a lesson whose evidence has moved is rewritten rather than left standing.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2e2aae0432dade79c433033489590ef65dd873.png"/><Relationship Id="rId8" Type="http://schemas.openxmlformats.org/officeDocument/2006/relationships/image" Target="media/df3e91038c38f00320cbbda6f20c932e423741fe.png"/><Relationship Id="rId9" Type="http://schemas.openxmlformats.org/officeDocument/2006/relationships/image" Target="media/2c3f02e3c60b79ae790904ddc2e1b8eab7d3951f.png"/><Relationship Id="rId10" Type="http://schemas.openxmlformats.org/officeDocument/2006/relationships/image" Target="media/5cd1ff254da9ea413888a3f381004ccc1c1b4098.png"/><Relationship Id="rId11" Type="http://schemas.openxmlformats.org/officeDocument/2006/relationships/image" Target="media/cf12402e1b22448d43c41c592e5daf768088fad6.png"/><Relationship Id="rId12" Type="http://schemas.openxmlformats.org/officeDocument/2006/relationships/image" Target="media/63beda1668fff3daba7e766f10d547cd1177180e.png"/><Relationship Id="rId13" Type="http://schemas.openxmlformats.org/officeDocument/2006/relationships/image" Target="media/af74a0ad5f5a1c269f97e1881aa864b01f4ec2a9.png"/><Relationship Id="rId14" Type="http://schemas.openxmlformats.org/officeDocument/2006/relationships/image" Target="media/698c652a97c7753130789347d6caafec7060404f.png"/><Relationship Id="rId15" Type="http://schemas.openxmlformats.org/officeDocument/2006/relationships/image" Target="media/28fda626ed1641fd37699ad42f623c581a1fb59c.png"/><Relationship Id="rId16" Type="http://schemas.openxmlformats.org/officeDocument/2006/relationships/image" Target="media/9e2e0c7f6813f0eb6398380bfd534a3d647e84ed.png"/><Relationship Id="rId17" Type="http://schemas.openxmlformats.org/officeDocument/2006/relationships/image" Target="media/612202198950ceda3890b676e1c8a07c90cfbe0e.png"/><Relationship Id="rId18" Type="http://schemas.openxmlformats.org/officeDocument/2006/relationships/image" Target="media/39edc21e9998b88a869f5a249be0d5a4b6f8ac6b.png"/><Relationship Id="rId19" Type="http://schemas.openxmlformats.org/officeDocument/2006/relationships/image" Target="media/df704c7706dd9533c231edc9ce1751be530bb19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2026-08-31T16:04:12.209Z</dcterms:created>
  <dcterms:modified xsi:type="dcterms:W3CDTF">2026-08-31T16:04:12.209Z</dcterms:modified>
</cp:coreProperties>
</file>

<file path=docProps/custom.xml><?xml version="1.0" encoding="utf-8"?>
<Properties xmlns="http://schemas.openxmlformats.org/officeDocument/2006/custom-properties" xmlns:vt="http://schemas.openxmlformats.org/officeDocument/2006/docPropsVTypes"/>
</file>