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38</w:t>
            </w:r>
          </w:p>
        </w:tc>
      </w:tr>
      <w:tr>
        <w:tc>
          <w:tcPr>
            <w:tcW w:type="dxa" w:w="6236"/>
          </w:tcPr>
          <w:p>
            <w:r/>
            <w:r>
              <w:rPr>
                <w:color w:val="1A1D21"/>
                <w:sz w:val="18"/>
              </w:rPr>
              <w:t>Bind on a class of company (CLASS)</w:t>
            </w:r>
          </w:p>
        </w:tc>
        <w:tc>
          <w:tcPr>
            <w:tcW w:type="dxa" w:w="2721"/>
          </w:tcPr>
          <w:p>
            <w:r/>
            <w:r>
              <w:rPr>
                <w:color w:val="1A1D21"/>
                <w:sz w:val="18"/>
              </w:rPr>
              <w:t>16</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59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19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L-034 — A depreciation forecast built on a projected asset base cannot see an acquisition; L-115 — A developer's work in progress runs ahead of its revenue, not with it; L-035 — A reported finance charge is not always interest on borrowings; L-116 — The size of a demographic anchor's miss on a developer is set by the launch calendar, not by the method; L-036 — For a balance-sheet stock, assuming no change is a strong benchmark; L-037 — Perfect foresight of inflation removes almost none of a forecast error, even across a devaluation; L-038 — In a high-inflation market, a driver bias that changes direction between regimes is the normal case, not the exception.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L-035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L-036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L-037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L-038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pStyle w:val="Heading2"/>
      </w:pPr>
      <w:r>
        <w:t>Real-estate developer, off-plan, point-in-time on handover</w:t>
      </w:r>
    </w:p>
    <w:p>
      <w:pPr>
        <w:keepNext/>
        <w:spacing w:before="240" w:after="60"/>
      </w:pPr>
      <w:r>
        <w:rPr>
          <w:b/>
          <w:color w:val="1A1D21"/>
          <w:sz w:val="22"/>
        </w:rPr>
        <w:t>L-115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L-116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