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1C3A36"/>
          <w:left w:val="single" w:sz="4" w:space="0" w:color="1C3A36"/>
          <w:bottom w:val="single" w:sz="4" w:space="0" w:color="1C3A36"/>
          <w:right w:val="single" w:sz="4" w:space="0" w:color="1C3A36"/>
          <w:insideH w:val="single" w:sz="4" w:space="0" w:color="1C3A36"/>
          <w:insideV w:val="single" w:sz="4" w:space="0" w:color="1C3A36"/>
        </w:tblBorders>
      </w:tblPr>
      <w:tblGrid>
        <w:gridCol w:w="10224"/>
      </w:tblGrid>
      <w:tr>
        <w:tc>
          <w:tcPr>
            <w:tcW w:type="dxa" w:w="10224"/>
            <w:shd w:val="clear" w:color="auto" w:fill="1C3A36"/>
          </w:tcPr>
          <w:p>
            <w:r>
              <w:rPr>
                <w:b/>
                <w:color w:val="FFFFFF"/>
                <w:sz w:val="24"/>
              </w:rPr>
              <w:t>TESTAHIL</w:t>
            </w:r>
          </w:p>
        </w:tc>
      </w:tr>
    </w:tbl>
    <w:p>
      <w:pPr>
        <w:spacing w:after="40" w:before="160"/>
      </w:pPr>
      <w:r>
        <w:rPr>
          <w:b/>
          <w:i w:val="0"/>
          <w:color w:val="1C3A36"/>
          <w:sz w:val="30"/>
        </w:rPr>
        <w:t>Electro Cable Egypt (EGX: ELEC) — Source Register</w:t>
      </w:r>
    </w:p>
    <w:p>
      <w:pPr>
        <w:spacing w:after="160" w:before="0"/>
      </w:pPr>
      <w:r>
        <w:rPr>
          <w:b w:val="0"/>
          <w:i/>
          <w:color w:val="6E7B77"/>
          <w:sz w:val="20"/>
        </w:rPr>
        <w:t>Companion to the Valuation Study dated 5 August 2026. Every figure that enters the model, with its source, its date, and the research ring it came from.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C0A45F"/>
          <w:left w:val="single" w:sz="6" w:space="0" w:color="C0A45F"/>
          <w:bottom w:val="single" w:sz="6" w:space="0" w:color="C0A45F"/>
          <w:right w:val="single" w:sz="6" w:space="0" w:color="C0A45F"/>
          <w:insideH w:val="single" w:sz="6" w:space="0" w:color="C0A45F"/>
          <w:insideV w:val="single" w:sz="6" w:space="0" w:color="C0A45F"/>
        </w:tblBorders>
      </w:tblPr>
      <w:tblGrid>
        <w:gridCol w:w="10224"/>
      </w:tblGrid>
      <w:tr>
        <w:tc>
          <w:tcPr>
            <w:tcW w:type="dxa" w:w="10224"/>
            <w:shd w:val="clear" w:color="auto" w:fill="F6F1E6"/>
          </w:tcPr>
          <w:p>
            <w:r>
              <w:rPr>
                <w:b/>
                <w:sz w:val="19"/>
              </w:rPr>
              <w:t xml:space="preserve">READ FIRST. </w:t>
            </w:r>
            <w:r>
              <w:rPr>
                <w:sz w:val="19"/>
              </w:rPr>
              <w:t>This register exists so that no number in the study is unfalsifiable. Every input below is a four-field record — value, source, date, ring — emitted directly by the compute script that built the study (compute.py), not transcribed by hand afterwards. A bare numeral cannot enter the model: the build fails. Where a figure is a house judgment rather than an observable, the source field says so in those words. SPECIFIC TO THIS COMPANY: Electro Cable Egypt’s audited financial-statement PDFs (Mubasher file store, the company’s own site, and several data aggregators) were unreachable through the channels available for this study — headline figures are therefore multiply-sourced from bourse-disclosure reporting services, and several line items are DERIVED, each labelled as such. The one fully-triangulated year (FY2024) closes to the reported net profit within 0.8% using the derived lines. Testahil is not licensed by the FRA and publishes no ratings and no price targets.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A.  How to read the ring column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Research runs outward-in — world, country, industry, company — before any forecast driver is set, and every driver must trace to a ring finding or be declared a house judgment.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144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Ring</w:t>
            </w:r>
          </w:p>
        </w:tc>
        <w:tc>
          <w:tcPr>
            <w:tcW w:type="dxa" w:w="63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What it means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8"/>
              </w:rPr>
              <w:t>Count in this register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Market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Prices and quotes observable on a screen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1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Global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World-level facts that reach the company through prices (copper, rates)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2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Country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Egypt macro: policy rate, inflation, FX, sovereign risk, tax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8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Industry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Cable-sector structure, demand programs, pass-through economics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Company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ELEC’s own disclosed figures and events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31 records</w:t>
            </w:r>
          </w:p>
        </w:tc>
      </w:tr>
      <w:tr>
        <w:tc>
          <w:tcPr>
            <w:tcW w:type="dxa" w:w="1440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House</w:t>
            </w:r>
          </w:p>
        </w:tc>
        <w:tc>
          <w:tcPr>
            <w:tcW w:type="dxa" w:w="6336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The preparer’s argued judgments — the rows a reader should attack first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8"/>
              </w:rPr>
              <w:t>30 records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B.  Primary documents and channels relied on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Two channels deliberately NOT used: no figure is taken from the single InvestingPro "fair value" flag (model output, not disclosure), and the July-2026 "Damodaran 14.87%" figure circulating in secondary reproductions was not adopted (the identical figure was previously caught as a misquote of the original file; the house-cached January-2026 original-file figures are used and the difference is sensitized).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Document / channel</w:t>
            </w:r>
          </w:p>
        </w:tc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Publisher / provenance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Date</w:t>
            </w:r>
          </w:p>
        </w:tc>
        <w:tc>
          <w:tcPr>
            <w:tcW w:type="dxa" w:w="352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Used for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FY2024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/ MarketScreener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FY24 revenue, net profit, EPS; FY23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FY2025 consolidated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/ Zawya / Decypha / Reuters flash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FY25 revenue, NP, EPS, total assets; standalone NP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1Q-2026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(of the EGX filing)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Q1-26 loss, sales; Q1-25 restated comparatives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9M/H1-2025 results reporting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Aug/Nov-2025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Interim trajectory; 9M-25 total assets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Company profile (capital, shares, ISIN)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Mubasher ELEC page; EGX listing PDFs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mid-2026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Shares 3,313,540,373; paid-in capital; par 0.20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Balance-sheet health snapshot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Simply Wall St (FY24 vintage, 22-May-2025)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May-2025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Debt ~9,000 · cash 828 · equity 3,600 · EBIT 3,400 · coverage 2.0×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Ownership &amp; block-trade disclosures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Zawya / Arab Finance / Amwal Al Ghad / Alborsa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2023–Jul-2026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Gadwa group ~81%; 2026 block sales at 2.00–2.21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CBE MPC &amp; CPI releases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Central Bank of Egypt (via FocusEconomics / DNE)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Corridor 19.00/20.00%; inflation 14.3%; targets 7%/5% ±2pp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Egypt 10Y yield / 5Y CDS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investing.com; MoF via DNE; MacroMicro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May–Jul-2026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rf 22.31% (21-Jul-26 print); CDS 270–330bp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country-risk file (house cache)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ctryprem, "Last updated January 5, 2026"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ERP 9.41% (CDS) / 13.94% (rating); default spreads 3.40% / 6.37%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/ aluminium market data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TradingEconomics; INN; ZAMAK; TradingKey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Copper ~$6.63/lb COMEX, +51.6% y/y; LME ~$12.8k avg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Grid-capex programs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Daily News Egypt; EEAS; Zawya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Nov-25–Jun-26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EETC EGP 45bn plan; EU €690mn; Saudi interconnector 95%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 financials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Arab Finance (SWDY FY25); stockanalysis.com; multiples.vc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Mar–Jul-2026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SWDY P/E 10.4× / EV-EBITDA ~6×; Riyadh Cables 18×/15×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Uploaded EGX daily price history (3,749 rows)</w:t>
            </w:r>
          </w:p>
        </w:tc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user-supplied OHLC export, cleaned by the data-quality gate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2011–05-Aug-2026</w:t>
            </w:r>
          </w:p>
        </w:tc>
        <w:tc>
          <w:tcPr>
            <w:tcW w:type="dxa" w:w="3528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Spot, technicals, calibration, simulation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C.  The full input register</w:t>
      </w:r>
    </w:p>
    <w:p>
      <w:pPr>
        <w:spacing w:after="100" w:before="0"/>
      </w:pPr>
      <w:r>
        <w:rPr>
          <w:b w:val="0"/>
          <w:i w:val="0"/>
          <w:color w:val="1C3A36"/>
          <w:sz w:val="18"/>
        </w:rPr>
        <w:t>Every record below was emitted by compute.py. “House” in the ring column means the number is an argued assumption, not an observable; each such row is sensitized in the study (§1.9).</w:t>
      </w:r>
    </w:p>
    <w:p>
      <w:pPr>
        <w:spacing w:after="60" w:before="160"/>
      </w:pPr>
      <w:r>
        <w:rPr>
          <w:b/>
          <w:i w:val="0"/>
          <w:color w:val="1C3A36"/>
          <w:sz w:val="22"/>
        </w:rPr>
        <w:t>C.1  Ring: Market  (1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spot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2.08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2026-09-03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uploaded EGX daily history, last close — the latest price supplied to this repository (SUPPLIED_03-09-2026.json). Superseded: EGP 2.19 of 5 August 2026, on which every edition before this one was struck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C.2  Ring: Country  (8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tax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PwC Tax Summaries Egypt — corporate income tax 22.5%, unchanged 2025-26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fx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49.8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USD/EGP mid-market 49.765 (Xe/Google Finance, 05-Aug-26). NB the pound was NOT range-bound over the last year: 46.8 (Feb-26 strong side) to ~54.7 (Apr-26, war spike), back to ~49.8 — the prior 'range-bound 47-52' description was wrong and is corrected throughout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egp_hist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FY23=30.7, FY24=45.3, FY25=49.5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USD/EGP annual averages: 2023 official ~30.7 (parallel ~38 — the FY23 implied-volume range below carries both); 2024 blended ~45.3 (float 06-Mar-24); 2025 ~49.5 (range-bound 47-52, +6% appreciation year)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0.2231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2026-07-21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investing.com, Egypt 10Y local-currency govt bond yield, 21-Jul-26 print (cached in-repo). Audit-checked: the credible early-Aug band is ~22.3-23.0% (Jul-26 3Y auction avg 23.32%; secondary prints 22.6-23.0 reported but unreachable at source) — the print sits at the LOW edge, worth ~-0.10/sh unfloored if the top of the band is right; May-26 window avg 21.29% (investing series) corroborates the level's vintage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0.034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Egypt CDS-implied sovereign default spread, Damodaran Jan-2026 original file (house cache); market 5Y CDS ~330bp late-May-2026 corroborates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sov_spread_rating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0.0637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adjusted default spread, rating basis (Caa1), Jan-2026 original file (house cache)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erp_cds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0.0941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CDS column, 'Last updated January 5, 2026' (house cache; original page 403-blocked this session). A July-2026 secondary reproduction claims total ERP 14.87% — same figure previously caught as a misquote; NOT adopted, shown in sensitivity only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erp_rating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0.1394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2026-01-05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Damodaran ORIGINAL ctryprem, Egypt row, rating basis, Jan-2026 (house cache)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C.4  Ring: Company  (31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shares_mn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3,314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(mid)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ELEC profile (paid-in capital EGP 662,708,074.60 / par 0.20); verified 3 ways: SWS holder sum; FY24 EPS 0.40=1,327.8/3,313.5; FY25 EPS 0.15=500.3/3,313.5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8,673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results note (comparative)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13,778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MarketScreener/Mubasher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rev_fy25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10,819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Finance/Zawya FY2025 results (net sales EGP 10.81bn)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1,248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2024-03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Zawya/MarketScreener (FY23 consolidated NP)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1,328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Mubasher FY2024 consolidated results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np_fy25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500.3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Arab Finance FY2025 (attributable; Reuters flash 501.4 incl. NCI)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page: 'EBIT is EGP3.4B, interest coverage 2x'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3,490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 capture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Investing.com financial summary ('EBITDA 3.49B') — single aggregator, period attributed to FY2024; flagged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int_cover_fy24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(interest coverage 2x EBIT)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2,094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sales)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-241.6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Zawya/Arab Finance Q1-2026 (consolidated net LOSS)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q1_25_rev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3,723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q1_25_np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451.7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release comparatives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4,960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2023-11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 9M-2023 results note (comparative, 31-Dec-2022)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14,970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note (comparative) + SWS (15.0bn)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16,460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Zawya/Decypha FY2025 results (total assets, +9.9%)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8,960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2026-03-18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Company's own FY25-filing comparative ('vs 8.96bn in 2024'); SWS independent print ~9.0bn corroborates. Standardized on the filing comparative so every FY24 net-debt reference in the study is the same number (8,132)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cash_fy24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827.6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(cash &amp; ST investments)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3,600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shareholder equity)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liab_fy24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11,300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2025-05-22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Simply Wall St health page (total liabilities)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facilities_fy25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10,900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2026-03-18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Disclosed: 'obtained credit facilities of EGP 10.9bn during 2025 vs 8.96bn in 2024, from several local banks' (almalnews/amwalalghad FY25 results coverage of the EGX filing). AMBIGUOUS between drawn balance and limits granted — no longer used directly as the debt anchor; retained as the disclosure record and upper cross-check (the triangulated drawn debt below implies ~96% drawn if these are limits)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q1_26_cogs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1,975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cost of sales (almalnews/alborsaanews/hapijournal, 30-Jun-2026, of the EGX interim filing)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q1_26_gp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119.1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gross profit — 5.7% margin vs 33.1% in Q1-25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q1_26_op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1.429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Q1-2026 operating profit — essentially zero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q1_25_gp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1,233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Q1-2025 gross profit comparative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q1_25_op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1,124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2026-06-30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Q1-2025 operating profit comparative (same sources)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fy25_standalone_sales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4,700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2026-03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 standalone sales EGP 4.7bn vs 7.69bn FY24 (Arab Finance AR) — the consolidated subsidiaries carry most of group revenue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agm_no_dividend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FY25 profits carried forward, no cash distribution; new boar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2026-05-06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AGM resolutions (amwalalghad/almasryalyoum, May-2026)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capacity_kt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Annual production capacity ~25,000 t/yr at the PARENT's 370,000 sqm Mostorod plant (IATF exhibitor profile — audit-confirmed parent-only). The consolidated group adds Giza Power Industry's 81,745 sqm Abu Rawash plant (99.99%%-owned; company-stated range 1kV-220kV incl. XLPE HV; certification evidence reaches 33kV; tonnage NOT disclosed) — so group capacity exceeds 25kt by an unknown margin and every utilization ratio in this study is an UPPER BOUND on a parent-capacity basis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debt_ccy_evidence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No facility-level disclosure reachable (FS notes on Mubasher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search sweep 05-Aug-2026, negative result</w:t>
            </w:r>
          </w:p>
        </w:tc>
      </w:tr>
    </w:tbl>
    <w:p>
      <w:pPr>
        <w:spacing w:after="40"/>
      </w:pPr>
    </w:p>
    <w:p>
      <w:pPr>
        <w:spacing w:after="60" w:before="160"/>
      </w:pPr>
      <w:r>
        <w:rPr>
          <w:b/>
          <w:i w:val="0"/>
          <w:color w:val="1C3A36"/>
          <w:sz w:val="22"/>
        </w:rPr>
        <w:t>C.5  Ring: House  (30 records)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Value</w:t>
            </w:r>
          </w:p>
        </w:tc>
        <w:tc>
          <w:tcPr>
            <w:tcW w:type="dxa" w:w="122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Date</w:t>
            </w:r>
          </w:p>
        </w:tc>
        <w:tc>
          <w:tcPr>
            <w:tcW w:type="dxa" w:w="55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Source / provenance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assets_fy23_est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10,000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estimate — bounded by 9M-23 disclosed 8,060 and FY24 14,970; no FY23 year-end print found (flagged). A single aggregator shows ~8,900, which would put this estimate ~12%% high — affects only the FY23 ROIC context row, no valuation line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debt_fy25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10,465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TRIANGULATED drawn debt (rollforward_fy25.py): total liabilities 12,360 (disclosed assets 16,460 - rolled equity 4,100) less non-debt liabilities ~1,890 (FY24's 2,410 scaled with purchase value, -21.5%). Independent of the ambiguous facilities sentence; sits at 96% of the disclosed 10.9bn facilities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cash_fy25_est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665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midpoint of [500 stress floor, 830 FY24-flat] — a no-dividend, liquidity-conserving year argues below the FY24 print (827.6)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2,150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debt ~9.25bn x ~23.2% effective (CBE corridor 2025 path); closes FY25 P&amp;L to the reported NP 500.3 via EBT=NP/(1-22.5%)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fin_cost_fy23_est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avg FY23 debt ~4.5bn (D/E path 36%-&gt;248% over 5yrs, SWS) x ~22% 2023 corridor-linked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dna_pct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0.013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FY24 EBITDA 3,490 - EBIT 3,400 = ~90mn D&amp;A on 13.8bn revenue (~0.7%); forecast set at 1.3% of revenue to fund modest PP&amp;E renewal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payables_fy25_est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1,890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Non-debt liabilities rolled from FY24's 2,410 on purchase value (volume -34%, copper-in-EGP +20% =&gt; x0.785); thin payables consistent with LC/bank-financed copper imports (rollforward_fy25.py)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12,245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 on the triangulated balance sheet: FY25 assets 16,460 - cash 665 - PP&amp;E ~680 - other ~980 = gross WC ~14,135; less non-debt liabilities ~1,890 =&gt; ~12,245 (113% of FY25 revenue; FY24 was ~76%)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net_debt_fy25_est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9,805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TRIANGULATED (rollforward_fy25.py, replacing the facilities-sentence reading 10,200): (A) balance-sheet residual — disclosed assets 16,460 less rolled equity 4,100 (FY24 3,600 + NP 500.3, no dividend) gives liabilities 12,360; less non-debt liabilities ~1,890 =&gt; drawn debt 10,465; less cash 665 =&gt; 9,802. (B) cash-flow roll-forward from FY24 ND 8,132 + interest 2,150 + tax 145 + capex 210 + dNWC ~2,036 - EBITDA 2,871 =&gt; 9,803 (shares the balance-sheet WC decomposition with A — agreement is consistency, not full independence). (C) facilities-as-drawn 10,235 = the upper cross-check. Range 9,120-10,360 carried in sensitivity (~±EGP 0.19/sh); the FY24-vintage low alternative 8,172 is REJECTED by the reverse test (needs non-debt liabilities +41% while purchases fell 21%). Falsifier: audited FY25 borrowings note. POST-AUDIT NOTE: two aggregator-side readings sit AT/ABOVE the range top — facilities-as-drawn 10,235, and an unverifiable D/E print (299.35%) implying ~11.4bn total debt / ~10.4bn net — so the residual risk on this anchor is SKEWED ADVERSE; the challenged 10,386 reading is explicitly sensitized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equity_fy25_est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4,100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 derivation: FY24 equity 3,600 + FY25 NP 500.3, no dividends (company has never paid one)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egp_fcst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50.4, 52, 53.5, 55, 56.5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~3%/yr nominal crawl — the inflation differential narrows as the CBE targets bite; far below PPP catch-up, consistent with the post-float managed range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k_uplift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1.387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Fabrication uplift: cable price per tonne / copper cost per tonne. Set from the industry norm that copper is ~70-75% of a power-cable price (IndexBox: LME 'directly and rapidly reflected' in quotations) =&gt; k = 1/0.72 = 1.39. VALIDATION, not calibration: FY24 revenue 13,778 at 9,147 x 45.3 x 1.387 = 574k EGP/t implies 24.0 kt — 96% of the stated 25 kt capacity in the sector's boom year. Sensitized ±5%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vols_fcst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10.4, 11.9, 13.4, 14.8, 16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Volumes (kt): Q1-26 implied ~2.4 kt/qtr sets the FY26E base (~42% utilization); recovery on EETC's EGP 45bn plan, the EU package and interconnector follow-on to ~64% utilization by FY30E — still below the FY23-24 near-full prints; sensitized ±15%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ebitda_per_t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40, 90, 115, 128, 135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Conversion EBITDA per tonne (k EGP/t). Historical: FY23 ~111k, FY24 ~145k (both near-full utilization WITH devaluation inventory gains), FY25 ~183k (copper-gain inflated), Q1-26 ~11k (under-absorption at ~40% utilization). Forecast recovers with utilization to 135k by FY30E — BELOW FY24's 145k nominal despite five years of EGP inflation, i.e. a ~30% real discount to the windfall; sensitized ±30%. CROSS-CHECK: as a share of realized price/t at the $14k copper anchor, the terminal 135/1,097 = 12.3% matches the PRE-windfall 2022 norm (~12% of price at implied full utilization) — the forecast returns the company to its pre-devaluation conversion economics, not to the windfall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capex_mn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225, 243, 262, 283, 306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Maintenance capex ~EGP 9k per tonne of capacity (25 kt), escalated ~8%/yr — no disclosed capex any year (flagged gap); FY24 D&amp;A ~0.7% of revenue corroborates a light fixed-asset base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nwc_pct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1.12, 1.06, 1, 0.94, 0.88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FY25 intensity ~113% of revenue (triangulated balance sheet) gliding to 88% as receivables collect and copper-inflated inventory normalises; FY24 was ~76% — full reversion NOT assumed; sensitized in the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0.964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Own-stock tier-1 regression: ELEC weekly log-returns vs 30-name equal-weight EGX composite (full engine library), 5yr window: beta 0.964, R2 0.222, n=257, SE 0.113, CI90 [0.78, 1.15] — passes usability gate; NOT weak-flagged (R2&gt;10%, CI span &lt; 2x beta)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Marginal EGP rate for a levered EGX mid-cap: CBE corridor 19.00/20.00% deposit/lending (main operation 19.50%; third consecutive hold 09-Jul-26 after the 100bp Feb-26 cut) + ~2.5pp credit margin; consistent with avg bank lending 21.3% (Jan-26). Cross-checked against the two effective-rate computations below (23.5% FY24, 22.1% FY25 on the triangulated debt path). NB the Q1-26 P&amp;L implies a much smaller net finance line (~243/qtr) than Q1-25 (~542/qtr) — unexplained without the statements (possible FX/interest income offset or capitalised financing); flagged, does not change the marginal rate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0.235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#1: FY24 interest ~1,700 (EBIT 3,400 / coverage 2.0x, SWS) / avg debt ~(5,500e+8,960)/2 = 7,230 =&gt; 23.5%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kd_eff_fy25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0.221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Effective-rate check #2: FY25 finance cost ~2,150 (derived, closes P&amp;L to reported NP; independently corroborated by Q1-25's implied ~542/qtr) / avg debt (8,960 + triangulated 10,465)/2 = 9,713 =&gt; 22.1%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Kd: Egyptian long-run corporate-borrowing norm 14-16%, midpoint (standing house norm; no name-specific reason to deviate)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wd_term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debt weight D/(D+E): NORMALIZED capital structure, not today's ~60% distress weight — the steady state the terminal value describes presupposes deleveraging, and current market-value weights are circular (the equity weight depends on the DCF's own output). 40% is the industry-normal structure for a working-capital-funded cable maker; sensitized via the terminal-WACC grid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rf_term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rf norm-built: CBE's own stated Q4-2028 inflation target 5%% (+/-2pp) + ~5.5pp EM real-rate convention (house standing construction)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erp_term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0.07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ERP normalised below the crisis-era 9.41%% CDS-based level toward the B-rating-class norm; never held flat into perpetuity (house standing rule)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kd_path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0.22, 0.2, 0.185, 0.168, 0.155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Forward Kd path: FY26 held FLAT at 22%% — the CBE paused its easing cycle in Apr-26 ('wait-and-see', three consecutive holds through 09-Jul-26, inflation guided to accelerate through Q3-26 on base effects and energy price hikes) and the path resumes only from FY27 toward the 7%%-&gt;5%% inflation-target glide; corporate spread held ~3pp; terminal 15%%. Next MPC 20-Aug-26 (confirmed). A higher-for-longer path is the explicit +2pp column of the rate grid. The WACC glide shape is tied to this path by construction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g_term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0.05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growth center 5%% — standing convention for established Egyptian names post-disinflation; grid 3-7%%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ev_ebitda_base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5.5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EV/EBITDA on mid-cycle FY27E EBITDA: SWDY trades ~6x (multiples.vc mid-2026) with a fortress balance sheet and export book; ELEC discount for leverage, domestic concentration, no dividend record. Bear 4.5x / bull 6.5x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pe_norm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6.5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Justified through-cycle P/E on normalized EPS: SWDY 10.4x trailing (stockanalysis, Jul-26); Riyadh Cables 18x (different market). Levered uncovered EGX small-cap discount. Bear 5.5x / bull 8.0x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roe_sust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0.14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Sustainable ROE for the book lens: normalized NP ~600-750 on ~4.6-5.2bn forward book =&gt; 13-15%%; struck below FY23-24 windfall ROEs (35%%+) which carried devaluation inventory gains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lens_weights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dcf=0.4, relative=0.2, normalized=0.2, book=0.2</w:t>
            </w:r>
          </w:p>
        </w:tc>
        <w:tc>
          <w:tcPr>
            <w:tcW w:type="dxa" w:w="122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2026-08-05</w:t>
            </w:r>
          </w:p>
        </w:tc>
        <w:tc>
          <w:tcPr>
            <w:tcW w:type="dxa" w:w="55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House: DCF primary for an operating manufacturer; the three market lenses share the remainder equally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D.  Numbers that are judgments, not observations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Stated separately because they are the ones a reader should attack first. Each is sensitized in the study.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Judgment</w:t>
            </w:r>
          </w:p>
        </w:tc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Value used</w:t>
            </w:r>
          </w:p>
        </w:tc>
        <w:tc>
          <w:tcPr>
            <w:tcW w:type="dxa" w:w="41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Why it is a judgment</w:t>
            </w:r>
          </w:p>
        </w:tc>
        <w:tc>
          <w:tcPr>
            <w:tcW w:type="dxa" w:w="216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Where it is sensitised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EBITDA margin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13% → 19%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The true mid-cycle margin is unknowable from outside; set between the 1Q26 trough and the windfall prints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margin × NWC grid, ±3pp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NWC intensity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108% → 88% of revenue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Collection of state-linked receivables is unproven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grid, 76–100% endpoints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Net debt FY25 anchor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EGP 8,800 mn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from twice-sourced totals, not a disclosed print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±1,000 in bear/bull; SOTP Bridge note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Kd 23.5% and the forward path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23.5% → 15.5%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Facility disclosure unreachable; effective-rate checks are themselves partly derived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Explicit × terminal WACC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rf / ERP / Kd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10.5% / 7.0% / 15.0%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Norm-built from the CBE target + house conventions — a macro view, disclosed as such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WACC × g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growth 5%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center of 3–7% grid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Standing convention for established Egyptian names post-disinflation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§1.9 grid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Justified multiples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5.5× EV/EBITDA · 6.5× P/E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Peer-anchored with a leverage/concentration discount — a judgment of degree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Bear/bull columns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Capex 1.6% of revenue</w:t>
            </w:r>
          </w:p>
        </w:tc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 disclosed capex any year</w:t>
            </w:r>
          </w:p>
        </w:tc>
        <w:tc>
          <w:tcPr>
            <w:tcW w:type="dxa" w:w="4104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Derived through the D&amp;A ratio; a capacity program would change it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Immaterial at ±50bp; noted §7</w:t>
            </w:r>
          </w:p>
        </w:tc>
      </w:tr>
    </w:tbl>
    <w:p>
      <w:pPr>
        <w:spacing w:after="40"/>
      </w:pPr>
    </w:p>
    <w:p>
      <w:pPr>
        <w:spacing w:after="80" w:before="240"/>
      </w:pPr>
      <w:r>
        <w:rPr>
          <w:b/>
          <w:i w:val="0"/>
          <w:color w:val="1C3A36"/>
          <w:sz w:val="26"/>
        </w:rPr>
        <w:t>E.  What would falsify the study</w:t>
      </w:r>
    </w:p>
    <w:p>
      <w:pPr>
        <w:spacing w:after="100" w:before="0"/>
      </w:pPr>
      <w:r>
        <w:rPr>
          <w:b w:val="0"/>
          <w:i w:val="0"/>
          <w:color w:val="1C3A36"/>
          <w:sz w:val="20"/>
        </w:rPr>
        <w:t>The single most useful thing a source register can do is name the evidence that would overturn the work.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</w:tblPr>
      <w:tblGrid>
        <w:gridCol w:w="3408"/>
        <w:gridCol w:w="3408"/>
        <w:gridCol w:w="3408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Test</w:t>
            </w:r>
          </w:p>
        </w:tc>
        <w:tc>
          <w:tcPr>
            <w:tcW w:type="dxa" w:w="518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What to watch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7"/>
              </w:rPr>
              <w:t>When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collection question (the crux)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H1-2026 receivables and operating cash flow; any receivables-ageing disclosure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~mid-Aug-2026 (H1 results)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margin question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Two consecutive halves of EBITDA margin ≥ 20% without a devaluation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H1-26, FY26 results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rate path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CBE MPC decisions vs the modelled 23.5% → 15.5% forward Kd path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MPC 20-Aug / 01-Oct / 12-Nov-2026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net-debt anchor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Any audited balance sheet: debt, cash, facility schedule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 publication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demand thesis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EETC tender awards actually reaching ELEC’s order book (vs Elsewedy taking all of it)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FY26/27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The flow overhang</w:t>
            </w:r>
          </w:p>
        </w:tc>
        <w:tc>
          <w:tcPr>
            <w:tcW w:type="dxa" w:w="518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Further controlling-group block sales — or their cessation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color w:val="1C3A36"/>
                <w:sz w:val="17"/>
              </w:rPr>
              <w:t>Ongoing</w:t>
            </w:r>
          </w:p>
        </w:tc>
      </w:tr>
    </w:tbl>
    <w:p>
      <w:pPr>
        <w:spacing w:after="40"/>
      </w:pPr>
    </w:p>
    <w:p>
      <w:pPr>
        <w:spacing w:after="100" w:before="200"/>
        <w:jc w:val="center"/>
      </w:pPr>
      <w:r>
        <w:rPr>
          <w:b w:val="0"/>
          <w:i w:val="0"/>
          <w:color w:val="6E7B77"/>
          <w:sz w:val="16"/>
        </w:rPr>
        <w:t>Testahil · Independent valuation studies · Distributions, not tips. Educational analysis, not investment advice. Testahil is not licensed by the FRA or any securities regulator and publishes no ratings and no price targets.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C3A3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