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Electro Cable Egypt Co. S.A.E. (EGX: ELEC)</w:t>
      </w:r>
    </w:p>
    <w:p>
      <w:pPr>
        <w:spacing w:after="160" w:before="0"/>
      </w:pPr>
      <w:r>
        <w:rPr>
          <w:b w:val="0"/>
          <w:i/>
          <w:color w:val="6E7B77"/>
          <w:sz w:val="21"/>
        </w:rPr>
        <w:t>Fundamental analysis · Technical analysis · Monte Carlo simulation — one integrated read</w:t>
      </w:r>
    </w:p>
    <w:p>
      <w:pPr>
        <w:spacing w:after="200" w:before="0"/>
      </w:pPr>
      <w:r>
        <w:rPr>
          <w:b/>
          <w:i w:val="0"/>
          <w:color w:val="1C3A36"/>
          <w:sz w:val="19"/>
        </w:rPr>
        <w:t xml:space="preserve">Anchor: </w:t>
      </w:r>
      <w:r>
        <w:rPr>
          <w:b w:val="0"/>
          <w:i w:val="0"/>
          <w:color w:val="1C3A36"/>
          <w:sz w:val="19"/>
        </w:rPr>
        <w:t xml:space="preserve">EGP 2.08 (5 Aug 2026 close) · 3,313.5 mn shares · mkt cap ~EGP 6.9 bn · Egypt's oldest cable maker (founded 1954; parent Mostorod plant ~25,000 t/yr, plus Giza Power Industry's 81,745 sqm Abu Rawash plant, capacity undisclosed), listed on the EGX since 1995, majority-held by the </w:t>
      </w:r>
      <w:r>
        <w:rPr>
          <w:b/>
          <w:i w:val="0"/>
          <w:color w:val="1C3A36"/>
          <w:sz w:val="19"/>
        </w:rPr>
        <w:t>Gadwa-led related-party group</w:t>
      </w:r>
      <w:r>
        <w:rPr>
          <w:b w:val="0"/>
          <w:i w:val="0"/>
          <w:color w:val="1C3A36"/>
          <w:sz w:val="19"/>
        </w:rPr>
        <w:t xml:space="preserve"> (66.72% as of 5-Jul-2026, down from 81.2% in Mar-2025 through sustained block sales; free float ~33%), consolidating Giza Power Industry and two smaller subsidiaries · products: low/medium/high-voltage power cables, enameled wire, overhead conductors, telephone cable · prices and probabilities computed 5 Aug 2026 from the attached daily history · primary lens: a free-cash-flow DCF on a forward discount-rate schedule that follows the Egyptian easing cycle down · the two swing factors are working-capital collection and where cable margins settle after the devaluation-era windfall.</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Egyptian (FRA) or other brokerage or advisory authorisation, provides no financial consultancy, manages no money, and accepts no fees, funds or clients. See the Disclosure &amp; Disclaimer at the end.</w:t>
            </w:r>
          </w:p>
          <w:p>
            <w:pPr>
              <w:spacing w:after="100"/>
            </w:pPr>
            <w:r>
              <w:rPr>
                <w:color w:val="1C3A36"/>
                <w:sz w:val="19"/>
              </w:rPr>
              <w:t>A sourcing note specific to this company, stated up front rather than buried: Electro Cable Egypt’s full audited statements were not reachable through the channels available for this study — headline revenue, profit and total assets are multiply-sourced from bourse-disclosure reporting services, but several line items (interest expense, capex, the working-capital split, facility-level debt) are DERIVED and are labelled as such wherever they appear. What the FY2024 closure check (reported net profit reproduced within 0.8% from disclosed EBIT, interest coverage and the statutory tax rate) validates is the finance-cost and tax chain — no more; the capex and working-capital derivations rest on their own stated constructions and carry their own stated ranges. Where a fair value per share appears in this study it is an intrinsic-value estimate under stated assumptions, not a broker price target (a forecast of where the market price goes); the study carries no rating and no trade recommendation. The companion Source Register document lists every input, its source and its date. Consult a licensed financial advisor before any investment decision.</w:t>
            </w:r>
          </w:p>
        </w:tc>
      </w:tr>
    </w:tbl>
    <w:p>
      <w:pPr>
        <w:spacing w:after="40"/>
      </w:pPr>
    </w:p>
    <w:p>
      <w:pPr>
        <w:spacing w:after="80" w:before="200"/>
      </w:pPr>
      <w:r>
        <w:rPr>
          <w:b/>
          <w:i w:val="0"/>
          <w:color w:val="1C3A36"/>
          <w:sz w:val="24"/>
        </w:rPr>
        <w:t>Headline</w:t>
      </w:r>
    </w:p>
    <w:p>
      <w:pPr>
        <w:spacing w:after="160" w:before="0"/>
      </w:pPr>
      <w:r>
        <w:rPr>
          <w:b/>
          <w:i w:val="0"/>
          <w:color w:val="1C3A36"/>
          <w:sz w:val="21"/>
        </w:rPr>
        <w:t xml:space="preserve">The model's read: meaningfully overvalued — the price still pays for devaluation-era earnings the company itself is no longer printing. </w:t>
      </w:r>
      <w:r>
        <w:rPr>
          <w:b w:val="0"/>
          <w:i w:val="0"/>
          <w:color w:val="1C3A36"/>
          <w:sz w:val="21"/>
        </w:rPr>
        <w:t>At EGP 2.08, our weighted central estimate sits roughly 84% below the price of EGP 0.34 (range 0.18–0.95). The arithmetic of the last three years explains why. FY2023–24 were windfall years: revenue rose 52% then 59% and net profit reached EGP 1.25–1.33 bn as devaluation repriced copper-linked cable prices through a pound-denominated cost base and inventory. FY2025 took the windfall back — revenue −21.5%, net profit −62% to EGP 500 mn — and 1Q2026 swung to a consolidated net LOSS of EGP 242 mn on sales down 44%. The disclosed 1Q26 lines are blunt: gross margin 5.7% (vs 33.1% a year earlier) and operating profit of EGP 1.4 mn — effectively zero. Meanwhile the balance sheet carries ~EGP 10.5 bn of bank debt (triangulated from the disclosed FY25 totals; facilities disclosed at 10.9 bn, up from 8.96 bn a year earlier) against EGP ~4 bn of equity, working capital has swollen to ~113% of annual revenue (receivables and copper-inflated inventory), and operating cash flow has been negative — at ~22% funding costs, finance expense alone consumes the entire operating line in a soft year. The valuation is built bottom-up from tonnage: implied volumes fell from ~24,000 t (96% of capacity, FY23–24) to ~9,300 t annualized in 1Q26 (~37%), and conversion EBITDA went ~146,000 → ~182,000 (FY25, inflated by copper inventory gains) → ~11,000 EGP per tonne. On that build, discounted at a rate schedule following the central bank's own easing path (21.5% gliding to 15.0% terminal, normalized capital structure), the enterprise is worth LESS than its ~EGP 9.8 bn net debt — the intrinsic equity is negative and is floored at zero only by limited liability. The normalized-earnings and book lenses (0.70 and 0.91) assume the balance sheet gets fixed first; even the bull scenario (0.95 central) sits 54% below today's price. Technically the tape is neutral-to-firm — above the short averages, below the falling 200-day, RSI mid-50s — and the three-month simulation, which prices the stock's own path rather than its value, puts the 5th–95th percentile band at EGP 1.71–3.07 with a median near 2.29. The gap between that tape-anchored map and the fundamental work is the study's central tension, examined in §4.</w:t>
      </w:r>
    </w:p>
    <w:p>
      <w:pPr>
        <w:spacing w:after="80" w:before="200"/>
      </w:pPr>
      <w:r>
        <w:rPr>
          <w:b/>
          <w:i w:val="0"/>
          <w:color w:val="1C3A36"/>
          <w:sz w:val="24"/>
        </w:rPr>
        <w:t>Valuation summary — every read at a glance</w:t>
      </w:r>
    </w:p>
    <w:p>
      <w:pPr>
        <w:spacing w:after="120" w:before="0"/>
      </w:pPr>
      <w:r>
        <w:rPr>
          <w:b w:val="0"/>
          <w:i w:val="0"/>
          <w:color w:val="1C3A36"/>
          <w:sz w:val="19"/>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3384"/>
        <w:gridCol w:w="2088"/>
        <w:gridCol w:w="1656"/>
      </w:tblGrid>
      <w:tr>
        <w:tc>
          <w:tcPr>
            <w:tcW w:type="dxa" w:w="3096"/>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Takeaway</w:t>
            </w:r>
          </w:p>
        </w:tc>
      </w:tr>
      <w:tr>
        <w:tc>
          <w:tcPr>
            <w:tcW w:type="dxa" w:w="3096"/>
            <w:shd w:val="clear" w:color="auto" w:fill="F6F1E6"/>
          </w:tcPr>
          <w:p>
            <w:pPr>
              <w:spacing w:after="20"/>
            </w:pPr>
            <w:r>
              <w:rPr>
                <w:b/>
                <w:color w:val="1C3A36"/>
                <w:sz w:val="17"/>
              </w:rPr>
              <w:t>FUNDAMENTAL — what the business is worth (the anchor)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FCFF DCF (primary)</w:t>
            </w:r>
          </w:p>
        </w:tc>
        <w:tc>
          <w:tcPr>
            <w:tcW w:type="dxa" w:w="3384"/>
          </w:tcPr>
          <w:p>
            <w:pPr>
              <w:spacing w:after="20"/>
              <w:jc w:val="right"/>
            </w:pPr>
            <w:r>
              <w:rPr>
                <w:color w:val="1C3A36"/>
                <w:sz w:val="17"/>
              </w:rPr>
              <w:t>Cash flow on the easing-cycle discount schedule — 82% of the EV comes from the terminal value (§1.1, §1.9)</w:t>
            </w:r>
          </w:p>
        </w:tc>
        <w:tc>
          <w:tcPr>
            <w:tcW w:type="dxa" w:w="2088"/>
          </w:tcPr>
          <w:p>
            <w:pPr>
              <w:spacing w:after="20"/>
              <w:jc w:val="right"/>
            </w:pPr>
            <w:r>
              <w:rPr>
                <w:color w:val="1C3A36"/>
                <w:sz w:val="17"/>
              </w:rPr>
              <w:t>EGP 0.01</w:t>
            </w:r>
          </w:p>
        </w:tc>
        <w:tc>
          <w:tcPr>
            <w:tcW w:type="dxa" w:w="1656"/>
          </w:tcPr>
          <w:p>
            <w:pPr>
              <w:spacing w:after="20"/>
              <w:jc w:val="right"/>
            </w:pPr>
            <w:r>
              <w:rPr>
                <w:color w:val="1C3A36"/>
                <w:sz w:val="17"/>
              </w:rPr>
              <w:t>-100% vs spot</w:t>
            </w:r>
          </w:p>
        </w:tc>
      </w:tr>
      <w:tr>
        <w:tc>
          <w:tcPr>
            <w:tcW w:type="dxa" w:w="3096"/>
          </w:tcPr>
          <w:p>
            <w:pPr>
              <w:spacing w:after="20"/>
            </w:pPr>
            <w:r>
              <w:rPr>
                <w:color w:val="1C3A36"/>
                <w:sz w:val="17"/>
              </w:rPr>
              <w:t>Relative (EV/EBITDA)</w:t>
            </w:r>
          </w:p>
        </w:tc>
        <w:tc>
          <w:tcPr>
            <w:tcW w:type="dxa" w:w="3384"/>
          </w:tcPr>
          <w:p>
            <w:pPr>
              <w:spacing w:after="20"/>
              <w:jc w:val="right"/>
            </w:pPr>
            <w:r>
              <w:rPr>
                <w:color w:val="1C3A36"/>
                <w:sz w:val="17"/>
              </w:rPr>
              <w:t>Mid-cycle EBITDA × peer-anchored multiple</w:t>
            </w:r>
          </w:p>
        </w:tc>
        <w:tc>
          <w:tcPr>
            <w:tcW w:type="dxa" w:w="2088"/>
          </w:tcPr>
          <w:p>
            <w:pPr>
              <w:spacing w:after="20"/>
              <w:jc w:val="right"/>
            </w:pPr>
            <w:r>
              <w:rPr>
                <w:color w:val="1C3A36"/>
                <w:sz w:val="17"/>
              </w:rPr>
              <w:t>EGP 0.05</w:t>
            </w:r>
          </w:p>
        </w:tc>
        <w:tc>
          <w:tcPr>
            <w:tcW w:type="dxa" w:w="1656"/>
          </w:tcPr>
          <w:p>
            <w:pPr>
              <w:spacing w:after="20"/>
              <w:jc w:val="right"/>
            </w:pPr>
            <w:r>
              <w:rPr>
                <w:color w:val="1C3A36"/>
                <w:sz w:val="17"/>
              </w:rPr>
              <w:t>-98%</w:t>
            </w:r>
          </w:p>
        </w:tc>
      </w:tr>
      <w:tr>
        <w:tc>
          <w:tcPr>
            <w:tcW w:type="dxa" w:w="3096"/>
          </w:tcPr>
          <w:p>
            <w:pPr>
              <w:spacing w:after="20"/>
            </w:pPr>
            <w:r>
              <w:rPr>
                <w:color w:val="1C3A36"/>
                <w:sz w:val="17"/>
              </w:rPr>
              <w:t>Normalized earnings</w:t>
            </w:r>
          </w:p>
        </w:tc>
        <w:tc>
          <w:tcPr>
            <w:tcW w:type="dxa" w:w="3384"/>
          </w:tcPr>
          <w:p>
            <w:pPr>
              <w:spacing w:after="20"/>
              <w:jc w:val="right"/>
            </w:pPr>
            <w:r>
              <w:rPr>
                <w:color w:val="1C3A36"/>
                <w:sz w:val="17"/>
              </w:rPr>
              <w:t>Mid-cycle EPS × through-cycle P/E</w:t>
            </w:r>
          </w:p>
        </w:tc>
        <w:tc>
          <w:tcPr>
            <w:tcW w:type="dxa" w:w="2088"/>
          </w:tcPr>
          <w:p>
            <w:pPr>
              <w:spacing w:after="20"/>
              <w:jc w:val="right"/>
            </w:pPr>
            <w:r>
              <w:rPr>
                <w:color w:val="1C3A36"/>
                <w:sz w:val="17"/>
              </w:rPr>
              <w:t>EGP 0.70</w:t>
            </w:r>
          </w:p>
        </w:tc>
        <w:tc>
          <w:tcPr>
            <w:tcW w:type="dxa" w:w="1656"/>
          </w:tcPr>
          <w:p>
            <w:pPr>
              <w:spacing w:after="20"/>
              <w:jc w:val="right"/>
            </w:pPr>
            <w:r>
              <w:rPr>
                <w:color w:val="1C3A36"/>
                <w:sz w:val="17"/>
              </w:rPr>
              <w:t>-66%</w:t>
            </w:r>
          </w:p>
        </w:tc>
      </w:tr>
      <w:tr>
        <w:tc>
          <w:tcPr>
            <w:tcW w:type="dxa" w:w="3096"/>
          </w:tcPr>
          <w:p>
            <w:pPr>
              <w:spacing w:after="20"/>
            </w:pPr>
            <w:r>
              <w:rPr>
                <w:color w:val="1C3A36"/>
                <w:sz w:val="17"/>
              </w:rPr>
              <w:t>Book / replacement</w:t>
            </w:r>
          </w:p>
        </w:tc>
        <w:tc>
          <w:tcPr>
            <w:tcW w:type="dxa" w:w="3384"/>
          </w:tcPr>
          <w:p>
            <w:pPr>
              <w:spacing w:after="20"/>
              <w:jc w:val="right"/>
            </w:pPr>
            <w:r>
              <w:rPr>
                <w:color w:val="1C3A36"/>
                <w:sz w:val="17"/>
              </w:rPr>
              <w:t>Justified P/B on sustainable ROE</w:t>
            </w:r>
          </w:p>
        </w:tc>
        <w:tc>
          <w:tcPr>
            <w:tcW w:type="dxa" w:w="2088"/>
          </w:tcPr>
          <w:p>
            <w:pPr>
              <w:spacing w:after="20"/>
              <w:jc w:val="right"/>
            </w:pPr>
            <w:r>
              <w:rPr>
                <w:color w:val="1C3A36"/>
                <w:sz w:val="17"/>
              </w:rPr>
              <w:t>EGP 0.91</w:t>
            </w:r>
          </w:p>
        </w:tc>
        <w:tc>
          <w:tcPr>
            <w:tcW w:type="dxa" w:w="1656"/>
          </w:tcPr>
          <w:p>
            <w:pPr>
              <w:spacing w:after="20"/>
              <w:jc w:val="right"/>
            </w:pPr>
            <w:r>
              <w:rPr>
                <w:color w:val="1C3A36"/>
                <w:sz w:val="17"/>
              </w:rPr>
              <w:t>-56%</w:t>
            </w:r>
          </w:p>
        </w:tc>
      </w:tr>
      <w:tr>
        <w:tc>
          <w:tcPr>
            <w:tcW w:type="dxa" w:w="3096"/>
          </w:tcPr>
          <w:p>
            <w:pPr>
              <w:spacing w:after="20"/>
            </w:pPr>
            <w:r>
              <w:rPr>
                <w:color w:val="1C3A36"/>
                <w:sz w:val="17"/>
              </w:rPr>
              <w:t>Weighted central</w:t>
            </w:r>
          </w:p>
        </w:tc>
        <w:tc>
          <w:tcPr>
            <w:tcW w:type="dxa" w:w="3384"/>
          </w:tcPr>
          <w:p>
            <w:pPr>
              <w:spacing w:after="20"/>
              <w:jc w:val="right"/>
            </w:pPr>
            <w:r>
              <w:rPr>
                <w:color w:val="1C3A36"/>
                <w:sz w:val="17"/>
              </w:rPr>
              <w:t>Blend 40 / 20 / 20 / 20</w:t>
            </w:r>
          </w:p>
        </w:tc>
        <w:tc>
          <w:tcPr>
            <w:tcW w:type="dxa" w:w="2088"/>
          </w:tcPr>
          <w:p>
            <w:pPr>
              <w:spacing w:after="20"/>
              <w:jc w:val="right"/>
            </w:pPr>
            <w:r>
              <w:rPr>
                <w:color w:val="1C3A36"/>
                <w:sz w:val="17"/>
              </w:rPr>
              <w:t>EGP 0.34</w:t>
            </w:r>
          </w:p>
        </w:tc>
        <w:tc>
          <w:tcPr>
            <w:tcW w:type="dxa" w:w="1656"/>
          </w:tcPr>
          <w:p>
            <w:pPr>
              <w:spacing w:after="20"/>
              <w:jc w:val="right"/>
            </w:pPr>
            <w:r>
              <w:rPr>
                <w:color w:val="1C3A36"/>
                <w:sz w:val="17"/>
              </w:rPr>
              <w:t>-84% vs EGP 2.08</w:t>
            </w:r>
          </w:p>
        </w:tc>
      </w:tr>
      <w:tr>
        <w:tc>
          <w:tcPr>
            <w:tcW w:type="dxa" w:w="3096"/>
            <w:shd w:val="clear" w:color="auto" w:fill="F6F1E6"/>
          </w:tcPr>
          <w:p>
            <w:pPr>
              <w:spacing w:after="20"/>
            </w:pPr>
            <w:r>
              <w:rPr>
                <w:b/>
                <w:color w:val="1C3A36"/>
                <w:sz w:val="17"/>
              </w:rPr>
              <w:t>TECHNICAL — what the tape is doing (timing, not value)</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Trend &amp; momentum</w:t>
            </w:r>
          </w:p>
        </w:tc>
        <w:tc>
          <w:tcPr>
            <w:tcW w:type="dxa" w:w="3384"/>
          </w:tcPr>
          <w:p>
            <w:pPr>
              <w:spacing w:after="20"/>
              <w:jc w:val="right"/>
            </w:pPr>
            <w:r>
              <w:rPr>
                <w:color w:val="1C3A36"/>
                <w:sz w:val="17"/>
              </w:rPr>
              <w:t>Price vs the 20/50/100/200-day averages</w:t>
            </w:r>
          </w:p>
        </w:tc>
        <w:tc>
          <w:tcPr>
            <w:tcW w:type="dxa" w:w="2088"/>
          </w:tcPr>
          <w:p>
            <w:pPr>
              <w:spacing w:after="20"/>
              <w:jc w:val="right"/>
            </w:pPr>
            <w:r>
              <w:rPr>
                <w:color w:val="1C3A36"/>
                <w:sz w:val="17"/>
              </w:rPr>
              <w:t>Above 20/50/100 · below 200</w:t>
            </w:r>
          </w:p>
        </w:tc>
        <w:tc>
          <w:tcPr>
            <w:tcW w:type="dxa" w:w="1656"/>
          </w:tcPr>
          <w:p>
            <w:pPr>
              <w:spacing w:after="20"/>
              <w:jc w:val="right"/>
            </w:pPr>
            <w:r>
              <w:rPr>
                <w:color w:val="1C3A36"/>
                <w:sz w:val="17"/>
              </w:rPr>
              <w:t>Neutral, basing</w:t>
            </w:r>
          </w:p>
        </w:tc>
      </w:tr>
      <w:tr>
        <w:tc>
          <w:tcPr>
            <w:tcW w:type="dxa" w:w="3096"/>
          </w:tcPr>
          <w:p>
            <w:pPr>
              <w:spacing w:after="20"/>
            </w:pPr>
            <w:r>
              <w:rPr>
                <w:color w:val="1C3A36"/>
                <w:sz w:val="17"/>
              </w:rPr>
              <w:t>Momentum / range</w:t>
            </w:r>
          </w:p>
        </w:tc>
        <w:tc>
          <w:tcPr>
            <w:tcW w:type="dxa" w:w="3384"/>
          </w:tcPr>
          <w:p>
            <w:pPr>
              <w:spacing w:after="20"/>
              <w:jc w:val="right"/>
            </w:pPr>
            <w:r>
              <w:rPr>
                <w:color w:val="1C3A36"/>
                <w:sz w:val="17"/>
              </w:rPr>
              <w:t>RSI · MACD · 52-week range</w:t>
            </w:r>
          </w:p>
        </w:tc>
        <w:tc>
          <w:tcPr>
            <w:tcW w:type="dxa" w:w="2088"/>
          </w:tcPr>
          <w:p>
            <w:pPr>
              <w:spacing w:after="20"/>
              <w:jc w:val="right"/>
            </w:pPr>
            <w:r>
              <w:rPr>
                <w:color w:val="1C3A36"/>
                <w:sz w:val="17"/>
              </w:rPr>
              <w:t>RSI 54 · MACD flat · 1.90–3.36</w:t>
            </w:r>
          </w:p>
        </w:tc>
        <w:tc>
          <w:tcPr>
            <w:tcW w:type="dxa" w:w="1656"/>
          </w:tcPr>
          <w:p>
            <w:pPr>
              <w:spacing w:after="20"/>
              <w:jc w:val="right"/>
            </w:pPr>
            <w:r>
              <w:rPr>
                <w:color w:val="1C3A36"/>
                <w:sz w:val="17"/>
              </w:rPr>
              <w:t>No strong signal</w:t>
            </w:r>
          </w:p>
        </w:tc>
      </w:tr>
      <w:tr>
        <w:tc>
          <w:tcPr>
            <w:tcW w:type="dxa" w:w="3096"/>
            <w:shd w:val="clear" w:color="auto" w:fill="F6F1E6"/>
          </w:tcPr>
          <w:p>
            <w:pPr>
              <w:spacing w:after="20"/>
            </w:pPr>
            <w:r>
              <w:rPr>
                <w:b/>
                <w:color w:val="1C3A36"/>
                <w:sz w:val="17"/>
              </w:rPr>
              <w:t>MONTE CARLO — where price could go in 3 months (paths from spot)</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1 month</w:t>
            </w:r>
          </w:p>
        </w:tc>
        <w:tc>
          <w:tcPr>
            <w:tcW w:type="dxa" w:w="3384"/>
          </w:tcPr>
          <w:p>
            <w:pPr>
              <w:spacing w:after="20"/>
              <w:jc w:val="right"/>
            </w:pPr>
            <w:r>
              <w:rPr>
                <w:color w:val="1C3A36"/>
                <w:sz w:val="17"/>
              </w:rPr>
              <w:t>50,000 calibrated paths</w:t>
            </w:r>
          </w:p>
        </w:tc>
        <w:tc>
          <w:tcPr>
            <w:tcW w:type="dxa" w:w="2088"/>
          </w:tcPr>
          <w:p>
            <w:pPr>
              <w:spacing w:after="20"/>
              <w:jc w:val="right"/>
            </w:pPr>
            <w:r>
              <w:rPr>
                <w:color w:val="1C3A36"/>
                <w:sz w:val="17"/>
              </w:rPr>
              <w:t>p5 1.91 · p50 2.22 · p95 2.59</w:t>
            </w:r>
          </w:p>
        </w:tc>
        <w:tc>
          <w:tcPr>
            <w:tcW w:type="dxa" w:w="1656"/>
          </w:tcPr>
          <w:p>
            <w:pPr>
              <w:spacing w:after="20"/>
              <w:jc w:val="right"/>
            </w:pPr>
            <w:r>
              <w:rPr>
                <w:color w:val="1C3A36"/>
                <w:sz w:val="17"/>
              </w:rPr>
              <w:t>Carry-tilted drift</w:t>
            </w:r>
          </w:p>
        </w:tc>
      </w:tr>
      <w:tr>
        <w:tc>
          <w:tcPr>
            <w:tcW w:type="dxa" w:w="3096"/>
          </w:tcPr>
          <w:p>
            <w:pPr>
              <w:spacing w:after="20"/>
            </w:pPr>
            <w:r>
              <w:rPr>
                <w:color w:val="1C3A36"/>
                <w:sz w:val="17"/>
              </w:rPr>
              <w:t>3 months</w:t>
            </w:r>
          </w:p>
        </w:tc>
        <w:tc>
          <w:tcPr>
            <w:tcW w:type="dxa" w:w="3384"/>
          </w:tcPr>
          <w:p>
            <w:pPr>
              <w:spacing w:after="20"/>
              <w:jc w:val="right"/>
            </w:pPr>
            <w:r>
              <w:rPr>
                <w:color w:val="1C3A36"/>
                <w:sz w:val="17"/>
              </w:rPr>
              <w:t>same engine, longer horizon</w:t>
            </w:r>
          </w:p>
        </w:tc>
        <w:tc>
          <w:tcPr>
            <w:tcW w:type="dxa" w:w="2088"/>
          </w:tcPr>
          <w:p>
            <w:pPr>
              <w:spacing w:after="20"/>
              <w:jc w:val="right"/>
            </w:pPr>
            <w:r>
              <w:rPr>
                <w:color w:val="1C3A36"/>
                <w:sz w:val="17"/>
              </w:rPr>
              <w:t>p5 1.71 · p50 2.29 · p95 3.07</w:t>
            </w:r>
          </w:p>
        </w:tc>
        <w:tc>
          <w:tcPr>
            <w:tcW w:type="dxa" w:w="1656"/>
          </w:tcPr>
          <w:p>
            <w:pPr>
              <w:spacing w:after="20"/>
              <w:jc w:val="right"/>
            </w:pPr>
            <w:r>
              <w:rPr>
                <w:color w:val="1C3A36"/>
                <w:sz w:val="17"/>
              </w:rPr>
              <w:t>Wide, right-skewed</w:t>
            </w:r>
          </w:p>
        </w:tc>
      </w:tr>
      <w:tr>
        <w:tc>
          <w:tcPr>
            <w:tcW w:type="dxa" w:w="3096"/>
            <w:shd w:val="clear" w:color="auto" w:fill="F6F1E6"/>
          </w:tcPr>
          <w:p>
            <w:pPr>
              <w:spacing w:after="20"/>
            </w:pPr>
            <w:r>
              <w:rPr>
                <w:b/>
                <w:color w:val="1C3A36"/>
                <w:sz w:val="17"/>
              </w:rPr>
              <w:t>EXPERT PANEL — three independent methods (Appendix C)</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Expert 1 — earnings power</w:t>
            </w:r>
          </w:p>
        </w:tc>
        <w:tc>
          <w:tcPr>
            <w:tcW w:type="dxa" w:w="3384"/>
          </w:tcPr>
          <w:p>
            <w:pPr>
              <w:spacing w:after="20"/>
              <w:jc w:val="right"/>
            </w:pPr>
            <w:r>
              <w:rPr>
                <w:color w:val="1C3A36"/>
                <w:sz w:val="17"/>
              </w:rPr>
              <w:t>Normalized EPS × justified multiple</w:t>
            </w:r>
          </w:p>
        </w:tc>
        <w:tc>
          <w:tcPr>
            <w:tcW w:type="dxa" w:w="2088"/>
          </w:tcPr>
          <w:p>
            <w:pPr>
              <w:spacing w:after="20"/>
              <w:jc w:val="right"/>
            </w:pPr>
            <w:r>
              <w:rPr>
                <w:color w:val="1C3A36"/>
                <w:sz w:val="17"/>
              </w:rPr>
              <w:t>EGP 0.70</w:t>
            </w:r>
          </w:p>
        </w:tc>
        <w:tc>
          <w:tcPr>
            <w:tcW w:type="dxa" w:w="1656"/>
          </w:tcPr>
          <w:p>
            <w:pPr>
              <w:spacing w:after="20"/>
              <w:jc w:val="right"/>
            </w:pPr>
            <w:r>
              <w:rPr>
                <w:color w:val="1C3A36"/>
                <w:sz w:val="17"/>
              </w:rPr>
              <w:t>Most generous</w:t>
            </w:r>
          </w:p>
        </w:tc>
      </w:tr>
      <w:tr>
        <w:tc>
          <w:tcPr>
            <w:tcW w:type="dxa" w:w="3096"/>
          </w:tcPr>
          <w:p>
            <w:pPr>
              <w:spacing w:after="20"/>
            </w:pPr>
            <w:r>
              <w:rPr>
                <w:color w:val="1C3A36"/>
                <w:sz w:val="17"/>
              </w:rPr>
              <w:t>Expert 2 — owner cash earnings</w:t>
            </w:r>
          </w:p>
        </w:tc>
        <w:tc>
          <w:tcPr>
            <w:tcW w:type="dxa" w:w="3384"/>
          </w:tcPr>
          <w:p>
            <w:pPr>
              <w:spacing w:after="20"/>
              <w:jc w:val="right"/>
            </w:pPr>
            <w:r>
              <w:rPr>
                <w:color w:val="1C3A36"/>
                <w:sz w:val="17"/>
              </w:rPr>
              <w:t>What the statements actually convert to cash</w:t>
            </w:r>
          </w:p>
        </w:tc>
        <w:tc>
          <w:tcPr>
            <w:tcW w:type="dxa" w:w="2088"/>
          </w:tcPr>
          <w:p>
            <w:pPr>
              <w:spacing w:after="20"/>
              <w:jc w:val="right"/>
            </w:pPr>
            <w:r>
              <w:rPr>
                <w:color w:val="1C3A36"/>
                <w:sz w:val="17"/>
              </w:rPr>
              <w:t>EGP 0.11</w:t>
            </w:r>
          </w:p>
        </w:tc>
        <w:tc>
          <w:tcPr>
            <w:tcW w:type="dxa" w:w="1656"/>
          </w:tcPr>
          <w:p>
            <w:pPr>
              <w:spacing w:after="20"/>
              <w:jc w:val="right"/>
            </w:pPr>
            <w:r>
              <w:rPr>
                <w:color w:val="1C3A36"/>
                <w:sz w:val="17"/>
              </w:rPr>
              <w:t>Most severe</w:t>
            </w:r>
          </w:p>
        </w:tc>
      </w:tr>
      <w:tr>
        <w:tc>
          <w:tcPr>
            <w:tcW w:type="dxa" w:w="3096"/>
          </w:tcPr>
          <w:p>
            <w:pPr>
              <w:spacing w:after="20"/>
            </w:pPr>
            <w:r>
              <w:rPr>
                <w:color w:val="1C3A36"/>
                <w:sz w:val="17"/>
              </w:rPr>
              <w:t>Expert 3 — cash returns vs capital cost</w:t>
            </w:r>
          </w:p>
        </w:tc>
        <w:tc>
          <w:tcPr>
            <w:tcW w:type="dxa" w:w="3384"/>
          </w:tcPr>
          <w:p>
            <w:pPr>
              <w:spacing w:after="20"/>
              <w:jc w:val="right"/>
            </w:pPr>
            <w:r>
              <w:rPr>
                <w:color w:val="1C3A36"/>
                <w:sz w:val="17"/>
              </w:rPr>
              <w:t>Economic profit through the rate cycle</w:t>
            </w:r>
          </w:p>
        </w:tc>
        <w:tc>
          <w:tcPr>
            <w:tcW w:type="dxa" w:w="2088"/>
          </w:tcPr>
          <w:p>
            <w:pPr>
              <w:spacing w:after="20"/>
              <w:jc w:val="right"/>
            </w:pPr>
            <w:r>
              <w:rPr>
                <w:color w:val="1C3A36"/>
                <w:sz w:val="17"/>
              </w:rPr>
              <w:t>EGP 0.10</w:t>
            </w:r>
          </w:p>
        </w:tc>
        <w:tc>
          <w:tcPr>
            <w:tcW w:type="dxa" w:w="1656"/>
          </w:tcPr>
          <w:p>
            <w:pPr>
              <w:spacing w:after="20"/>
              <w:jc w:val="right"/>
            </w:pPr>
            <w:r>
              <w:rPr>
                <w:color w:val="1C3A36"/>
                <w:sz w:val="17"/>
              </w:rPr>
              <w:t>—</w:t>
            </w:r>
          </w:p>
        </w:tc>
      </w:tr>
      <w:tr>
        <w:tc>
          <w:tcPr>
            <w:tcW w:type="dxa" w:w="3096"/>
          </w:tcPr>
          <w:p>
            <w:pPr>
              <w:spacing w:after="20"/>
            </w:pPr>
            <w:r>
              <w:rPr>
                <w:color w:val="1C3A36"/>
                <w:sz w:val="17"/>
              </w:rPr>
              <w:t>Panel range</w:t>
            </w:r>
          </w:p>
        </w:tc>
        <w:tc>
          <w:tcPr>
            <w:tcW w:type="dxa" w:w="3384"/>
          </w:tcPr>
          <w:p>
            <w:pPr>
              <w:spacing w:after="20"/>
              <w:jc w:val="right"/>
            </w:pPr>
            <w:r>
              <w:rPr>
                <w:color w:val="1C3A36"/>
                <w:sz w:val="17"/>
              </w:rPr>
              <w:t>Spread = the collection-and-margin question</w:t>
            </w:r>
          </w:p>
        </w:tc>
        <w:tc>
          <w:tcPr>
            <w:tcW w:type="dxa" w:w="2088"/>
          </w:tcPr>
          <w:p>
            <w:pPr>
              <w:spacing w:after="20"/>
              <w:jc w:val="right"/>
            </w:pPr>
            <w:r>
              <w:rPr>
                <w:color w:val="1C3A36"/>
                <w:sz w:val="17"/>
              </w:rPr>
              <w:t>EGP 0.10–0.70</w:t>
            </w:r>
          </w:p>
        </w:tc>
        <w:tc>
          <w:tcPr>
            <w:tcW w:type="dxa" w:w="1656"/>
          </w:tcPr>
          <w:p>
            <w:pPr>
              <w:spacing w:after="20"/>
              <w:jc w:val="right"/>
            </w:pPr>
            <w:r>
              <w:rPr>
                <w:color w:val="1C3A36"/>
                <w:sz w:val="17"/>
              </w:rPr>
              <w:t>All below spot</w:t>
            </w:r>
          </w:p>
        </w:tc>
      </w:tr>
    </w:tbl>
    <w:p>
      <w:pPr>
        <w:spacing w:after="40"/>
      </w:pPr>
    </w:p>
    <w:p>
      <w:pPr>
        <w:spacing w:after="160" w:before="0"/>
      </w:pPr>
      <w:r>
        <w:rPr>
          <w:b/>
          <w:i w:val="0"/>
          <w:color w:val="1C3A36"/>
          <w:sz w:val="19"/>
        </w:rPr>
        <w:t xml:space="preserve">Bottom line. </w:t>
      </w:r>
      <w:r>
        <w:rPr>
          <w:b w:val="0"/>
          <w:i w:val="0"/>
          <w:color w:val="1C3A36"/>
          <w:sz w:val="19"/>
        </w:rPr>
        <w:t>Every fundamental lens, and every one of the three expert methods, lands below the market price — the most generous read (0.70, normalized earnings power) still sits 66% under spot, and the cash-flow-based reads sit far lower. On the bottom-up tonnage build there is NO fundamental path to EGP 2.08 inside the modelled scenario space: even the bull case — conversion economics recovering to ~175,000 EGP/tonne, volumes near 70% utilization, full collection, an easing overshoot — centres at 0.95, still 54% below the market. Reaching spot requires the devaluation windfall itself to return. The market may also simply be pricing ELEC as a small-cap trading vehicle — the stock trades actively on the EGX70 rotation, and the controlling group has been a steady seller into that liquidity (block sales at EGP 2.00–2.21 through 2026). The probabilistic map's median (2.29) is above spot only because it prices the stock's own path — the carry on Egyptian money is 19.5% a year and the simulation is anchored on it; it is not a statement about value.</w:t>
      </w:r>
    </w:p>
    <w:p>
      <w:pPr>
        <w:spacing w:after="80" w:before="200"/>
      </w:pPr>
      <w:r>
        <w:rPr>
          <w:b/>
          <w:i w:val="0"/>
          <w:color w:val="1C3A36"/>
          <w:sz w:val="24"/>
        </w:rPr>
        <w:t>Company overview — Electro Cable Egypt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7776"/>
      </w:tblGrid>
      <w:tr>
        <w:tc>
          <w:tcPr>
            <w:tcW w:type="dxa" w:w="2448"/>
            <w:shd w:val="clear" w:color="auto" w:fill="EAF0EE"/>
          </w:tcPr>
          <w:p>
            <w:pPr>
              <w:spacing w:after="20"/>
            </w:pPr>
            <w:r>
              <w:rPr>
                <w:b/>
                <w:color w:val="1C3A36"/>
                <w:sz w:val="18"/>
              </w:rPr>
              <w:t>Item</w:t>
            </w:r>
          </w:p>
        </w:tc>
        <w:tc>
          <w:tcPr>
            <w:tcW w:type="dxa" w:w="7776"/>
            <w:shd w:val="clear" w:color="auto" w:fill="EAF0EE"/>
          </w:tcPr>
          <w:p>
            <w:pPr>
              <w:spacing w:after="20"/>
            </w:pPr>
            <w:r>
              <w:rPr>
                <w:b/>
                <w:color w:val="1C3A36"/>
                <w:sz w:val="18"/>
              </w:rPr>
              <w:t>Value</w:t>
            </w:r>
          </w:p>
        </w:tc>
      </w:tr>
      <w:tr>
        <w:tc>
          <w:tcPr>
            <w:tcW w:type="dxa" w:w="2448"/>
          </w:tcPr>
          <w:p>
            <w:pPr>
              <w:spacing w:after="20"/>
            </w:pPr>
            <w:r>
              <w:rPr>
                <w:b/>
                <w:color w:val="1C3A36"/>
                <w:sz w:val="18"/>
              </w:rPr>
              <w:t>Listed entity</w:t>
            </w:r>
          </w:p>
        </w:tc>
        <w:tc>
          <w:tcPr>
            <w:tcW w:type="dxa" w:w="7776"/>
          </w:tcPr>
          <w:p>
            <w:pPr>
              <w:spacing w:after="20"/>
              <w:jc w:val="right"/>
            </w:pPr>
            <w:r>
              <w:rPr>
                <w:color w:val="1C3A36"/>
                <w:sz w:val="18"/>
              </w:rPr>
              <w:t>Electro Cable Egypt Co. S.A.E. (EGX: ELEC; ISIN EGS3G231C011)</w:t>
            </w:r>
          </w:p>
        </w:tc>
      </w:tr>
      <w:tr>
        <w:tc>
          <w:tcPr>
            <w:tcW w:type="dxa" w:w="2448"/>
          </w:tcPr>
          <w:p>
            <w:pPr>
              <w:spacing w:after="20"/>
            </w:pPr>
            <w:r>
              <w:rPr>
                <w:b/>
                <w:color w:val="1C3A36"/>
                <w:sz w:val="18"/>
              </w:rPr>
              <w:t>What it does</w:t>
            </w:r>
          </w:p>
        </w:tc>
        <w:tc>
          <w:tcPr>
            <w:tcW w:type="dxa" w:w="7776"/>
          </w:tcPr>
          <w:p>
            <w:pPr>
              <w:spacing w:after="20"/>
              <w:jc w:val="right"/>
            </w:pPr>
            <w:r>
              <w:rPr>
                <w:color w:val="1C3A36"/>
                <w:sz w:val="18"/>
              </w:rPr>
              <w:t>Egypt’s oldest diversified cable maker (est. 1954, nationalised 1960s, Pioneers group since 2013): LV/MV/HV power cables, enameled copper wire, overhead conductors, telephone cables; Mostorod (Shubra El-Kheima) plant, ~25,000 t/yr; consolidates Giza Power Industry + 2 smaller units</w:t>
            </w:r>
          </w:p>
        </w:tc>
      </w:tr>
      <w:tr>
        <w:tc>
          <w:tcPr>
            <w:tcW w:type="dxa" w:w="2448"/>
          </w:tcPr>
          <w:p>
            <w:pPr>
              <w:spacing w:after="20"/>
            </w:pPr>
            <w:r>
              <w:rPr>
                <w:b/>
                <w:color w:val="1C3A36"/>
                <w:sz w:val="18"/>
              </w:rPr>
              <w:t>Spot / date</w:t>
            </w:r>
          </w:p>
        </w:tc>
        <w:tc>
          <w:tcPr>
            <w:tcW w:type="dxa" w:w="7776"/>
          </w:tcPr>
          <w:p>
            <w:pPr>
              <w:spacing w:after="20"/>
              <w:jc w:val="right"/>
            </w:pPr>
            <w:r>
              <w:rPr>
                <w:color w:val="1C3A36"/>
                <w:sz w:val="18"/>
              </w:rPr>
              <w:t>EGP 2.08 · 5 Aug 2026 close</w:t>
            </w:r>
          </w:p>
        </w:tc>
      </w:tr>
      <w:tr>
        <w:tc>
          <w:tcPr>
            <w:tcW w:type="dxa" w:w="2448"/>
          </w:tcPr>
          <w:p>
            <w:pPr>
              <w:spacing w:after="20"/>
            </w:pPr>
            <w:r>
              <w:rPr>
                <w:b/>
                <w:color w:val="1C3A36"/>
                <w:sz w:val="18"/>
              </w:rPr>
              <w:t>Shares · market cap</w:t>
            </w:r>
          </w:p>
        </w:tc>
        <w:tc>
          <w:tcPr>
            <w:tcW w:type="dxa" w:w="7776"/>
          </w:tcPr>
          <w:p>
            <w:pPr>
              <w:spacing w:after="20"/>
              <w:jc w:val="right"/>
            </w:pPr>
            <w:r>
              <w:rPr>
                <w:color w:val="1C3A36"/>
                <w:sz w:val="18"/>
              </w:rPr>
              <w:t>3,313.5 mn (par EGP 0.20) · ~EGP 6.9 bn</w:t>
            </w:r>
          </w:p>
        </w:tc>
      </w:tr>
      <w:tr>
        <w:tc>
          <w:tcPr>
            <w:tcW w:type="dxa" w:w="2448"/>
          </w:tcPr>
          <w:p>
            <w:pPr>
              <w:spacing w:after="20"/>
            </w:pPr>
            <w:r>
              <w:rPr>
                <w:b/>
                <w:color w:val="1C3A36"/>
                <w:sz w:val="18"/>
              </w:rPr>
              <w:t>FY25 revenue / net profit</w:t>
            </w:r>
          </w:p>
        </w:tc>
        <w:tc>
          <w:tcPr>
            <w:tcW w:type="dxa" w:w="7776"/>
          </w:tcPr>
          <w:p>
            <w:pPr>
              <w:spacing w:after="20"/>
              <w:jc w:val="right"/>
            </w:pPr>
            <w:r>
              <w:rPr>
                <w:color w:val="1C3A36"/>
                <w:sz w:val="18"/>
              </w:rPr>
              <w:t>EGP 10,819 mn (−21.5% YoY) · EGP 500.3 mn (−62%; 4.6% margin)</w:t>
            </w:r>
          </w:p>
        </w:tc>
      </w:tr>
      <w:tr>
        <w:tc>
          <w:tcPr>
            <w:tcW w:type="dxa" w:w="2448"/>
          </w:tcPr>
          <w:p>
            <w:pPr>
              <w:spacing w:after="20"/>
            </w:pPr>
            <w:r>
              <w:rPr>
                <w:b/>
                <w:color w:val="1C3A36"/>
                <w:sz w:val="18"/>
              </w:rPr>
              <w:t>1Q26 revenue / net profit</w:t>
            </w:r>
          </w:p>
        </w:tc>
        <w:tc>
          <w:tcPr>
            <w:tcW w:type="dxa" w:w="7776"/>
          </w:tcPr>
          <w:p>
            <w:pPr>
              <w:spacing w:after="20"/>
              <w:jc w:val="right"/>
            </w:pPr>
            <w:r>
              <w:rPr>
                <w:color w:val="1C3A36"/>
                <w:sz w:val="18"/>
              </w:rPr>
              <w:t>EGP 2,094 mn (−43.8%) · gross margin 5.7% (vs 33.1%) · net LOSS EGP 241.6 mn (vs +451.7 mn)</w:t>
            </w:r>
          </w:p>
        </w:tc>
      </w:tr>
      <w:tr>
        <w:tc>
          <w:tcPr>
            <w:tcW w:type="dxa" w:w="2448"/>
          </w:tcPr>
          <w:p>
            <w:pPr>
              <w:spacing w:after="20"/>
            </w:pPr>
            <w:r>
              <w:rPr>
                <w:b/>
                <w:color w:val="1C3A36"/>
                <w:sz w:val="18"/>
              </w:rPr>
              <w:t>Balance sheet</w:t>
            </w:r>
          </w:p>
        </w:tc>
        <w:tc>
          <w:tcPr>
            <w:tcW w:type="dxa" w:w="7776"/>
          </w:tcPr>
          <w:p>
            <w:pPr>
              <w:spacing w:after="20"/>
              <w:jc w:val="right"/>
            </w:pPr>
            <w:r>
              <w:rPr>
                <w:color w:val="1C3A36"/>
                <w:sz w:val="18"/>
              </w:rPr>
              <w:t>FY25: assets EGP 16.5 bn · bank debt ~EGP 10.5 bn triangulated (facilities disclosed 10.9 bn; 8.96 bn FY24) · equity ~EGP 4.1 bn · ND/E ~240%</w:t>
            </w:r>
          </w:p>
        </w:tc>
      </w:tr>
      <w:tr>
        <w:tc>
          <w:tcPr>
            <w:tcW w:type="dxa" w:w="2448"/>
          </w:tcPr>
          <w:p>
            <w:pPr>
              <w:spacing w:after="20"/>
            </w:pPr>
            <w:r>
              <w:rPr>
                <w:b/>
                <w:color w:val="1C3A36"/>
                <w:sz w:val="18"/>
              </w:rPr>
              <w:t>52-week range</w:t>
            </w:r>
          </w:p>
        </w:tc>
        <w:tc>
          <w:tcPr>
            <w:tcW w:type="dxa" w:w="7776"/>
          </w:tcPr>
          <w:p>
            <w:pPr>
              <w:spacing w:after="20"/>
              <w:jc w:val="right"/>
            </w:pPr>
            <w:r>
              <w:rPr>
                <w:color w:val="1C3A36"/>
                <w:sz w:val="18"/>
              </w:rPr>
              <w:t>EGP 1.90 – 3.36 (all-time high 4.84, 31-Jan-2024)</w:t>
            </w:r>
          </w:p>
        </w:tc>
      </w:tr>
      <w:tr>
        <w:tc>
          <w:tcPr>
            <w:tcW w:type="dxa" w:w="2448"/>
          </w:tcPr>
          <w:p>
            <w:pPr>
              <w:spacing w:after="20"/>
            </w:pPr>
            <w:r>
              <w:rPr>
                <w:b/>
                <w:color w:val="1C3A36"/>
                <w:sz w:val="18"/>
              </w:rPr>
              <w:t>Ownership</w:t>
            </w:r>
          </w:p>
        </w:tc>
        <w:tc>
          <w:tcPr>
            <w:tcW w:type="dxa" w:w="7776"/>
          </w:tcPr>
          <w:p>
            <w:pPr>
              <w:spacing w:after="20"/>
              <w:jc w:val="right"/>
            </w:pPr>
            <w:r>
              <w:rPr>
                <w:color w:val="1C3A36"/>
                <w:sz w:val="18"/>
              </w:rPr>
              <w:t>Gadwa-led related-party group 66.72% (5-Jul-26 disclosure: Gadwa 25.31% · Sumu 21.05% · Alhsn 19.86% · two minors) — down from 81.2% Mar-25 via block sales; free float ~33%</w:t>
            </w:r>
          </w:p>
        </w:tc>
      </w:tr>
      <w:tr>
        <w:tc>
          <w:tcPr>
            <w:tcW w:type="dxa" w:w="2448"/>
          </w:tcPr>
          <w:p>
            <w:pPr>
              <w:spacing w:after="20"/>
            </w:pPr>
            <w:r>
              <w:rPr>
                <w:b/>
                <w:color w:val="1C3A36"/>
                <w:sz w:val="18"/>
              </w:rPr>
              <w:t>Dividends</w:t>
            </w:r>
          </w:p>
        </w:tc>
        <w:tc>
          <w:tcPr>
            <w:tcW w:type="dxa" w:w="7776"/>
          </w:tcPr>
          <w:p>
            <w:pPr>
              <w:spacing w:after="20"/>
              <w:jc w:val="right"/>
            </w:pPr>
            <w:r>
              <w:rPr>
                <w:color w:val="1C3A36"/>
                <w:sz w:val="18"/>
              </w:rPr>
              <w:t>None in the disclosed record (FY23–FY25 confirmed carried forward; no earlier distribution found)</w:t>
            </w:r>
          </w:p>
        </w:tc>
      </w:tr>
      <w:tr>
        <w:tc>
          <w:tcPr>
            <w:tcW w:type="dxa" w:w="2448"/>
          </w:tcPr>
          <w:p>
            <w:pPr>
              <w:spacing w:after="20"/>
            </w:pPr>
            <w:r>
              <w:rPr>
                <w:b/>
                <w:color w:val="1C3A36"/>
                <w:sz w:val="18"/>
              </w:rPr>
              <w:t>Corporate events</w:t>
            </w:r>
          </w:p>
        </w:tc>
        <w:tc>
          <w:tcPr>
            <w:tcW w:type="dxa" w:w="7776"/>
          </w:tcPr>
          <w:p>
            <w:pPr>
              <w:spacing w:after="20"/>
              <w:jc w:val="right"/>
            </w:pPr>
            <w:r>
              <w:rPr>
                <w:color w:val="1C3A36"/>
                <w:sz w:val="18"/>
              </w:rPr>
              <w:t>Alhsn block sale 88 mn sh @ EGP 2.00 (1-Jul-26) · Mashareq partial reductions @ 2.21–2.33 (Feb-26, still holds ~0.8%) · H1-2026 results due ~mid-Aug-2026</w:t>
            </w:r>
          </w:p>
        </w:tc>
      </w:tr>
    </w:tbl>
    <w:p>
      <w:pPr>
        <w:spacing w:after="40"/>
      </w:pPr>
    </w:p>
    <w:p>
      <w:pPr>
        <w:spacing w:after="200" w:before="0"/>
      </w:pPr>
      <w:r>
        <w:rPr>
          <w:b w:val="0"/>
          <w:i/>
          <w:color w:val="6E7B77"/>
          <w:sz w:val="17"/>
        </w:rPr>
        <w:t>Source: bourse-disclosure reporting of the company’s EGX filings (FY23/FY24/FY25 and 1Q26), Mubasher company profile, ownership disclosures. Values rounded. Full sourcing in the companion Source Register.</w:t>
      </w:r>
    </w:p>
    <w:p>
      <w:pPr>
        <w:spacing w:after="120" w:before="280"/>
      </w:pPr>
      <w:r>
        <w:rPr>
          <w:b/>
          <w:i w:val="0"/>
          <w:color w:val="1C3A36"/>
          <w:sz w:val="30"/>
        </w:rPr>
        <w:t>1  Fundamental valuation</w:t>
      </w:r>
    </w:p>
    <w:p>
      <w:pPr>
        <w:spacing w:after="120" w:before="0"/>
      </w:pPr>
      <w:r>
        <w:rPr>
          <w:b w:val="0"/>
          <w:i w:val="0"/>
          <w:color w:val="1C3A36"/>
          <w:sz w:val="21"/>
        </w:rPr>
        <w:t>We value ELEC as a single operating company — a working-capital-intensive cable assembler whose economics are set by three things it does not control (copper, the pound, the interest-rate cycle) and two it partly does (collection of its receivables, and the margin it can defend once devaluation windfalls wash out). The primary lens is a free-cash-flow DCF built on a forward discount-rate schedule that follows the Egyptian easing cycle down — discounting every year at one flat crisis-era rate would assert that Egypt never normalises, which the central bank’s own published path contradicts. A relative read, a normalized mid-cycle read and a book-value read complete the set; the synthesis and football field are in §1.5, the drivers in §1.6, the crux in §1.7 and the sensitivity grids in §1.9.</w:t>
      </w:r>
    </w:p>
    <w:p>
      <w:pPr>
        <w:spacing w:after="80" w:before="200"/>
      </w:pPr>
      <w:r>
        <w:rPr>
          <w:b/>
          <w:i w:val="0"/>
          <w:color w:val="1C3A36"/>
          <w:sz w:val="24"/>
        </w:rPr>
        <w:t>1.1  The FCFF DCF — the primary lens, with the full waterfall</w:t>
      </w:r>
    </w:p>
    <w:p>
      <w:pPr>
        <w:spacing w:after="120" w:before="0"/>
      </w:pPr>
      <w:r>
        <w:rPr>
          <w:b w:val="0"/>
          <w:i w:val="0"/>
          <w:color w:val="1C3A36"/>
          <w:sz w:val="19"/>
        </w:rPr>
        <w:t>The build below shows every step from revenue to present value: EBITDA → D&amp;A → EBIT → NOPAT (EBIT × (1 − 22.5%)) → + D&amp;A → − capex → − Δ working capital → free cash flow to firm → that year’s own forward discount rate → PV. Note the discount-factor row: each year is discounted at its own forward WACC, gliding from 21.4% (this year’s money) to 15.0% (terminal money), with the glide shape taken from the same forward cost-of-debt path used in the interest forecast — one assumed easing calendar, used everywhere, never two. The terminal value is capitalised at the terminal WACC and discounted at the same year-5 cumulative factor as the year-5 cash flow: one date, one price of time.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440"/>
        <w:gridCol w:w="1440"/>
        <w:gridCol w:w="1440"/>
        <w:gridCol w:w="1440"/>
        <w:gridCol w:w="1440"/>
      </w:tblGrid>
      <w:tr>
        <w:tc>
          <w:tcPr>
            <w:tcW w:type="dxa" w:w="3024"/>
            <w:shd w:val="clear" w:color="auto" w:fill="EAF0EE"/>
          </w:tcPr>
          <w:p>
            <w:pPr>
              <w:spacing w:after="20"/>
            </w:pPr>
            <w:r>
              <w:rPr>
                <w:b/>
                <w:color w:val="1C3A36"/>
                <w:sz w:val="17"/>
              </w:rPr>
              <w:t>EGP mn</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Revenue</w:t>
            </w:r>
          </w:p>
        </w:tc>
        <w:tc>
          <w:tcPr>
            <w:tcW w:type="dxa" w:w="1440"/>
          </w:tcPr>
          <w:p>
            <w:pPr>
              <w:spacing w:after="20"/>
              <w:jc w:val="right"/>
            </w:pPr>
            <w:r>
              <w:rPr>
                <w:color w:val="1C3A36"/>
                <w:sz w:val="17"/>
              </w:rPr>
              <w:t>10,178</w:t>
            </w:r>
          </w:p>
        </w:tc>
        <w:tc>
          <w:tcPr>
            <w:tcW w:type="dxa" w:w="1440"/>
          </w:tcPr>
          <w:p>
            <w:pPr>
              <w:spacing w:after="20"/>
              <w:jc w:val="right"/>
            </w:pPr>
            <w:r>
              <w:rPr>
                <w:color w:val="1C3A36"/>
                <w:sz w:val="17"/>
              </w:rPr>
              <w:t>12,016</w:t>
            </w:r>
          </w:p>
        </w:tc>
        <w:tc>
          <w:tcPr>
            <w:tcW w:type="dxa" w:w="1440"/>
          </w:tcPr>
          <w:p>
            <w:pPr>
              <w:spacing w:after="20"/>
              <w:jc w:val="right"/>
            </w:pPr>
            <w:r>
              <w:rPr>
                <w:color w:val="1C3A36"/>
                <w:sz w:val="17"/>
              </w:rPr>
              <w:t>13,921</w:t>
            </w:r>
          </w:p>
        </w:tc>
        <w:tc>
          <w:tcPr>
            <w:tcW w:type="dxa" w:w="1440"/>
          </w:tcPr>
          <w:p>
            <w:pPr>
              <w:spacing w:after="20"/>
              <w:jc w:val="right"/>
            </w:pPr>
            <w:r>
              <w:rPr>
                <w:color w:val="1C3A36"/>
                <w:sz w:val="17"/>
              </w:rPr>
              <w:t>15,806</w:t>
            </w:r>
          </w:p>
        </w:tc>
        <w:tc>
          <w:tcPr>
            <w:tcW w:type="dxa" w:w="1440"/>
          </w:tcPr>
          <w:p>
            <w:pPr>
              <w:spacing w:after="20"/>
              <w:jc w:val="right"/>
            </w:pPr>
            <w:r>
              <w:rPr>
                <w:color w:val="1C3A36"/>
                <w:sz w:val="17"/>
              </w:rPr>
              <w:t>17,554</w:t>
            </w:r>
          </w:p>
        </w:tc>
      </w:tr>
      <w:tr>
        <w:tc>
          <w:tcPr>
            <w:tcW w:type="dxa" w:w="3024"/>
          </w:tcPr>
          <w:p>
            <w:pPr>
              <w:spacing w:after="20"/>
            </w:pPr>
            <w:r>
              <w:rPr>
                <w:b/>
                <w:color w:val="1C3A36"/>
                <w:sz w:val="17"/>
              </w:rPr>
              <w:t>EBITDA</w:t>
            </w:r>
          </w:p>
        </w:tc>
        <w:tc>
          <w:tcPr>
            <w:tcW w:type="dxa" w:w="1440"/>
          </w:tcPr>
          <w:p>
            <w:pPr>
              <w:spacing w:after="20"/>
              <w:jc w:val="right"/>
            </w:pPr>
            <w:r>
              <w:rPr>
                <w:color w:val="1C3A36"/>
                <w:sz w:val="17"/>
              </w:rPr>
              <w:t>416</w:t>
            </w:r>
          </w:p>
        </w:tc>
        <w:tc>
          <w:tcPr>
            <w:tcW w:type="dxa" w:w="1440"/>
          </w:tcPr>
          <w:p>
            <w:pPr>
              <w:spacing w:after="20"/>
              <w:jc w:val="right"/>
            </w:pPr>
            <w:r>
              <w:rPr>
                <w:color w:val="1C3A36"/>
                <w:sz w:val="17"/>
              </w:rPr>
              <w:t>1,071</w:t>
            </w:r>
          </w:p>
        </w:tc>
        <w:tc>
          <w:tcPr>
            <w:tcW w:type="dxa" w:w="1440"/>
          </w:tcPr>
          <w:p>
            <w:pPr>
              <w:spacing w:after="20"/>
              <w:jc w:val="right"/>
            </w:pPr>
            <w:r>
              <w:rPr>
                <w:color w:val="1C3A36"/>
                <w:sz w:val="17"/>
              </w:rPr>
              <w:t>1,541</w:t>
            </w:r>
          </w:p>
        </w:tc>
        <w:tc>
          <w:tcPr>
            <w:tcW w:type="dxa" w:w="1440"/>
          </w:tcPr>
          <w:p>
            <w:pPr>
              <w:spacing w:after="20"/>
              <w:jc w:val="right"/>
            </w:pPr>
            <w:r>
              <w:rPr>
                <w:color w:val="1C3A36"/>
                <w:sz w:val="17"/>
              </w:rPr>
              <w:t>1,894</w:t>
            </w:r>
          </w:p>
        </w:tc>
        <w:tc>
          <w:tcPr>
            <w:tcW w:type="dxa" w:w="1440"/>
          </w:tcPr>
          <w:p>
            <w:pPr>
              <w:spacing w:after="20"/>
              <w:jc w:val="right"/>
            </w:pPr>
            <w:r>
              <w:rPr>
                <w:color w:val="1C3A36"/>
                <w:sz w:val="17"/>
              </w:rPr>
              <w:t>2,160</w:t>
            </w:r>
          </w:p>
        </w:tc>
      </w:tr>
      <w:tr>
        <w:tc>
          <w:tcPr>
            <w:tcW w:type="dxa" w:w="3024"/>
          </w:tcPr>
          <w:p>
            <w:pPr>
              <w:spacing w:after="20"/>
            </w:pPr>
            <w:r>
              <w:rPr>
                <w:b/>
                <w:color w:val="1C3A36"/>
                <w:sz w:val="17"/>
              </w:rPr>
              <w:t>− D&amp;A</w:t>
            </w:r>
          </w:p>
        </w:tc>
        <w:tc>
          <w:tcPr>
            <w:tcW w:type="dxa" w:w="1440"/>
          </w:tcPr>
          <w:p>
            <w:pPr>
              <w:spacing w:after="20"/>
              <w:jc w:val="right"/>
            </w:pPr>
            <w:r>
              <w:rPr>
                <w:color w:val="1C3A36"/>
                <w:sz w:val="17"/>
              </w:rPr>
              <w:t>(132)</w:t>
            </w:r>
          </w:p>
        </w:tc>
        <w:tc>
          <w:tcPr>
            <w:tcW w:type="dxa" w:w="1440"/>
          </w:tcPr>
          <w:p>
            <w:pPr>
              <w:spacing w:after="20"/>
              <w:jc w:val="right"/>
            </w:pPr>
            <w:r>
              <w:rPr>
                <w:color w:val="1C3A36"/>
                <w:sz w:val="17"/>
              </w:rPr>
              <w:t>(156)</w:t>
            </w:r>
          </w:p>
        </w:tc>
        <w:tc>
          <w:tcPr>
            <w:tcW w:type="dxa" w:w="1440"/>
          </w:tcPr>
          <w:p>
            <w:pPr>
              <w:spacing w:after="20"/>
              <w:jc w:val="right"/>
            </w:pPr>
            <w:r>
              <w:rPr>
                <w:color w:val="1C3A36"/>
                <w:sz w:val="17"/>
              </w:rPr>
              <w:t>(181)</w:t>
            </w:r>
          </w:p>
        </w:tc>
        <w:tc>
          <w:tcPr>
            <w:tcW w:type="dxa" w:w="1440"/>
          </w:tcPr>
          <w:p>
            <w:pPr>
              <w:spacing w:after="20"/>
              <w:jc w:val="right"/>
            </w:pPr>
            <w:r>
              <w:rPr>
                <w:color w:val="1C3A36"/>
                <w:sz w:val="17"/>
              </w:rPr>
              <w:t>(205)</w:t>
            </w:r>
          </w:p>
        </w:tc>
        <w:tc>
          <w:tcPr>
            <w:tcW w:type="dxa" w:w="1440"/>
          </w:tcPr>
          <w:p>
            <w:pPr>
              <w:spacing w:after="20"/>
              <w:jc w:val="right"/>
            </w:pPr>
            <w:r>
              <w:rPr>
                <w:color w:val="1C3A36"/>
                <w:sz w:val="17"/>
              </w:rPr>
              <w:t>(228)</w:t>
            </w:r>
          </w:p>
        </w:tc>
      </w:tr>
      <w:tr>
        <w:tc>
          <w:tcPr>
            <w:tcW w:type="dxa" w:w="3024"/>
          </w:tcPr>
          <w:p>
            <w:pPr>
              <w:spacing w:after="20"/>
            </w:pPr>
            <w:r>
              <w:rPr>
                <w:b/>
                <w:color w:val="1C3A36"/>
                <w:sz w:val="17"/>
              </w:rPr>
              <w:t>EBIT</w:t>
            </w:r>
          </w:p>
        </w:tc>
        <w:tc>
          <w:tcPr>
            <w:tcW w:type="dxa" w:w="1440"/>
          </w:tcPr>
          <w:p>
            <w:pPr>
              <w:spacing w:after="20"/>
              <w:jc w:val="right"/>
            </w:pPr>
            <w:r>
              <w:rPr>
                <w:color w:val="1C3A36"/>
                <w:sz w:val="17"/>
              </w:rPr>
              <w:t>284</w:t>
            </w:r>
          </w:p>
        </w:tc>
        <w:tc>
          <w:tcPr>
            <w:tcW w:type="dxa" w:w="1440"/>
          </w:tcPr>
          <w:p>
            <w:pPr>
              <w:spacing w:after="20"/>
              <w:jc w:val="right"/>
            </w:pPr>
            <w:r>
              <w:rPr>
                <w:color w:val="1C3A36"/>
                <w:sz w:val="17"/>
              </w:rPr>
              <w:t>915</w:t>
            </w:r>
          </w:p>
        </w:tc>
        <w:tc>
          <w:tcPr>
            <w:tcW w:type="dxa" w:w="1440"/>
          </w:tcPr>
          <w:p>
            <w:pPr>
              <w:spacing w:after="20"/>
              <w:jc w:val="right"/>
            </w:pPr>
            <w:r>
              <w:rPr>
                <w:color w:val="1C3A36"/>
                <w:sz w:val="17"/>
              </w:rPr>
              <w:t>1,360</w:t>
            </w:r>
          </w:p>
        </w:tc>
        <w:tc>
          <w:tcPr>
            <w:tcW w:type="dxa" w:w="1440"/>
          </w:tcPr>
          <w:p>
            <w:pPr>
              <w:spacing w:after="20"/>
              <w:jc w:val="right"/>
            </w:pPr>
            <w:r>
              <w:rPr>
                <w:color w:val="1C3A36"/>
                <w:sz w:val="17"/>
              </w:rPr>
              <w:t>1,689</w:t>
            </w:r>
          </w:p>
        </w:tc>
        <w:tc>
          <w:tcPr>
            <w:tcW w:type="dxa" w:w="1440"/>
          </w:tcPr>
          <w:p>
            <w:pPr>
              <w:spacing w:after="20"/>
              <w:jc w:val="right"/>
            </w:pPr>
            <w:r>
              <w:rPr>
                <w:color w:val="1C3A36"/>
                <w:sz w:val="17"/>
              </w:rPr>
              <w:t>1,932</w:t>
            </w:r>
          </w:p>
        </w:tc>
      </w:tr>
      <w:tr>
        <w:tc>
          <w:tcPr>
            <w:tcW w:type="dxa" w:w="3024"/>
          </w:tcPr>
          <w:p>
            <w:pPr>
              <w:spacing w:after="20"/>
            </w:pPr>
            <w:r>
              <w:rPr>
                <w:b/>
                <w:color w:val="1C3A36"/>
                <w:sz w:val="17"/>
              </w:rPr>
              <w:t>NOPAT (EBIT × (1−t 22.5%))</w:t>
            </w:r>
          </w:p>
        </w:tc>
        <w:tc>
          <w:tcPr>
            <w:tcW w:type="dxa" w:w="1440"/>
          </w:tcPr>
          <w:p>
            <w:pPr>
              <w:spacing w:after="20"/>
              <w:jc w:val="right"/>
            </w:pPr>
            <w:r>
              <w:rPr>
                <w:color w:val="1C3A36"/>
                <w:sz w:val="17"/>
              </w:rPr>
              <w:t>220</w:t>
            </w:r>
          </w:p>
        </w:tc>
        <w:tc>
          <w:tcPr>
            <w:tcW w:type="dxa" w:w="1440"/>
          </w:tcPr>
          <w:p>
            <w:pPr>
              <w:spacing w:after="20"/>
              <w:jc w:val="right"/>
            </w:pPr>
            <w:r>
              <w:rPr>
                <w:color w:val="1C3A36"/>
                <w:sz w:val="17"/>
              </w:rPr>
              <w:t>709</w:t>
            </w:r>
          </w:p>
        </w:tc>
        <w:tc>
          <w:tcPr>
            <w:tcW w:type="dxa" w:w="1440"/>
          </w:tcPr>
          <w:p>
            <w:pPr>
              <w:spacing w:after="20"/>
              <w:jc w:val="right"/>
            </w:pPr>
            <w:r>
              <w:rPr>
                <w:color w:val="1C3A36"/>
                <w:sz w:val="17"/>
              </w:rPr>
              <w:t>1,054</w:t>
            </w:r>
          </w:p>
        </w:tc>
        <w:tc>
          <w:tcPr>
            <w:tcW w:type="dxa" w:w="1440"/>
          </w:tcPr>
          <w:p>
            <w:pPr>
              <w:spacing w:after="20"/>
              <w:jc w:val="right"/>
            </w:pPr>
            <w:r>
              <w:rPr>
                <w:color w:val="1C3A36"/>
                <w:sz w:val="17"/>
              </w:rPr>
              <w:t>1,309</w:t>
            </w:r>
          </w:p>
        </w:tc>
        <w:tc>
          <w:tcPr>
            <w:tcW w:type="dxa" w:w="1440"/>
          </w:tcPr>
          <w:p>
            <w:pPr>
              <w:spacing w:after="20"/>
              <w:jc w:val="right"/>
            </w:pPr>
            <w:r>
              <w:rPr>
                <w:color w:val="1C3A36"/>
                <w:sz w:val="17"/>
              </w:rPr>
              <w:t>1,497</w:t>
            </w:r>
          </w:p>
        </w:tc>
      </w:tr>
      <w:tr>
        <w:tc>
          <w:tcPr>
            <w:tcW w:type="dxa" w:w="3024"/>
          </w:tcPr>
          <w:p>
            <w:pPr>
              <w:spacing w:after="20"/>
            </w:pPr>
            <w:r>
              <w:rPr>
                <w:b/>
                <w:color w:val="1C3A36"/>
                <w:sz w:val="17"/>
              </w:rPr>
              <w:t>+ D&amp;A</w:t>
            </w:r>
          </w:p>
        </w:tc>
        <w:tc>
          <w:tcPr>
            <w:tcW w:type="dxa" w:w="1440"/>
          </w:tcPr>
          <w:p>
            <w:pPr>
              <w:spacing w:after="20"/>
              <w:jc w:val="right"/>
            </w:pPr>
            <w:r>
              <w:rPr>
                <w:color w:val="1C3A36"/>
                <w:sz w:val="17"/>
              </w:rPr>
              <w:t>132</w:t>
            </w:r>
          </w:p>
        </w:tc>
        <w:tc>
          <w:tcPr>
            <w:tcW w:type="dxa" w:w="1440"/>
          </w:tcPr>
          <w:p>
            <w:pPr>
              <w:spacing w:after="20"/>
              <w:jc w:val="right"/>
            </w:pPr>
            <w:r>
              <w:rPr>
                <w:color w:val="1C3A36"/>
                <w:sz w:val="17"/>
              </w:rPr>
              <w:t>156</w:t>
            </w:r>
          </w:p>
        </w:tc>
        <w:tc>
          <w:tcPr>
            <w:tcW w:type="dxa" w:w="1440"/>
          </w:tcPr>
          <w:p>
            <w:pPr>
              <w:spacing w:after="20"/>
              <w:jc w:val="right"/>
            </w:pPr>
            <w:r>
              <w:rPr>
                <w:color w:val="1C3A36"/>
                <w:sz w:val="17"/>
              </w:rPr>
              <w:t>181</w:t>
            </w:r>
          </w:p>
        </w:tc>
        <w:tc>
          <w:tcPr>
            <w:tcW w:type="dxa" w:w="1440"/>
          </w:tcPr>
          <w:p>
            <w:pPr>
              <w:spacing w:after="20"/>
              <w:jc w:val="right"/>
            </w:pPr>
            <w:r>
              <w:rPr>
                <w:color w:val="1C3A36"/>
                <w:sz w:val="17"/>
              </w:rPr>
              <w:t>205</w:t>
            </w:r>
          </w:p>
        </w:tc>
        <w:tc>
          <w:tcPr>
            <w:tcW w:type="dxa" w:w="1440"/>
          </w:tcPr>
          <w:p>
            <w:pPr>
              <w:spacing w:after="20"/>
              <w:jc w:val="right"/>
            </w:pPr>
            <w:r>
              <w:rPr>
                <w:color w:val="1C3A36"/>
                <w:sz w:val="17"/>
              </w:rPr>
              <w:t>228</w:t>
            </w:r>
          </w:p>
        </w:tc>
      </w:tr>
      <w:tr>
        <w:tc>
          <w:tcPr>
            <w:tcW w:type="dxa" w:w="3024"/>
          </w:tcPr>
          <w:p>
            <w:pPr>
              <w:spacing w:after="20"/>
            </w:pPr>
            <w:r>
              <w:rPr>
                <w:b/>
                <w:color w:val="1C3A36"/>
                <w:sz w:val="17"/>
              </w:rPr>
              <w:t>− Capex</w:t>
            </w:r>
          </w:p>
        </w:tc>
        <w:tc>
          <w:tcPr>
            <w:tcW w:type="dxa" w:w="1440"/>
          </w:tcPr>
          <w:p>
            <w:pPr>
              <w:spacing w:after="20"/>
              <w:jc w:val="right"/>
            </w:pPr>
            <w:r>
              <w:rPr>
                <w:color w:val="1C3A36"/>
                <w:sz w:val="17"/>
              </w:rPr>
              <w:t>(225)</w:t>
            </w:r>
          </w:p>
        </w:tc>
        <w:tc>
          <w:tcPr>
            <w:tcW w:type="dxa" w:w="1440"/>
          </w:tcPr>
          <w:p>
            <w:pPr>
              <w:spacing w:after="20"/>
              <w:jc w:val="right"/>
            </w:pPr>
            <w:r>
              <w:rPr>
                <w:color w:val="1C3A36"/>
                <w:sz w:val="17"/>
              </w:rPr>
              <w:t>(243)</w:t>
            </w:r>
          </w:p>
        </w:tc>
        <w:tc>
          <w:tcPr>
            <w:tcW w:type="dxa" w:w="1440"/>
          </w:tcPr>
          <w:p>
            <w:pPr>
              <w:spacing w:after="20"/>
              <w:jc w:val="right"/>
            </w:pPr>
            <w:r>
              <w:rPr>
                <w:color w:val="1C3A36"/>
                <w:sz w:val="17"/>
              </w:rPr>
              <w:t>(262)</w:t>
            </w:r>
          </w:p>
        </w:tc>
        <w:tc>
          <w:tcPr>
            <w:tcW w:type="dxa" w:w="1440"/>
          </w:tcPr>
          <w:p>
            <w:pPr>
              <w:spacing w:after="20"/>
              <w:jc w:val="right"/>
            </w:pPr>
            <w:r>
              <w:rPr>
                <w:color w:val="1C3A36"/>
                <w:sz w:val="17"/>
              </w:rPr>
              <w:t>(283)</w:t>
            </w:r>
          </w:p>
        </w:tc>
        <w:tc>
          <w:tcPr>
            <w:tcW w:type="dxa" w:w="1440"/>
          </w:tcPr>
          <w:p>
            <w:pPr>
              <w:spacing w:after="20"/>
              <w:jc w:val="right"/>
            </w:pPr>
            <w:r>
              <w:rPr>
                <w:color w:val="1C3A36"/>
                <w:sz w:val="17"/>
              </w:rPr>
              <w:t>(306)</w:t>
            </w:r>
          </w:p>
        </w:tc>
      </w:tr>
      <w:tr>
        <w:tc>
          <w:tcPr>
            <w:tcW w:type="dxa" w:w="3024"/>
          </w:tcPr>
          <w:p>
            <w:pPr>
              <w:spacing w:after="20"/>
            </w:pPr>
            <w:r>
              <w:rPr>
                <w:b/>
                <w:color w:val="1C3A36"/>
                <w:sz w:val="17"/>
              </w:rPr>
              <w:t>− Δ working capital</w:t>
            </w:r>
          </w:p>
        </w:tc>
        <w:tc>
          <w:tcPr>
            <w:tcW w:type="dxa" w:w="1440"/>
          </w:tcPr>
          <w:p>
            <w:pPr>
              <w:spacing w:after="20"/>
              <w:jc w:val="right"/>
            </w:pPr>
            <w:r>
              <w:rPr>
                <w:color w:val="1C3A36"/>
                <w:sz w:val="17"/>
              </w:rPr>
              <w:t>845</w:t>
            </w:r>
          </w:p>
        </w:tc>
        <w:tc>
          <w:tcPr>
            <w:tcW w:type="dxa" w:w="1440"/>
          </w:tcPr>
          <w:p>
            <w:pPr>
              <w:spacing w:after="20"/>
              <w:jc w:val="right"/>
            </w:pPr>
            <w:r>
              <w:rPr>
                <w:color w:val="1C3A36"/>
                <w:sz w:val="17"/>
              </w:rPr>
              <w:t>(1,337)</w:t>
            </w:r>
          </w:p>
        </w:tc>
        <w:tc>
          <w:tcPr>
            <w:tcW w:type="dxa" w:w="1440"/>
          </w:tcPr>
          <w:p>
            <w:pPr>
              <w:spacing w:after="20"/>
              <w:jc w:val="right"/>
            </w:pPr>
            <w:r>
              <w:rPr>
                <w:color w:val="1C3A36"/>
                <w:sz w:val="17"/>
              </w:rPr>
              <w:t>(1,184)</w:t>
            </w:r>
          </w:p>
        </w:tc>
        <w:tc>
          <w:tcPr>
            <w:tcW w:type="dxa" w:w="1440"/>
          </w:tcPr>
          <w:p>
            <w:pPr>
              <w:spacing w:after="20"/>
              <w:jc w:val="right"/>
            </w:pPr>
            <w:r>
              <w:rPr>
                <w:color w:val="1C3A36"/>
                <w:sz w:val="17"/>
              </w:rPr>
              <w:t>(937)</w:t>
            </w:r>
          </w:p>
        </w:tc>
        <w:tc>
          <w:tcPr>
            <w:tcW w:type="dxa" w:w="1440"/>
          </w:tcPr>
          <w:p>
            <w:pPr>
              <w:spacing w:after="20"/>
              <w:jc w:val="right"/>
            </w:pPr>
            <w:r>
              <w:rPr>
                <w:color w:val="1C3A36"/>
                <w:sz w:val="17"/>
              </w:rPr>
              <w:t>(590)</w:t>
            </w:r>
          </w:p>
        </w:tc>
      </w:tr>
      <w:tr>
        <w:tc>
          <w:tcPr>
            <w:tcW w:type="dxa" w:w="3024"/>
          </w:tcPr>
          <w:p>
            <w:pPr>
              <w:spacing w:after="20"/>
            </w:pPr>
            <w:r>
              <w:rPr>
                <w:b/>
                <w:color w:val="1C3A36"/>
                <w:sz w:val="17"/>
              </w:rPr>
              <w:t>Free cash flow to firm</w:t>
            </w:r>
          </w:p>
        </w:tc>
        <w:tc>
          <w:tcPr>
            <w:tcW w:type="dxa" w:w="1440"/>
          </w:tcPr>
          <w:p>
            <w:pPr>
              <w:spacing w:after="20"/>
              <w:jc w:val="right"/>
            </w:pPr>
            <w:r>
              <w:rPr>
                <w:color w:val="1C3A36"/>
                <w:sz w:val="17"/>
              </w:rPr>
              <w:t>973</w:t>
            </w:r>
          </w:p>
        </w:tc>
        <w:tc>
          <w:tcPr>
            <w:tcW w:type="dxa" w:w="1440"/>
          </w:tcPr>
          <w:p>
            <w:pPr>
              <w:spacing w:after="20"/>
              <w:jc w:val="right"/>
            </w:pPr>
            <w:r>
              <w:rPr>
                <w:color w:val="1C3A36"/>
                <w:sz w:val="17"/>
              </w:rPr>
              <w:t>-715</w:t>
            </w:r>
          </w:p>
        </w:tc>
        <w:tc>
          <w:tcPr>
            <w:tcW w:type="dxa" w:w="1440"/>
          </w:tcPr>
          <w:p>
            <w:pPr>
              <w:spacing w:after="20"/>
              <w:jc w:val="right"/>
            </w:pPr>
            <w:r>
              <w:rPr>
                <w:color w:val="1C3A36"/>
                <w:sz w:val="17"/>
              </w:rPr>
              <w:t>-211</w:t>
            </w:r>
          </w:p>
        </w:tc>
        <w:tc>
          <w:tcPr>
            <w:tcW w:type="dxa" w:w="1440"/>
          </w:tcPr>
          <w:p>
            <w:pPr>
              <w:spacing w:after="20"/>
              <w:jc w:val="right"/>
            </w:pPr>
            <w:r>
              <w:rPr>
                <w:color w:val="1C3A36"/>
                <w:sz w:val="17"/>
              </w:rPr>
              <w:t>294</w:t>
            </w:r>
          </w:p>
        </w:tc>
        <w:tc>
          <w:tcPr>
            <w:tcW w:type="dxa" w:w="1440"/>
          </w:tcPr>
          <w:p>
            <w:pPr>
              <w:spacing w:after="20"/>
              <w:jc w:val="right"/>
            </w:pPr>
            <w:r>
              <w:rPr>
                <w:color w:val="1C3A36"/>
                <w:sz w:val="17"/>
              </w:rPr>
              <w:t>830</w:t>
            </w:r>
          </w:p>
        </w:tc>
      </w:tr>
      <w:tr>
        <w:tc>
          <w:tcPr>
            <w:tcW w:type="dxa" w:w="3024"/>
          </w:tcPr>
          <w:p>
            <w:pPr>
              <w:spacing w:after="20"/>
            </w:pPr>
            <w:r>
              <w:rPr>
                <w:b/>
                <w:color w:val="1C3A36"/>
                <w:sz w:val="17"/>
              </w:rPr>
              <w:t>Forward WACC (that year)</w:t>
            </w:r>
          </w:p>
        </w:tc>
        <w:tc>
          <w:tcPr>
            <w:tcW w:type="dxa" w:w="1440"/>
          </w:tcPr>
          <w:p>
            <w:pPr>
              <w:spacing w:after="20"/>
              <w:jc w:val="right"/>
            </w:pPr>
            <w:r>
              <w:rPr>
                <w:color w:val="1C3A36"/>
                <w:sz w:val="17"/>
              </w:rPr>
              <w:t>21.4%</w:t>
            </w:r>
          </w:p>
        </w:tc>
        <w:tc>
          <w:tcPr>
            <w:tcW w:type="dxa" w:w="1440"/>
          </w:tcPr>
          <w:p>
            <w:pPr>
              <w:spacing w:after="20"/>
              <w:jc w:val="right"/>
            </w:pPr>
            <w:r>
              <w:rPr>
                <w:color w:val="1C3A36"/>
                <w:sz w:val="17"/>
              </w:rPr>
              <w:t>19.4%</w:t>
            </w:r>
          </w:p>
        </w:tc>
        <w:tc>
          <w:tcPr>
            <w:tcW w:type="dxa" w:w="1440"/>
          </w:tcPr>
          <w:p>
            <w:pPr>
              <w:spacing w:after="20"/>
              <w:jc w:val="right"/>
            </w:pPr>
            <w:r>
              <w:rPr>
                <w:color w:val="1C3A36"/>
                <w:sz w:val="17"/>
              </w:rPr>
              <w:t>17.9%</w:t>
            </w:r>
          </w:p>
        </w:tc>
        <w:tc>
          <w:tcPr>
            <w:tcW w:type="dxa" w:w="1440"/>
          </w:tcPr>
          <w:p>
            <w:pPr>
              <w:spacing w:after="20"/>
              <w:jc w:val="right"/>
            </w:pPr>
            <w:r>
              <w:rPr>
                <w:color w:val="1C3A36"/>
                <w:sz w:val="17"/>
              </w:rPr>
              <w:t>16.3%</w:t>
            </w:r>
          </w:p>
        </w:tc>
        <w:tc>
          <w:tcPr>
            <w:tcW w:type="dxa" w:w="1440"/>
          </w:tcPr>
          <w:p>
            <w:pPr>
              <w:spacing w:after="20"/>
              <w:jc w:val="right"/>
            </w:pPr>
            <w:r>
              <w:rPr>
                <w:color w:val="1C3A36"/>
                <w:sz w:val="17"/>
              </w:rPr>
              <w:t>15.0%</w:t>
            </w:r>
          </w:p>
        </w:tc>
      </w:tr>
      <w:tr>
        <w:tc>
          <w:tcPr>
            <w:tcW w:type="dxa" w:w="3024"/>
          </w:tcPr>
          <w:p>
            <w:pPr>
              <w:spacing w:after="20"/>
            </w:pPr>
            <w:r>
              <w:rPr>
                <w:b/>
                <w:color w:val="1C3A36"/>
                <w:sz w:val="17"/>
              </w:rPr>
              <w:t>Discount factor (cumulative)</w:t>
            </w:r>
          </w:p>
        </w:tc>
        <w:tc>
          <w:tcPr>
            <w:tcW w:type="dxa" w:w="1440"/>
          </w:tcPr>
          <w:p>
            <w:pPr>
              <w:spacing w:after="20"/>
              <w:jc w:val="right"/>
            </w:pPr>
            <w:r>
              <w:rPr>
                <w:color w:val="1C3A36"/>
                <w:sz w:val="17"/>
              </w:rPr>
              <w:t>0.824</w:t>
            </w:r>
          </w:p>
        </w:tc>
        <w:tc>
          <w:tcPr>
            <w:tcW w:type="dxa" w:w="1440"/>
          </w:tcPr>
          <w:p>
            <w:pPr>
              <w:spacing w:after="20"/>
              <w:jc w:val="right"/>
            </w:pPr>
            <w:r>
              <w:rPr>
                <w:color w:val="1C3A36"/>
                <w:sz w:val="17"/>
              </w:rPr>
              <w:t>0.690</w:t>
            </w:r>
          </w:p>
        </w:tc>
        <w:tc>
          <w:tcPr>
            <w:tcW w:type="dxa" w:w="1440"/>
          </w:tcPr>
          <w:p>
            <w:pPr>
              <w:spacing w:after="20"/>
              <w:jc w:val="right"/>
            </w:pPr>
            <w:r>
              <w:rPr>
                <w:color w:val="1C3A36"/>
                <w:sz w:val="17"/>
              </w:rPr>
              <w:t>0.585</w:t>
            </w:r>
          </w:p>
        </w:tc>
        <w:tc>
          <w:tcPr>
            <w:tcW w:type="dxa" w:w="1440"/>
          </w:tcPr>
          <w:p>
            <w:pPr>
              <w:spacing w:after="20"/>
              <w:jc w:val="right"/>
            </w:pPr>
            <w:r>
              <w:rPr>
                <w:color w:val="1C3A36"/>
                <w:sz w:val="17"/>
              </w:rPr>
              <w:t>0.503</w:t>
            </w:r>
          </w:p>
        </w:tc>
        <w:tc>
          <w:tcPr>
            <w:tcW w:type="dxa" w:w="1440"/>
          </w:tcPr>
          <w:p>
            <w:pPr>
              <w:spacing w:after="20"/>
              <w:jc w:val="right"/>
            </w:pPr>
            <w:r>
              <w:rPr>
                <w:color w:val="1C3A36"/>
                <w:sz w:val="17"/>
              </w:rPr>
              <w:t>0.437</w:t>
            </w:r>
          </w:p>
        </w:tc>
      </w:tr>
      <w:tr>
        <w:tc>
          <w:tcPr>
            <w:tcW w:type="dxa" w:w="3024"/>
          </w:tcPr>
          <w:p>
            <w:pPr>
              <w:spacing w:after="20"/>
            </w:pPr>
            <w:r>
              <w:rPr>
                <w:b/>
                <w:color w:val="1C3A36"/>
                <w:sz w:val="17"/>
              </w:rPr>
              <w:t>PV of FCFF</w:t>
            </w:r>
          </w:p>
        </w:tc>
        <w:tc>
          <w:tcPr>
            <w:tcW w:type="dxa" w:w="1440"/>
          </w:tcPr>
          <w:p>
            <w:pPr>
              <w:spacing w:after="20"/>
              <w:jc w:val="right"/>
            </w:pPr>
            <w:r>
              <w:rPr>
                <w:color w:val="1C3A36"/>
                <w:sz w:val="17"/>
              </w:rPr>
              <w:t>801</w:t>
            </w:r>
          </w:p>
        </w:tc>
        <w:tc>
          <w:tcPr>
            <w:tcW w:type="dxa" w:w="1440"/>
          </w:tcPr>
          <w:p>
            <w:pPr>
              <w:spacing w:after="20"/>
              <w:jc w:val="right"/>
            </w:pPr>
            <w:r>
              <w:rPr>
                <w:color w:val="1C3A36"/>
                <w:sz w:val="17"/>
              </w:rPr>
              <w:t>-493</w:t>
            </w:r>
          </w:p>
        </w:tc>
        <w:tc>
          <w:tcPr>
            <w:tcW w:type="dxa" w:w="1440"/>
          </w:tcPr>
          <w:p>
            <w:pPr>
              <w:spacing w:after="20"/>
              <w:jc w:val="right"/>
            </w:pPr>
            <w:r>
              <w:rPr>
                <w:color w:val="1C3A36"/>
                <w:sz w:val="17"/>
              </w:rPr>
              <w:t>-123</w:t>
            </w:r>
          </w:p>
        </w:tc>
        <w:tc>
          <w:tcPr>
            <w:tcW w:type="dxa" w:w="1440"/>
          </w:tcPr>
          <w:p>
            <w:pPr>
              <w:spacing w:after="20"/>
              <w:jc w:val="right"/>
            </w:pPr>
            <w:r>
              <w:rPr>
                <w:color w:val="1C3A36"/>
                <w:sz w:val="17"/>
              </w:rPr>
              <w:t>148</w:t>
            </w:r>
          </w:p>
        </w:tc>
        <w:tc>
          <w:tcPr>
            <w:tcW w:type="dxa" w:w="1440"/>
          </w:tcPr>
          <w:p>
            <w:pPr>
              <w:spacing w:after="20"/>
              <w:jc w:val="right"/>
            </w:pPr>
            <w:r>
              <w:rPr>
                <w:color w:val="1C3A36"/>
                <w:sz w:val="17"/>
              </w:rPr>
              <w:t>363</w:t>
            </w:r>
          </w:p>
        </w:tc>
      </w:tr>
    </w:tbl>
    <w:p>
      <w:pPr>
        <w:spacing w:after="40"/>
      </w:pPr>
    </w:p>
    <w:p>
      <w:pPr>
        <w:spacing w:after="200" w:before="0"/>
      </w:pPr>
      <w:r>
        <w:rPr>
          <w:b w:val="0"/>
          <w:i/>
          <w:color w:val="6E7B77"/>
          <w:sz w:val="17"/>
        </w:rPr>
        <w:t>Δ working capital shown as (build) / release. FY26E’s large positive cash flow is a one-off working-capital release as revenue contracts — it is collection of the past, not earning power.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0"/>
        <w:gridCol w:w="2304"/>
      </w:tblGrid>
      <w:tr>
        <w:tc>
          <w:tcPr>
            <w:tcW w:type="dxa" w:w="5760"/>
            <w:shd w:val="clear" w:color="auto" w:fill="EAF0EE"/>
          </w:tcPr>
          <w:p>
            <w:pPr>
              <w:spacing w:after="20"/>
            </w:pPr>
            <w:r>
              <w:rPr>
                <w:b/>
                <w:color w:val="1C3A36"/>
                <w:sz w:val="18"/>
              </w:rPr>
              <w:t>DCF bridge</w:t>
            </w:r>
          </w:p>
        </w:tc>
        <w:tc>
          <w:tcPr>
            <w:tcW w:type="dxa" w:w="2304"/>
            <w:shd w:val="clear" w:color="auto" w:fill="EAF0EE"/>
          </w:tcPr>
          <w:p>
            <w:pPr>
              <w:spacing w:after="20"/>
            </w:pPr>
            <w:r>
              <w:rPr>
                <w:b/>
                <w:color w:val="1C3A36"/>
                <w:sz w:val="18"/>
              </w:rPr>
              <w:t>EGP mn</w:t>
            </w:r>
          </w:p>
        </w:tc>
      </w:tr>
      <w:tr>
        <w:tc>
          <w:tcPr>
            <w:tcW w:type="dxa" w:w="5760"/>
          </w:tcPr>
          <w:p>
            <w:pPr>
              <w:spacing w:after="20"/>
            </w:pPr>
            <w:r>
              <w:rPr>
                <w:b/>
                <w:color w:val="1C3A36"/>
                <w:sz w:val="18"/>
              </w:rPr>
              <w:t>Σ PV of explicit FCFF (FY26–30E)</w:t>
            </w:r>
          </w:p>
        </w:tc>
        <w:tc>
          <w:tcPr>
            <w:tcW w:type="dxa" w:w="2304"/>
          </w:tcPr>
          <w:p>
            <w:pPr>
              <w:spacing w:after="20"/>
              <w:jc w:val="right"/>
            </w:pPr>
            <w:r>
              <w:rPr>
                <w:color w:val="1C3A36"/>
                <w:sz w:val="18"/>
              </w:rPr>
              <w:t>696</w:t>
            </w:r>
          </w:p>
        </w:tc>
      </w:tr>
      <w:tr>
        <w:tc>
          <w:tcPr>
            <w:tcW w:type="dxa" w:w="5760"/>
          </w:tcPr>
          <w:p>
            <w:pPr>
              <w:spacing w:after="20"/>
            </w:pPr>
            <w:r>
              <w:rPr>
                <w:b/>
                <w:color w:val="1C3A36"/>
                <w:sz w:val="18"/>
              </w:rPr>
              <w:t>Terminal value (g = 5.0%, ROIC-consistent: 9.2% ROIC × 55% reinvestment)</w:t>
            </w:r>
          </w:p>
        </w:tc>
        <w:tc>
          <w:tcPr>
            <w:tcW w:type="dxa" w:w="2304"/>
          </w:tcPr>
          <w:p>
            <w:pPr>
              <w:spacing w:after="20"/>
              <w:jc w:val="right"/>
            </w:pPr>
            <w:r>
              <w:rPr>
                <w:color w:val="1C3A36"/>
                <w:sz w:val="18"/>
              </w:rPr>
              <w:t>7,150</w:t>
            </w:r>
          </w:p>
        </w:tc>
      </w:tr>
      <w:tr>
        <w:tc>
          <w:tcPr>
            <w:tcW w:type="dxa" w:w="5760"/>
          </w:tcPr>
          <w:p>
            <w:pPr>
              <w:spacing w:after="20"/>
            </w:pPr>
            <w:r>
              <w:rPr>
                <w:b/>
                <w:color w:val="1C3A36"/>
                <w:sz w:val="18"/>
              </w:rPr>
              <w:t>PV of terminal value (at the year-5 factor)</w:t>
            </w:r>
          </w:p>
        </w:tc>
        <w:tc>
          <w:tcPr>
            <w:tcW w:type="dxa" w:w="2304"/>
          </w:tcPr>
          <w:p>
            <w:pPr>
              <w:spacing w:after="20"/>
              <w:jc w:val="right"/>
            </w:pPr>
            <w:r>
              <w:rPr>
                <w:color w:val="1C3A36"/>
                <w:sz w:val="18"/>
              </w:rPr>
              <w:t>3,127</w:t>
            </w:r>
          </w:p>
        </w:tc>
      </w:tr>
      <w:tr>
        <w:tc>
          <w:tcPr>
            <w:tcW w:type="dxa" w:w="5760"/>
          </w:tcPr>
          <w:p>
            <w:pPr>
              <w:spacing w:after="20"/>
            </w:pPr>
            <w:r>
              <w:rPr>
                <w:b/>
                <w:color w:val="1C3A36"/>
                <w:sz w:val="18"/>
              </w:rPr>
              <w:t>Enterprise value</w:t>
            </w:r>
          </w:p>
        </w:tc>
        <w:tc>
          <w:tcPr>
            <w:tcW w:type="dxa" w:w="2304"/>
          </w:tcPr>
          <w:p>
            <w:pPr>
              <w:spacing w:after="20"/>
              <w:jc w:val="right"/>
            </w:pPr>
            <w:r>
              <w:rPr>
                <w:color w:val="1C3A36"/>
                <w:sz w:val="18"/>
              </w:rPr>
              <w:t>3,823</w:t>
            </w:r>
          </w:p>
        </w:tc>
      </w:tr>
      <w:tr>
        <w:tc>
          <w:tcPr>
            <w:tcW w:type="dxa" w:w="5760"/>
          </w:tcPr>
          <w:p>
            <w:pPr>
              <w:spacing w:after="20"/>
            </w:pPr>
            <w:r>
              <w:rPr>
                <w:b/>
                <w:color w:val="1C3A36"/>
                <w:sz w:val="18"/>
              </w:rPr>
              <w:t>Terminal value as % of EV</w:t>
            </w:r>
          </w:p>
        </w:tc>
        <w:tc>
          <w:tcPr>
            <w:tcW w:type="dxa" w:w="2304"/>
          </w:tcPr>
          <w:p>
            <w:pPr>
              <w:spacing w:after="20"/>
              <w:jc w:val="right"/>
            </w:pPr>
            <w:r>
              <w:rPr>
                <w:color w:val="1C3A36"/>
                <w:sz w:val="18"/>
              </w:rPr>
              <w:t>82%</w:t>
            </w:r>
          </w:p>
        </w:tc>
      </w:tr>
      <w:tr>
        <w:tc>
          <w:tcPr>
            <w:tcW w:type="dxa" w:w="5760"/>
          </w:tcPr>
          <w:p>
            <w:pPr>
              <w:spacing w:after="20"/>
            </w:pPr>
            <w:r>
              <w:rPr>
                <w:b/>
                <w:color w:val="1C3A36"/>
                <w:sz w:val="18"/>
              </w:rPr>
              <w:t>less: net debt (FY25: triangulated — see §1.6 roll-forward)</w:t>
            </w:r>
          </w:p>
        </w:tc>
        <w:tc>
          <w:tcPr>
            <w:tcW w:type="dxa" w:w="2304"/>
          </w:tcPr>
          <w:p>
            <w:pPr>
              <w:spacing w:after="20"/>
              <w:jc w:val="right"/>
            </w:pPr>
            <w:r>
              <w:rPr>
                <w:color w:val="1C3A36"/>
                <w:sz w:val="18"/>
              </w:rPr>
              <w:t>(9,805)</w:t>
            </w:r>
          </w:p>
        </w:tc>
      </w:tr>
      <w:tr>
        <w:tc>
          <w:tcPr>
            <w:tcW w:type="dxa" w:w="5760"/>
          </w:tcPr>
          <w:p>
            <w:pPr>
              <w:spacing w:after="20"/>
            </w:pPr>
            <w:r>
              <w:rPr>
                <w:b/>
                <w:color w:val="1C3A36"/>
                <w:sz w:val="18"/>
              </w:rPr>
              <w:t>less: non-controlling interests</w:t>
            </w:r>
          </w:p>
        </w:tc>
        <w:tc>
          <w:tcPr>
            <w:tcW w:type="dxa" w:w="2304"/>
          </w:tcPr>
          <w:p>
            <w:pPr>
              <w:spacing w:after="20"/>
              <w:jc w:val="right"/>
            </w:pPr>
            <w:r>
              <w:rPr>
                <w:color w:val="1C3A36"/>
                <w:sz w:val="18"/>
              </w:rPr>
              <w:t>(0)</w:t>
            </w:r>
          </w:p>
        </w:tc>
      </w:tr>
      <w:tr>
        <w:tc>
          <w:tcPr>
            <w:tcW w:type="dxa" w:w="5760"/>
          </w:tcPr>
          <w:p>
            <w:pPr>
              <w:spacing w:after="20"/>
            </w:pPr>
            <w:r>
              <w:rPr>
                <w:b/>
                <w:color w:val="1C3A36"/>
                <w:sz w:val="18"/>
              </w:rPr>
              <w:t>Equity value — INTRINSIC (EV does not cover the debt)</w:t>
            </w:r>
          </w:p>
        </w:tc>
        <w:tc>
          <w:tcPr>
            <w:tcW w:type="dxa" w:w="2304"/>
          </w:tcPr>
          <w:p>
            <w:pPr>
              <w:spacing w:after="20"/>
              <w:jc w:val="right"/>
            </w:pPr>
            <w:r>
              <w:rPr>
                <w:color w:val="1C3A36"/>
                <w:sz w:val="18"/>
              </w:rPr>
              <w:t>(5,982)</w:t>
            </w:r>
          </w:p>
        </w:tc>
      </w:tr>
      <w:tr>
        <w:tc>
          <w:tcPr>
            <w:tcW w:type="dxa" w:w="5760"/>
          </w:tcPr>
          <w:p>
            <w:pPr>
              <w:spacing w:after="20"/>
            </w:pPr>
            <w:r>
              <w:rPr>
                <w:b/>
                <w:color w:val="1C3A36"/>
                <w:sz w:val="18"/>
              </w:rPr>
              <w:t>Equity value — floored at zero (limited liability)</w:t>
            </w:r>
          </w:p>
        </w:tc>
        <w:tc>
          <w:tcPr>
            <w:tcW w:type="dxa" w:w="2304"/>
          </w:tcPr>
          <w:p>
            <w:pPr>
              <w:spacing w:after="20"/>
              <w:jc w:val="right"/>
            </w:pPr>
            <w:r>
              <w:rPr>
                <w:color w:val="1C3A36"/>
                <w:sz w:val="18"/>
              </w:rPr>
              <w:t>0</w:t>
            </w:r>
          </w:p>
        </w:tc>
      </w:tr>
      <w:tr>
        <w:tc>
          <w:tcPr>
            <w:tcW w:type="dxa" w:w="5760"/>
          </w:tcPr>
          <w:p>
            <w:pPr>
              <w:spacing w:after="20"/>
            </w:pPr>
            <w:r>
              <w:rPr>
                <w:b/>
                <w:color w:val="1C3A36"/>
                <w:sz w:val="18"/>
              </w:rPr>
              <w:t>per share (3,313.5 mn shares) — nominal option-value placeholder</w:t>
            </w:r>
          </w:p>
        </w:tc>
        <w:tc>
          <w:tcPr>
            <w:tcW w:type="dxa" w:w="2304"/>
          </w:tcPr>
          <w:p>
            <w:pPr>
              <w:spacing w:after="20"/>
              <w:jc w:val="right"/>
            </w:pPr>
            <w:r>
              <w:rPr>
                <w:color w:val="1C3A36"/>
                <w:sz w:val="18"/>
              </w:rPr>
              <w:t>EGP 0.01</w:t>
            </w:r>
          </w:p>
        </w:tc>
      </w:tr>
    </w:tbl>
    <w:p>
      <w:pPr>
        <w:spacing w:after="40"/>
      </w:pPr>
    </w:p>
    <w:p>
      <w:pPr>
        <w:spacing w:after="120" w:before="0"/>
      </w:pPr>
      <w:r>
        <w:rPr>
          <w:b w:val="0"/>
          <w:i w:val="0"/>
          <w:color w:val="1C3A36"/>
          <w:sz w:val="19"/>
        </w:rPr>
        <w:t>Four honesty notes, and they carry the study. First, the base-case DCF says the enterprise is worth EGP 6.0 bn LESS than its net debt: at record copper (which inflates the working capital the business must carry) and pre-windfall conversion economics, the discounted cash flows do not cover the ~EGP 9.8 bn triangulated net debt. A share cannot be worth less than zero — limited liability floors the equity — so what a holder owns at the base case is an option on the bull scenario, not a claim on current cash flows. Second, 82% of the EV sits in the terminal value, which is why §1.9 grids the terminal rate and the this-year rate independently. Third, the terminal is ROIC-consistent and the arithmetic cuts AGAINST the company: at a terminal return on capital of 9.2% versus a 15.0% terminal cost of capital, growth SUBTRACTS value — funding 5% growth absorbs 55% of NOPAT to earn less than the capital costs, so the g-sensitivity gradient runs the unusual way (more growth, less value) by construction, not by error. Fourth, every 1 bn of EV is worth ~EGP 0.30/share, which is why the bear–bull span (0.01–1.02) is so wide: the bull case is not a tweak — it requires windfall conversion economics to partially return.</w:t>
      </w:r>
    </w:p>
    <w:p>
      <w:pPr>
        <w:spacing w:after="80" w:before="200"/>
      </w:pPr>
      <w:r>
        <w:rPr>
          <w:b/>
          <w:i w:val="0"/>
          <w:color w:val="1C3A36"/>
          <w:sz w:val="24"/>
        </w:rPr>
        <w:t>1.2  Book value and replacement — the asset lens</w:t>
      </w:r>
    </w:p>
    <w:p>
      <w:pPr>
        <w:spacing w:after="120" w:before="0"/>
      </w:pPr>
      <w:r>
        <w:rPr>
          <w:b w:val="0"/>
          <w:i w:val="0"/>
          <w:color w:val="1C3A36"/>
          <w:sz w:val="21"/>
        </w:rPr>
        <w:t>ELEC has no dividend in its disclosed record (none FY23–FY25; no earlier distribution found), so a dividend lens is unavailable; the asset lens takes its place. Book equity is ~EGP 4.1 bn (FY24 disclosed ~3.6 bn plus FY25 profit, nothing paid out), i.e. book value per share ≈ EGP 1.24. What justifies a premium or discount to book is the return the book earns: at a sustainable ~14% ROE (normalized profit ~EGP 600–750 mn on a growing book — well below the 35%+ devaluation-era prints) against a ~17.3% normalised cost of equity and 5% growth, the justified multiple is (ROE−g)/(Ke−g) ≈ 0.73× book → EGP 0.91/share. The market pays ~1.8× book today — a multiple that needs ROE near 27% to justify, a level the company only ever reached with devaluation at its back.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Book-lens build</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Sustainable ROE</w:t>
            </w:r>
          </w:p>
        </w:tc>
        <w:tc>
          <w:tcPr>
            <w:tcW w:type="dxa" w:w="1872"/>
          </w:tcPr>
          <w:p>
            <w:pPr>
              <w:spacing w:after="20"/>
              <w:jc w:val="right"/>
            </w:pPr>
            <w:r>
              <w:rPr>
                <w:color w:val="1C3A36"/>
                <w:sz w:val="18"/>
              </w:rPr>
              <w:t>11%</w:t>
            </w:r>
          </w:p>
        </w:tc>
        <w:tc>
          <w:tcPr>
            <w:tcW w:type="dxa" w:w="1872"/>
          </w:tcPr>
          <w:p>
            <w:pPr>
              <w:spacing w:after="20"/>
              <w:jc w:val="right"/>
            </w:pPr>
            <w:r>
              <w:rPr>
                <w:color w:val="1C3A36"/>
                <w:sz w:val="18"/>
              </w:rPr>
              <w:t>14%</w:t>
            </w:r>
          </w:p>
        </w:tc>
        <w:tc>
          <w:tcPr>
            <w:tcW w:type="dxa" w:w="1872"/>
          </w:tcPr>
          <w:p>
            <w:pPr>
              <w:spacing w:after="20"/>
              <w:jc w:val="right"/>
            </w:pPr>
            <w:r>
              <w:rPr>
                <w:color w:val="1C3A36"/>
                <w:sz w:val="18"/>
              </w:rPr>
              <w:t>18%</w:t>
            </w:r>
          </w:p>
        </w:tc>
      </w:tr>
      <w:tr>
        <w:tc>
          <w:tcPr>
            <w:tcW w:type="dxa" w:w="3744"/>
          </w:tcPr>
          <w:p>
            <w:pPr>
              <w:spacing w:after="20"/>
            </w:pPr>
            <w:r>
              <w:rPr>
                <w:b/>
                <w:color w:val="1C3A36"/>
                <w:sz w:val="18"/>
              </w:rPr>
              <w:t>Justified P/B = (ROE−g)/(Ke−g)</w:t>
            </w:r>
          </w:p>
        </w:tc>
        <w:tc>
          <w:tcPr>
            <w:tcW w:type="dxa" w:w="1872"/>
          </w:tcPr>
          <w:p>
            <w:pPr>
              <w:spacing w:after="20"/>
              <w:jc w:val="right"/>
            </w:pPr>
            <w:r>
              <w:rPr>
                <w:color w:val="1C3A36"/>
                <w:sz w:val="18"/>
              </w:rPr>
              <w:t>0.49×</w:t>
            </w:r>
          </w:p>
        </w:tc>
        <w:tc>
          <w:tcPr>
            <w:tcW w:type="dxa" w:w="1872"/>
          </w:tcPr>
          <w:p>
            <w:pPr>
              <w:spacing w:after="20"/>
              <w:jc w:val="right"/>
            </w:pPr>
            <w:r>
              <w:rPr>
                <w:color w:val="1C3A36"/>
                <w:sz w:val="18"/>
              </w:rPr>
              <w:t>0.73×</w:t>
            </w:r>
          </w:p>
        </w:tc>
        <w:tc>
          <w:tcPr>
            <w:tcW w:type="dxa" w:w="1872"/>
          </w:tcPr>
          <w:p>
            <w:pPr>
              <w:spacing w:after="20"/>
              <w:jc w:val="right"/>
            </w:pPr>
            <w:r>
              <w:rPr>
                <w:color w:val="1C3A36"/>
                <w:sz w:val="18"/>
              </w:rPr>
              <w:t>1.16×</w:t>
            </w:r>
          </w:p>
        </w:tc>
      </w:tr>
      <w:tr>
        <w:tc>
          <w:tcPr>
            <w:tcW w:type="dxa" w:w="3744"/>
          </w:tcPr>
          <w:p>
            <w:pPr>
              <w:spacing w:after="20"/>
            </w:pPr>
            <w:r>
              <w:rPr>
                <w:b/>
                <w:color w:val="1C3A36"/>
                <w:sz w:val="18"/>
              </w:rPr>
              <w:t>Fair value (× BVPS 1.24)</w:t>
            </w:r>
          </w:p>
        </w:tc>
        <w:tc>
          <w:tcPr>
            <w:tcW w:type="dxa" w:w="1872"/>
          </w:tcPr>
          <w:p>
            <w:pPr>
              <w:spacing w:after="20"/>
              <w:jc w:val="right"/>
            </w:pPr>
            <w:r>
              <w:rPr>
                <w:color w:val="1C3A36"/>
                <w:sz w:val="18"/>
              </w:rPr>
              <w:t>0.61</w:t>
            </w:r>
          </w:p>
        </w:tc>
        <w:tc>
          <w:tcPr>
            <w:tcW w:type="dxa" w:w="1872"/>
          </w:tcPr>
          <w:p>
            <w:pPr>
              <w:spacing w:after="20"/>
              <w:jc w:val="right"/>
            </w:pPr>
            <w:r>
              <w:rPr>
                <w:color w:val="1C3A36"/>
                <w:sz w:val="18"/>
              </w:rPr>
              <w:t>0.91</w:t>
            </w:r>
          </w:p>
        </w:tc>
        <w:tc>
          <w:tcPr>
            <w:tcW w:type="dxa" w:w="1872"/>
          </w:tcPr>
          <w:p>
            <w:pPr>
              <w:spacing w:after="20"/>
              <w:jc w:val="right"/>
            </w:pPr>
            <w:r>
              <w:rPr>
                <w:color w:val="1C3A36"/>
                <w:sz w:val="18"/>
              </w:rPr>
              <w:t>1.31</w:t>
            </w:r>
          </w:p>
        </w:tc>
      </w:tr>
    </w:tbl>
    <w:p>
      <w:pPr>
        <w:spacing w:after="40"/>
      </w:pPr>
    </w:p>
    <w:p>
      <w:pPr>
        <w:spacing w:after="80" w:before="200"/>
      </w:pPr>
      <w:r>
        <w:rPr>
          <w:b/>
          <w:i w:val="0"/>
          <w:color w:val="1C3A36"/>
          <w:sz w:val="24"/>
        </w:rPr>
        <w:t>1.3  Relative multiples</w:t>
      </w:r>
    </w:p>
    <w:p>
      <w:pPr>
        <w:spacing w:after="120" w:before="0"/>
      </w:pPr>
      <w:r>
        <w:rPr>
          <w:b w:val="0"/>
          <w:i w:val="0"/>
          <w:color w:val="1C3A36"/>
          <w:sz w:val="21"/>
        </w:rPr>
        <w:t>The closest listed comparable is El Sewedy Electric — a diversified cables-plus-EPC group (wires &amp; cables ~55% of FY25 revenue, engineering &amp; construction ~31%), twenty-six times ELEC’s revenue, export-hedged, moderately levered. Computed from its own FY25 filing at the latest dated market print, SWDY trades at ~11.3× trailing earnings and ~7.1× EV/EBITDA (the 10.4×/6.0× aggregator prints previously carried here did not reproduce from the filing and have been replaced). Riyadh Cables (Tadawul) trades richer (~14.3× at SAR 102.70, 30-Jul-26) in a different market. ELEC merits a clear discount to Elsewedy’s multiple — 2.5× levered, domestically concentrated, no dividend record, currently loss-making, and Elsewedy’s multiple is partly an EPC multiple, not a pure cable read. We mark the lens on FY27E EBITDA (the first recovery year — deliberately below the build’s FY28E mid-cycle) at 4.5–6.5× EV/EBITDA, a 8–36% discount to the computed peer 7.1×, net of the debt remaining after the FY26E working-capital release.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Relative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FY27E EBITDA (EGP mn)</w:t>
            </w:r>
          </w:p>
        </w:tc>
        <w:tc>
          <w:tcPr>
            <w:tcW w:type="dxa" w:w="1872"/>
          </w:tcPr>
          <w:p>
            <w:pPr>
              <w:spacing w:after="20"/>
              <w:jc w:val="right"/>
            </w:pPr>
            <w:r>
              <w:rPr>
                <w:color w:val="1C3A36"/>
                <w:sz w:val="18"/>
              </w:rPr>
              <w:t>1,071</w:t>
            </w:r>
          </w:p>
        </w:tc>
        <w:tc>
          <w:tcPr>
            <w:tcW w:type="dxa" w:w="1872"/>
          </w:tcPr>
          <w:p>
            <w:pPr>
              <w:spacing w:after="20"/>
              <w:jc w:val="right"/>
            </w:pPr>
            <w:r>
              <w:rPr>
                <w:color w:val="1C3A36"/>
                <w:sz w:val="18"/>
              </w:rPr>
              <w:t>1,071</w:t>
            </w:r>
          </w:p>
        </w:tc>
        <w:tc>
          <w:tcPr>
            <w:tcW w:type="dxa" w:w="1872"/>
          </w:tcPr>
          <w:p>
            <w:pPr>
              <w:spacing w:after="20"/>
              <w:jc w:val="right"/>
            </w:pPr>
            <w:r>
              <w:rPr>
                <w:color w:val="1C3A36"/>
                <w:sz w:val="18"/>
              </w:rPr>
              <w:t>1,071</w:t>
            </w:r>
          </w:p>
        </w:tc>
      </w:tr>
      <w:tr>
        <w:tc>
          <w:tcPr>
            <w:tcW w:type="dxa" w:w="3744"/>
          </w:tcPr>
          <w:p>
            <w:pPr>
              <w:spacing w:after="20"/>
            </w:pPr>
            <w:r>
              <w:rPr>
                <w:b/>
                <w:color w:val="1C3A36"/>
                <w:sz w:val="18"/>
              </w:rPr>
              <w:t>EV/EBITDA multiple</w:t>
            </w:r>
          </w:p>
        </w:tc>
        <w:tc>
          <w:tcPr>
            <w:tcW w:type="dxa" w:w="1872"/>
          </w:tcPr>
          <w:p>
            <w:pPr>
              <w:spacing w:after="20"/>
              <w:jc w:val="right"/>
            </w:pPr>
            <w:r>
              <w:rPr>
                <w:color w:val="1C3A36"/>
                <w:sz w:val="18"/>
              </w:rPr>
              <w:t>4.5×</w:t>
            </w:r>
          </w:p>
        </w:tc>
        <w:tc>
          <w:tcPr>
            <w:tcW w:type="dxa" w:w="1872"/>
          </w:tcPr>
          <w:p>
            <w:pPr>
              <w:spacing w:after="20"/>
              <w:jc w:val="right"/>
            </w:pPr>
            <w:r>
              <w:rPr>
                <w:color w:val="1C3A36"/>
                <w:sz w:val="18"/>
              </w:rPr>
              <w:t>5.5×</w:t>
            </w:r>
          </w:p>
        </w:tc>
        <w:tc>
          <w:tcPr>
            <w:tcW w:type="dxa" w:w="1872"/>
          </w:tcPr>
          <w:p>
            <w:pPr>
              <w:spacing w:after="20"/>
              <w:jc w:val="right"/>
            </w:pPr>
            <w:r>
              <w:rPr>
                <w:color w:val="1C3A36"/>
                <w:sz w:val="18"/>
              </w:rPr>
              <w:t>6.5×</w:t>
            </w:r>
          </w:p>
        </w:tc>
      </w:tr>
      <w:tr>
        <w:tc>
          <w:tcPr>
            <w:tcW w:type="dxa" w:w="3744"/>
          </w:tcPr>
          <w:p>
            <w:pPr>
              <w:spacing w:after="20"/>
            </w:pPr>
            <w:r>
              <w:rPr>
                <w:b/>
                <w:color w:val="1C3A36"/>
                <w:sz w:val="18"/>
              </w:rPr>
              <w:t>less net debt (end-FY26E)</w:t>
            </w:r>
          </w:p>
        </w:tc>
        <w:tc>
          <w:tcPr>
            <w:tcW w:type="dxa" w:w="1872"/>
          </w:tcPr>
          <w:p>
            <w:pPr>
              <w:spacing w:after="20"/>
              <w:jc w:val="right"/>
            </w:pPr>
            <w:r>
              <w:rPr>
                <w:color w:val="1C3A36"/>
                <w:sz w:val="18"/>
              </w:rPr>
              <w:t>(10,926)</w:t>
            </w:r>
          </w:p>
        </w:tc>
        <w:tc>
          <w:tcPr>
            <w:tcW w:type="dxa" w:w="1872"/>
          </w:tcPr>
          <w:p>
            <w:pPr>
              <w:spacing w:after="20"/>
              <w:jc w:val="right"/>
            </w:pPr>
            <w:r>
              <w:rPr>
                <w:color w:val="1C3A36"/>
                <w:sz w:val="18"/>
              </w:rPr>
              <w:t>(10,926)</w:t>
            </w:r>
          </w:p>
        </w:tc>
        <w:tc>
          <w:tcPr>
            <w:tcW w:type="dxa" w:w="1872"/>
          </w:tcPr>
          <w:p>
            <w:pPr>
              <w:spacing w:after="20"/>
              <w:jc w:val="right"/>
            </w:pPr>
            <w:r>
              <w:rPr>
                <w:color w:val="1C3A36"/>
                <w:sz w:val="18"/>
              </w:rPr>
              <w:t>(10,926)</w:t>
            </w:r>
          </w:p>
        </w:tc>
      </w:tr>
      <w:tr>
        <w:tc>
          <w:tcPr>
            <w:tcW w:type="dxa" w:w="3744"/>
          </w:tcPr>
          <w:p>
            <w:pPr>
              <w:spacing w:after="20"/>
            </w:pPr>
            <w:r>
              <w:rPr>
                <w:b/>
                <w:color w:val="1C3A36"/>
                <w:sz w:val="18"/>
              </w:rPr>
              <w:t>Fair value (EGP/share)</w:t>
            </w:r>
          </w:p>
        </w:tc>
        <w:tc>
          <w:tcPr>
            <w:tcW w:type="dxa" w:w="1872"/>
          </w:tcPr>
          <w:p>
            <w:pPr>
              <w:spacing w:after="20"/>
              <w:jc w:val="right"/>
            </w:pPr>
            <w:r>
              <w:rPr>
                <w:color w:val="1C3A36"/>
                <w:sz w:val="18"/>
              </w:rPr>
              <w:t>0.05</w:t>
            </w:r>
          </w:p>
        </w:tc>
        <w:tc>
          <w:tcPr>
            <w:tcW w:type="dxa" w:w="1872"/>
          </w:tcPr>
          <w:p>
            <w:pPr>
              <w:spacing w:after="20"/>
              <w:jc w:val="right"/>
            </w:pPr>
            <w:r>
              <w:rPr>
                <w:color w:val="1C3A36"/>
                <w:sz w:val="18"/>
              </w:rPr>
              <w:t>0.05</w:t>
            </w:r>
          </w:p>
        </w:tc>
        <w:tc>
          <w:tcPr>
            <w:tcW w:type="dxa" w:w="1872"/>
          </w:tcPr>
          <w:p>
            <w:pPr>
              <w:spacing w:after="20"/>
              <w:jc w:val="right"/>
            </w:pPr>
            <w:r>
              <w:rPr>
                <w:color w:val="1C3A36"/>
                <w:sz w:val="18"/>
              </w:rPr>
              <w:t>0.05</w:t>
            </w:r>
          </w:p>
        </w:tc>
      </w:tr>
    </w:tbl>
    <w:p>
      <w:pPr>
        <w:spacing w:after="40"/>
      </w:pPr>
    </w:p>
    <w:p>
      <w:pPr>
        <w:spacing w:after="120" w:before="0"/>
      </w:pPr>
      <w:r>
        <w:rPr>
          <w:b/>
          <w:i w:val="0"/>
          <w:color w:val="1C3A36"/>
          <w:sz w:val="21"/>
        </w:rPr>
        <w:t>Relative base ≈ EGP 0.05</w:t>
      </w:r>
      <w:r>
        <w:rPr>
          <w:b w:val="0"/>
          <w:i w:val="0"/>
          <w:color w:val="1C3A36"/>
          <w:sz w:val="21"/>
        </w:rPr>
        <w:t xml:space="preserve"> — the bluntest lens in the study: at ANY peer-anchored multiple (4.5–6.5×) on realistic mid-cycle EBITDA, the disclosed debt exceeds the entire enterprise value and the equity is worth nothing; the lens is shown floored at EGP 0.05. For the equity to be worth spot on this lens, the market must apply Elsewedy’s own multiple to EBITDA that has not been printed since the windfall years.</w:t>
      </w:r>
    </w:p>
    <w:p>
      <w:pPr>
        <w:spacing w:after="80" w:before="200"/>
      </w:pPr>
      <w:r>
        <w:rPr>
          <w:b/>
          <w:i w:val="0"/>
          <w:color w:val="1C3A36"/>
          <w:sz w:val="24"/>
        </w:rPr>
        <w:t>1.4  Normalized earnings power — where this sits in the cycle</w:t>
      </w:r>
    </w:p>
    <w:p>
      <w:pPr>
        <w:spacing w:after="120" w:before="0"/>
      </w:pPr>
      <w:r>
        <w:rPr>
          <w:b w:val="0"/>
          <w:i w:val="0"/>
          <w:color w:val="1C3A36"/>
          <w:sz w:val="21"/>
        </w:rPr>
        <w:t>Cycle position first: FY2023–24 were the top — devaluation repriced the finished-goods book faster than the cost base, and net margin hit 14.4% then 9.6%. FY2025–26 is the washout: revenue −21.5% then −44% in 1Q26, a net loss, and margin compression as stable-pound competition returned. Mid-cycle is neither: we take FY28E-scale operations from the tonnage build — the build's mid-cycle year — (13.4 kt at 54% utilization, revenue ~EGP 13.9 bn, EBITDA margin 11.1% as the build outputs it) with a normalised funding cost (15% on net debt CONDITIONALLY reduced to ~EGP 6 bn — i.e. this lens assumes the balance sheet has already been fixed, which the base-case cash flows do not achieve) → normalized net profit ≈ EGP 357 mn, EPS ≈ 0.11. At a justified through-cycle 6.5× — a ~42% discount to Elsewedy’s computed 11.3× trailing, held deliberately deep for leverage, concentration and the uncovered float — the lens lands at EGP 0.70. (Rebasing to the same relative discount the prior aggregator print implied, ~7–8×, would lift this lens toward 0.8–0.9 and the weighted central by ~0.01–0.04 — inside the stated range; we keep 6.5× as the conservative documented judgment.)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Normalized-earnings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Mid-cycle net profit (EGP mn)</w:t>
            </w:r>
          </w:p>
        </w:tc>
        <w:tc>
          <w:tcPr>
            <w:tcW w:type="dxa" w:w="1872"/>
          </w:tcPr>
          <w:p>
            <w:pPr>
              <w:spacing w:after="20"/>
              <w:jc w:val="right"/>
            </w:pPr>
            <w:r>
              <w:rPr>
                <w:color w:val="1C3A36"/>
                <w:sz w:val="18"/>
              </w:rPr>
              <w:t>143</w:t>
            </w:r>
          </w:p>
        </w:tc>
        <w:tc>
          <w:tcPr>
            <w:tcW w:type="dxa" w:w="1872"/>
          </w:tcPr>
          <w:p>
            <w:pPr>
              <w:spacing w:after="20"/>
              <w:jc w:val="right"/>
            </w:pPr>
            <w:r>
              <w:rPr>
                <w:color w:val="1C3A36"/>
                <w:sz w:val="18"/>
              </w:rPr>
              <w:t>357</w:t>
            </w:r>
          </w:p>
        </w:tc>
        <w:tc>
          <w:tcPr>
            <w:tcW w:type="dxa" w:w="1872"/>
          </w:tcPr>
          <w:p>
            <w:pPr>
              <w:spacing w:after="20"/>
              <w:jc w:val="right"/>
            </w:pPr>
            <w:r>
              <w:rPr>
                <w:color w:val="1C3A36"/>
                <w:sz w:val="18"/>
              </w:rPr>
              <w:t>563</w:t>
            </w:r>
          </w:p>
        </w:tc>
      </w:tr>
      <w:tr>
        <w:tc>
          <w:tcPr>
            <w:tcW w:type="dxa" w:w="3744"/>
          </w:tcPr>
          <w:p>
            <w:pPr>
              <w:spacing w:after="20"/>
            </w:pPr>
            <w:r>
              <w:rPr>
                <w:b/>
                <w:color w:val="1C3A36"/>
                <w:sz w:val="18"/>
              </w:rPr>
              <w:t>Justified P/E</w:t>
            </w:r>
          </w:p>
        </w:tc>
        <w:tc>
          <w:tcPr>
            <w:tcW w:type="dxa" w:w="1872"/>
          </w:tcPr>
          <w:p>
            <w:pPr>
              <w:spacing w:after="20"/>
              <w:jc w:val="right"/>
            </w:pPr>
            <w:r>
              <w:rPr>
                <w:color w:val="1C3A36"/>
                <w:sz w:val="18"/>
              </w:rPr>
              <w:t>5.5×</w:t>
            </w:r>
          </w:p>
        </w:tc>
        <w:tc>
          <w:tcPr>
            <w:tcW w:type="dxa" w:w="1872"/>
          </w:tcPr>
          <w:p>
            <w:pPr>
              <w:spacing w:after="20"/>
              <w:jc w:val="right"/>
            </w:pPr>
            <w:r>
              <w:rPr>
                <w:color w:val="1C3A36"/>
                <w:sz w:val="18"/>
              </w:rPr>
              <w:t>6.5×</w:t>
            </w:r>
          </w:p>
        </w:tc>
        <w:tc>
          <w:tcPr>
            <w:tcW w:type="dxa" w:w="1872"/>
          </w:tcPr>
          <w:p>
            <w:pPr>
              <w:spacing w:after="20"/>
              <w:jc w:val="right"/>
            </w:pPr>
            <w:r>
              <w:rPr>
                <w:color w:val="1C3A36"/>
                <w:sz w:val="18"/>
              </w:rPr>
              <w:t>8.0×</w:t>
            </w:r>
          </w:p>
        </w:tc>
      </w:tr>
      <w:tr>
        <w:tc>
          <w:tcPr>
            <w:tcW w:type="dxa" w:w="3744"/>
          </w:tcPr>
          <w:p>
            <w:pPr>
              <w:spacing w:after="20"/>
            </w:pPr>
            <w:r>
              <w:rPr>
                <w:b/>
                <w:color w:val="1C3A36"/>
                <w:sz w:val="18"/>
              </w:rPr>
              <w:t>Fair value (EGP/share)</w:t>
            </w:r>
          </w:p>
        </w:tc>
        <w:tc>
          <w:tcPr>
            <w:tcW w:type="dxa" w:w="1872"/>
          </w:tcPr>
          <w:p>
            <w:pPr>
              <w:spacing w:after="20"/>
              <w:jc w:val="right"/>
            </w:pPr>
            <w:r>
              <w:rPr>
                <w:color w:val="1C3A36"/>
                <w:sz w:val="18"/>
              </w:rPr>
              <w:t>0.24</w:t>
            </w:r>
          </w:p>
        </w:tc>
        <w:tc>
          <w:tcPr>
            <w:tcW w:type="dxa" w:w="1872"/>
          </w:tcPr>
          <w:p>
            <w:pPr>
              <w:spacing w:after="20"/>
              <w:jc w:val="right"/>
            </w:pPr>
            <w:r>
              <w:rPr>
                <w:color w:val="1C3A36"/>
                <w:sz w:val="18"/>
              </w:rPr>
              <w:t>0.70</w:t>
            </w:r>
          </w:p>
        </w:tc>
        <w:tc>
          <w:tcPr>
            <w:tcW w:type="dxa" w:w="1872"/>
          </w:tcPr>
          <w:p>
            <w:pPr>
              <w:spacing w:after="20"/>
              <w:jc w:val="right"/>
            </w:pPr>
            <w:r>
              <w:rPr>
                <w:color w:val="1C3A36"/>
                <w:sz w:val="18"/>
              </w:rPr>
              <w:t>1.36</w:t>
            </w:r>
          </w:p>
        </w:tc>
      </w:tr>
    </w:tbl>
    <w:p>
      <w:pPr>
        <w:spacing w:after="40"/>
      </w:pPr>
    </w:p>
    <w:p>
      <w:pPr>
        <w:spacing w:after="80" w:before="200"/>
      </w:pPr>
      <w:r>
        <w:rPr>
          <w:b/>
          <w:i w:val="0"/>
          <w:color w:val="1C3A36"/>
          <w:sz w:val="24"/>
        </w:rPr>
        <w:t>1.5  Synthesis — four lenses, one field</w:t>
      </w:r>
    </w:p>
    <w:p>
      <w:pPr>
        <w:spacing w:after="120" w:before="0"/>
      </w:pPr>
      <w:r>
        <w:rPr>
          <w:b w:val="0"/>
          <w:i w:val="0"/>
          <w:color w:val="1C3A36"/>
          <w:sz w:val="21"/>
        </w:rPr>
        <w:t>The DCF carries the heaviest weight because it is the only lens that prices the working-capital problem explicitly; the relative lens anchors what a buyer pays for comparable cash flow; normalized earnings carries the recovery thesis; the book lens anchors the downside.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296"/>
        <w:gridCol w:w="1584"/>
        <w:gridCol w:w="1584"/>
        <w:gridCol w:w="1584"/>
      </w:tblGrid>
      <w:tr>
        <w:tc>
          <w:tcPr>
            <w:tcW w:type="dxa" w:w="3456"/>
            <w:shd w:val="clear" w:color="auto" w:fill="EAF0EE"/>
          </w:tcPr>
          <w:p>
            <w:pPr>
              <w:spacing w:after="20"/>
            </w:pPr>
            <w:r>
              <w:rPr>
                <w:b/>
                <w:color w:val="1C3A36"/>
                <w:sz w:val="18"/>
              </w:rPr>
              <w:t>Lens</w:t>
            </w:r>
          </w:p>
        </w:tc>
        <w:tc>
          <w:tcPr>
            <w:tcW w:type="dxa" w:w="1296"/>
            <w:shd w:val="clear" w:color="auto" w:fill="EAF0EE"/>
          </w:tcPr>
          <w:p>
            <w:pPr>
              <w:spacing w:after="20"/>
            </w:pPr>
            <w:r>
              <w:rPr>
                <w:b/>
                <w:color w:val="1C3A36"/>
                <w:sz w:val="18"/>
              </w:rPr>
              <w:t>Weight</w:t>
            </w:r>
          </w:p>
        </w:tc>
        <w:tc>
          <w:tcPr>
            <w:tcW w:type="dxa" w:w="1584"/>
            <w:shd w:val="clear" w:color="auto" w:fill="EAF0EE"/>
          </w:tcPr>
          <w:p>
            <w:pPr>
              <w:spacing w:after="20"/>
            </w:pPr>
            <w:r>
              <w:rPr>
                <w:b/>
                <w:color w:val="1C3A36"/>
                <w:sz w:val="18"/>
              </w:rPr>
              <w:t>Bear</w:t>
            </w:r>
          </w:p>
        </w:tc>
        <w:tc>
          <w:tcPr>
            <w:tcW w:type="dxa" w:w="1584"/>
            <w:shd w:val="clear" w:color="auto" w:fill="EAF0EE"/>
          </w:tcPr>
          <w:p>
            <w:pPr>
              <w:spacing w:after="20"/>
            </w:pPr>
            <w:r>
              <w:rPr>
                <w:b/>
                <w:color w:val="1C3A36"/>
                <w:sz w:val="18"/>
              </w:rPr>
              <w:t>Base</w:t>
            </w:r>
          </w:p>
        </w:tc>
        <w:tc>
          <w:tcPr>
            <w:tcW w:type="dxa" w:w="1584"/>
            <w:shd w:val="clear" w:color="auto" w:fill="EAF0EE"/>
          </w:tcPr>
          <w:p>
            <w:pPr>
              <w:spacing w:after="20"/>
            </w:pPr>
            <w:r>
              <w:rPr>
                <w:b/>
                <w:color w:val="1C3A36"/>
                <w:sz w:val="18"/>
              </w:rPr>
              <w:t>Bull</w:t>
            </w:r>
          </w:p>
        </w:tc>
      </w:tr>
      <w:tr>
        <w:tc>
          <w:tcPr>
            <w:tcW w:type="dxa" w:w="3456"/>
          </w:tcPr>
          <w:p>
            <w:pPr>
              <w:spacing w:after="20"/>
            </w:pPr>
            <w:r>
              <w:rPr>
                <w:b/>
                <w:color w:val="1C3A36"/>
                <w:sz w:val="18"/>
              </w:rPr>
              <w:t>FCFF DCF (glide schedule)</w:t>
            </w:r>
          </w:p>
        </w:tc>
        <w:tc>
          <w:tcPr>
            <w:tcW w:type="dxa" w:w="1296"/>
          </w:tcPr>
          <w:p>
            <w:pPr>
              <w:spacing w:after="20"/>
              <w:jc w:val="right"/>
            </w:pPr>
            <w:r>
              <w:rPr>
                <w:color w:val="1C3A36"/>
                <w:sz w:val="18"/>
              </w:rPr>
              <w:t>40%</w:t>
            </w:r>
          </w:p>
        </w:tc>
        <w:tc>
          <w:tcPr>
            <w:tcW w:type="dxa" w:w="1584"/>
          </w:tcPr>
          <w:p>
            <w:pPr>
              <w:spacing w:after="20"/>
              <w:jc w:val="right"/>
            </w:pPr>
            <w:r>
              <w:rPr>
                <w:color w:val="1C3A36"/>
                <w:sz w:val="18"/>
              </w:rPr>
              <w:t>0.01</w:t>
            </w:r>
          </w:p>
        </w:tc>
        <w:tc>
          <w:tcPr>
            <w:tcW w:type="dxa" w:w="1584"/>
          </w:tcPr>
          <w:p>
            <w:pPr>
              <w:spacing w:after="20"/>
              <w:jc w:val="right"/>
            </w:pPr>
            <w:r>
              <w:rPr>
                <w:color w:val="1C3A36"/>
                <w:sz w:val="18"/>
              </w:rPr>
              <w:t>0.01</w:t>
            </w:r>
          </w:p>
        </w:tc>
        <w:tc>
          <w:tcPr>
            <w:tcW w:type="dxa" w:w="1584"/>
          </w:tcPr>
          <w:p>
            <w:pPr>
              <w:spacing w:after="20"/>
              <w:jc w:val="right"/>
            </w:pPr>
            <w:r>
              <w:rPr>
                <w:color w:val="1C3A36"/>
                <w:sz w:val="18"/>
              </w:rPr>
              <w:t>1.02</w:t>
            </w:r>
          </w:p>
        </w:tc>
      </w:tr>
      <w:tr>
        <w:tc>
          <w:tcPr>
            <w:tcW w:type="dxa" w:w="3456"/>
          </w:tcPr>
          <w:p>
            <w:pPr>
              <w:spacing w:after="20"/>
            </w:pPr>
            <w:r>
              <w:rPr>
                <w:b/>
                <w:color w:val="1C3A36"/>
                <w:sz w:val="18"/>
              </w:rPr>
              <w:t>Relative (EV/EBITDA)</w:t>
            </w:r>
          </w:p>
        </w:tc>
        <w:tc>
          <w:tcPr>
            <w:tcW w:type="dxa" w:w="1296"/>
          </w:tcPr>
          <w:p>
            <w:pPr>
              <w:spacing w:after="20"/>
              <w:jc w:val="right"/>
            </w:pPr>
            <w:r>
              <w:rPr>
                <w:color w:val="1C3A36"/>
                <w:sz w:val="18"/>
              </w:rPr>
              <w:t>20%</w:t>
            </w:r>
          </w:p>
        </w:tc>
        <w:tc>
          <w:tcPr>
            <w:tcW w:type="dxa" w:w="1584"/>
          </w:tcPr>
          <w:p>
            <w:pPr>
              <w:spacing w:after="20"/>
              <w:jc w:val="right"/>
            </w:pPr>
            <w:r>
              <w:rPr>
                <w:color w:val="1C3A36"/>
                <w:sz w:val="18"/>
              </w:rPr>
              <w:t>0.05</w:t>
            </w:r>
          </w:p>
        </w:tc>
        <w:tc>
          <w:tcPr>
            <w:tcW w:type="dxa" w:w="1584"/>
          </w:tcPr>
          <w:p>
            <w:pPr>
              <w:spacing w:after="20"/>
              <w:jc w:val="right"/>
            </w:pPr>
            <w:r>
              <w:rPr>
                <w:color w:val="1C3A36"/>
                <w:sz w:val="18"/>
              </w:rPr>
              <w:t>0.05</w:t>
            </w:r>
          </w:p>
        </w:tc>
        <w:tc>
          <w:tcPr>
            <w:tcW w:type="dxa" w:w="1584"/>
          </w:tcPr>
          <w:p>
            <w:pPr>
              <w:spacing w:after="20"/>
              <w:jc w:val="right"/>
            </w:pPr>
            <w:r>
              <w:rPr>
                <w:color w:val="1C3A36"/>
                <w:sz w:val="18"/>
              </w:rPr>
              <w:t>0.05</w:t>
            </w:r>
          </w:p>
        </w:tc>
      </w:tr>
      <w:tr>
        <w:tc>
          <w:tcPr>
            <w:tcW w:type="dxa" w:w="3456"/>
          </w:tcPr>
          <w:p>
            <w:pPr>
              <w:spacing w:after="20"/>
            </w:pPr>
            <w:r>
              <w:rPr>
                <w:b/>
                <w:color w:val="1C3A36"/>
                <w:sz w:val="18"/>
              </w:rPr>
              <w:t>Normalized earnings</w:t>
            </w:r>
          </w:p>
        </w:tc>
        <w:tc>
          <w:tcPr>
            <w:tcW w:type="dxa" w:w="1296"/>
          </w:tcPr>
          <w:p>
            <w:pPr>
              <w:spacing w:after="20"/>
              <w:jc w:val="right"/>
            </w:pPr>
            <w:r>
              <w:rPr>
                <w:color w:val="1C3A36"/>
                <w:sz w:val="18"/>
              </w:rPr>
              <w:t>20%</w:t>
            </w:r>
          </w:p>
        </w:tc>
        <w:tc>
          <w:tcPr>
            <w:tcW w:type="dxa" w:w="1584"/>
          </w:tcPr>
          <w:p>
            <w:pPr>
              <w:spacing w:after="20"/>
              <w:jc w:val="right"/>
            </w:pPr>
            <w:r>
              <w:rPr>
                <w:color w:val="1C3A36"/>
                <w:sz w:val="18"/>
              </w:rPr>
              <w:t>0.24</w:t>
            </w:r>
          </w:p>
        </w:tc>
        <w:tc>
          <w:tcPr>
            <w:tcW w:type="dxa" w:w="1584"/>
          </w:tcPr>
          <w:p>
            <w:pPr>
              <w:spacing w:after="20"/>
              <w:jc w:val="right"/>
            </w:pPr>
            <w:r>
              <w:rPr>
                <w:color w:val="1C3A36"/>
                <w:sz w:val="18"/>
              </w:rPr>
              <w:t>0.70</w:t>
            </w:r>
          </w:p>
        </w:tc>
        <w:tc>
          <w:tcPr>
            <w:tcW w:type="dxa" w:w="1584"/>
          </w:tcPr>
          <w:p>
            <w:pPr>
              <w:spacing w:after="20"/>
              <w:jc w:val="right"/>
            </w:pPr>
            <w:r>
              <w:rPr>
                <w:color w:val="1C3A36"/>
                <w:sz w:val="18"/>
              </w:rPr>
              <w:t>1.36</w:t>
            </w:r>
          </w:p>
        </w:tc>
      </w:tr>
      <w:tr>
        <w:tc>
          <w:tcPr>
            <w:tcW w:type="dxa" w:w="3456"/>
          </w:tcPr>
          <w:p>
            <w:pPr>
              <w:spacing w:after="20"/>
            </w:pPr>
            <w:r>
              <w:rPr>
                <w:b/>
                <w:color w:val="1C3A36"/>
                <w:sz w:val="18"/>
              </w:rPr>
              <w:t>Book / replacement</w:t>
            </w:r>
          </w:p>
        </w:tc>
        <w:tc>
          <w:tcPr>
            <w:tcW w:type="dxa" w:w="1296"/>
          </w:tcPr>
          <w:p>
            <w:pPr>
              <w:spacing w:after="20"/>
              <w:jc w:val="right"/>
            </w:pPr>
            <w:r>
              <w:rPr>
                <w:color w:val="1C3A36"/>
                <w:sz w:val="18"/>
              </w:rPr>
              <w:t>20%</w:t>
            </w:r>
          </w:p>
        </w:tc>
        <w:tc>
          <w:tcPr>
            <w:tcW w:type="dxa" w:w="1584"/>
          </w:tcPr>
          <w:p>
            <w:pPr>
              <w:spacing w:after="20"/>
              <w:jc w:val="right"/>
            </w:pPr>
            <w:r>
              <w:rPr>
                <w:color w:val="1C3A36"/>
                <w:sz w:val="18"/>
              </w:rPr>
              <w:t>0.61</w:t>
            </w:r>
          </w:p>
        </w:tc>
        <w:tc>
          <w:tcPr>
            <w:tcW w:type="dxa" w:w="1584"/>
          </w:tcPr>
          <w:p>
            <w:pPr>
              <w:spacing w:after="20"/>
              <w:jc w:val="right"/>
            </w:pPr>
            <w:r>
              <w:rPr>
                <w:color w:val="1C3A36"/>
                <w:sz w:val="18"/>
              </w:rPr>
              <w:t>0.91</w:t>
            </w:r>
          </w:p>
        </w:tc>
        <w:tc>
          <w:tcPr>
            <w:tcW w:type="dxa" w:w="1584"/>
          </w:tcPr>
          <w:p>
            <w:pPr>
              <w:spacing w:after="20"/>
              <w:jc w:val="right"/>
            </w:pPr>
            <w:r>
              <w:rPr>
                <w:color w:val="1C3A36"/>
                <w:sz w:val="18"/>
              </w:rPr>
              <w:t>1.31</w:t>
            </w:r>
          </w:p>
        </w:tc>
      </w:tr>
      <w:tr>
        <w:tc>
          <w:tcPr>
            <w:tcW w:type="dxa" w:w="3456"/>
            <w:shd w:val="clear" w:color="auto" w:fill="F6F1E6"/>
          </w:tcPr>
          <w:p>
            <w:pPr>
              <w:spacing w:after="20"/>
            </w:pPr>
            <w:r>
              <w:rPr>
                <w:b/>
                <w:color w:val="1C3A36"/>
                <w:sz w:val="18"/>
              </w:rPr>
              <w:t>Weighted central</w:t>
            </w:r>
          </w:p>
        </w:tc>
        <w:tc>
          <w:tcPr>
            <w:tcW w:type="dxa" w:w="1296"/>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t>0.18</w:t>
            </w:r>
          </w:p>
        </w:tc>
        <w:tc>
          <w:tcPr>
            <w:tcW w:type="dxa" w:w="1584"/>
            <w:shd w:val="clear" w:color="auto" w:fill="F6F1E6"/>
          </w:tcPr>
          <w:p>
            <w:pPr>
              <w:spacing w:after="20"/>
              <w:jc w:val="right"/>
            </w:pPr>
            <w:r>
              <w:rPr>
                <w:b/>
                <w:color w:val="1C3A36"/>
                <w:sz w:val="18"/>
              </w:rPr>
              <w:t>0.34</w:t>
            </w:r>
          </w:p>
        </w:tc>
        <w:tc>
          <w:tcPr>
            <w:tcW w:type="dxa" w:w="1584"/>
            <w:shd w:val="clear" w:color="auto" w:fill="F6F1E6"/>
          </w:tcPr>
          <w:p>
            <w:pPr>
              <w:spacing w:after="20"/>
              <w:jc w:val="right"/>
            </w:pPr>
            <w:r>
              <w:rPr>
                <w:b/>
                <w:color w:val="1C3A36"/>
                <w:sz w:val="18"/>
              </w:rPr>
              <w:t>0.95</w:t>
            </w:r>
          </w:p>
        </w:tc>
      </w:tr>
    </w:tbl>
    <w:p>
      <w:pPr>
        <w:spacing w:after="40"/>
      </w:pPr>
    </w:p>
    <w:p>
      <w:pPr>
        <w:spacing w:after="120" w:before="0"/>
      </w:pPr>
      <w:r>
        <w:rPr>
          <w:b w:val="0"/>
          <w:i w:val="0"/>
          <w:color w:val="1C3A36"/>
          <w:sz w:val="19"/>
        </w:rPr>
        <w:t>What the DCF scenario columns actually assume, and their full bridges — every knob and every output shown, so the bear and bull are checkable the same way the base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872"/>
        <w:gridCol w:w="1728"/>
        <w:gridCol w:w="2736"/>
      </w:tblGrid>
      <w:tr>
        <w:tc>
          <w:tcPr>
            <w:tcW w:type="dxa" w:w="3600"/>
            <w:shd w:val="clear" w:color="auto" w:fill="EAF0EE"/>
          </w:tcPr>
          <w:p>
            <w:pPr>
              <w:spacing w:after="20"/>
            </w:pPr>
            <w:r>
              <w:rPr>
                <w:b/>
                <w:color w:val="1C3A36"/>
                <w:sz w:val="17"/>
              </w:rPr>
            </w:r>
          </w:p>
        </w:tc>
        <w:tc>
          <w:tcPr>
            <w:tcW w:type="dxa" w:w="1872"/>
            <w:shd w:val="clear" w:color="auto" w:fill="EAF0EE"/>
          </w:tcPr>
          <w:p>
            <w:pPr>
              <w:spacing w:after="20"/>
            </w:pPr>
            <w:r>
              <w:rPr>
                <w:b/>
                <w:color w:val="1C3A36"/>
                <w:sz w:val="17"/>
              </w:rPr>
              <w:t>Bear</w:t>
            </w:r>
          </w:p>
        </w:tc>
        <w:tc>
          <w:tcPr>
            <w:tcW w:type="dxa" w:w="1728"/>
            <w:shd w:val="clear" w:color="auto" w:fill="EAF0EE"/>
          </w:tcPr>
          <w:p>
            <w:pPr>
              <w:spacing w:after="20"/>
            </w:pPr>
            <w:r>
              <w:rPr>
                <w:b/>
                <w:color w:val="1C3A36"/>
                <w:sz w:val="17"/>
              </w:rPr>
              <w:t>Base</w:t>
            </w:r>
          </w:p>
        </w:tc>
        <w:tc>
          <w:tcPr>
            <w:tcW w:type="dxa" w:w="2736"/>
            <w:shd w:val="clear" w:color="auto" w:fill="EAF0EE"/>
          </w:tcPr>
          <w:p>
            <w:pPr>
              <w:spacing w:after="20"/>
            </w:pPr>
            <w:r>
              <w:rPr>
                <w:b/>
                <w:color w:val="1C3A36"/>
                <w:sz w:val="17"/>
              </w:rPr>
              <w:t>Bull</w:t>
            </w:r>
          </w:p>
        </w:tc>
      </w:tr>
      <w:tr>
        <w:tc>
          <w:tcPr>
            <w:tcW w:type="dxa" w:w="3600"/>
          </w:tcPr>
          <w:p>
            <w:pPr>
              <w:spacing w:after="20"/>
            </w:pPr>
            <w:r>
              <w:rPr>
                <w:b/>
                <w:color w:val="1C3A36"/>
                <w:sz w:val="17"/>
              </w:rPr>
              <w:t>Conversion EBITDA/t shift</w:t>
            </w:r>
          </w:p>
        </w:tc>
        <w:tc>
          <w:tcPr>
            <w:tcW w:type="dxa" w:w="1872"/>
          </w:tcPr>
          <w:p>
            <w:pPr>
              <w:spacing w:after="20"/>
              <w:jc w:val="right"/>
            </w:pPr>
            <w:r>
              <w:rPr>
                <w:color w:val="1C3A36"/>
                <w:sz w:val="17"/>
              </w:rPr>
              <w:t>−30%</w:t>
            </w:r>
          </w:p>
        </w:tc>
        <w:tc>
          <w:tcPr>
            <w:tcW w:type="dxa" w:w="1728"/>
          </w:tcPr>
          <w:p>
            <w:pPr>
              <w:spacing w:after="20"/>
              <w:jc w:val="right"/>
            </w:pPr>
            <w:r>
              <w:rPr>
                <w:color w:val="1C3A36"/>
                <w:sz w:val="17"/>
              </w:rPr>
              <w:t>0%</w:t>
            </w:r>
          </w:p>
        </w:tc>
        <w:tc>
          <w:tcPr>
            <w:tcW w:type="dxa" w:w="2736"/>
          </w:tcPr>
          <w:p>
            <w:pPr>
              <w:spacing w:after="20"/>
              <w:jc w:val="right"/>
            </w:pPr>
            <w:r>
              <w:rPr>
                <w:color w:val="1C3A36"/>
                <w:sz w:val="17"/>
              </w:rPr>
              <w:t>+30% (≈175 k EGP/t)</w:t>
            </w:r>
          </w:p>
        </w:tc>
      </w:tr>
      <w:tr>
        <w:tc>
          <w:tcPr>
            <w:tcW w:type="dxa" w:w="3600"/>
          </w:tcPr>
          <w:p>
            <w:pPr>
              <w:spacing w:after="20"/>
            </w:pPr>
            <w:r>
              <w:rPr>
                <w:b/>
                <w:color w:val="1C3A36"/>
                <w:sz w:val="17"/>
              </w:rPr>
              <w:t>Volume shift</w:t>
            </w:r>
          </w:p>
        </w:tc>
        <w:tc>
          <w:tcPr>
            <w:tcW w:type="dxa" w:w="1872"/>
          </w:tcPr>
          <w:p>
            <w:pPr>
              <w:spacing w:after="20"/>
              <w:jc w:val="right"/>
            </w:pPr>
            <w:r>
              <w:rPr>
                <w:color w:val="1C3A36"/>
                <w:sz w:val="17"/>
              </w:rPr>
              <w:t>−10%</w:t>
            </w:r>
          </w:p>
        </w:tc>
        <w:tc>
          <w:tcPr>
            <w:tcW w:type="dxa" w:w="1728"/>
          </w:tcPr>
          <w:p>
            <w:pPr>
              <w:spacing w:after="20"/>
              <w:jc w:val="right"/>
            </w:pPr>
            <w:r>
              <w:rPr>
                <w:color w:val="1C3A36"/>
                <w:sz w:val="17"/>
              </w:rPr>
              <w:t>0%</w:t>
            </w:r>
          </w:p>
        </w:tc>
        <w:tc>
          <w:tcPr>
            <w:tcW w:type="dxa" w:w="2736"/>
          </w:tcPr>
          <w:p>
            <w:pPr>
              <w:spacing w:after="20"/>
              <w:jc w:val="right"/>
            </w:pPr>
            <w:r>
              <w:rPr>
                <w:color w:val="1C3A36"/>
                <w:sz w:val="17"/>
              </w:rPr>
              <w:t>+15%</w:t>
            </w:r>
          </w:p>
        </w:tc>
      </w:tr>
      <w:tr>
        <w:tc>
          <w:tcPr>
            <w:tcW w:type="dxa" w:w="3600"/>
          </w:tcPr>
          <w:p>
            <w:pPr>
              <w:spacing w:after="20"/>
            </w:pPr>
            <w:r>
              <w:rPr>
                <w:b/>
                <w:color w:val="1C3A36"/>
                <w:sz w:val="17"/>
              </w:rPr>
              <w:t>LME copper shift</w:t>
            </w:r>
          </w:p>
        </w:tc>
        <w:tc>
          <w:tcPr>
            <w:tcW w:type="dxa" w:w="1872"/>
          </w:tcPr>
          <w:p>
            <w:pPr>
              <w:spacing w:after="20"/>
              <w:jc w:val="right"/>
            </w:pPr>
            <w:r>
              <w:rPr>
                <w:color w:val="1C3A36"/>
                <w:sz w:val="17"/>
              </w:rPr>
              <w:t>0%</w:t>
            </w:r>
          </w:p>
        </w:tc>
        <w:tc>
          <w:tcPr>
            <w:tcW w:type="dxa" w:w="1728"/>
          </w:tcPr>
          <w:p>
            <w:pPr>
              <w:spacing w:after="20"/>
              <w:jc w:val="right"/>
            </w:pPr>
            <w:r>
              <w:rPr>
                <w:color w:val="1C3A36"/>
                <w:sz w:val="17"/>
              </w:rPr>
              <w:t>0%</w:t>
            </w:r>
          </w:p>
        </w:tc>
        <w:tc>
          <w:tcPr>
            <w:tcW w:type="dxa" w:w="2736"/>
          </w:tcPr>
          <w:p>
            <w:pPr>
              <w:spacing w:after="20"/>
              <w:jc w:val="right"/>
            </w:pPr>
            <w:r>
              <w:rPr>
                <w:color w:val="1C3A36"/>
                <w:sz w:val="17"/>
              </w:rPr>
              <w:t>−10% (softer copper eases the WC burden)</w:t>
            </w:r>
          </w:p>
        </w:tc>
      </w:tr>
      <w:tr>
        <w:tc>
          <w:tcPr>
            <w:tcW w:type="dxa" w:w="3600"/>
          </w:tcPr>
          <w:p>
            <w:pPr>
              <w:spacing w:after="20"/>
            </w:pPr>
            <w:r>
              <w:rPr>
                <w:b/>
                <w:color w:val="1C3A36"/>
                <w:sz w:val="17"/>
              </w:rPr>
              <w:t>Terminal NWC intensity</w:t>
            </w:r>
          </w:p>
        </w:tc>
        <w:tc>
          <w:tcPr>
            <w:tcW w:type="dxa" w:w="1872"/>
          </w:tcPr>
          <w:p>
            <w:pPr>
              <w:spacing w:after="20"/>
              <w:jc w:val="right"/>
            </w:pPr>
            <w:r>
              <w:rPr>
                <w:color w:val="1C3A36"/>
                <w:sz w:val="17"/>
              </w:rPr>
              <w:t>105% of revenue</w:t>
            </w:r>
          </w:p>
        </w:tc>
        <w:tc>
          <w:tcPr>
            <w:tcW w:type="dxa" w:w="1728"/>
          </w:tcPr>
          <w:p>
            <w:pPr>
              <w:spacing w:after="20"/>
              <w:jc w:val="right"/>
            </w:pPr>
            <w:r>
              <w:rPr>
                <w:color w:val="1C3A36"/>
                <w:sz w:val="17"/>
              </w:rPr>
              <w:t>88%</w:t>
            </w:r>
          </w:p>
        </w:tc>
        <w:tc>
          <w:tcPr>
            <w:tcW w:type="dxa" w:w="2736"/>
          </w:tcPr>
          <w:p>
            <w:pPr>
              <w:spacing w:after="20"/>
              <w:jc w:val="right"/>
            </w:pPr>
            <w:r>
              <w:rPr>
                <w:color w:val="1C3A36"/>
                <w:sz w:val="17"/>
              </w:rPr>
              <w:t>76% (back to FY24)</w:t>
            </w:r>
          </w:p>
        </w:tc>
      </w:tr>
      <w:tr>
        <w:tc>
          <w:tcPr>
            <w:tcW w:type="dxa" w:w="3600"/>
          </w:tcPr>
          <w:p>
            <w:pPr>
              <w:spacing w:after="20"/>
            </w:pPr>
            <w:r>
              <w:rPr>
                <w:b/>
                <w:color w:val="1C3A36"/>
                <w:sz w:val="17"/>
              </w:rPr>
              <w:t>Terminal WACC</w:t>
            </w:r>
          </w:p>
        </w:tc>
        <w:tc>
          <w:tcPr>
            <w:tcW w:type="dxa" w:w="1872"/>
          </w:tcPr>
          <w:p>
            <w:pPr>
              <w:spacing w:after="20"/>
              <w:jc w:val="right"/>
            </w:pPr>
            <w:r>
              <w:rPr>
                <w:color w:val="1C3A36"/>
                <w:sz w:val="17"/>
              </w:rPr>
              <w:t>17.0%</w:t>
            </w:r>
          </w:p>
        </w:tc>
        <w:tc>
          <w:tcPr>
            <w:tcW w:type="dxa" w:w="1728"/>
          </w:tcPr>
          <w:p>
            <w:pPr>
              <w:spacing w:after="20"/>
              <w:jc w:val="right"/>
            </w:pPr>
            <w:r>
              <w:rPr>
                <w:color w:val="1C3A36"/>
                <w:sz w:val="17"/>
              </w:rPr>
              <w:t>15.0%</w:t>
            </w:r>
          </w:p>
        </w:tc>
        <w:tc>
          <w:tcPr>
            <w:tcW w:type="dxa" w:w="2736"/>
          </w:tcPr>
          <w:p>
            <w:pPr>
              <w:spacing w:after="20"/>
              <w:jc w:val="right"/>
            </w:pPr>
            <w:r>
              <w:rPr>
                <w:color w:val="1C3A36"/>
                <w:sz w:val="17"/>
              </w:rPr>
              <w:t>13.5%</w:t>
            </w:r>
          </w:p>
        </w:tc>
      </w:tr>
      <w:tr>
        <w:tc>
          <w:tcPr>
            <w:tcW w:type="dxa" w:w="3600"/>
          </w:tcPr>
          <w:p>
            <w:pPr>
              <w:spacing w:after="20"/>
            </w:pPr>
            <w:r>
              <w:rPr>
                <w:b/>
                <w:color w:val="1C3A36"/>
                <w:sz w:val="17"/>
              </w:rPr>
              <w:t>Terminal growth g</w:t>
            </w:r>
          </w:p>
        </w:tc>
        <w:tc>
          <w:tcPr>
            <w:tcW w:type="dxa" w:w="1872"/>
          </w:tcPr>
          <w:p>
            <w:pPr>
              <w:spacing w:after="20"/>
              <w:jc w:val="right"/>
            </w:pPr>
            <w:r>
              <w:rPr>
                <w:color w:val="1C3A36"/>
                <w:sz w:val="17"/>
              </w:rPr>
              <w:t>4%</w:t>
            </w:r>
          </w:p>
        </w:tc>
        <w:tc>
          <w:tcPr>
            <w:tcW w:type="dxa" w:w="1728"/>
          </w:tcPr>
          <w:p>
            <w:pPr>
              <w:spacing w:after="20"/>
              <w:jc w:val="right"/>
            </w:pPr>
            <w:r>
              <w:rPr>
                <w:color w:val="1C3A36"/>
                <w:sz w:val="17"/>
              </w:rPr>
              <w:t>5%</w:t>
            </w:r>
          </w:p>
        </w:tc>
        <w:tc>
          <w:tcPr>
            <w:tcW w:type="dxa" w:w="2736"/>
          </w:tcPr>
          <w:p>
            <w:pPr>
              <w:spacing w:after="20"/>
              <w:jc w:val="right"/>
            </w:pPr>
            <w:r>
              <w:rPr>
                <w:color w:val="1C3A36"/>
                <w:sz w:val="17"/>
              </w:rPr>
              <w:t>6%</w:t>
            </w:r>
          </w:p>
        </w:tc>
      </w:tr>
      <w:tr>
        <w:tc>
          <w:tcPr>
            <w:tcW w:type="dxa" w:w="3600"/>
          </w:tcPr>
          <w:p>
            <w:pPr>
              <w:spacing w:after="20"/>
            </w:pPr>
            <w:r>
              <w:rPr>
                <w:b/>
                <w:color w:val="1C3A36"/>
                <w:sz w:val="17"/>
              </w:rPr>
              <w:t>Net debt anchor</w:t>
            </w:r>
          </w:p>
        </w:tc>
        <w:tc>
          <w:tcPr>
            <w:tcW w:type="dxa" w:w="1872"/>
          </w:tcPr>
          <w:p>
            <w:pPr>
              <w:spacing w:after="20"/>
              <w:jc w:val="right"/>
            </w:pPr>
            <w:r>
              <w:rPr>
                <w:color w:val="1C3A36"/>
                <w:sz w:val="17"/>
              </w:rPr>
              <w:t>10,805</w:t>
            </w:r>
          </w:p>
        </w:tc>
        <w:tc>
          <w:tcPr>
            <w:tcW w:type="dxa" w:w="1728"/>
          </w:tcPr>
          <w:p>
            <w:pPr>
              <w:spacing w:after="20"/>
              <w:jc w:val="right"/>
            </w:pPr>
            <w:r>
              <w:rPr>
                <w:color w:val="1C3A36"/>
                <w:sz w:val="17"/>
              </w:rPr>
              <w:t>9,805</w:t>
            </w:r>
          </w:p>
        </w:tc>
        <w:tc>
          <w:tcPr>
            <w:tcW w:type="dxa" w:w="2736"/>
          </w:tcPr>
          <w:p>
            <w:pPr>
              <w:spacing w:after="20"/>
              <w:jc w:val="right"/>
            </w:pPr>
            <w:r>
              <w:rPr>
                <w:color w:val="1C3A36"/>
                <w:sz w:val="17"/>
              </w:rPr>
              <w:t>8,805</w:t>
            </w:r>
          </w:p>
        </w:tc>
      </w:tr>
      <w:tr>
        <w:tc>
          <w:tcPr>
            <w:tcW w:type="dxa" w:w="3600"/>
          </w:tcPr>
          <w:p>
            <w:pPr>
              <w:spacing w:after="20"/>
            </w:pPr>
            <w:r>
              <w:rPr>
                <w:b/>
                <w:color w:val="1C3A36"/>
                <w:sz w:val="17"/>
              </w:rPr>
              <w:t>Terminal ROIC (recomputed under the shifts)</w:t>
            </w:r>
          </w:p>
        </w:tc>
        <w:tc>
          <w:tcPr>
            <w:tcW w:type="dxa" w:w="1872"/>
          </w:tcPr>
          <w:p>
            <w:pPr>
              <w:spacing w:after="20"/>
              <w:jc w:val="right"/>
            </w:pPr>
            <w:r>
              <w:rPr>
                <w:color w:val="1C3A36"/>
                <w:sz w:val="17"/>
              </w:rPr>
              <w:t>5.2%</w:t>
            </w:r>
          </w:p>
        </w:tc>
        <w:tc>
          <w:tcPr>
            <w:tcW w:type="dxa" w:w="1728"/>
          </w:tcPr>
          <w:p>
            <w:pPr>
              <w:spacing w:after="20"/>
              <w:jc w:val="right"/>
            </w:pPr>
            <w:r>
              <w:rPr>
                <w:color w:val="1C3A36"/>
                <w:sz w:val="17"/>
              </w:rPr>
              <w:t>9.2%</w:t>
            </w:r>
          </w:p>
        </w:tc>
        <w:tc>
          <w:tcPr>
            <w:tcW w:type="dxa" w:w="2736"/>
          </w:tcPr>
          <w:p>
            <w:pPr>
              <w:spacing w:after="20"/>
              <w:jc w:val="right"/>
            </w:pPr>
            <w:r>
              <w:rPr>
                <w:color w:val="1C3A36"/>
                <w:sz w:val="17"/>
              </w:rPr>
              <w:t>15.8%</w:t>
            </w:r>
          </w:p>
        </w:tc>
      </w:tr>
      <w:tr>
        <w:tc>
          <w:tcPr>
            <w:tcW w:type="dxa" w:w="3600"/>
          </w:tcPr>
          <w:p>
            <w:pPr>
              <w:spacing w:after="20"/>
            </w:pPr>
            <w:r>
              <w:rPr>
                <w:b/>
                <w:color w:val="1C3A36"/>
                <w:sz w:val="17"/>
              </w:rPr>
              <w:t>PV of explicit FCFF (EGP mn)</w:t>
            </w:r>
          </w:p>
        </w:tc>
        <w:tc>
          <w:tcPr>
            <w:tcW w:type="dxa" w:w="1872"/>
          </w:tcPr>
          <w:p>
            <w:pPr>
              <w:spacing w:after="20"/>
              <w:jc w:val="right"/>
            </w:pPr>
            <w:r>
              <w:rPr>
                <w:color w:val="1C3A36"/>
                <w:sz w:val="17"/>
              </w:rPr>
              <w:t>-646</w:t>
            </w:r>
          </w:p>
        </w:tc>
        <w:tc>
          <w:tcPr>
            <w:tcW w:type="dxa" w:w="1728"/>
          </w:tcPr>
          <w:p>
            <w:pPr>
              <w:spacing w:after="20"/>
              <w:jc w:val="right"/>
            </w:pPr>
            <w:r>
              <w:rPr>
                <w:color w:val="1C3A36"/>
                <w:sz w:val="17"/>
              </w:rPr>
              <w:t>696</w:t>
            </w:r>
          </w:p>
        </w:tc>
        <w:tc>
          <w:tcPr>
            <w:tcW w:type="dxa" w:w="2736"/>
          </w:tcPr>
          <w:p>
            <w:pPr>
              <w:spacing w:after="20"/>
              <w:jc w:val="right"/>
            </w:pPr>
            <w:r>
              <w:rPr>
                <w:color w:val="1C3A36"/>
                <w:sz w:val="17"/>
              </w:rPr>
              <w:t>2,996</w:t>
            </w:r>
          </w:p>
        </w:tc>
      </w:tr>
      <w:tr>
        <w:tc>
          <w:tcPr>
            <w:tcW w:type="dxa" w:w="3600"/>
          </w:tcPr>
          <w:p>
            <w:pPr>
              <w:spacing w:after="20"/>
            </w:pPr>
            <w:r>
              <w:rPr>
                <w:b/>
                <w:color w:val="1C3A36"/>
                <w:sz w:val="17"/>
              </w:rPr>
              <w:t>PV of terminal value</w:t>
            </w:r>
          </w:p>
        </w:tc>
        <w:tc>
          <w:tcPr>
            <w:tcW w:type="dxa" w:w="1872"/>
          </w:tcPr>
          <w:p>
            <w:pPr>
              <w:spacing w:after="20"/>
              <w:jc w:val="right"/>
            </w:pPr>
            <w:r>
              <w:rPr>
                <w:color w:val="1C3A36"/>
                <w:sz w:val="17"/>
              </w:rPr>
              <w:t>670</w:t>
            </w:r>
          </w:p>
        </w:tc>
        <w:tc>
          <w:tcPr>
            <w:tcW w:type="dxa" w:w="1728"/>
          </w:tcPr>
          <w:p>
            <w:pPr>
              <w:spacing w:after="20"/>
              <w:jc w:val="right"/>
            </w:pPr>
            <w:r>
              <w:rPr>
                <w:color w:val="1C3A36"/>
                <w:sz w:val="17"/>
              </w:rPr>
              <w:t>3,127</w:t>
            </w:r>
          </w:p>
        </w:tc>
        <w:tc>
          <w:tcPr>
            <w:tcW w:type="dxa" w:w="2736"/>
          </w:tcPr>
          <w:p>
            <w:pPr>
              <w:spacing w:after="20"/>
              <w:jc w:val="right"/>
            </w:pPr>
            <w:r>
              <w:rPr>
                <w:color w:val="1C3A36"/>
                <w:sz w:val="17"/>
              </w:rPr>
              <w:t>9,191</w:t>
            </w:r>
          </w:p>
        </w:tc>
      </w:tr>
      <w:tr>
        <w:tc>
          <w:tcPr>
            <w:tcW w:type="dxa" w:w="3600"/>
          </w:tcPr>
          <w:p>
            <w:pPr>
              <w:spacing w:after="20"/>
            </w:pPr>
            <w:r>
              <w:rPr>
                <w:b/>
                <w:color w:val="1C3A36"/>
                <w:sz w:val="17"/>
              </w:rPr>
              <w:t>Enterprise value</w:t>
            </w:r>
          </w:p>
        </w:tc>
        <w:tc>
          <w:tcPr>
            <w:tcW w:type="dxa" w:w="1872"/>
          </w:tcPr>
          <w:p>
            <w:pPr>
              <w:spacing w:after="20"/>
              <w:jc w:val="right"/>
            </w:pPr>
            <w:r>
              <w:rPr>
                <w:color w:val="1C3A36"/>
                <w:sz w:val="17"/>
              </w:rPr>
              <w:t>24</w:t>
            </w:r>
          </w:p>
        </w:tc>
        <w:tc>
          <w:tcPr>
            <w:tcW w:type="dxa" w:w="1728"/>
          </w:tcPr>
          <w:p>
            <w:pPr>
              <w:spacing w:after="20"/>
              <w:jc w:val="right"/>
            </w:pPr>
            <w:r>
              <w:rPr>
                <w:color w:val="1C3A36"/>
                <w:sz w:val="17"/>
              </w:rPr>
              <w:t>3,823</w:t>
            </w:r>
          </w:p>
        </w:tc>
        <w:tc>
          <w:tcPr>
            <w:tcW w:type="dxa" w:w="2736"/>
          </w:tcPr>
          <w:p>
            <w:pPr>
              <w:spacing w:after="20"/>
              <w:jc w:val="right"/>
            </w:pPr>
            <w:r>
              <w:rPr>
                <w:color w:val="1C3A36"/>
                <w:sz w:val="17"/>
              </w:rPr>
              <w:t>12,187</w:t>
            </w:r>
          </w:p>
        </w:tc>
      </w:tr>
      <w:tr>
        <w:tc>
          <w:tcPr>
            <w:tcW w:type="dxa" w:w="3600"/>
          </w:tcPr>
          <w:p>
            <w:pPr>
              <w:spacing w:after="20"/>
            </w:pPr>
            <w:r>
              <w:rPr>
                <w:b/>
                <w:color w:val="1C3A36"/>
                <w:sz w:val="17"/>
              </w:rPr>
              <w:t>Equity (EV − net debt), intrinsic</w:t>
            </w:r>
          </w:p>
        </w:tc>
        <w:tc>
          <w:tcPr>
            <w:tcW w:type="dxa" w:w="1872"/>
          </w:tcPr>
          <w:p>
            <w:pPr>
              <w:spacing w:after="20"/>
              <w:jc w:val="right"/>
            </w:pPr>
            <w:r>
              <w:rPr>
                <w:color w:val="1C3A36"/>
                <w:sz w:val="17"/>
              </w:rPr>
              <w:t>-10,781</w:t>
            </w:r>
          </w:p>
        </w:tc>
        <w:tc>
          <w:tcPr>
            <w:tcW w:type="dxa" w:w="1728"/>
          </w:tcPr>
          <w:p>
            <w:pPr>
              <w:spacing w:after="20"/>
              <w:jc w:val="right"/>
            </w:pPr>
            <w:r>
              <w:rPr>
                <w:color w:val="1C3A36"/>
                <w:sz w:val="17"/>
              </w:rPr>
              <w:t>-5,982</w:t>
            </w:r>
          </w:p>
        </w:tc>
        <w:tc>
          <w:tcPr>
            <w:tcW w:type="dxa" w:w="2736"/>
          </w:tcPr>
          <w:p>
            <w:pPr>
              <w:spacing w:after="20"/>
              <w:jc w:val="right"/>
            </w:pPr>
            <w:r>
              <w:rPr>
                <w:color w:val="1C3A36"/>
                <w:sz w:val="17"/>
              </w:rPr>
              <w:t>3,382</w:t>
            </w:r>
          </w:p>
        </w:tc>
      </w:tr>
      <w:tr>
        <w:tc>
          <w:tcPr>
            <w:tcW w:type="dxa" w:w="3600"/>
          </w:tcPr>
          <w:p>
            <w:pPr>
              <w:spacing w:after="20"/>
            </w:pPr>
            <w:r>
              <w:rPr>
                <w:b/>
                <w:color w:val="1C3A36"/>
                <w:sz w:val="17"/>
              </w:rPr>
              <w:t>Per share (floored at zero where negative)</w:t>
            </w:r>
          </w:p>
        </w:tc>
        <w:tc>
          <w:tcPr>
            <w:tcW w:type="dxa" w:w="1872"/>
          </w:tcPr>
          <w:p>
            <w:pPr>
              <w:spacing w:after="20"/>
              <w:jc w:val="right"/>
            </w:pPr>
            <w:r>
              <w:rPr>
                <w:color w:val="1C3A36"/>
                <w:sz w:val="17"/>
              </w:rPr>
              <w:t>0.01</w:t>
            </w:r>
          </w:p>
        </w:tc>
        <w:tc>
          <w:tcPr>
            <w:tcW w:type="dxa" w:w="1728"/>
          </w:tcPr>
          <w:p>
            <w:pPr>
              <w:spacing w:after="20"/>
              <w:jc w:val="right"/>
            </w:pPr>
            <w:r>
              <w:rPr>
                <w:color w:val="1C3A36"/>
                <w:sz w:val="17"/>
              </w:rPr>
              <w:t>0.01</w:t>
            </w:r>
          </w:p>
        </w:tc>
        <w:tc>
          <w:tcPr>
            <w:tcW w:type="dxa" w:w="2736"/>
          </w:tcPr>
          <w:p>
            <w:pPr>
              <w:spacing w:after="20"/>
              <w:jc w:val="right"/>
            </w:pPr>
            <w:r>
              <w:rPr>
                <w:color w:val="1C3A36"/>
                <w:sz w:val="17"/>
              </w:rPr>
              <w:t>1.02</w:t>
            </w:r>
          </w:p>
        </w:tc>
      </w:tr>
    </w:tbl>
    <w:p>
      <w:pPr>
        <w:spacing w:after="40"/>
      </w:pPr>
    </w:p>
    <w:p>
      <w:pPr>
        <w:spacing w:after="200" w:before="0"/>
      </w:pPr>
      <w:r>
        <w:rPr>
          <w:b w:val="0"/>
          <w:i/>
          <w:color w:val="6E7B77"/>
          <w:sz w:val="17"/>
        </w:rPr>
        <w:t>The bull is not the base grid’s corner: it moves volumes, copper, the collection glide, the terminal rate, growth and the debt anchor together, and the terminal return on capital is recomputed under the shifted margins (15.8% bull vs 9.2% base) — which is why its terminal value is a multiple of the base’s. That is the scenario’s construction, disclosed here in full; whether that much goes right at once is exactly what the bear–bull span prices.</w:t>
      </w:r>
    </w:p>
    <w:p>
      <w:pPr>
        <w:spacing w:after="40"/>
        <w:jc w:val="center"/>
      </w:pPr>
      <w:r>
        <w:drawing>
          <wp:inline xmlns:a="http://schemas.openxmlformats.org/drawingml/2006/main" xmlns:pic="http://schemas.openxmlformats.org/drawingml/2006/picture">
            <wp:extent cx="5760720" cy="2494332"/>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494332"/>
                    </a:xfrm>
                    <a:prstGeom prst="rect"/>
                  </pic:spPr>
                </pic:pic>
              </a:graphicData>
            </a:graphic>
          </wp:inline>
        </w:drawing>
      </w:r>
    </w:p>
    <w:p>
      <w:pPr>
        <w:spacing w:after="200" w:before="0"/>
      </w:pPr>
      <w:r>
        <w:rPr>
          <w:b w:val="0"/>
          <w:i/>
          <w:color w:val="6E7B77"/>
          <w:sz w:val="17"/>
        </w:rPr>
        <w:t>Figure 1 — Valuation football field. Bars span bear–bull per lens; the brass tick is each base case; the gold band is the blended central range; the dark line is spot.</w:t>
      </w:r>
    </w:p>
    <w:p>
      <w:pPr>
        <w:spacing w:after="120" w:before="0"/>
      </w:pPr>
      <w:r>
        <w:rPr>
          <w:b/>
          <w:i w:val="0"/>
          <w:color w:val="1C3A36"/>
          <w:sz w:val="21"/>
        </w:rPr>
        <w:t>Central fair value ≈ EGP 0.34/share</w:t>
      </w:r>
      <w:r>
        <w:rPr>
          <w:b w:val="0"/>
          <w:i w:val="0"/>
          <w:color w:val="1C3A36"/>
          <w:sz w:val="21"/>
        </w:rPr>
        <w:t>, 84% below spot. Note what the field is saying: the four base cases span 0.01 (DCF, floored) to 0.91 (book) — a wide span in ratio terms, but every lens lands far below the price, and spot sits outside the whole cluster at the far edge of the bull span. The agreement is on direction: the disagreement in this study is not between the lenses; it is between all of them and the price.</w:t>
      </w:r>
    </w:p>
    <w:p>
      <w:pPr>
        <w:spacing w:after="80" w:before="200"/>
      </w:pPr>
      <w:r>
        <w:rPr>
          <w:b/>
          <w:i w:val="0"/>
          <w:color w:val="1C3A36"/>
          <w:sz w:val="24"/>
        </w:rPr>
        <w:t>1.6  The drivers — a bottom-up tonnage build, calibrated on disclosed anchors</w:t>
      </w:r>
    </w:p>
    <w:p>
      <w:pPr>
        <w:spacing w:after="120" w:before="0"/>
      </w:pPr>
      <w:r>
        <w:rPr>
          <w:b w:val="0"/>
          <w:i w:val="0"/>
          <w:color w:val="1C3A36"/>
          <w:sz w:val="19"/>
        </w:rPr>
        <w:t>The forecast is built from physical volumes and unit economics, not top-line growth rates. Revenue = tonnes shipped × price per tonne, where price per tonne = LME copper × EGP/USD × a fabrication uplift of 1.387× (copper is ~72% of a power-cable price — industry norm, LME moves passed through quotations). EBITDA = tonnes × conversion EBITDA per tonne. Margins are OUTPUTS of this build, not assumptions. The company discloses no volumes, so the build is calibrated on what IS disclosed — revenue, copper, the currency — and validated against the stated ~25,000 t/yr capacity: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368"/>
        <w:gridCol w:w="1008"/>
        <w:gridCol w:w="1512"/>
        <w:gridCol w:w="1656"/>
        <w:gridCol w:w="1224"/>
        <w:gridCol w:w="1440"/>
      </w:tblGrid>
      <w:tr>
        <w:tc>
          <w:tcPr>
            <w:tcW w:type="dxa" w:w="2808"/>
            <w:shd w:val="clear" w:color="auto" w:fill="EAF0EE"/>
          </w:tcPr>
          <w:p>
            <w:pPr>
              <w:spacing w:after="20"/>
            </w:pPr>
            <w:r>
              <w:rPr>
                <w:b/>
                <w:color w:val="1C3A36"/>
                <w:sz w:val="16"/>
              </w:rPr>
              <w:t>Implied history</w:t>
            </w:r>
          </w:p>
        </w:tc>
        <w:tc>
          <w:tcPr>
            <w:tcW w:type="dxa" w:w="1368"/>
            <w:shd w:val="clear" w:color="auto" w:fill="EAF0EE"/>
          </w:tcPr>
          <w:p>
            <w:pPr>
              <w:spacing w:after="20"/>
            </w:pPr>
            <w:r>
              <w:rPr>
                <w:b/>
                <w:color w:val="1C3A36"/>
                <w:sz w:val="16"/>
              </w:rPr>
              <w:t>LME avg ($/t)</w:t>
            </w:r>
          </w:p>
        </w:tc>
        <w:tc>
          <w:tcPr>
            <w:tcW w:type="dxa" w:w="1008"/>
            <w:shd w:val="clear" w:color="auto" w:fill="EAF0EE"/>
          </w:tcPr>
          <w:p>
            <w:pPr>
              <w:spacing w:after="20"/>
            </w:pPr>
            <w:r>
              <w:rPr>
                <w:b/>
                <w:color w:val="1C3A36"/>
                <w:sz w:val="16"/>
              </w:rPr>
              <w:t>EGP avg</w:t>
            </w:r>
          </w:p>
        </w:tc>
        <w:tc>
          <w:tcPr>
            <w:tcW w:type="dxa" w:w="1512"/>
            <w:shd w:val="clear" w:color="auto" w:fill="EAF0EE"/>
          </w:tcPr>
          <w:p>
            <w:pPr>
              <w:spacing w:after="20"/>
            </w:pPr>
            <w:r>
              <w:rPr>
                <w:b/>
                <w:color w:val="1C3A36"/>
                <w:sz w:val="16"/>
              </w:rPr>
              <w:t>Price/t (k EGP)</w:t>
            </w:r>
          </w:p>
        </w:tc>
        <w:tc>
          <w:tcPr>
            <w:tcW w:type="dxa" w:w="1656"/>
            <w:shd w:val="clear" w:color="auto" w:fill="EAF0EE"/>
          </w:tcPr>
          <w:p>
            <w:pPr>
              <w:spacing w:after="20"/>
            </w:pPr>
            <w:r>
              <w:rPr>
                <w:b/>
                <w:color w:val="1C3A36"/>
                <w:sz w:val="16"/>
              </w:rPr>
              <w:t>Implied volume (kt)</w:t>
            </w:r>
          </w:p>
        </w:tc>
        <w:tc>
          <w:tcPr>
            <w:tcW w:type="dxa" w:w="1224"/>
            <w:shd w:val="clear" w:color="auto" w:fill="EAF0EE"/>
          </w:tcPr>
          <w:p>
            <w:pPr>
              <w:spacing w:after="20"/>
            </w:pPr>
            <w:r>
              <w:rPr>
                <w:b/>
                <w:color w:val="1C3A36"/>
                <w:sz w:val="16"/>
              </w:rPr>
              <w:t>Utilization</w:t>
            </w:r>
          </w:p>
        </w:tc>
        <w:tc>
          <w:tcPr>
            <w:tcW w:type="dxa" w:w="1440"/>
            <w:shd w:val="clear" w:color="auto" w:fill="EAF0EE"/>
          </w:tcPr>
          <w:p>
            <w:pPr>
              <w:spacing w:after="20"/>
            </w:pPr>
            <w:r>
              <w:rPr>
                <w:b/>
                <w:color w:val="1C3A36"/>
                <w:sz w:val="16"/>
              </w:rPr>
              <w:t>Conv. EBITDA/t (k)</w:t>
            </w:r>
          </w:p>
        </w:tc>
      </w:tr>
      <w:tr>
        <w:tc>
          <w:tcPr>
            <w:tcW w:type="dxa" w:w="2808"/>
          </w:tcPr>
          <w:p>
            <w:pPr>
              <w:spacing w:after="20"/>
            </w:pPr>
            <w:r>
              <w:rPr>
                <w:b/>
                <w:color w:val="1C3A36"/>
                <w:sz w:val="16"/>
              </w:rPr>
              <w:t>FY23</w:t>
            </w:r>
          </w:p>
        </w:tc>
        <w:tc>
          <w:tcPr>
            <w:tcW w:type="dxa" w:w="1368"/>
          </w:tcPr>
          <w:p>
            <w:pPr>
              <w:spacing w:after="20"/>
              <w:jc w:val="right"/>
            </w:pPr>
            <w:r>
              <w:rPr>
                <w:color w:val="1C3A36"/>
                <w:sz w:val="16"/>
              </w:rPr>
              <w:t>8,478</w:t>
            </w:r>
          </w:p>
        </w:tc>
        <w:tc>
          <w:tcPr>
            <w:tcW w:type="dxa" w:w="1008"/>
          </w:tcPr>
          <w:p>
            <w:pPr>
              <w:spacing w:after="20"/>
              <w:jc w:val="right"/>
            </w:pPr>
            <w:r>
              <w:rPr>
                <w:color w:val="1C3A36"/>
                <w:sz w:val="16"/>
              </w:rPr>
              <w:t>30.7</w:t>
            </w:r>
          </w:p>
        </w:tc>
        <w:tc>
          <w:tcPr>
            <w:tcW w:type="dxa" w:w="1512"/>
          </w:tcPr>
          <w:p>
            <w:pPr>
              <w:spacing w:after="20"/>
              <w:jc w:val="right"/>
            </w:pPr>
            <w:r>
              <w:rPr>
                <w:color w:val="1C3A36"/>
                <w:sz w:val="16"/>
              </w:rPr>
              <w:t>361</w:t>
            </w:r>
          </w:p>
        </w:tc>
        <w:tc>
          <w:tcPr>
            <w:tcW w:type="dxa" w:w="1656"/>
          </w:tcPr>
          <w:p>
            <w:pPr>
              <w:spacing w:after="20"/>
              <w:jc w:val="right"/>
            </w:pPr>
            <w:r>
              <w:rPr>
                <w:color w:val="1C3A36"/>
                <w:sz w:val="16"/>
              </w:rPr>
              <w:t>24.0</w:t>
            </w:r>
          </w:p>
        </w:tc>
        <w:tc>
          <w:tcPr>
            <w:tcW w:type="dxa" w:w="1224"/>
          </w:tcPr>
          <w:p>
            <w:pPr>
              <w:spacing w:after="20"/>
              <w:jc w:val="right"/>
            </w:pPr>
            <w:r>
              <w:rPr>
                <w:color w:val="1C3A36"/>
                <w:sz w:val="16"/>
              </w:rPr>
              <w:t>96%</w:t>
            </w:r>
          </w:p>
        </w:tc>
        <w:tc>
          <w:tcPr>
            <w:tcW w:type="dxa" w:w="1440"/>
          </w:tcPr>
          <w:p>
            <w:pPr>
              <w:spacing w:after="20"/>
              <w:jc w:val="right"/>
            </w:pPr>
            <w:r>
              <w:rPr>
                <w:color w:val="1C3A36"/>
                <w:sz w:val="16"/>
              </w:rPr>
              <w:t>111</w:t>
            </w:r>
          </w:p>
        </w:tc>
      </w:tr>
      <w:tr>
        <w:tc>
          <w:tcPr>
            <w:tcW w:type="dxa" w:w="2808"/>
          </w:tcPr>
          <w:p>
            <w:pPr>
              <w:spacing w:after="20"/>
            </w:pPr>
            <w:r>
              <w:rPr>
                <w:b/>
                <w:color w:val="1C3A36"/>
                <w:sz w:val="16"/>
              </w:rPr>
              <w:t xml:space="preserve">  FY23 at the parallel rate (~38)</w:t>
            </w:r>
          </w:p>
        </w:tc>
        <w:tc>
          <w:tcPr>
            <w:tcW w:type="dxa" w:w="1368"/>
          </w:tcPr>
          <w:p>
            <w:pPr>
              <w:spacing w:after="20"/>
              <w:jc w:val="right"/>
            </w:pPr>
            <w:r>
              <w:rPr>
                <w:color w:val="1C3A36"/>
                <w:sz w:val="16"/>
              </w:rPr>
              <w:t>8,478</w:t>
            </w:r>
          </w:p>
        </w:tc>
        <w:tc>
          <w:tcPr>
            <w:tcW w:type="dxa" w:w="1008"/>
          </w:tcPr>
          <w:p>
            <w:pPr>
              <w:spacing w:after="20"/>
              <w:jc w:val="right"/>
            </w:pPr>
            <w:r>
              <w:rPr>
                <w:color w:val="1C3A36"/>
                <w:sz w:val="16"/>
              </w:rPr>
              <w:t>38.0</w:t>
            </w:r>
          </w:p>
        </w:tc>
        <w:tc>
          <w:tcPr>
            <w:tcW w:type="dxa" w:w="1512"/>
          </w:tcPr>
          <w:p>
            <w:pPr>
              <w:spacing w:after="20"/>
              <w:jc w:val="right"/>
            </w:pPr>
            <w:r>
              <w:rPr>
                <w:color w:val="1C3A36"/>
                <w:sz w:val="16"/>
              </w:rPr>
              <w:t>447</w:t>
            </w:r>
          </w:p>
        </w:tc>
        <w:tc>
          <w:tcPr>
            <w:tcW w:type="dxa" w:w="1656"/>
          </w:tcPr>
          <w:p>
            <w:pPr>
              <w:spacing w:after="20"/>
              <w:jc w:val="right"/>
            </w:pPr>
            <w:r>
              <w:rPr>
                <w:color w:val="1C3A36"/>
                <w:sz w:val="16"/>
              </w:rPr>
              <w:t>19.4</w:t>
            </w:r>
          </w:p>
        </w:tc>
        <w:tc>
          <w:tcPr>
            <w:tcW w:type="dxa" w:w="1224"/>
          </w:tcPr>
          <w:p>
            <w:pPr>
              <w:spacing w:after="20"/>
              <w:jc w:val="right"/>
            </w:pPr>
            <w:r>
              <w:rPr>
                <w:color w:val="1C3A36"/>
                <w:sz w:val="16"/>
              </w:rPr>
              <w:t>78%</w:t>
            </w:r>
          </w:p>
        </w:tc>
        <w:tc>
          <w:tcPr>
            <w:tcW w:type="dxa" w:w="1440"/>
          </w:tcPr>
          <w:p>
            <w:pPr>
              <w:spacing w:after="20"/>
              <w:jc w:val="right"/>
            </w:pPr>
            <w:r>
              <w:rPr>
                <w:color w:val="1C3A36"/>
                <w:sz w:val="16"/>
              </w:rPr>
              <w:t>—</w:t>
            </w:r>
          </w:p>
        </w:tc>
      </w:tr>
      <w:tr>
        <w:tc>
          <w:tcPr>
            <w:tcW w:type="dxa" w:w="2808"/>
          </w:tcPr>
          <w:p>
            <w:pPr>
              <w:spacing w:after="20"/>
            </w:pPr>
            <w:r>
              <w:rPr>
                <w:b/>
                <w:color w:val="1C3A36"/>
                <w:sz w:val="16"/>
              </w:rPr>
              <w:t>FY24 (the validation year)</w:t>
            </w:r>
          </w:p>
        </w:tc>
        <w:tc>
          <w:tcPr>
            <w:tcW w:type="dxa" w:w="1368"/>
          </w:tcPr>
          <w:p>
            <w:pPr>
              <w:spacing w:after="20"/>
              <w:jc w:val="right"/>
            </w:pPr>
            <w:r>
              <w:rPr>
                <w:color w:val="1C3A36"/>
                <w:sz w:val="16"/>
              </w:rPr>
              <w:t>9,147</w:t>
            </w:r>
          </w:p>
        </w:tc>
        <w:tc>
          <w:tcPr>
            <w:tcW w:type="dxa" w:w="1008"/>
          </w:tcPr>
          <w:p>
            <w:pPr>
              <w:spacing w:after="20"/>
              <w:jc w:val="right"/>
            </w:pPr>
            <w:r>
              <w:rPr>
                <w:color w:val="1C3A36"/>
                <w:sz w:val="16"/>
              </w:rPr>
              <w:t>45.3</w:t>
            </w:r>
          </w:p>
        </w:tc>
        <w:tc>
          <w:tcPr>
            <w:tcW w:type="dxa" w:w="1512"/>
          </w:tcPr>
          <w:p>
            <w:pPr>
              <w:spacing w:after="20"/>
              <w:jc w:val="right"/>
            </w:pPr>
            <w:r>
              <w:rPr>
                <w:color w:val="1C3A36"/>
                <w:sz w:val="16"/>
              </w:rPr>
              <w:t>575</w:t>
            </w:r>
          </w:p>
        </w:tc>
        <w:tc>
          <w:tcPr>
            <w:tcW w:type="dxa" w:w="1656"/>
          </w:tcPr>
          <w:p>
            <w:pPr>
              <w:spacing w:after="20"/>
              <w:jc w:val="right"/>
            </w:pPr>
            <w:r>
              <w:rPr>
                <w:color w:val="1C3A36"/>
                <w:sz w:val="16"/>
              </w:rPr>
              <w:t>24.0</w:t>
            </w:r>
          </w:p>
        </w:tc>
        <w:tc>
          <w:tcPr>
            <w:tcW w:type="dxa" w:w="1224"/>
          </w:tcPr>
          <w:p>
            <w:pPr>
              <w:spacing w:after="20"/>
              <w:jc w:val="right"/>
            </w:pPr>
            <w:r>
              <w:rPr>
                <w:color w:val="1C3A36"/>
                <w:sz w:val="16"/>
              </w:rPr>
              <w:t>96%</w:t>
            </w:r>
          </w:p>
        </w:tc>
        <w:tc>
          <w:tcPr>
            <w:tcW w:type="dxa" w:w="1440"/>
          </w:tcPr>
          <w:p>
            <w:pPr>
              <w:spacing w:after="20"/>
              <w:jc w:val="right"/>
            </w:pPr>
            <w:r>
              <w:rPr>
                <w:color w:val="1C3A36"/>
                <w:sz w:val="16"/>
              </w:rPr>
              <w:t>146</w:t>
            </w:r>
          </w:p>
        </w:tc>
      </w:tr>
      <w:tr>
        <w:tc>
          <w:tcPr>
            <w:tcW w:type="dxa" w:w="2808"/>
          </w:tcPr>
          <w:p>
            <w:pPr>
              <w:spacing w:after="20"/>
            </w:pPr>
            <w:r>
              <w:rPr>
                <w:b/>
                <w:color w:val="1C3A36"/>
                <w:sz w:val="16"/>
              </w:rPr>
              <w:t>FY25</w:t>
            </w:r>
          </w:p>
        </w:tc>
        <w:tc>
          <w:tcPr>
            <w:tcW w:type="dxa" w:w="1368"/>
          </w:tcPr>
          <w:p>
            <w:pPr>
              <w:spacing w:after="20"/>
              <w:jc w:val="right"/>
            </w:pPr>
            <w:r>
              <w:rPr>
                <w:color w:val="1C3A36"/>
                <w:sz w:val="16"/>
              </w:rPr>
              <w:t>10,000</w:t>
            </w:r>
          </w:p>
        </w:tc>
        <w:tc>
          <w:tcPr>
            <w:tcW w:type="dxa" w:w="1008"/>
          </w:tcPr>
          <w:p>
            <w:pPr>
              <w:spacing w:after="20"/>
              <w:jc w:val="right"/>
            </w:pPr>
            <w:r>
              <w:rPr>
                <w:color w:val="1C3A36"/>
                <w:sz w:val="16"/>
              </w:rPr>
              <w:t>49.5</w:t>
            </w:r>
          </w:p>
        </w:tc>
        <w:tc>
          <w:tcPr>
            <w:tcW w:type="dxa" w:w="1512"/>
          </w:tcPr>
          <w:p>
            <w:pPr>
              <w:spacing w:after="20"/>
              <w:jc w:val="right"/>
            </w:pPr>
            <w:r>
              <w:rPr>
                <w:color w:val="1C3A36"/>
                <w:sz w:val="16"/>
              </w:rPr>
              <w:t>687</w:t>
            </w:r>
          </w:p>
        </w:tc>
        <w:tc>
          <w:tcPr>
            <w:tcW w:type="dxa" w:w="1656"/>
          </w:tcPr>
          <w:p>
            <w:pPr>
              <w:spacing w:after="20"/>
              <w:jc w:val="right"/>
            </w:pPr>
            <w:r>
              <w:rPr>
                <w:color w:val="1C3A36"/>
                <w:sz w:val="16"/>
              </w:rPr>
              <w:t>15.8</w:t>
            </w:r>
          </w:p>
        </w:tc>
        <w:tc>
          <w:tcPr>
            <w:tcW w:type="dxa" w:w="1224"/>
          </w:tcPr>
          <w:p>
            <w:pPr>
              <w:spacing w:after="20"/>
              <w:jc w:val="right"/>
            </w:pPr>
            <w:r>
              <w:rPr>
                <w:color w:val="1C3A36"/>
                <w:sz w:val="16"/>
              </w:rPr>
              <w:t>63%</w:t>
            </w:r>
          </w:p>
        </w:tc>
        <w:tc>
          <w:tcPr>
            <w:tcW w:type="dxa" w:w="1440"/>
          </w:tcPr>
          <w:p>
            <w:pPr>
              <w:spacing w:after="20"/>
              <w:jc w:val="right"/>
            </w:pPr>
            <w:r>
              <w:rPr>
                <w:color w:val="1C3A36"/>
                <w:sz w:val="16"/>
              </w:rPr>
              <w:t>182</w:t>
            </w:r>
          </w:p>
        </w:tc>
      </w:tr>
      <w:tr>
        <w:tc>
          <w:tcPr>
            <w:tcW w:type="dxa" w:w="2808"/>
          </w:tcPr>
          <w:p>
            <w:pPr>
              <w:spacing w:after="20"/>
            </w:pPr>
            <w:r>
              <w:rPr>
                <w:b/>
                <w:color w:val="1C3A36"/>
                <w:sz w:val="16"/>
              </w:rPr>
              <w:t>Q1-2026, annualized</w:t>
            </w:r>
          </w:p>
        </w:tc>
        <w:tc>
          <w:tcPr>
            <w:tcW w:type="dxa" w:w="1368"/>
          </w:tcPr>
          <w:p>
            <w:pPr>
              <w:spacing w:after="20"/>
              <w:jc w:val="right"/>
            </w:pPr>
            <w:r>
              <w:rPr>
                <w:color w:val="1C3A36"/>
                <w:sz w:val="16"/>
              </w:rPr>
              <w:t>12,852</w:t>
            </w:r>
          </w:p>
        </w:tc>
        <w:tc>
          <w:tcPr>
            <w:tcW w:type="dxa" w:w="1008"/>
          </w:tcPr>
          <w:p>
            <w:pPr>
              <w:spacing w:after="20"/>
              <w:jc w:val="right"/>
            </w:pPr>
            <w:r>
              <w:rPr>
                <w:color w:val="1C3A36"/>
                <w:sz w:val="16"/>
              </w:rPr>
              <w:t>50.4</w:t>
            </w:r>
          </w:p>
        </w:tc>
        <w:tc>
          <w:tcPr>
            <w:tcW w:type="dxa" w:w="1512"/>
          </w:tcPr>
          <w:p>
            <w:pPr>
              <w:spacing w:after="20"/>
              <w:jc w:val="right"/>
            </w:pPr>
            <w:r>
              <w:rPr>
                <w:color w:val="1C3A36"/>
                <w:sz w:val="16"/>
              </w:rPr>
              <w:t>898</w:t>
            </w:r>
          </w:p>
        </w:tc>
        <w:tc>
          <w:tcPr>
            <w:tcW w:type="dxa" w:w="1656"/>
          </w:tcPr>
          <w:p>
            <w:pPr>
              <w:spacing w:after="20"/>
              <w:jc w:val="right"/>
            </w:pPr>
            <w:r>
              <w:rPr>
                <w:color w:val="1C3A36"/>
                <w:sz w:val="16"/>
              </w:rPr>
              <w:t>9.3</w:t>
            </w:r>
          </w:p>
        </w:tc>
        <w:tc>
          <w:tcPr>
            <w:tcW w:type="dxa" w:w="1224"/>
          </w:tcPr>
          <w:p>
            <w:pPr>
              <w:spacing w:after="20"/>
              <w:jc w:val="right"/>
            </w:pPr>
            <w:r>
              <w:rPr>
                <w:color w:val="1C3A36"/>
                <w:sz w:val="16"/>
              </w:rPr>
              <w:t>37%</w:t>
            </w:r>
          </w:p>
        </w:tc>
        <w:tc>
          <w:tcPr>
            <w:tcW w:type="dxa" w:w="1440"/>
          </w:tcPr>
          <w:p>
            <w:pPr>
              <w:spacing w:after="20"/>
              <w:jc w:val="right"/>
            </w:pPr>
            <w:r>
              <w:rPr>
                <w:color w:val="1C3A36"/>
                <w:sz w:val="16"/>
              </w:rPr>
              <w:t>11</w:t>
            </w:r>
          </w:p>
        </w:tc>
      </w:tr>
    </w:tbl>
    <w:p>
      <w:pPr>
        <w:spacing w:after="40"/>
      </w:pPr>
    </w:p>
    <w:p>
      <w:pPr>
        <w:spacing w:after="200" w:before="0"/>
      </w:pPr>
      <w:r>
        <w:rPr>
          <w:b w:val="0"/>
          <w:i/>
          <w:color w:val="6E7B77"/>
          <w:sz w:val="17"/>
        </w:rPr>
        <w:t>The fabrication uplift (1.387×) is set from the industry copper-share norm, NOT fitted to this table — that FY24 then back-solves to 24.0 kt, 96% of the stated capacity in the boom year, is the validation. The decomposition’s central finding: the revenue collapse is a VOLUME collapse (utilization ~96% → ~38%), partly masked by record copper; and conversion EBITDA per tonne collapsed with it (146 → 11 k EGP/t) as fixed costs lost their absorption. FY25’s 182 k/t is inflated by copper inventory gains. Capacity figure is single-sourced and possibly parent-only — utilization is indicative.</w:t>
      </w:r>
    </w:p>
    <w:p>
      <w:pPr>
        <w:spacing w:after="80" w:before="0"/>
      </w:pPr>
      <w:r>
        <w:rPr>
          <w:b w:val="0"/>
          <w:i w:val="0"/>
          <w:color w:val="1C3A36"/>
          <w:sz w:val="19"/>
        </w:rPr>
        <w:t>The forecast drivers, on the same axes: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368"/>
        <w:gridCol w:w="1368"/>
        <w:gridCol w:w="1368"/>
        <w:gridCol w:w="1368"/>
      </w:tblGrid>
      <w:tr>
        <w:tc>
          <w:tcPr>
            <w:tcW w:type="dxa" w:w="3096"/>
            <w:shd w:val="clear" w:color="auto" w:fill="EAF0EE"/>
          </w:tcPr>
          <w:p>
            <w:pPr>
              <w:spacing w:after="20"/>
            </w:pPr>
            <w:r>
              <w:rPr>
                <w:b/>
                <w:color w:val="1C3A36"/>
                <w:sz w:val="17"/>
              </w:rPr>
              <w:t>Driver</w:t>
            </w:r>
          </w:p>
        </w:tc>
        <w:tc>
          <w:tcPr>
            <w:tcW w:type="dxa" w:w="1368"/>
            <w:shd w:val="clear" w:color="auto" w:fill="EAF0EE"/>
          </w:tcPr>
          <w:p>
            <w:pPr>
              <w:spacing w:after="20"/>
            </w:pPr>
            <w:r>
              <w:rPr>
                <w:b/>
                <w:color w:val="1C3A36"/>
                <w:sz w:val="17"/>
              </w:rPr>
              <w:t>FY26E</w:t>
            </w:r>
          </w:p>
        </w:tc>
        <w:tc>
          <w:tcPr>
            <w:tcW w:type="dxa" w:w="1368"/>
            <w:shd w:val="clear" w:color="auto" w:fill="EAF0EE"/>
          </w:tcPr>
          <w:p>
            <w:pPr>
              <w:spacing w:after="20"/>
            </w:pPr>
            <w:r>
              <w:rPr>
                <w:b/>
                <w:color w:val="1C3A36"/>
                <w:sz w:val="17"/>
              </w:rPr>
              <w:t>FY27E</w:t>
            </w:r>
          </w:p>
        </w:tc>
        <w:tc>
          <w:tcPr>
            <w:tcW w:type="dxa" w:w="1368"/>
            <w:shd w:val="clear" w:color="auto" w:fill="EAF0EE"/>
          </w:tcPr>
          <w:p>
            <w:pPr>
              <w:spacing w:after="20"/>
            </w:pPr>
            <w:r>
              <w:rPr>
                <w:b/>
                <w:color w:val="1C3A36"/>
                <w:sz w:val="17"/>
              </w:rPr>
              <w:t>FY28E</w:t>
            </w:r>
          </w:p>
        </w:tc>
        <w:tc>
          <w:tcPr>
            <w:tcW w:type="dxa" w:w="1368"/>
            <w:shd w:val="clear" w:color="auto" w:fill="EAF0EE"/>
          </w:tcPr>
          <w:p>
            <w:pPr>
              <w:spacing w:after="20"/>
            </w:pPr>
            <w:r>
              <w:rPr>
                <w:b/>
                <w:color w:val="1C3A36"/>
                <w:sz w:val="17"/>
              </w:rPr>
              <w:t>FY29E</w:t>
            </w:r>
          </w:p>
        </w:tc>
        <w:tc>
          <w:tcPr>
            <w:tcW w:type="dxa" w:w="1368"/>
            <w:shd w:val="clear" w:color="auto" w:fill="EAF0EE"/>
          </w:tcPr>
          <w:p>
            <w:pPr>
              <w:spacing w:after="20"/>
            </w:pPr>
            <w:r>
              <w:rPr>
                <w:b/>
                <w:color w:val="1C3A36"/>
                <w:sz w:val="17"/>
              </w:rPr>
              <w:t>FY30E</w:t>
            </w:r>
          </w:p>
        </w:tc>
      </w:tr>
      <w:tr>
        <w:tc>
          <w:tcPr>
            <w:tcW w:type="dxa" w:w="3096"/>
          </w:tcPr>
          <w:p>
            <w:pPr>
              <w:spacing w:after="20"/>
            </w:pPr>
            <w:r>
              <w:rPr>
                <w:b/>
                <w:color w:val="1C3A36"/>
                <w:sz w:val="17"/>
              </w:rPr>
              <w:t>Volume (kt)</w:t>
            </w:r>
          </w:p>
        </w:tc>
        <w:tc>
          <w:tcPr>
            <w:tcW w:type="dxa" w:w="1368"/>
          </w:tcPr>
          <w:p>
            <w:pPr>
              <w:spacing w:after="20"/>
              <w:jc w:val="right"/>
            </w:pPr>
            <w:r>
              <w:rPr>
                <w:color w:val="1C3A36"/>
                <w:sz w:val="17"/>
              </w:rPr>
              <w:t>10.4</w:t>
            </w:r>
          </w:p>
        </w:tc>
        <w:tc>
          <w:tcPr>
            <w:tcW w:type="dxa" w:w="1368"/>
          </w:tcPr>
          <w:p>
            <w:pPr>
              <w:spacing w:after="20"/>
              <w:jc w:val="right"/>
            </w:pPr>
            <w:r>
              <w:rPr>
                <w:color w:val="1C3A36"/>
                <w:sz w:val="17"/>
              </w:rPr>
              <w:t>11.9</w:t>
            </w:r>
          </w:p>
        </w:tc>
        <w:tc>
          <w:tcPr>
            <w:tcW w:type="dxa" w:w="1368"/>
          </w:tcPr>
          <w:p>
            <w:pPr>
              <w:spacing w:after="20"/>
              <w:jc w:val="right"/>
            </w:pPr>
            <w:r>
              <w:rPr>
                <w:color w:val="1C3A36"/>
                <w:sz w:val="17"/>
              </w:rPr>
              <w:t>13.4</w:t>
            </w:r>
          </w:p>
        </w:tc>
        <w:tc>
          <w:tcPr>
            <w:tcW w:type="dxa" w:w="1368"/>
          </w:tcPr>
          <w:p>
            <w:pPr>
              <w:spacing w:after="20"/>
              <w:jc w:val="right"/>
            </w:pPr>
            <w:r>
              <w:rPr>
                <w:color w:val="1C3A36"/>
                <w:sz w:val="17"/>
              </w:rPr>
              <w:t>14.8</w:t>
            </w:r>
          </w:p>
        </w:tc>
        <w:tc>
          <w:tcPr>
            <w:tcW w:type="dxa" w:w="1368"/>
          </w:tcPr>
          <w:p>
            <w:pPr>
              <w:spacing w:after="20"/>
              <w:jc w:val="right"/>
            </w:pPr>
            <w:r>
              <w:rPr>
                <w:color w:val="1C3A36"/>
                <w:sz w:val="17"/>
              </w:rPr>
              <w:t>16.0</w:t>
            </w:r>
          </w:p>
        </w:tc>
      </w:tr>
      <w:tr>
        <w:tc>
          <w:tcPr>
            <w:tcW w:type="dxa" w:w="3096"/>
          </w:tcPr>
          <w:p>
            <w:pPr>
              <w:spacing w:after="20"/>
            </w:pPr>
            <w:r>
              <w:rPr>
                <w:b/>
                <w:color w:val="1C3A36"/>
                <w:sz w:val="17"/>
              </w:rPr>
              <w:t>Utilization</w:t>
            </w:r>
          </w:p>
        </w:tc>
        <w:tc>
          <w:tcPr>
            <w:tcW w:type="dxa" w:w="1368"/>
          </w:tcPr>
          <w:p>
            <w:pPr>
              <w:spacing w:after="20"/>
              <w:jc w:val="right"/>
            </w:pPr>
            <w:r>
              <w:rPr>
                <w:color w:val="1C3A36"/>
                <w:sz w:val="17"/>
              </w:rPr>
              <w:t>42%</w:t>
            </w:r>
          </w:p>
        </w:tc>
        <w:tc>
          <w:tcPr>
            <w:tcW w:type="dxa" w:w="1368"/>
          </w:tcPr>
          <w:p>
            <w:pPr>
              <w:spacing w:after="20"/>
              <w:jc w:val="right"/>
            </w:pPr>
            <w:r>
              <w:rPr>
                <w:color w:val="1C3A36"/>
                <w:sz w:val="17"/>
              </w:rPr>
              <w:t>48%</w:t>
            </w:r>
          </w:p>
        </w:tc>
        <w:tc>
          <w:tcPr>
            <w:tcW w:type="dxa" w:w="1368"/>
          </w:tcPr>
          <w:p>
            <w:pPr>
              <w:spacing w:after="20"/>
              <w:jc w:val="right"/>
            </w:pPr>
            <w:r>
              <w:rPr>
                <w:color w:val="1C3A36"/>
                <w:sz w:val="17"/>
              </w:rPr>
              <w:t>54%</w:t>
            </w:r>
          </w:p>
        </w:tc>
        <w:tc>
          <w:tcPr>
            <w:tcW w:type="dxa" w:w="1368"/>
          </w:tcPr>
          <w:p>
            <w:pPr>
              <w:spacing w:after="20"/>
              <w:jc w:val="right"/>
            </w:pPr>
            <w:r>
              <w:rPr>
                <w:color w:val="1C3A36"/>
                <w:sz w:val="17"/>
              </w:rPr>
              <w:t>59%</w:t>
            </w:r>
          </w:p>
        </w:tc>
        <w:tc>
          <w:tcPr>
            <w:tcW w:type="dxa" w:w="1368"/>
          </w:tcPr>
          <w:p>
            <w:pPr>
              <w:spacing w:after="20"/>
              <w:jc w:val="right"/>
            </w:pPr>
            <w:r>
              <w:rPr>
                <w:color w:val="1C3A36"/>
                <w:sz w:val="17"/>
              </w:rPr>
              <w:t>64%</w:t>
            </w:r>
          </w:p>
        </w:tc>
      </w:tr>
      <w:tr>
        <w:tc>
          <w:tcPr>
            <w:tcW w:type="dxa" w:w="3096"/>
          </w:tcPr>
          <w:p>
            <w:pPr>
              <w:spacing w:after="20"/>
            </w:pPr>
            <w:r>
              <w:rPr>
                <w:b/>
                <w:color w:val="1C3A36"/>
                <w:sz w:val="17"/>
              </w:rPr>
              <w:t>LME copper ($/t) — flat at the current market level</w:t>
            </w:r>
          </w:p>
        </w:tc>
        <w:tc>
          <w:tcPr>
            <w:tcW w:type="dxa" w:w="1368"/>
          </w:tcPr>
          <w:p>
            <w:pPr>
              <w:spacing w:after="20"/>
              <w:jc w:val="right"/>
            </w:pPr>
            <w:r>
              <w:rPr>
                <w:color w:val="1C3A36"/>
                <w:sz w:val="17"/>
              </w:rPr>
              <w:t>14,000</w:t>
            </w:r>
          </w:p>
        </w:tc>
        <w:tc>
          <w:tcPr>
            <w:tcW w:type="dxa" w:w="1368"/>
          </w:tcPr>
          <w:p>
            <w:pPr>
              <w:spacing w:after="20"/>
              <w:jc w:val="right"/>
            </w:pPr>
            <w:r>
              <w:rPr>
                <w:color w:val="1C3A36"/>
                <w:sz w:val="17"/>
              </w:rPr>
              <w:t>14,000</w:t>
            </w:r>
          </w:p>
        </w:tc>
        <w:tc>
          <w:tcPr>
            <w:tcW w:type="dxa" w:w="1368"/>
          </w:tcPr>
          <w:p>
            <w:pPr>
              <w:spacing w:after="20"/>
              <w:jc w:val="right"/>
            </w:pPr>
            <w:r>
              <w:rPr>
                <w:color w:val="1C3A36"/>
                <w:sz w:val="17"/>
              </w:rPr>
              <w:t>14,000</w:t>
            </w:r>
          </w:p>
        </w:tc>
        <w:tc>
          <w:tcPr>
            <w:tcW w:type="dxa" w:w="1368"/>
          </w:tcPr>
          <w:p>
            <w:pPr>
              <w:spacing w:after="20"/>
              <w:jc w:val="right"/>
            </w:pPr>
            <w:r>
              <w:rPr>
                <w:color w:val="1C3A36"/>
                <w:sz w:val="17"/>
              </w:rPr>
              <w:t>14,000</w:t>
            </w:r>
          </w:p>
        </w:tc>
        <w:tc>
          <w:tcPr>
            <w:tcW w:type="dxa" w:w="1368"/>
          </w:tcPr>
          <w:p>
            <w:pPr>
              <w:spacing w:after="20"/>
              <w:jc w:val="right"/>
            </w:pPr>
            <w:r>
              <w:rPr>
                <w:color w:val="1C3A36"/>
                <w:sz w:val="17"/>
              </w:rPr>
              <w:t>14,000</w:t>
            </w:r>
          </w:p>
        </w:tc>
      </w:tr>
      <w:tr>
        <w:tc>
          <w:tcPr>
            <w:tcW w:type="dxa" w:w="3096"/>
          </w:tcPr>
          <w:p>
            <w:pPr>
              <w:spacing w:after="20"/>
            </w:pPr>
            <w:r>
              <w:rPr>
                <w:b/>
                <w:color w:val="1C3A36"/>
                <w:sz w:val="17"/>
              </w:rPr>
              <w:t>EGP/USD (~3%/yr crawl)</w:t>
            </w:r>
          </w:p>
        </w:tc>
        <w:tc>
          <w:tcPr>
            <w:tcW w:type="dxa" w:w="1368"/>
          </w:tcPr>
          <w:p>
            <w:pPr>
              <w:spacing w:after="20"/>
              <w:jc w:val="right"/>
            </w:pPr>
            <w:r>
              <w:rPr>
                <w:color w:val="1C3A36"/>
                <w:sz w:val="17"/>
              </w:rPr>
              <w:t>50.4</w:t>
            </w:r>
          </w:p>
        </w:tc>
        <w:tc>
          <w:tcPr>
            <w:tcW w:type="dxa" w:w="1368"/>
          </w:tcPr>
          <w:p>
            <w:pPr>
              <w:spacing w:after="20"/>
              <w:jc w:val="right"/>
            </w:pPr>
            <w:r>
              <w:rPr>
                <w:color w:val="1C3A36"/>
                <w:sz w:val="17"/>
              </w:rPr>
              <w:t>52.0</w:t>
            </w:r>
          </w:p>
        </w:tc>
        <w:tc>
          <w:tcPr>
            <w:tcW w:type="dxa" w:w="1368"/>
          </w:tcPr>
          <w:p>
            <w:pPr>
              <w:spacing w:after="20"/>
              <w:jc w:val="right"/>
            </w:pPr>
            <w:r>
              <w:rPr>
                <w:color w:val="1C3A36"/>
                <w:sz w:val="17"/>
              </w:rPr>
              <w:t>53.5</w:t>
            </w:r>
          </w:p>
        </w:tc>
        <w:tc>
          <w:tcPr>
            <w:tcW w:type="dxa" w:w="1368"/>
          </w:tcPr>
          <w:p>
            <w:pPr>
              <w:spacing w:after="20"/>
              <w:jc w:val="right"/>
            </w:pPr>
            <w:r>
              <w:rPr>
                <w:color w:val="1C3A36"/>
                <w:sz w:val="17"/>
              </w:rPr>
              <w:t>55.0</w:t>
            </w:r>
          </w:p>
        </w:tc>
        <w:tc>
          <w:tcPr>
            <w:tcW w:type="dxa" w:w="1368"/>
          </w:tcPr>
          <w:p>
            <w:pPr>
              <w:spacing w:after="20"/>
              <w:jc w:val="right"/>
            </w:pPr>
            <w:r>
              <w:rPr>
                <w:color w:val="1C3A36"/>
                <w:sz w:val="17"/>
              </w:rPr>
              <w:t>56.5</w:t>
            </w:r>
          </w:p>
        </w:tc>
      </w:tr>
      <w:tr>
        <w:tc>
          <w:tcPr>
            <w:tcW w:type="dxa" w:w="3096"/>
          </w:tcPr>
          <w:p>
            <w:pPr>
              <w:spacing w:after="20"/>
            </w:pPr>
            <w:r>
              <w:rPr>
                <w:b/>
                <w:color w:val="1C3A36"/>
                <w:sz w:val="17"/>
              </w:rPr>
              <w:t>Price per tonne (k EGP)</w:t>
            </w:r>
          </w:p>
        </w:tc>
        <w:tc>
          <w:tcPr>
            <w:tcW w:type="dxa" w:w="1368"/>
          </w:tcPr>
          <w:p>
            <w:pPr>
              <w:spacing w:after="20"/>
              <w:jc w:val="right"/>
            </w:pPr>
            <w:r>
              <w:rPr>
                <w:color w:val="1C3A36"/>
                <w:sz w:val="17"/>
              </w:rPr>
              <w:t>979</w:t>
            </w:r>
          </w:p>
        </w:tc>
        <w:tc>
          <w:tcPr>
            <w:tcW w:type="dxa" w:w="1368"/>
          </w:tcPr>
          <w:p>
            <w:pPr>
              <w:spacing w:after="20"/>
              <w:jc w:val="right"/>
            </w:pPr>
            <w:r>
              <w:rPr>
                <w:color w:val="1C3A36"/>
                <w:sz w:val="17"/>
              </w:rPr>
              <w:t>1,010</w:t>
            </w:r>
          </w:p>
        </w:tc>
        <w:tc>
          <w:tcPr>
            <w:tcW w:type="dxa" w:w="1368"/>
          </w:tcPr>
          <w:p>
            <w:pPr>
              <w:spacing w:after="20"/>
              <w:jc w:val="right"/>
            </w:pPr>
            <w:r>
              <w:rPr>
                <w:color w:val="1C3A36"/>
                <w:sz w:val="17"/>
              </w:rPr>
              <w:t>1,039</w:t>
            </w:r>
          </w:p>
        </w:tc>
        <w:tc>
          <w:tcPr>
            <w:tcW w:type="dxa" w:w="1368"/>
          </w:tcPr>
          <w:p>
            <w:pPr>
              <w:spacing w:after="20"/>
              <w:jc w:val="right"/>
            </w:pPr>
            <w:r>
              <w:rPr>
                <w:color w:val="1C3A36"/>
                <w:sz w:val="17"/>
              </w:rPr>
              <w:t>1,068</w:t>
            </w:r>
          </w:p>
        </w:tc>
        <w:tc>
          <w:tcPr>
            <w:tcW w:type="dxa" w:w="1368"/>
          </w:tcPr>
          <w:p>
            <w:pPr>
              <w:spacing w:after="20"/>
              <w:jc w:val="right"/>
            </w:pPr>
            <w:r>
              <w:rPr>
                <w:color w:val="1C3A36"/>
                <w:sz w:val="17"/>
              </w:rPr>
              <w:t>1,097</w:t>
            </w:r>
          </w:p>
        </w:tc>
      </w:tr>
      <w:tr>
        <w:tc>
          <w:tcPr>
            <w:tcW w:type="dxa" w:w="3096"/>
          </w:tcPr>
          <w:p>
            <w:pPr>
              <w:spacing w:after="20"/>
            </w:pPr>
            <w:r>
              <w:rPr>
                <w:b/>
                <w:color w:val="1C3A36"/>
                <w:sz w:val="17"/>
              </w:rPr>
              <w:t>Revenue (EGP mn)</w:t>
            </w:r>
          </w:p>
        </w:tc>
        <w:tc>
          <w:tcPr>
            <w:tcW w:type="dxa" w:w="1368"/>
          </w:tcPr>
          <w:p>
            <w:pPr>
              <w:spacing w:after="20"/>
              <w:jc w:val="right"/>
            </w:pPr>
            <w:r>
              <w:rPr>
                <w:color w:val="1C3A36"/>
                <w:sz w:val="17"/>
              </w:rPr>
              <w:t>10,178</w:t>
            </w:r>
          </w:p>
        </w:tc>
        <w:tc>
          <w:tcPr>
            <w:tcW w:type="dxa" w:w="1368"/>
          </w:tcPr>
          <w:p>
            <w:pPr>
              <w:spacing w:after="20"/>
              <w:jc w:val="right"/>
            </w:pPr>
            <w:r>
              <w:rPr>
                <w:color w:val="1C3A36"/>
                <w:sz w:val="17"/>
              </w:rPr>
              <w:t>12,016</w:t>
            </w:r>
          </w:p>
        </w:tc>
        <w:tc>
          <w:tcPr>
            <w:tcW w:type="dxa" w:w="1368"/>
          </w:tcPr>
          <w:p>
            <w:pPr>
              <w:spacing w:after="20"/>
              <w:jc w:val="right"/>
            </w:pPr>
            <w:r>
              <w:rPr>
                <w:color w:val="1C3A36"/>
                <w:sz w:val="17"/>
              </w:rPr>
              <w:t>13,921</w:t>
            </w:r>
          </w:p>
        </w:tc>
        <w:tc>
          <w:tcPr>
            <w:tcW w:type="dxa" w:w="1368"/>
          </w:tcPr>
          <w:p>
            <w:pPr>
              <w:spacing w:after="20"/>
              <w:jc w:val="right"/>
            </w:pPr>
            <w:r>
              <w:rPr>
                <w:color w:val="1C3A36"/>
                <w:sz w:val="17"/>
              </w:rPr>
              <w:t>15,806</w:t>
            </w:r>
          </w:p>
        </w:tc>
        <w:tc>
          <w:tcPr>
            <w:tcW w:type="dxa" w:w="1368"/>
          </w:tcPr>
          <w:p>
            <w:pPr>
              <w:spacing w:after="20"/>
              <w:jc w:val="right"/>
            </w:pPr>
            <w:r>
              <w:rPr>
                <w:color w:val="1C3A36"/>
                <w:sz w:val="17"/>
              </w:rPr>
              <w:t>17,554</w:t>
            </w:r>
          </w:p>
        </w:tc>
      </w:tr>
      <w:tr>
        <w:tc>
          <w:tcPr>
            <w:tcW w:type="dxa" w:w="3096"/>
          </w:tcPr>
          <w:p>
            <w:pPr>
              <w:spacing w:after="20"/>
            </w:pPr>
            <w:r>
              <w:rPr>
                <w:b/>
                <w:color w:val="1C3A36"/>
                <w:sz w:val="17"/>
              </w:rPr>
              <w:t>Conversion EBITDA/t (k EGP)</w:t>
            </w:r>
          </w:p>
        </w:tc>
        <w:tc>
          <w:tcPr>
            <w:tcW w:type="dxa" w:w="1368"/>
          </w:tcPr>
          <w:p>
            <w:pPr>
              <w:spacing w:after="20"/>
              <w:jc w:val="right"/>
            </w:pPr>
            <w:r>
              <w:rPr>
                <w:color w:val="1C3A36"/>
                <w:sz w:val="17"/>
              </w:rPr>
              <w:t>40</w:t>
            </w:r>
          </w:p>
        </w:tc>
        <w:tc>
          <w:tcPr>
            <w:tcW w:type="dxa" w:w="1368"/>
          </w:tcPr>
          <w:p>
            <w:pPr>
              <w:spacing w:after="20"/>
              <w:jc w:val="right"/>
            </w:pPr>
            <w:r>
              <w:rPr>
                <w:color w:val="1C3A36"/>
                <w:sz w:val="17"/>
              </w:rPr>
              <w:t>90</w:t>
            </w:r>
          </w:p>
        </w:tc>
        <w:tc>
          <w:tcPr>
            <w:tcW w:type="dxa" w:w="1368"/>
          </w:tcPr>
          <w:p>
            <w:pPr>
              <w:spacing w:after="20"/>
              <w:jc w:val="right"/>
            </w:pPr>
            <w:r>
              <w:rPr>
                <w:color w:val="1C3A36"/>
                <w:sz w:val="17"/>
              </w:rPr>
              <w:t>115</w:t>
            </w:r>
          </w:p>
        </w:tc>
        <w:tc>
          <w:tcPr>
            <w:tcW w:type="dxa" w:w="1368"/>
          </w:tcPr>
          <w:p>
            <w:pPr>
              <w:spacing w:after="20"/>
              <w:jc w:val="right"/>
            </w:pPr>
            <w:r>
              <w:rPr>
                <w:color w:val="1C3A36"/>
                <w:sz w:val="17"/>
              </w:rPr>
              <w:t>128</w:t>
            </w:r>
          </w:p>
        </w:tc>
        <w:tc>
          <w:tcPr>
            <w:tcW w:type="dxa" w:w="1368"/>
          </w:tcPr>
          <w:p>
            <w:pPr>
              <w:spacing w:after="20"/>
              <w:jc w:val="right"/>
            </w:pPr>
            <w:r>
              <w:rPr>
                <w:color w:val="1C3A36"/>
                <w:sz w:val="17"/>
              </w:rPr>
              <w:t>135</w:t>
            </w:r>
          </w:p>
        </w:tc>
      </w:tr>
      <w:tr>
        <w:tc>
          <w:tcPr>
            <w:tcW w:type="dxa" w:w="3096"/>
          </w:tcPr>
          <w:p>
            <w:pPr>
              <w:spacing w:after="20"/>
            </w:pPr>
            <w:r>
              <w:rPr>
                <w:b/>
                <w:color w:val="1C3A36"/>
                <w:sz w:val="17"/>
              </w:rPr>
              <w:t>EBITDA (EGP mn) — output</w:t>
            </w:r>
          </w:p>
        </w:tc>
        <w:tc>
          <w:tcPr>
            <w:tcW w:type="dxa" w:w="1368"/>
          </w:tcPr>
          <w:p>
            <w:pPr>
              <w:spacing w:after="20"/>
              <w:jc w:val="right"/>
            </w:pPr>
            <w:r>
              <w:rPr>
                <w:color w:val="1C3A36"/>
                <w:sz w:val="17"/>
              </w:rPr>
              <w:t>416</w:t>
            </w:r>
          </w:p>
        </w:tc>
        <w:tc>
          <w:tcPr>
            <w:tcW w:type="dxa" w:w="1368"/>
          </w:tcPr>
          <w:p>
            <w:pPr>
              <w:spacing w:after="20"/>
              <w:jc w:val="right"/>
            </w:pPr>
            <w:r>
              <w:rPr>
                <w:color w:val="1C3A36"/>
                <w:sz w:val="17"/>
              </w:rPr>
              <w:t>1,071</w:t>
            </w:r>
          </w:p>
        </w:tc>
        <w:tc>
          <w:tcPr>
            <w:tcW w:type="dxa" w:w="1368"/>
          </w:tcPr>
          <w:p>
            <w:pPr>
              <w:spacing w:after="20"/>
              <w:jc w:val="right"/>
            </w:pPr>
            <w:r>
              <w:rPr>
                <w:color w:val="1C3A36"/>
                <w:sz w:val="17"/>
              </w:rPr>
              <w:t>1,541</w:t>
            </w:r>
          </w:p>
        </w:tc>
        <w:tc>
          <w:tcPr>
            <w:tcW w:type="dxa" w:w="1368"/>
          </w:tcPr>
          <w:p>
            <w:pPr>
              <w:spacing w:after="20"/>
              <w:jc w:val="right"/>
            </w:pPr>
            <w:r>
              <w:rPr>
                <w:color w:val="1C3A36"/>
                <w:sz w:val="17"/>
              </w:rPr>
              <w:t>1,894</w:t>
            </w:r>
          </w:p>
        </w:tc>
        <w:tc>
          <w:tcPr>
            <w:tcW w:type="dxa" w:w="1368"/>
          </w:tcPr>
          <w:p>
            <w:pPr>
              <w:spacing w:after="20"/>
              <w:jc w:val="right"/>
            </w:pPr>
            <w:r>
              <w:rPr>
                <w:color w:val="1C3A36"/>
                <w:sz w:val="17"/>
              </w:rPr>
              <w:t>2,160</w:t>
            </w:r>
          </w:p>
        </w:tc>
      </w:tr>
      <w:tr>
        <w:tc>
          <w:tcPr>
            <w:tcW w:type="dxa" w:w="3096"/>
          </w:tcPr>
          <w:p>
            <w:pPr>
              <w:spacing w:after="20"/>
            </w:pPr>
            <w:r>
              <w:rPr>
                <w:b/>
                <w:color w:val="1C3A36"/>
                <w:sz w:val="17"/>
              </w:rPr>
              <w:t>EBITDA margin — output</w:t>
            </w:r>
          </w:p>
        </w:tc>
        <w:tc>
          <w:tcPr>
            <w:tcW w:type="dxa" w:w="1368"/>
          </w:tcPr>
          <w:p>
            <w:pPr>
              <w:spacing w:after="20"/>
              <w:jc w:val="right"/>
            </w:pPr>
            <w:r>
              <w:rPr>
                <w:color w:val="1C3A36"/>
                <w:sz w:val="17"/>
              </w:rPr>
              <w:t>4.1%</w:t>
            </w:r>
          </w:p>
        </w:tc>
        <w:tc>
          <w:tcPr>
            <w:tcW w:type="dxa" w:w="1368"/>
          </w:tcPr>
          <w:p>
            <w:pPr>
              <w:spacing w:after="20"/>
              <w:jc w:val="right"/>
            </w:pPr>
            <w:r>
              <w:rPr>
                <w:color w:val="1C3A36"/>
                <w:sz w:val="17"/>
              </w:rPr>
              <w:t>8.9%</w:t>
            </w:r>
          </w:p>
        </w:tc>
        <w:tc>
          <w:tcPr>
            <w:tcW w:type="dxa" w:w="1368"/>
          </w:tcPr>
          <w:p>
            <w:pPr>
              <w:spacing w:after="20"/>
              <w:jc w:val="right"/>
            </w:pPr>
            <w:r>
              <w:rPr>
                <w:color w:val="1C3A36"/>
                <w:sz w:val="17"/>
              </w:rPr>
              <w:t>11.1%</w:t>
            </w:r>
          </w:p>
        </w:tc>
        <w:tc>
          <w:tcPr>
            <w:tcW w:type="dxa" w:w="1368"/>
          </w:tcPr>
          <w:p>
            <w:pPr>
              <w:spacing w:after="20"/>
              <w:jc w:val="right"/>
            </w:pPr>
            <w:r>
              <w:rPr>
                <w:color w:val="1C3A36"/>
                <w:sz w:val="17"/>
              </w:rPr>
              <w:t>12.0%</w:t>
            </w:r>
          </w:p>
        </w:tc>
        <w:tc>
          <w:tcPr>
            <w:tcW w:type="dxa" w:w="1368"/>
          </w:tcPr>
          <w:p>
            <w:pPr>
              <w:spacing w:after="20"/>
              <w:jc w:val="right"/>
            </w:pPr>
            <w:r>
              <w:rPr>
                <w:color w:val="1C3A36"/>
                <w:sz w:val="17"/>
              </w:rPr>
              <w:t>12.3%</w:t>
            </w:r>
          </w:p>
        </w:tc>
      </w:tr>
    </w:tbl>
    <w:p>
      <w:pPr>
        <w:spacing w:after="40"/>
      </w:pPr>
    </w:p>
    <w:p>
      <w:pPr>
        <w:spacing w:after="200" w:before="0"/>
      </w:pPr>
      <w:r>
        <w:rPr>
          <w:b w:val="0"/>
          <w:i/>
          <w:color w:val="6E7B77"/>
          <w:sz w:val="17"/>
        </w:rPr>
        <w:t>Volume recovery to 64% utilization by FY30E (EETC’s EGP 45 bn plan, the EU €690 mn package, interconnector follow-on) — still below the FY23–24 near-full prints. Conversion EBITDA/t recovers to 135 k by FY30E: nominally below FY24’s 146 k despite five years of EGP inflation, and, as a share of realized price at the $14k copper anchor (12.3%), matching the PRE-windfall 2022 norm (~12%) rather than the devaluation-era 25%. Copper is anchored FLAT AT THE CURRENT MARKET (~$14,000/t, 3–4 Aug LME cash) — a “no view” forecast must anchor on the tape, and the −10% sensitivity column (=$12.6k, the consensus print this study previously anchored on) carries the mean-reversion case. Working capital stays on its intensity glide (112% → 88% of revenue) — copper strength therefore inflates the working capital the model must fund, which is exactly the mechanism the tonnage build exists to price. Note the FY26E within-year ramp this implies: Q1 ran ~11k EGP/t conversion at 37% utilization, so the FY26E average of 40k requires Q2–Q4 near ~50k as utilization recovers — the H1-2026 statements (due ~mid-Aug) are the first checkpoint on that ramp. One capacity caveat: the 25 kt denominator is the PARENT’s Mostorod plant; the consolidated Giza Power Industry plant at Abu Rawash (81,745 sqm, range up to 220 kV per the company) adds undisclosed tonnage, so every utilization percentage here is an upper bound — volumes themselves are revenue-implied and unaffected. Every driver above is a stated, sensitized house judgment (§1.9).</w:t>
      </w:r>
    </w:p>
    <w:p>
      <w:pPr>
        <w:spacing w:after="120" w:before="0"/>
      </w:pPr>
      <w:r>
        <w:rPr>
          <w:b w:val="0"/>
          <w:i w:val="0"/>
          <w:color w:val="1C3A36"/>
          <w:sz w:val="21"/>
        </w:rPr>
        <w:t>The net-debt anchor — triangulated, not read off one sentence. The FY25 filing coverage says the company “obtained credit facilities of EGP 10.9 bn during 2025” — ambiguous between the drawn balance and limits granted. Rather than lean on that sentence, the anchor is rolled forward from the FY24 audited comparatives (assets 14,970 · debt 8,960 · cash 828 · equity 3,600) through the four hard disclosed FY25 points: total assets 16,460, net profit 500.3, revenue 10,819, and no dividend.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200"/>
        <w:gridCol w:w="2016"/>
      </w:tblGrid>
      <w:tr>
        <w:tc>
          <w:tcPr>
            <w:tcW w:type="dxa" w:w="7200"/>
            <w:shd w:val="clear" w:color="auto" w:fill="EAF0EE"/>
          </w:tcPr>
          <w:p>
            <w:pPr>
              <w:spacing w:after="20"/>
            </w:pPr>
            <w:r>
              <w:rPr>
                <w:b/>
                <w:color w:val="1C3A36"/>
                <w:sz w:val="17"/>
              </w:rPr>
              <w:t>Step</w:t>
            </w:r>
          </w:p>
        </w:tc>
        <w:tc>
          <w:tcPr>
            <w:tcW w:type="dxa" w:w="2016"/>
            <w:shd w:val="clear" w:color="auto" w:fill="EAF0EE"/>
          </w:tcPr>
          <w:p>
            <w:pPr>
              <w:spacing w:after="20"/>
            </w:pPr>
            <w:r>
              <w:rPr>
                <w:b/>
                <w:color w:val="1C3A36"/>
                <w:sz w:val="17"/>
              </w:rPr>
              <w:t>EGP mn</w:t>
            </w:r>
          </w:p>
        </w:tc>
      </w:tr>
      <w:tr>
        <w:tc>
          <w:tcPr>
            <w:tcW w:type="dxa" w:w="7200"/>
          </w:tcPr>
          <w:p>
            <w:pPr>
              <w:spacing w:after="20"/>
            </w:pPr>
            <w:r>
              <w:rPr>
                <w:color w:val="1C3A36"/>
                <w:sz w:val="17"/>
              </w:rPr>
              <w:t>FY25 equity, rolled (3,600 + 500.3, no dividend, no revaluation history)</w:t>
            </w:r>
          </w:p>
        </w:tc>
        <w:tc>
          <w:tcPr>
            <w:tcW w:type="dxa" w:w="2016"/>
          </w:tcPr>
          <w:p>
            <w:pPr>
              <w:spacing w:after="20"/>
              <w:jc w:val="right"/>
            </w:pPr>
            <w:r>
              <w:rPr>
                <w:color w:val="1C3A36"/>
                <w:sz w:val="17"/>
              </w:rPr>
              <w:t>≈ 4,100</w:t>
            </w:r>
          </w:p>
        </w:tc>
      </w:tr>
      <w:tr>
        <w:tc>
          <w:tcPr>
            <w:tcW w:type="dxa" w:w="7200"/>
          </w:tcPr>
          <w:p>
            <w:pPr>
              <w:spacing w:after="20"/>
            </w:pPr>
            <w:r>
              <w:rPr>
                <w:color w:val="1C3A36"/>
                <w:sz w:val="17"/>
              </w:rPr>
              <w:t>FY25 total liabilities (disclosed assets 16,460 − equity)</w:t>
            </w:r>
          </w:p>
        </w:tc>
        <w:tc>
          <w:tcPr>
            <w:tcW w:type="dxa" w:w="2016"/>
          </w:tcPr>
          <w:p>
            <w:pPr>
              <w:spacing w:after="20"/>
              <w:jc w:val="right"/>
            </w:pPr>
            <w:r>
              <w:rPr>
                <w:color w:val="1C3A36"/>
                <w:sz w:val="17"/>
              </w:rPr>
              <w:t>12,360</w:t>
            </w:r>
          </w:p>
        </w:tc>
      </w:tr>
      <w:tr>
        <w:tc>
          <w:tcPr>
            <w:tcW w:type="dxa" w:w="7200"/>
          </w:tcPr>
          <w:p>
            <w:pPr>
              <w:spacing w:after="20"/>
            </w:pPr>
            <w:r>
              <w:rPr>
                <w:color w:val="1C3A36"/>
                <w:sz w:val="17"/>
              </w:rPr>
              <w:t>less non-debt liabilities (FY24’s 2,410 scaled with purchase value, −21.5%)</w:t>
            </w:r>
          </w:p>
        </w:tc>
        <w:tc>
          <w:tcPr>
            <w:tcW w:type="dxa" w:w="2016"/>
          </w:tcPr>
          <w:p>
            <w:pPr>
              <w:spacing w:after="20"/>
              <w:jc w:val="right"/>
            </w:pPr>
            <w:r>
              <w:rPr>
                <w:color w:val="1C3A36"/>
                <w:sz w:val="17"/>
              </w:rPr>
              <w:t>(≈ 1,890)</w:t>
            </w:r>
          </w:p>
        </w:tc>
      </w:tr>
      <w:tr>
        <w:tc>
          <w:tcPr>
            <w:tcW w:type="dxa" w:w="7200"/>
          </w:tcPr>
          <w:p>
            <w:pPr>
              <w:spacing w:after="20"/>
            </w:pPr>
            <w:r>
              <w:rPr>
                <w:color w:val="1C3A36"/>
                <w:sz w:val="17"/>
              </w:rPr>
              <w:t>= drawn debt, balance-sheet residual</w:t>
            </w:r>
          </w:p>
        </w:tc>
        <w:tc>
          <w:tcPr>
            <w:tcW w:type="dxa" w:w="2016"/>
          </w:tcPr>
          <w:p>
            <w:pPr>
              <w:spacing w:after="20"/>
              <w:jc w:val="right"/>
            </w:pPr>
            <w:r>
              <w:rPr>
                <w:color w:val="1C3A36"/>
                <w:sz w:val="17"/>
              </w:rPr>
              <w:t>≈ 10,465</w:t>
            </w:r>
          </w:p>
        </w:tc>
      </w:tr>
      <w:tr>
        <w:tc>
          <w:tcPr>
            <w:tcW w:type="dxa" w:w="7200"/>
          </w:tcPr>
          <w:p>
            <w:pPr>
              <w:spacing w:after="20"/>
            </w:pPr>
            <w:r>
              <w:rPr>
                <w:color w:val="1C3A36"/>
                <w:sz w:val="17"/>
              </w:rPr>
              <w:t>less cash (estimated: 500 stress floor – 830 FY24-flat, midpoint)</w:t>
            </w:r>
          </w:p>
        </w:tc>
        <w:tc>
          <w:tcPr>
            <w:tcW w:type="dxa" w:w="2016"/>
          </w:tcPr>
          <w:p>
            <w:pPr>
              <w:spacing w:after="20"/>
              <w:jc w:val="right"/>
            </w:pPr>
            <w:r>
              <w:rPr>
                <w:color w:val="1C3A36"/>
                <w:sz w:val="17"/>
              </w:rPr>
              <w:t>(≈ 665)</w:t>
            </w:r>
          </w:p>
        </w:tc>
      </w:tr>
      <w:tr>
        <w:tc>
          <w:tcPr>
            <w:tcW w:type="dxa" w:w="7200"/>
          </w:tcPr>
          <w:p>
            <w:pPr>
              <w:spacing w:after="20"/>
            </w:pPr>
            <w:r>
              <w:rPr>
                <w:color w:val="1C3A36"/>
                <w:sz w:val="17"/>
              </w:rPr>
              <w:t>= net debt, method A</w:t>
            </w:r>
          </w:p>
        </w:tc>
        <w:tc>
          <w:tcPr>
            <w:tcW w:type="dxa" w:w="2016"/>
          </w:tcPr>
          <w:p>
            <w:pPr>
              <w:spacing w:after="20"/>
              <w:jc w:val="right"/>
            </w:pPr>
            <w:r>
              <w:rPr>
                <w:color w:val="1C3A36"/>
                <w:sz w:val="17"/>
              </w:rPr>
              <w:t>≈ 9,800</w:t>
            </w:r>
          </w:p>
        </w:tc>
      </w:tr>
      <w:tr>
        <w:tc>
          <w:tcPr>
            <w:tcW w:type="dxa" w:w="7200"/>
          </w:tcPr>
          <w:p>
            <w:pPr>
              <w:spacing w:after="20"/>
            </w:pPr>
            <w:r>
              <w:rPr>
                <w:color w:val="1C3A36"/>
                <w:sz w:val="17"/>
              </w:rPr>
              <w:t>Cross-check B — cash-flow roll-forward: FY24 net debt 8,132 + interest 2,150 + tax 145 + capex 210 + working-capital build ~2,036 − EBITDA 2,871</w:t>
            </w:r>
          </w:p>
        </w:tc>
        <w:tc>
          <w:tcPr>
            <w:tcW w:type="dxa" w:w="2016"/>
          </w:tcPr>
          <w:p>
            <w:pPr>
              <w:spacing w:after="20"/>
              <w:jc w:val="right"/>
            </w:pPr>
            <w:r>
              <w:rPr>
                <w:color w:val="1C3A36"/>
                <w:sz w:val="17"/>
              </w:rPr>
              <w:t>≈ 9,800</w:t>
            </w:r>
          </w:p>
        </w:tc>
      </w:tr>
      <w:tr>
        <w:tc>
          <w:tcPr>
            <w:tcW w:type="dxa" w:w="7200"/>
          </w:tcPr>
          <w:p>
            <w:pPr>
              <w:spacing w:after="20"/>
            </w:pPr>
            <w:r>
              <w:rPr>
                <w:color w:val="1C3A36"/>
                <w:sz w:val="17"/>
              </w:rPr>
              <w:t>Cross-check C — the facilities sentence read as fully drawn, less cash</w:t>
            </w:r>
          </w:p>
        </w:tc>
        <w:tc>
          <w:tcPr>
            <w:tcW w:type="dxa" w:w="2016"/>
          </w:tcPr>
          <w:p>
            <w:pPr>
              <w:spacing w:after="20"/>
              <w:jc w:val="right"/>
            </w:pPr>
            <w:r>
              <w:rPr>
                <w:color w:val="1C3A36"/>
                <w:sz w:val="17"/>
              </w:rPr>
              <w:t>≈ 10,235</w:t>
            </w:r>
          </w:p>
        </w:tc>
      </w:tr>
      <w:tr>
        <w:tc>
          <w:tcPr>
            <w:tcW w:type="dxa" w:w="7200"/>
          </w:tcPr>
          <w:p>
            <w:pPr>
              <w:spacing w:after="20"/>
            </w:pPr>
            <w:r>
              <w:rPr>
                <w:color w:val="1C3A36"/>
                <w:sz w:val="17"/>
              </w:rPr>
              <w:t>Anchor carried in the model (A/B central; range 9,120–10,360 in sensitivity)</w:t>
            </w:r>
          </w:p>
        </w:tc>
        <w:tc>
          <w:tcPr>
            <w:tcW w:type="dxa" w:w="2016"/>
          </w:tcPr>
          <w:p>
            <w:pPr>
              <w:spacing w:after="20"/>
              <w:jc w:val="right"/>
            </w:pPr>
            <w:r>
              <w:rPr>
                <w:color w:val="1C3A36"/>
                <w:sz w:val="17"/>
              </w:rPr>
              <w:t>9,805</w:t>
            </w:r>
          </w:p>
        </w:tc>
      </w:tr>
    </w:tbl>
    <w:p>
      <w:pPr>
        <w:spacing w:after="40"/>
      </w:pPr>
    </w:p>
    <w:p>
      <w:pPr>
        <w:spacing w:after="200" w:before="0"/>
      </w:pPr>
      <w:r>
        <w:rPr>
          <w:b w:val="0"/>
          <w:i/>
          <w:color w:val="6E7B77"/>
          <w:sz w:val="17"/>
        </w:rPr>
        <w:t>Methods A and B share the balance-sheet decomposition of the working-capital build, so their agreement is consistency, not full independence; C is the upper cross-check — the triangulated drawn debt sits at 96% of the disclosed facilities, consistent with the 10.9 bn being near-fully-drawn limits. The reverse test rejects holding debt at the FY24 level (net debt ~8.2 bn): that would force non-debt liabilities up 41% in a year when purchase value fell 21%. The range is worth ~±EGP 0.19/share; the audited FY2025 borrowings note is the named falsifier.</w:t>
      </w:r>
    </w:p>
    <w:p>
      <w:pPr>
        <w:spacing w:after="80" w:before="200"/>
      </w:pPr>
      <w:r>
        <w:rPr>
          <w:b/>
          <w:i w:val="0"/>
          <w:color w:val="1C3A36"/>
          <w:sz w:val="24"/>
        </w:rPr>
        <w:t>1.7  The crux — working capital first, margins second, rates third</w:t>
      </w:r>
    </w:p>
    <w:p>
      <w:pPr>
        <w:spacing w:after="120" w:before="0"/>
      </w:pPr>
      <w:r>
        <w:rPr>
          <w:b w:val="0"/>
          <w:i w:val="0"/>
          <w:color w:val="1C3A36"/>
          <w:sz w:val="21"/>
        </w:rPr>
        <w:t>Three judgments drive this valuation, in order of size. FIRST, collection. Working capital stands near ~EGP 12.2 bn — 113% of a full year’s revenue — against ~76% a year earlier: copper-inflated inventory plus receivables that grew as revenue shrank, funded by ~EGP 10.5 bn of bank debt (facilities disclosed at 10.9 bn). The DCF’s FY26E cash flow is dominated by a ~EGP 845 mn assumed release as sales contract; if those receivables do not collect (state-linked customers, dealer credit), the release never happens, debt stays ~EGP 11 bn at 22% money, and the equity rounds to nothing — that is the bear case’s mechanism, not rhetoric. Each 5 points of terminal working-capital intensity is worth roughly EGP 0.15–0.20/share. SECOND, the margin. FY24–25 EBITDA margins near 25% carried devaluation inventory gains; the DISCLOSED 1Q26 lines put the trough on the table — gross margin 5.7%, operating profit zero. The model’s mid-cycle EBITDA margin is an OUTPUT of the tonnage build: 11.1% by FY28E, 12.3% terminal — a judgment between the proven trough and the windfall ceiling — and each 15% shift on conversion EBITDA/t is worth roughly EGP 0.48/share on the unfloored DCF (§1.9 grid). THIRD, the rate path: at 22% money, finance expense consumes the operating line; at the terminal 15%, the same business supports a meaningful EPS again. The easing calendar is therefore load-bearing — which is exactly why it is built into the discount schedule rather than averaged away.</w:t>
      </w:r>
    </w:p>
    <w:p>
      <w:pPr>
        <w:spacing w:after="80" w:before="200"/>
      </w:pPr>
      <w:r>
        <w:rPr>
          <w:b/>
          <w:i w:val="0"/>
          <w:color w:val="1C3A36"/>
          <w:sz w:val="24"/>
        </w:rPr>
        <w:t>1.8  Macro and country — rates, the pound, copper, and the sourced cost of capital</w:t>
      </w:r>
    </w:p>
    <w:p>
      <w:pPr>
        <w:spacing w:after="120" w:before="0"/>
      </w:pPr>
      <w:r>
        <w:rPr>
          <w:b w:val="0"/>
          <w:i w:val="0"/>
          <w:color w:val="1C3A36"/>
          <w:sz w:val="21"/>
        </w:rPr>
        <w:t>Egypt held its policy corridor at 19.00/20.00% in July 2026 (third consecutive hold, after 825bp of cuts Apr-25→Feb-26) with inflation at 14.3% and a 7%±2pp target for late-2026, 5%±2pp for 2028. The pound has round-tripped since the March-2024 float — 46.8 at the strong side (Feb-26) to ~54.7 at the war spike (Apr-26), back to ~49.8 today. The path was NOT placid, but the destination is: two years of roughly flat nominal EGP against 14–28% cumulative inflation is a large REAL appreciation, which is precisely what un-winds windfall cable margins: copper is fully imported and USD-priced (up ~51% y/y), sales are domestic and EGP-priced. The demand side is genuinely strong — EETC’s EGP 45 bn transmission plan, the EU’s €690 mn grid package, the Egypt–Saudi interconnector (tested; commercial operation now targeted end-2026) — but pass-through pricing means volume recovers before margin does. Every cost-of-capital input below is sourced (full provenance in the Source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4320"/>
      </w:tblGrid>
      <w:tr>
        <w:tc>
          <w:tcPr>
            <w:tcW w:type="dxa" w:w="3744"/>
            <w:shd w:val="clear" w:color="auto" w:fill="EAF0EE"/>
          </w:tcPr>
          <w:p>
            <w:pPr>
              <w:spacing w:after="20"/>
            </w:pPr>
            <w:r>
              <w:rPr>
                <w:b/>
                <w:color w:val="1C3A36"/>
                <w:sz w:val="17"/>
              </w:rPr>
              <w:t>Component</w:t>
            </w:r>
          </w:p>
        </w:tc>
        <w:tc>
          <w:tcPr>
            <w:tcW w:type="dxa" w:w="1872"/>
            <w:shd w:val="clear" w:color="auto" w:fill="EAF0EE"/>
          </w:tcPr>
          <w:p>
            <w:pPr>
              <w:spacing w:after="20"/>
            </w:pPr>
            <w:r>
              <w:rPr>
                <w:b/>
                <w:color w:val="1C3A36"/>
                <w:sz w:val="17"/>
              </w:rPr>
              <w:t>Value</w:t>
            </w:r>
          </w:p>
        </w:tc>
        <w:tc>
          <w:tcPr>
            <w:tcW w:type="dxa" w:w="4320"/>
            <w:shd w:val="clear" w:color="auto" w:fill="EAF0EE"/>
          </w:tcPr>
          <w:p>
            <w:pPr>
              <w:spacing w:after="20"/>
            </w:pPr>
            <w:r>
              <w:rPr>
                <w:b/>
                <w:color w:val="1C3A36"/>
                <w:sz w:val="17"/>
              </w:rPr>
              <w:t>Source / note</w:t>
            </w:r>
          </w:p>
        </w:tc>
      </w:tr>
      <w:tr>
        <w:tc>
          <w:tcPr>
            <w:tcW w:type="dxa" w:w="3744"/>
          </w:tcPr>
          <w:p>
            <w:pPr>
              <w:spacing w:after="20"/>
            </w:pPr>
            <w:r>
              <w:rPr>
                <w:b/>
                <w:color w:val="1C3A36"/>
                <w:sz w:val="17"/>
              </w:rPr>
              <w:t>Egypt 10Y local yield (observed)</w:t>
            </w:r>
          </w:p>
        </w:tc>
        <w:tc>
          <w:tcPr>
            <w:tcW w:type="dxa" w:w="1872"/>
          </w:tcPr>
          <w:p>
            <w:pPr>
              <w:spacing w:after="20"/>
              <w:jc w:val="right"/>
            </w:pPr>
            <w:r>
              <w:rPr>
                <w:color w:val="1C3A36"/>
                <w:sz w:val="17"/>
              </w:rPr>
              <w:t>22.31%</w:t>
            </w:r>
          </w:p>
        </w:tc>
        <w:tc>
          <w:tcPr>
            <w:tcW w:type="dxa" w:w="4320"/>
          </w:tcPr>
          <w:p>
            <w:pPr>
              <w:spacing w:after="20"/>
              <w:jc w:val="right"/>
            </w:pPr>
            <w:r>
              <w:rPr>
                <w:color w:val="1C3A36"/>
                <w:sz w:val="17"/>
              </w:rPr>
              <w:t>investing.com print, 21-Jul-2026; May-26 window avg 21.3% corroborates</w:t>
            </w:r>
          </w:p>
        </w:tc>
      </w:tr>
      <w:tr>
        <w:tc>
          <w:tcPr>
            <w:tcW w:type="dxa" w:w="3744"/>
          </w:tcPr>
          <w:p>
            <w:pPr>
              <w:spacing w:after="20"/>
            </w:pPr>
            <w:r>
              <w:rPr>
                <w:b/>
                <w:color w:val="1C3A36"/>
                <w:sz w:val="17"/>
              </w:rPr>
              <w:t>less sovereign default spread (CDS)</w:t>
            </w:r>
          </w:p>
        </w:tc>
        <w:tc>
          <w:tcPr>
            <w:tcW w:type="dxa" w:w="1872"/>
          </w:tcPr>
          <w:p>
            <w:pPr>
              <w:spacing w:after="20"/>
              <w:jc w:val="right"/>
            </w:pPr>
            <w:r>
              <w:rPr>
                <w:color w:val="1C3A36"/>
                <w:sz w:val="17"/>
              </w:rPr>
              <w:t>−3.40%</w:t>
            </w:r>
          </w:p>
        </w:tc>
        <w:tc>
          <w:tcPr>
            <w:tcW w:type="dxa" w:w="4320"/>
          </w:tcPr>
          <w:p>
            <w:pPr>
              <w:spacing w:after="20"/>
              <w:jc w:val="right"/>
            </w:pPr>
            <w:r>
              <w:rPr>
                <w:color w:val="1C3A36"/>
                <w:sz w:val="17"/>
              </w:rPr>
              <w:t>The local yield already prices default risk; charging it again in the ERP would double-count</w:t>
            </w:r>
          </w:p>
        </w:tc>
      </w:tr>
      <w:tr>
        <w:tc>
          <w:tcPr>
            <w:tcW w:type="dxa" w:w="3744"/>
          </w:tcPr>
          <w:p>
            <w:pPr>
              <w:spacing w:after="20"/>
            </w:pPr>
            <w:r>
              <w:rPr>
                <w:b/>
                <w:color w:val="1C3A36"/>
                <w:sz w:val="17"/>
              </w:rPr>
              <w:t>= risk-free for the equity build</w:t>
            </w:r>
          </w:p>
        </w:tc>
        <w:tc>
          <w:tcPr>
            <w:tcW w:type="dxa" w:w="1872"/>
          </w:tcPr>
          <w:p>
            <w:pPr>
              <w:spacing w:after="20"/>
              <w:jc w:val="right"/>
            </w:pPr>
            <w:r>
              <w:rPr>
                <w:color w:val="1C3A36"/>
                <w:sz w:val="17"/>
              </w:rPr>
              <w:t>18.91%</w:t>
            </w:r>
          </w:p>
        </w:tc>
        <w:tc>
          <w:tcPr>
            <w:tcW w:type="dxa" w:w="4320"/>
          </w:tcPr>
          <w:p>
            <w:pPr>
              <w:spacing w:after="20"/>
              <w:jc w:val="right"/>
            </w:pPr>
            <w:r>
              <w:rPr>
                <w:color w:val="1C3A36"/>
                <w:sz w:val="17"/>
              </w:rPr>
              <w:t>CDS basis (rating basis: 22.31 − 6.37 = 15.94%)</w:t>
            </w:r>
          </w:p>
        </w:tc>
      </w:tr>
      <w:tr>
        <w:tc>
          <w:tcPr>
            <w:tcW w:type="dxa" w:w="3744"/>
          </w:tcPr>
          <w:p>
            <w:pPr>
              <w:spacing w:after="20"/>
            </w:pPr>
            <w:r>
              <w:rPr>
                <w:b/>
                <w:color w:val="1C3A36"/>
                <w:sz w:val="17"/>
              </w:rPr>
              <w:t>Equity risk premium — Egypt (CDS-based, primary)</w:t>
            </w:r>
          </w:p>
        </w:tc>
        <w:tc>
          <w:tcPr>
            <w:tcW w:type="dxa" w:w="1872"/>
          </w:tcPr>
          <w:p>
            <w:pPr>
              <w:spacing w:after="20"/>
              <w:jc w:val="right"/>
            </w:pPr>
            <w:r>
              <w:rPr>
                <w:color w:val="1C3A36"/>
                <w:sz w:val="17"/>
              </w:rPr>
              <w:t>9.41%</w:t>
            </w:r>
          </w:p>
        </w:tc>
        <w:tc>
          <w:tcPr>
            <w:tcW w:type="dxa" w:w="4320"/>
          </w:tcPr>
          <w:p>
            <w:pPr>
              <w:spacing w:after="20"/>
              <w:jc w:val="right"/>
            </w:pPr>
            <w:r>
              <w:rPr>
                <w:color w:val="1C3A36"/>
                <w:sz w:val="17"/>
              </w:rPr>
              <w:t>Damodaran original country-risk file, Jan-2026 (rating-based 13.94% shown in sensitivity)</w:t>
            </w:r>
          </w:p>
        </w:tc>
      </w:tr>
      <w:tr>
        <w:tc>
          <w:tcPr>
            <w:tcW w:type="dxa" w:w="3744"/>
          </w:tcPr>
          <w:p>
            <w:pPr>
              <w:spacing w:after="20"/>
            </w:pPr>
            <w:r>
              <w:rPr>
                <w:b/>
                <w:color w:val="1C3A36"/>
                <w:sz w:val="17"/>
              </w:rPr>
              <w:t>Beta (own regression, weekly, 5yr)</w:t>
            </w:r>
          </w:p>
        </w:tc>
        <w:tc>
          <w:tcPr>
            <w:tcW w:type="dxa" w:w="1872"/>
          </w:tcPr>
          <w:p>
            <w:pPr>
              <w:spacing w:after="20"/>
              <w:jc w:val="right"/>
            </w:pPr>
            <w:r>
              <w:rPr>
                <w:color w:val="1C3A36"/>
                <w:sz w:val="17"/>
              </w:rPr>
              <w:t>0.964</w:t>
            </w:r>
          </w:p>
        </w:tc>
        <w:tc>
          <w:tcPr>
            <w:tcW w:type="dxa" w:w="4320"/>
          </w:tcPr>
          <w:p>
            <w:pPr>
              <w:spacing w:after="20"/>
              <w:jc w:val="right"/>
            </w:pPr>
            <w:r>
              <w:rPr>
                <w:color w:val="1C3A36"/>
                <w:sz w:val="17"/>
              </w:rPr>
              <w:t>vs 30-name equal-weight EGX composite: R² 0.222, n=257, SE 0.113, CI90 [0.78, 1.15] — passes the usability gate; not weak-flagged</w:t>
            </w:r>
          </w:p>
        </w:tc>
      </w:tr>
      <w:tr>
        <w:tc>
          <w:tcPr>
            <w:tcW w:type="dxa" w:w="3744"/>
          </w:tcPr>
          <w:p>
            <w:pPr>
              <w:spacing w:after="20"/>
            </w:pPr>
            <w:r>
              <w:rPr>
                <w:b/>
                <w:color w:val="1C3A36"/>
                <w:sz w:val="17"/>
              </w:rPr>
              <w:t>Cost of equity Ke</w:t>
            </w:r>
          </w:p>
        </w:tc>
        <w:tc>
          <w:tcPr>
            <w:tcW w:type="dxa" w:w="1872"/>
          </w:tcPr>
          <w:p>
            <w:pPr>
              <w:spacing w:after="20"/>
              <w:jc w:val="right"/>
            </w:pPr>
            <w:r>
              <w:rPr>
                <w:color w:val="1C3A36"/>
                <w:sz w:val="17"/>
              </w:rPr>
              <w:t>27.98%</w:t>
            </w:r>
          </w:p>
        </w:tc>
        <w:tc>
          <w:tcPr>
            <w:tcW w:type="dxa" w:w="4320"/>
          </w:tcPr>
          <w:p>
            <w:pPr>
              <w:spacing w:after="20"/>
              <w:jc w:val="right"/>
            </w:pPr>
            <w:r>
              <w:rPr>
                <w:color w:val="1C3A36"/>
                <w:sz w:val="17"/>
              </w:rPr>
              <w:t>= 18.91 + 0.964 × 9.41</w:t>
            </w:r>
          </w:p>
        </w:tc>
      </w:tr>
      <w:tr>
        <w:tc>
          <w:tcPr>
            <w:tcW w:type="dxa" w:w="3744"/>
          </w:tcPr>
          <w:p>
            <w:pPr>
              <w:spacing w:after="20"/>
            </w:pPr>
            <w:r>
              <w:rPr>
                <w:b/>
                <w:color w:val="1C3A36"/>
                <w:sz w:val="17"/>
              </w:rPr>
              <w:t>Cost of debt Kd (pre-tax, marginal EGP)</w:t>
            </w:r>
          </w:p>
        </w:tc>
        <w:tc>
          <w:tcPr>
            <w:tcW w:type="dxa" w:w="1872"/>
          </w:tcPr>
          <w:p>
            <w:pPr>
              <w:spacing w:after="20"/>
              <w:jc w:val="right"/>
            </w:pPr>
            <w:r>
              <w:rPr>
                <w:color w:val="1C3A36"/>
                <w:sz w:val="17"/>
              </w:rPr>
              <w:t>22.0%</w:t>
            </w:r>
          </w:p>
        </w:tc>
        <w:tc>
          <w:tcPr>
            <w:tcW w:type="dxa" w:w="4320"/>
          </w:tcPr>
          <w:p>
            <w:pPr>
              <w:spacing w:after="20"/>
              <w:jc w:val="right"/>
            </w:pPr>
            <w:r>
              <w:rPr>
                <w:color w:val="1C3A36"/>
                <w:sz w:val="17"/>
              </w:rPr>
              <w:t>Corridor + credit margin; checked against effective rates 23.5% (FY24) and 22.1% (FY25, on the triangulated debt path) — inside 150bp</w:t>
            </w:r>
          </w:p>
        </w:tc>
      </w:tr>
      <w:tr>
        <w:tc>
          <w:tcPr>
            <w:tcW w:type="dxa" w:w="3744"/>
          </w:tcPr>
          <w:p>
            <w:pPr>
              <w:spacing w:after="20"/>
            </w:pPr>
            <w:r>
              <w:rPr>
                <w:b/>
                <w:color w:val="1C3A36"/>
                <w:sz w:val="17"/>
              </w:rPr>
              <w:t>Debt currency</w:t>
            </w:r>
          </w:p>
        </w:tc>
        <w:tc>
          <w:tcPr>
            <w:tcW w:type="dxa" w:w="1872"/>
          </w:tcPr>
          <w:p>
            <w:pPr>
              <w:spacing w:after="20"/>
              <w:jc w:val="right"/>
            </w:pPr>
            <w:r>
              <w:rPr>
                <w:color w:val="1C3A36"/>
                <w:sz w:val="17"/>
              </w:rPr>
              <w:t>~100% EGP (presumption, flagged)</w:t>
            </w:r>
          </w:p>
        </w:tc>
        <w:tc>
          <w:tcPr>
            <w:tcW w:type="dxa" w:w="4320"/>
          </w:tcPr>
          <w:p>
            <w:pPr>
              <w:spacing w:after="20"/>
              <w:jc w:val="right"/>
            </w:pPr>
            <w:r>
              <w:rPr>
                <w:color w:val="1C3A36"/>
                <w:sz w:val="17"/>
              </w:rPr>
              <w:t>No facility disclosure reachable; no USD facility found in any search — the gap is stated, not assumed away</w:t>
            </w:r>
          </w:p>
        </w:tc>
      </w:tr>
      <w:tr>
        <w:tc>
          <w:tcPr>
            <w:tcW w:type="dxa" w:w="3744"/>
          </w:tcPr>
          <w:p>
            <w:pPr>
              <w:spacing w:after="20"/>
            </w:pPr>
            <w:r>
              <w:rPr>
                <w:b/>
                <w:color w:val="1C3A36"/>
                <w:sz w:val="17"/>
              </w:rPr>
              <w:t>Weights E / D — explicit window</w:t>
            </w:r>
          </w:p>
        </w:tc>
        <w:tc>
          <w:tcPr>
            <w:tcW w:type="dxa" w:w="1872"/>
          </w:tcPr>
          <w:p>
            <w:pPr>
              <w:spacing w:after="20"/>
              <w:jc w:val="right"/>
            </w:pPr>
            <w:r>
              <w:rPr>
                <w:color w:val="1C3A36"/>
                <w:sz w:val="17"/>
              </w:rPr>
              <w:t>40% / 60%</w:t>
            </w:r>
          </w:p>
        </w:tc>
        <w:tc>
          <w:tcPr>
            <w:tcW w:type="dxa" w:w="4320"/>
          </w:tcPr>
          <w:p>
            <w:pPr>
              <w:spacing w:after="20"/>
              <w:jc w:val="right"/>
            </w:pPr>
            <w:r>
              <w:rPr>
                <w:color w:val="1C3A36"/>
                <w:sz w:val="17"/>
              </w:rPr>
              <w:t>Market cap 7.26 bn vs triangulated FY25 drawn debt 10.5 bn</w:t>
            </w:r>
          </w:p>
        </w:tc>
      </w:tr>
      <w:tr>
        <w:tc>
          <w:tcPr>
            <w:tcW w:type="dxa" w:w="3744"/>
          </w:tcPr>
          <w:p>
            <w:pPr>
              <w:spacing w:after="20"/>
            </w:pPr>
            <w:r>
              <w:rPr>
                <w:b/>
                <w:color w:val="1C3A36"/>
                <w:sz w:val="17"/>
              </w:rPr>
              <w:t>WACC — explicit window (this year)</w:t>
            </w:r>
          </w:p>
        </w:tc>
        <w:tc>
          <w:tcPr>
            <w:tcW w:type="dxa" w:w="1872"/>
          </w:tcPr>
          <w:p>
            <w:pPr>
              <w:spacing w:after="20"/>
              <w:jc w:val="right"/>
            </w:pPr>
            <w:r>
              <w:rPr>
                <w:color w:val="1C3A36"/>
                <w:sz w:val="17"/>
              </w:rPr>
              <w:t>21.39%</w:t>
            </w:r>
          </w:p>
        </w:tc>
        <w:tc>
          <w:tcPr>
            <w:tcW w:type="dxa" w:w="4320"/>
          </w:tcPr>
          <w:p>
            <w:pPr>
              <w:spacing w:after="20"/>
              <w:jc w:val="right"/>
            </w:pPr>
            <w:r>
              <w:rPr>
                <w:color w:val="1C3A36"/>
                <w:sz w:val="17"/>
              </w:rPr>
              <w:t>CDS-primary (rating alternative 23.20%)</w:t>
            </w:r>
          </w:p>
        </w:tc>
      </w:tr>
      <w:tr>
        <w:tc>
          <w:tcPr>
            <w:tcW w:type="dxa" w:w="3744"/>
          </w:tcPr>
          <w:p>
            <w:pPr>
              <w:spacing w:after="20"/>
            </w:pPr>
            <w:r>
              <w:rPr>
                <w:b/>
                <w:color w:val="1C3A36"/>
                <w:sz w:val="17"/>
              </w:rPr>
              <w:t>Terminal rf (norm-built)</w:t>
            </w:r>
          </w:p>
        </w:tc>
        <w:tc>
          <w:tcPr>
            <w:tcW w:type="dxa" w:w="1872"/>
          </w:tcPr>
          <w:p>
            <w:pPr>
              <w:spacing w:after="20"/>
              <w:jc w:val="right"/>
            </w:pPr>
            <w:r>
              <w:rPr>
                <w:color w:val="1C3A36"/>
                <w:sz w:val="17"/>
              </w:rPr>
              <w:t>10.5%</w:t>
            </w:r>
          </w:p>
        </w:tc>
        <w:tc>
          <w:tcPr>
            <w:tcW w:type="dxa" w:w="4320"/>
          </w:tcPr>
          <w:p>
            <w:pPr>
              <w:spacing w:after="20"/>
              <w:jc w:val="right"/>
            </w:pPr>
            <w:r>
              <w:rPr>
                <w:color w:val="1C3A36"/>
                <w:sz w:val="17"/>
              </w:rPr>
              <w:t>CBE’s own Q4-2028 inflation target 5% + 5.5pp real-rate convention</w:t>
            </w:r>
          </w:p>
        </w:tc>
      </w:tr>
      <w:tr>
        <w:tc>
          <w:tcPr>
            <w:tcW w:type="dxa" w:w="3744"/>
          </w:tcPr>
          <w:p>
            <w:pPr>
              <w:spacing w:after="20"/>
            </w:pPr>
            <w:r>
              <w:rPr>
                <w:b/>
                <w:color w:val="1C3A36"/>
                <w:sz w:val="17"/>
              </w:rPr>
              <w:t>Terminal ERP · terminal Kd</w:t>
            </w:r>
          </w:p>
        </w:tc>
        <w:tc>
          <w:tcPr>
            <w:tcW w:type="dxa" w:w="1872"/>
          </w:tcPr>
          <w:p>
            <w:pPr>
              <w:spacing w:after="20"/>
              <w:jc w:val="right"/>
            </w:pPr>
            <w:r>
              <w:rPr>
                <w:color w:val="1C3A36"/>
                <w:sz w:val="17"/>
              </w:rPr>
              <w:t>7.0% · 15.0%</w:t>
            </w:r>
          </w:p>
        </w:tc>
        <w:tc>
          <w:tcPr>
            <w:tcW w:type="dxa" w:w="4320"/>
          </w:tcPr>
          <w:p>
            <w:pPr>
              <w:spacing w:after="20"/>
              <w:jc w:val="right"/>
            </w:pPr>
            <w:r>
              <w:rPr>
                <w:color w:val="1C3A36"/>
                <w:sz w:val="17"/>
              </w:rPr>
              <w:t>Normalised below crisis level · Egyptian long-run corporate norm 14–16%</w:t>
            </w:r>
          </w:p>
        </w:tc>
      </w:tr>
      <w:tr>
        <w:tc>
          <w:tcPr>
            <w:tcW w:type="dxa" w:w="3744"/>
          </w:tcPr>
          <w:p>
            <w:pPr>
              <w:spacing w:after="20"/>
            </w:pPr>
            <w:r>
              <w:rPr>
                <w:b/>
                <w:color w:val="1C3A36"/>
                <w:sz w:val="17"/>
              </w:rPr>
              <w:t>Weights E / D — terminal (normalized)</w:t>
            </w:r>
          </w:p>
        </w:tc>
        <w:tc>
          <w:tcPr>
            <w:tcW w:type="dxa" w:w="1872"/>
          </w:tcPr>
          <w:p>
            <w:pPr>
              <w:spacing w:after="20"/>
              <w:jc w:val="right"/>
            </w:pPr>
            <w:r>
              <w:rPr>
                <w:color w:val="1C3A36"/>
                <w:sz w:val="17"/>
              </w:rPr>
              <w:t>60% / 40%</w:t>
            </w:r>
          </w:p>
        </w:tc>
        <w:tc>
          <w:tcPr>
            <w:tcW w:type="dxa" w:w="4320"/>
          </w:tcPr>
          <w:p>
            <w:pPr>
              <w:spacing w:after="20"/>
              <w:jc w:val="right"/>
            </w:pPr>
            <w:r>
              <w:rPr>
                <w:color w:val="1C3A36"/>
                <w:sz w:val="17"/>
              </w:rPr>
              <w:t>The steady state presupposes deleveraging; today’s ~60% distress weight into perpetuity would be circular (the equity weight depends on the DCF’s own output). Conservative direction: more weight on the dearer equity leg</w:t>
            </w:r>
          </w:p>
        </w:tc>
      </w:tr>
      <w:tr>
        <w:tc>
          <w:tcPr>
            <w:tcW w:type="dxa" w:w="3744"/>
          </w:tcPr>
          <w:p>
            <w:pPr>
              <w:spacing w:after="20"/>
            </w:pPr>
            <w:r>
              <w:rPr>
                <w:b/>
                <w:color w:val="1C3A36"/>
                <w:sz w:val="17"/>
              </w:rPr>
              <w:t>WACC — terminal</w:t>
            </w:r>
          </w:p>
        </w:tc>
        <w:tc>
          <w:tcPr>
            <w:tcW w:type="dxa" w:w="1872"/>
          </w:tcPr>
          <w:p>
            <w:pPr>
              <w:spacing w:after="20"/>
              <w:jc w:val="right"/>
            </w:pPr>
            <w:r>
              <w:rPr>
                <w:color w:val="1C3A36"/>
                <w:sz w:val="17"/>
              </w:rPr>
              <w:t>15.00%</w:t>
            </w:r>
          </w:p>
        </w:tc>
        <w:tc>
          <w:tcPr>
            <w:tcW w:type="dxa" w:w="4320"/>
          </w:tcPr>
          <w:p>
            <w:pPr>
              <w:spacing w:after="20"/>
              <w:jc w:val="right"/>
            </w:pPr>
            <w:r>
              <w:rPr>
                <w:color w:val="1C3A36"/>
                <w:sz w:val="17"/>
              </w:rPr>
              <w:t>Capitalises the terminal value; reached via the glide below</w:t>
            </w:r>
          </w:p>
        </w:tc>
      </w:tr>
    </w:tbl>
    <w:p>
      <w:pPr>
        <w:spacing w:after="40"/>
      </w:pPr>
    </w:p>
    <w:p>
      <w:pPr>
        <w:spacing w:after="80" w:before="0"/>
      </w:pPr>
      <w:r>
        <w:rPr>
          <w:b w:val="0"/>
          <w:i w:val="0"/>
          <w:color w:val="1C3A36"/>
          <w:sz w:val="19"/>
        </w:rPr>
        <w:t>The forward schedule, year by year — the glide shape is the forward cost-of-debt path’s own cumulative progress, so the discount rate and the interest forecast normalise on one easing calendar: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440"/>
        <w:gridCol w:w="1440"/>
        <w:gridCol w:w="1440"/>
        <w:gridCol w:w="1440"/>
        <w:gridCol w:w="1440"/>
      </w:tblGrid>
      <w:tr>
        <w:tc>
          <w:tcPr>
            <w:tcW w:type="dxa" w:w="3024"/>
            <w:shd w:val="clear" w:color="auto" w:fill="EAF0EE"/>
          </w:tcPr>
          <w:p>
            <w:pPr>
              <w:spacing w:after="20"/>
            </w:pPr>
            <w:r>
              <w:rPr>
                <w:b/>
                <w:color w:val="1C3A36"/>
                <w:sz w:val="17"/>
              </w:rPr>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Forward Kd path (pre-tax)</w:t>
            </w:r>
          </w:p>
        </w:tc>
        <w:tc>
          <w:tcPr>
            <w:tcW w:type="dxa" w:w="1440"/>
          </w:tcPr>
          <w:p>
            <w:pPr>
              <w:spacing w:after="20"/>
              <w:jc w:val="right"/>
            </w:pPr>
            <w:r>
              <w:rPr>
                <w:color w:val="1C3A36"/>
                <w:sz w:val="17"/>
              </w:rPr>
              <w:t>22.0%</w:t>
            </w:r>
          </w:p>
        </w:tc>
        <w:tc>
          <w:tcPr>
            <w:tcW w:type="dxa" w:w="1440"/>
          </w:tcPr>
          <w:p>
            <w:pPr>
              <w:spacing w:after="20"/>
              <w:jc w:val="right"/>
            </w:pPr>
            <w:r>
              <w:rPr>
                <w:color w:val="1C3A36"/>
                <w:sz w:val="17"/>
              </w:rPr>
              <w:t>20.0%</w:t>
            </w:r>
          </w:p>
        </w:tc>
        <w:tc>
          <w:tcPr>
            <w:tcW w:type="dxa" w:w="1440"/>
          </w:tcPr>
          <w:p>
            <w:pPr>
              <w:spacing w:after="20"/>
              <w:jc w:val="right"/>
            </w:pPr>
            <w:r>
              <w:rPr>
                <w:color w:val="1C3A36"/>
                <w:sz w:val="17"/>
              </w:rPr>
              <w:t>18.5%</w:t>
            </w:r>
          </w:p>
        </w:tc>
        <w:tc>
          <w:tcPr>
            <w:tcW w:type="dxa" w:w="1440"/>
          </w:tcPr>
          <w:p>
            <w:pPr>
              <w:spacing w:after="20"/>
              <w:jc w:val="right"/>
            </w:pPr>
            <w:r>
              <w:rPr>
                <w:color w:val="1C3A36"/>
                <w:sz w:val="17"/>
              </w:rPr>
              <w:t>16.8%</w:t>
            </w:r>
          </w:p>
        </w:tc>
        <w:tc>
          <w:tcPr>
            <w:tcW w:type="dxa" w:w="1440"/>
          </w:tcPr>
          <w:p>
            <w:pPr>
              <w:spacing w:after="20"/>
              <w:jc w:val="right"/>
            </w:pPr>
            <w:r>
              <w:rPr>
                <w:color w:val="1C3A36"/>
                <w:sz w:val="17"/>
              </w:rPr>
              <w:t>15.5%</w:t>
            </w:r>
          </w:p>
        </w:tc>
      </w:tr>
      <w:tr>
        <w:tc>
          <w:tcPr>
            <w:tcW w:type="dxa" w:w="3024"/>
          </w:tcPr>
          <w:p>
            <w:pPr>
              <w:spacing w:after="20"/>
            </w:pPr>
            <w:r>
              <w:rPr>
                <w:b/>
                <w:color w:val="1C3A36"/>
                <w:sz w:val="17"/>
              </w:rPr>
              <w:t>Forward Ke (same easing calendar)</w:t>
            </w:r>
          </w:p>
        </w:tc>
        <w:tc>
          <w:tcPr>
            <w:tcW w:type="dxa" w:w="1440"/>
          </w:tcPr>
          <w:p>
            <w:pPr>
              <w:spacing w:after="20"/>
              <w:jc w:val="right"/>
            </w:pPr>
            <w:r>
              <w:rPr>
                <w:color w:val="1C3A36"/>
                <w:sz w:val="17"/>
              </w:rPr>
              <w:t>28.0%</w:t>
            </w:r>
          </w:p>
        </w:tc>
        <w:tc>
          <w:tcPr>
            <w:tcW w:type="dxa" w:w="1440"/>
          </w:tcPr>
          <w:p>
            <w:pPr>
              <w:spacing w:after="20"/>
              <w:jc w:val="right"/>
            </w:pPr>
            <w:r>
              <w:rPr>
                <w:color w:val="1C3A36"/>
                <w:sz w:val="17"/>
              </w:rPr>
              <w:t>24.7%</w:t>
            </w:r>
          </w:p>
        </w:tc>
        <w:tc>
          <w:tcPr>
            <w:tcW w:type="dxa" w:w="1440"/>
          </w:tcPr>
          <w:p>
            <w:pPr>
              <w:spacing w:after="20"/>
              <w:jc w:val="right"/>
            </w:pPr>
            <w:r>
              <w:rPr>
                <w:color w:val="1C3A36"/>
                <w:sz w:val="17"/>
              </w:rPr>
              <w:t>22.2%</w:t>
            </w:r>
          </w:p>
        </w:tc>
        <w:tc>
          <w:tcPr>
            <w:tcW w:type="dxa" w:w="1440"/>
          </w:tcPr>
          <w:p>
            <w:pPr>
              <w:spacing w:after="20"/>
              <w:jc w:val="right"/>
            </w:pPr>
            <w:r>
              <w:rPr>
                <w:color w:val="1C3A36"/>
                <w:sz w:val="17"/>
              </w:rPr>
              <w:t>19.4%</w:t>
            </w:r>
          </w:p>
        </w:tc>
        <w:tc>
          <w:tcPr>
            <w:tcW w:type="dxa" w:w="1440"/>
          </w:tcPr>
          <w:p>
            <w:pPr>
              <w:spacing w:after="20"/>
              <w:jc w:val="right"/>
            </w:pPr>
            <w:r>
              <w:rPr>
                <w:color w:val="1C3A36"/>
                <w:sz w:val="17"/>
              </w:rPr>
              <w:t>17.2%</w:t>
            </w:r>
          </w:p>
        </w:tc>
      </w:tr>
      <w:tr>
        <w:tc>
          <w:tcPr>
            <w:tcW w:type="dxa" w:w="3024"/>
          </w:tcPr>
          <w:p>
            <w:pPr>
              <w:spacing w:after="20"/>
            </w:pPr>
            <w:r>
              <w:rPr>
                <w:b/>
                <w:color w:val="1C3A36"/>
                <w:sz w:val="17"/>
              </w:rPr>
              <w:t>Glide fraction</w:t>
            </w:r>
          </w:p>
        </w:tc>
        <w:tc>
          <w:tcPr>
            <w:tcW w:type="dxa" w:w="1440"/>
          </w:tcPr>
          <w:p>
            <w:pPr>
              <w:spacing w:after="20"/>
              <w:jc w:val="right"/>
            </w:pPr>
            <w:r>
              <w:rPr>
                <w:color w:val="1C3A36"/>
                <w:sz w:val="17"/>
              </w:rPr>
              <w:t>0%</w:t>
            </w:r>
          </w:p>
        </w:tc>
        <w:tc>
          <w:tcPr>
            <w:tcW w:type="dxa" w:w="1440"/>
          </w:tcPr>
          <w:p>
            <w:pPr>
              <w:spacing w:after="20"/>
              <w:jc w:val="right"/>
            </w:pPr>
            <w:r>
              <w:rPr>
                <w:color w:val="1C3A36"/>
                <w:sz w:val="17"/>
              </w:rPr>
              <w:t>31%</w:t>
            </w:r>
          </w:p>
        </w:tc>
        <w:tc>
          <w:tcPr>
            <w:tcW w:type="dxa" w:w="1440"/>
          </w:tcPr>
          <w:p>
            <w:pPr>
              <w:spacing w:after="20"/>
              <w:jc w:val="right"/>
            </w:pPr>
            <w:r>
              <w:rPr>
                <w:color w:val="1C3A36"/>
                <w:sz w:val="17"/>
              </w:rPr>
              <w:t>54%</w:t>
            </w:r>
          </w:p>
        </w:tc>
        <w:tc>
          <w:tcPr>
            <w:tcW w:type="dxa" w:w="1440"/>
          </w:tcPr>
          <w:p>
            <w:pPr>
              <w:spacing w:after="20"/>
              <w:jc w:val="right"/>
            </w:pPr>
            <w:r>
              <w:rPr>
                <w:color w:val="1C3A36"/>
                <w:sz w:val="17"/>
              </w:rPr>
              <w:t>80%</w:t>
            </w:r>
          </w:p>
        </w:tc>
        <w:tc>
          <w:tcPr>
            <w:tcW w:type="dxa" w:w="1440"/>
          </w:tcPr>
          <w:p>
            <w:pPr>
              <w:spacing w:after="20"/>
              <w:jc w:val="right"/>
            </w:pPr>
            <w:r>
              <w:rPr>
                <w:color w:val="1C3A36"/>
                <w:sz w:val="17"/>
              </w:rPr>
              <w:t>100%</w:t>
            </w:r>
          </w:p>
        </w:tc>
      </w:tr>
      <w:tr>
        <w:tc>
          <w:tcPr>
            <w:tcW w:type="dxa" w:w="3024"/>
          </w:tcPr>
          <w:p>
            <w:pPr>
              <w:spacing w:after="20"/>
            </w:pPr>
            <w:r>
              <w:rPr>
                <w:b/>
                <w:color w:val="1C3A36"/>
                <w:sz w:val="17"/>
              </w:rPr>
              <w:t>Forward WACC</w:t>
            </w:r>
          </w:p>
        </w:tc>
        <w:tc>
          <w:tcPr>
            <w:tcW w:type="dxa" w:w="1440"/>
          </w:tcPr>
          <w:p>
            <w:pPr>
              <w:spacing w:after="20"/>
              <w:jc w:val="right"/>
            </w:pPr>
            <w:r>
              <w:rPr>
                <w:color w:val="1C3A36"/>
                <w:sz w:val="17"/>
              </w:rPr>
              <w:t>21.4%</w:t>
            </w:r>
          </w:p>
        </w:tc>
        <w:tc>
          <w:tcPr>
            <w:tcW w:type="dxa" w:w="1440"/>
          </w:tcPr>
          <w:p>
            <w:pPr>
              <w:spacing w:after="20"/>
              <w:jc w:val="right"/>
            </w:pPr>
            <w:r>
              <w:rPr>
                <w:color w:val="1C3A36"/>
                <w:sz w:val="17"/>
              </w:rPr>
              <w:t>19.4%</w:t>
            </w:r>
          </w:p>
        </w:tc>
        <w:tc>
          <w:tcPr>
            <w:tcW w:type="dxa" w:w="1440"/>
          </w:tcPr>
          <w:p>
            <w:pPr>
              <w:spacing w:after="20"/>
              <w:jc w:val="right"/>
            </w:pPr>
            <w:r>
              <w:rPr>
                <w:color w:val="1C3A36"/>
                <w:sz w:val="17"/>
              </w:rPr>
              <w:t>17.9%</w:t>
            </w:r>
          </w:p>
        </w:tc>
        <w:tc>
          <w:tcPr>
            <w:tcW w:type="dxa" w:w="1440"/>
          </w:tcPr>
          <w:p>
            <w:pPr>
              <w:spacing w:after="20"/>
              <w:jc w:val="right"/>
            </w:pPr>
            <w:r>
              <w:rPr>
                <w:color w:val="1C3A36"/>
                <w:sz w:val="17"/>
              </w:rPr>
              <w:t>16.3%</w:t>
            </w:r>
          </w:p>
        </w:tc>
        <w:tc>
          <w:tcPr>
            <w:tcW w:type="dxa" w:w="1440"/>
          </w:tcPr>
          <w:p>
            <w:pPr>
              <w:spacing w:after="20"/>
              <w:jc w:val="right"/>
            </w:pPr>
            <w:r>
              <w:rPr>
                <w:color w:val="1C3A36"/>
                <w:sz w:val="17"/>
              </w:rPr>
              <w:t>15.0%</w:t>
            </w:r>
          </w:p>
        </w:tc>
      </w:tr>
      <w:tr>
        <w:tc>
          <w:tcPr>
            <w:tcW w:type="dxa" w:w="3024"/>
          </w:tcPr>
          <w:p>
            <w:pPr>
              <w:spacing w:after="20"/>
            </w:pPr>
            <w:r>
              <w:rPr>
                <w:b/>
                <w:color w:val="1C3A36"/>
                <w:sz w:val="17"/>
              </w:rPr>
              <w:t>Cumulative discount factor</w:t>
            </w:r>
          </w:p>
        </w:tc>
        <w:tc>
          <w:tcPr>
            <w:tcW w:type="dxa" w:w="1440"/>
          </w:tcPr>
          <w:p>
            <w:pPr>
              <w:spacing w:after="20"/>
              <w:jc w:val="right"/>
            </w:pPr>
            <w:r>
              <w:rPr>
                <w:color w:val="1C3A36"/>
                <w:sz w:val="17"/>
              </w:rPr>
              <w:t>0.824</w:t>
            </w:r>
          </w:p>
        </w:tc>
        <w:tc>
          <w:tcPr>
            <w:tcW w:type="dxa" w:w="1440"/>
          </w:tcPr>
          <w:p>
            <w:pPr>
              <w:spacing w:after="20"/>
              <w:jc w:val="right"/>
            </w:pPr>
            <w:r>
              <w:rPr>
                <w:color w:val="1C3A36"/>
                <w:sz w:val="17"/>
              </w:rPr>
              <w:t>0.690</w:t>
            </w:r>
          </w:p>
        </w:tc>
        <w:tc>
          <w:tcPr>
            <w:tcW w:type="dxa" w:w="1440"/>
          </w:tcPr>
          <w:p>
            <w:pPr>
              <w:spacing w:after="20"/>
              <w:jc w:val="right"/>
            </w:pPr>
            <w:r>
              <w:rPr>
                <w:color w:val="1C3A36"/>
                <w:sz w:val="17"/>
              </w:rPr>
              <w:t>0.585</w:t>
            </w:r>
          </w:p>
        </w:tc>
        <w:tc>
          <w:tcPr>
            <w:tcW w:type="dxa" w:w="1440"/>
          </w:tcPr>
          <w:p>
            <w:pPr>
              <w:spacing w:after="20"/>
              <w:jc w:val="right"/>
            </w:pPr>
            <w:r>
              <w:rPr>
                <w:color w:val="1C3A36"/>
                <w:sz w:val="17"/>
              </w:rPr>
              <w:t>0.503</w:t>
            </w:r>
          </w:p>
        </w:tc>
        <w:tc>
          <w:tcPr>
            <w:tcW w:type="dxa" w:w="1440"/>
          </w:tcPr>
          <w:p>
            <w:pPr>
              <w:spacing w:after="20"/>
              <w:jc w:val="right"/>
            </w:pPr>
            <w:r>
              <w:rPr>
                <w:color w:val="1C3A36"/>
                <w:sz w:val="17"/>
              </w:rPr>
              <w:t>0.437</w:t>
            </w:r>
          </w:p>
        </w:tc>
      </w:tr>
    </w:tbl>
    <w:p>
      <w:pPr>
        <w:spacing w:after="40"/>
      </w:pPr>
    </w:p>
    <w:p>
      <w:pPr>
        <w:spacing w:after="200" w:before="0"/>
      </w:pPr>
      <w:r>
        <w:rPr>
          <w:b w:val="0"/>
          <w:i/>
          <w:color w:val="6E7B77"/>
          <w:sz w:val="17"/>
        </w:rPr>
        <w:t>A pound arriving 31-Dec-2030 carries the same 0.437 discount factor whether it arrives as a forecast cash flow or inside the terminal value — the common sell-side construction that discounts the terminal alone at a lower rate manufactures value by relabelling, and is not used here.</w:t>
      </w:r>
    </w:p>
    <w:p>
      <w:pPr>
        <w:spacing w:after="80" w:before="200"/>
      </w:pPr>
      <w:r>
        <w:rPr>
          <w:b/>
          <w:i w:val="0"/>
          <w:color w:val="1C3A36"/>
          <w:sz w:val="24"/>
        </w:rPr>
        <w:t>1.9  Sensitivity — the rate, the growth, the margin, the collection, and the beta</w:t>
      </w:r>
    </w:p>
    <w:p>
      <w:pPr>
        <w:spacing w:after="40"/>
        <w:jc w:val="center"/>
      </w:pPr>
      <w:r>
        <w:drawing>
          <wp:inline xmlns:a="http://schemas.openxmlformats.org/drawingml/2006/main" xmlns:pic="http://schemas.openxmlformats.org/drawingml/2006/picture">
            <wp:extent cx="5120640" cy="2492943"/>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120640" cy="2492943"/>
                    </a:xfrm>
                    <a:prstGeom prst="rect"/>
                  </pic:spPr>
                </pic:pic>
              </a:graphicData>
            </a:graphic>
          </wp:inline>
        </w:drawing>
      </w:r>
    </w:p>
    <w:p>
      <w:pPr>
        <w:spacing w:after="200" w:before="0"/>
      </w:pPr>
      <w:r>
        <w:rPr>
          <w:b w:val="0"/>
          <w:i/>
          <w:color w:val="6E7B77"/>
          <w:sz w:val="17"/>
        </w:rPr>
        <w:t>Figure 2 — DCF fair value (EGP/share) across terminal WACC × terminal growth. Bold cells sit nearest spot.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440"/>
        <w:gridCol w:w="1440"/>
        <w:gridCol w:w="1440"/>
        <w:gridCol w:w="1440"/>
        <w:gridCol w:w="1440"/>
      </w:tblGrid>
      <w:tr>
        <w:tc>
          <w:tcPr>
            <w:tcW w:type="dxa" w:w="2160"/>
            <w:shd w:val="clear" w:color="auto" w:fill="EAF0EE"/>
          </w:tcPr>
          <w:p>
            <w:pPr>
              <w:spacing w:after="20"/>
            </w:pPr>
            <w:r>
              <w:rPr>
                <w:b/>
                <w:color w:val="1C3A36"/>
                <w:sz w:val="18"/>
              </w:rPr>
              <w:t>Terminal WACC \ g</w:t>
            </w:r>
          </w:p>
        </w:tc>
        <w:tc>
          <w:tcPr>
            <w:tcW w:type="dxa" w:w="1440"/>
            <w:shd w:val="clear" w:color="auto" w:fill="EAF0EE"/>
          </w:tcPr>
          <w:p>
            <w:pPr>
              <w:spacing w:after="20"/>
            </w:pPr>
            <w:r>
              <w:rPr>
                <w:b/>
                <w:color w:val="1C3A36"/>
                <w:sz w:val="18"/>
              </w:rPr>
              <w:t>3%</w:t>
            </w:r>
          </w:p>
        </w:tc>
        <w:tc>
          <w:tcPr>
            <w:tcW w:type="dxa" w:w="1440"/>
            <w:shd w:val="clear" w:color="auto" w:fill="EAF0EE"/>
          </w:tcPr>
          <w:p>
            <w:pPr>
              <w:spacing w:after="20"/>
            </w:pPr>
            <w:r>
              <w:rPr>
                <w:b/>
                <w:color w:val="1C3A36"/>
                <w:sz w:val="18"/>
              </w:rPr>
              <w:t>4%</w:t>
            </w:r>
          </w:p>
        </w:tc>
        <w:tc>
          <w:tcPr>
            <w:tcW w:type="dxa" w:w="1440"/>
            <w:shd w:val="clear" w:color="auto" w:fill="EAF0EE"/>
          </w:tcPr>
          <w:p>
            <w:pPr>
              <w:spacing w:after="20"/>
            </w:pPr>
            <w:r>
              <w:rPr>
                <w:b/>
                <w:color w:val="1C3A36"/>
                <w:sz w:val="18"/>
              </w:rPr>
              <w:t>5%</w:t>
            </w:r>
          </w:p>
        </w:tc>
        <w:tc>
          <w:tcPr>
            <w:tcW w:type="dxa" w:w="1440"/>
            <w:shd w:val="clear" w:color="auto" w:fill="EAF0EE"/>
          </w:tcPr>
          <w:p>
            <w:pPr>
              <w:spacing w:after="20"/>
            </w:pPr>
            <w:r>
              <w:rPr>
                <w:b/>
                <w:color w:val="1C3A36"/>
                <w:sz w:val="18"/>
              </w:rPr>
              <w:t>6%</w:t>
            </w:r>
          </w:p>
        </w:tc>
        <w:tc>
          <w:tcPr>
            <w:tcW w:type="dxa" w:w="1440"/>
            <w:shd w:val="clear" w:color="auto" w:fill="EAF0EE"/>
          </w:tcPr>
          <w:p>
            <w:pPr>
              <w:spacing w:after="20"/>
            </w:pPr>
            <w:r>
              <w:rPr>
                <w:b/>
                <w:color w:val="1C3A36"/>
                <w:sz w:val="18"/>
              </w:rPr>
              <w:t>7%</w:t>
            </w:r>
          </w:p>
        </w:tc>
      </w:tr>
      <w:tr>
        <w:tc>
          <w:tcPr>
            <w:tcW w:type="dxa" w:w="2160"/>
          </w:tcPr>
          <w:p>
            <w:pPr>
              <w:spacing w:after="20"/>
            </w:pPr>
            <w:r>
              <w:rPr>
                <w:b/>
                <w:color w:val="1C3A36"/>
                <w:sz w:val="18"/>
              </w:rPr>
              <w:t>13.0%</w:t>
            </w:r>
          </w:p>
        </w:tc>
        <w:tc>
          <w:tcPr>
            <w:tcW w:type="dxa" w:w="1440"/>
          </w:tcPr>
          <w:p>
            <w:pPr>
              <w:spacing w:after="20"/>
              <w:jc w:val="right"/>
            </w:pPr>
            <w:r>
              <w:rPr>
                <w:color w:val="1C3A36"/>
                <w:sz w:val="18"/>
              </w:rPr>
              <w:t>-1.31</w:t>
            </w:r>
          </w:p>
        </w:tc>
        <w:tc>
          <w:tcPr>
            <w:tcW w:type="dxa" w:w="1440"/>
          </w:tcPr>
          <w:p>
            <w:pPr>
              <w:spacing w:after="20"/>
              <w:jc w:val="right"/>
            </w:pPr>
            <w:r>
              <w:rPr>
                <w:color w:val="1C3A36"/>
                <w:sz w:val="18"/>
              </w:rPr>
              <w:t>-1.40</w:t>
            </w:r>
          </w:p>
        </w:tc>
        <w:tc>
          <w:tcPr>
            <w:tcW w:type="dxa" w:w="1440"/>
          </w:tcPr>
          <w:p>
            <w:pPr>
              <w:spacing w:after="20"/>
              <w:jc w:val="right"/>
            </w:pPr>
            <w:r>
              <w:rPr>
                <w:color w:val="1C3A36"/>
                <w:sz w:val="18"/>
              </w:rPr>
              <w:t>-1.51</w:t>
            </w:r>
          </w:p>
        </w:tc>
        <w:tc>
          <w:tcPr>
            <w:tcW w:type="dxa" w:w="1440"/>
          </w:tcPr>
          <w:p>
            <w:pPr>
              <w:spacing w:after="20"/>
              <w:jc w:val="right"/>
            </w:pPr>
            <w:r>
              <w:rPr>
                <w:color w:val="1C3A36"/>
                <w:sz w:val="18"/>
              </w:rPr>
              <w:t>-1.66</w:t>
            </w:r>
          </w:p>
        </w:tc>
        <w:tc>
          <w:tcPr>
            <w:tcW w:type="dxa" w:w="1440"/>
          </w:tcPr>
          <w:p>
            <w:pPr>
              <w:spacing w:after="20"/>
              <w:jc w:val="right"/>
            </w:pPr>
            <w:r>
              <w:rPr>
                <w:color w:val="1C3A36"/>
                <w:sz w:val="18"/>
              </w:rPr>
              <w:t>-1.87</w:t>
            </w:r>
          </w:p>
        </w:tc>
      </w:tr>
      <w:tr>
        <w:tc>
          <w:tcPr>
            <w:tcW w:type="dxa" w:w="2160"/>
          </w:tcPr>
          <w:p>
            <w:pPr>
              <w:spacing w:after="20"/>
            </w:pPr>
            <w:r>
              <w:rPr>
                <w:b/>
                <w:color w:val="1C3A36"/>
                <w:sz w:val="18"/>
              </w:rPr>
              <w:t>14.0%</w:t>
            </w:r>
          </w:p>
        </w:tc>
        <w:tc>
          <w:tcPr>
            <w:tcW w:type="dxa" w:w="1440"/>
          </w:tcPr>
          <w:p>
            <w:pPr>
              <w:spacing w:after="20"/>
              <w:jc w:val="right"/>
            </w:pPr>
            <w:r>
              <w:rPr>
                <w:color w:val="1C3A36"/>
                <w:sz w:val="18"/>
              </w:rPr>
              <w:t>-1.47</w:t>
            </w:r>
          </w:p>
        </w:tc>
        <w:tc>
          <w:tcPr>
            <w:tcW w:type="dxa" w:w="1440"/>
          </w:tcPr>
          <w:p>
            <w:pPr>
              <w:spacing w:after="20"/>
              <w:jc w:val="right"/>
            </w:pPr>
            <w:r>
              <w:rPr>
                <w:color w:val="1C3A36"/>
                <w:sz w:val="18"/>
              </w:rPr>
              <w:t>-1.56</w:t>
            </w:r>
          </w:p>
        </w:tc>
        <w:tc>
          <w:tcPr>
            <w:tcW w:type="dxa" w:w="1440"/>
          </w:tcPr>
          <w:p>
            <w:pPr>
              <w:spacing w:after="20"/>
              <w:jc w:val="right"/>
            </w:pPr>
            <w:r>
              <w:rPr>
                <w:color w:val="1C3A36"/>
                <w:sz w:val="18"/>
              </w:rPr>
              <w:t>-1.67</w:t>
            </w:r>
          </w:p>
        </w:tc>
        <w:tc>
          <w:tcPr>
            <w:tcW w:type="dxa" w:w="1440"/>
          </w:tcPr>
          <w:p>
            <w:pPr>
              <w:spacing w:after="20"/>
              <w:jc w:val="right"/>
            </w:pPr>
            <w:r>
              <w:rPr>
                <w:color w:val="1C3A36"/>
                <w:sz w:val="18"/>
              </w:rPr>
              <w:t>-1.82</w:t>
            </w:r>
          </w:p>
        </w:tc>
        <w:tc>
          <w:tcPr>
            <w:tcW w:type="dxa" w:w="1440"/>
          </w:tcPr>
          <w:p>
            <w:pPr>
              <w:spacing w:after="20"/>
              <w:jc w:val="right"/>
            </w:pPr>
            <w:r>
              <w:rPr>
                <w:color w:val="1C3A36"/>
                <w:sz w:val="18"/>
              </w:rPr>
              <w:t>-2.02</w:t>
            </w:r>
          </w:p>
        </w:tc>
      </w:tr>
      <w:tr>
        <w:tc>
          <w:tcPr>
            <w:tcW w:type="dxa" w:w="2160"/>
          </w:tcPr>
          <w:p>
            <w:pPr>
              <w:spacing w:after="20"/>
            </w:pPr>
            <w:r>
              <w:rPr>
                <w:b/>
                <w:color w:val="1C3A36"/>
                <w:sz w:val="18"/>
              </w:rPr>
              <w:t>15.0%</w:t>
            </w:r>
          </w:p>
        </w:tc>
        <w:tc>
          <w:tcPr>
            <w:tcW w:type="dxa" w:w="1440"/>
          </w:tcPr>
          <w:p>
            <w:pPr>
              <w:spacing w:after="20"/>
              <w:jc w:val="right"/>
            </w:pPr>
            <w:r>
              <w:rPr>
                <w:color w:val="1C3A36"/>
                <w:sz w:val="18"/>
              </w:rPr>
              <w:t>-1.61</w:t>
            </w:r>
          </w:p>
        </w:tc>
        <w:tc>
          <w:tcPr>
            <w:tcW w:type="dxa" w:w="1440"/>
          </w:tcPr>
          <w:p>
            <w:pPr>
              <w:spacing w:after="20"/>
              <w:jc w:val="right"/>
            </w:pPr>
            <w:r>
              <w:rPr>
                <w:color w:val="1C3A36"/>
                <w:sz w:val="18"/>
              </w:rPr>
              <w:t>-1.70</w:t>
            </w:r>
          </w:p>
        </w:tc>
        <w:tc>
          <w:tcPr>
            <w:tcW w:type="dxa" w:w="1440"/>
          </w:tcPr>
          <w:p>
            <w:pPr>
              <w:spacing w:after="20"/>
              <w:jc w:val="right"/>
            </w:pPr>
            <w:r>
              <w:rPr>
                <w:color w:val="1C3A36"/>
                <w:sz w:val="18"/>
              </w:rPr>
              <w:t>-1.81</w:t>
            </w:r>
          </w:p>
        </w:tc>
        <w:tc>
          <w:tcPr>
            <w:tcW w:type="dxa" w:w="1440"/>
          </w:tcPr>
          <w:p>
            <w:pPr>
              <w:spacing w:after="20"/>
              <w:jc w:val="right"/>
            </w:pPr>
            <w:r>
              <w:rPr>
                <w:color w:val="1C3A36"/>
                <w:sz w:val="18"/>
              </w:rPr>
              <w:t>-1.94</w:t>
            </w:r>
          </w:p>
        </w:tc>
        <w:tc>
          <w:tcPr>
            <w:tcW w:type="dxa" w:w="1440"/>
          </w:tcPr>
          <w:p>
            <w:pPr>
              <w:spacing w:after="20"/>
              <w:jc w:val="right"/>
            </w:pPr>
            <w:r>
              <w:rPr>
                <w:color w:val="1C3A36"/>
                <w:sz w:val="18"/>
              </w:rPr>
              <w:t>-2.12</w:t>
            </w:r>
          </w:p>
        </w:tc>
      </w:tr>
      <w:tr>
        <w:tc>
          <w:tcPr>
            <w:tcW w:type="dxa" w:w="2160"/>
          </w:tcPr>
          <w:p>
            <w:pPr>
              <w:spacing w:after="20"/>
            </w:pPr>
            <w:r>
              <w:rPr>
                <w:b/>
                <w:color w:val="1C3A36"/>
                <w:sz w:val="18"/>
              </w:rPr>
              <w:t>16.0%</w:t>
            </w:r>
          </w:p>
        </w:tc>
        <w:tc>
          <w:tcPr>
            <w:tcW w:type="dxa" w:w="1440"/>
          </w:tcPr>
          <w:p>
            <w:pPr>
              <w:spacing w:after="20"/>
              <w:jc w:val="right"/>
            </w:pPr>
            <w:r>
              <w:rPr>
                <w:color w:val="1C3A36"/>
                <w:sz w:val="18"/>
              </w:rPr>
              <w:t>-1.72</w:t>
            </w:r>
          </w:p>
        </w:tc>
        <w:tc>
          <w:tcPr>
            <w:tcW w:type="dxa" w:w="1440"/>
          </w:tcPr>
          <w:p>
            <w:pPr>
              <w:spacing w:after="20"/>
              <w:jc w:val="right"/>
            </w:pPr>
            <w:r>
              <w:rPr>
                <w:color w:val="1C3A36"/>
                <w:sz w:val="18"/>
              </w:rPr>
              <w:t>-1.81</w:t>
            </w:r>
          </w:p>
        </w:tc>
        <w:tc>
          <w:tcPr>
            <w:tcW w:type="dxa" w:w="1440"/>
          </w:tcPr>
          <w:p>
            <w:pPr>
              <w:spacing w:after="20"/>
              <w:jc w:val="right"/>
            </w:pPr>
            <w:r>
              <w:rPr>
                <w:color w:val="1C3A36"/>
                <w:sz w:val="18"/>
              </w:rPr>
              <w:t>-1.91</w:t>
            </w:r>
          </w:p>
        </w:tc>
        <w:tc>
          <w:tcPr>
            <w:tcW w:type="dxa" w:w="1440"/>
          </w:tcPr>
          <w:p>
            <w:pPr>
              <w:spacing w:after="20"/>
              <w:jc w:val="right"/>
            </w:pPr>
            <w:r>
              <w:rPr>
                <w:color w:val="1C3A36"/>
                <w:sz w:val="18"/>
              </w:rPr>
              <w:t>-2.04</w:t>
            </w:r>
          </w:p>
        </w:tc>
        <w:tc>
          <w:tcPr>
            <w:tcW w:type="dxa" w:w="1440"/>
          </w:tcPr>
          <w:p>
            <w:pPr>
              <w:spacing w:after="20"/>
              <w:jc w:val="right"/>
            </w:pPr>
            <w:r>
              <w:rPr>
                <w:color w:val="1C3A36"/>
                <w:sz w:val="18"/>
              </w:rPr>
              <w:t>-2.21</w:t>
            </w:r>
          </w:p>
        </w:tc>
      </w:tr>
      <w:tr>
        <w:tc>
          <w:tcPr>
            <w:tcW w:type="dxa" w:w="2160"/>
          </w:tcPr>
          <w:p>
            <w:pPr>
              <w:spacing w:after="20"/>
            </w:pPr>
            <w:r>
              <w:rPr>
                <w:b/>
                <w:color w:val="1C3A36"/>
                <w:sz w:val="18"/>
              </w:rPr>
              <w:t>17.0%</w:t>
            </w:r>
          </w:p>
        </w:tc>
        <w:tc>
          <w:tcPr>
            <w:tcW w:type="dxa" w:w="1440"/>
          </w:tcPr>
          <w:p>
            <w:pPr>
              <w:spacing w:after="20"/>
              <w:jc w:val="right"/>
            </w:pPr>
            <w:r>
              <w:rPr>
                <w:color w:val="1C3A36"/>
                <w:sz w:val="18"/>
              </w:rPr>
              <w:t>-1.82</w:t>
            </w:r>
          </w:p>
        </w:tc>
        <w:tc>
          <w:tcPr>
            <w:tcW w:type="dxa" w:w="1440"/>
          </w:tcPr>
          <w:p>
            <w:pPr>
              <w:spacing w:after="20"/>
              <w:jc w:val="right"/>
            </w:pPr>
            <w:r>
              <w:rPr>
                <w:color w:val="1C3A36"/>
                <w:sz w:val="18"/>
              </w:rPr>
              <w:t>-1.90</w:t>
            </w:r>
          </w:p>
        </w:tc>
        <w:tc>
          <w:tcPr>
            <w:tcW w:type="dxa" w:w="1440"/>
          </w:tcPr>
          <w:p>
            <w:pPr>
              <w:spacing w:after="20"/>
              <w:jc w:val="right"/>
            </w:pPr>
            <w:r>
              <w:rPr>
                <w:color w:val="1C3A36"/>
                <w:sz w:val="18"/>
              </w:rPr>
              <w:t>-2.00</w:t>
            </w:r>
          </w:p>
        </w:tc>
        <w:tc>
          <w:tcPr>
            <w:tcW w:type="dxa" w:w="1440"/>
          </w:tcPr>
          <w:p>
            <w:pPr>
              <w:spacing w:after="20"/>
              <w:jc w:val="right"/>
            </w:pPr>
            <w:r>
              <w:rPr>
                <w:color w:val="1C3A36"/>
                <w:sz w:val="18"/>
              </w:rPr>
              <w:t>-2.12</w:t>
            </w:r>
          </w:p>
        </w:tc>
        <w:tc>
          <w:tcPr>
            <w:tcW w:type="dxa" w:w="1440"/>
          </w:tcPr>
          <w:p>
            <w:pPr>
              <w:spacing w:after="20"/>
              <w:jc w:val="right"/>
            </w:pPr>
            <w:r>
              <w:rPr>
                <w:color w:val="1C3A36"/>
                <w:sz w:val="18"/>
              </w:rPr>
              <w:t>-2.28</w:t>
            </w:r>
          </w:p>
        </w:tc>
      </w:tr>
    </w:tbl>
    <w:p>
      <w:pPr>
        <w:spacing w:after="40"/>
      </w:pPr>
    </w:p>
    <w:p>
      <w:pPr>
        <w:spacing w:after="200" w:before="0"/>
      </w:pPr>
      <w:r>
        <w:rPr>
          <w:b w:val="0"/>
          <w:i/>
          <w:color w:val="6E7B77"/>
          <w:sz w:val="17"/>
        </w:rPr>
        <w:t>DCF fair value (EGP/share) across terminal WACC × terminal growth. Base cell 15.0% × 5% = 0.01 (equity floored at zero — the base EV does not cover the net debt). Note the g-gradient runs the UNUSUAL way — more growth, less value — because the terminal return on capital (10.3%) sits below the terminal cost of capital (15.0%): growth that earns less than it costs subtracts value. This is the construction working correctly, not an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440"/>
        <w:gridCol w:w="1440"/>
        <w:gridCol w:w="1440"/>
        <w:gridCol w:w="1440"/>
        <w:gridCol w:w="1440"/>
      </w:tblGrid>
      <w:tr>
        <w:tc>
          <w:tcPr>
            <w:tcW w:type="dxa" w:w="2448"/>
            <w:shd w:val="clear" w:color="auto" w:fill="EAF0EE"/>
          </w:tcPr>
          <w:p>
            <w:pPr>
              <w:spacing w:after="20"/>
            </w:pPr>
            <w:r>
              <w:rPr>
                <w:b/>
                <w:color w:val="1C3A36"/>
                <w:sz w:val="18"/>
              </w:rPr>
              <w:t>Explicit \ terminal WACC</w:t>
            </w:r>
          </w:p>
        </w:tc>
        <w:tc>
          <w:tcPr>
            <w:tcW w:type="dxa" w:w="1440"/>
            <w:shd w:val="clear" w:color="auto" w:fill="EAF0EE"/>
          </w:tcPr>
          <w:p>
            <w:pPr>
              <w:spacing w:after="20"/>
            </w:pPr>
            <w:r>
              <w:rPr>
                <w:b/>
                <w:color w:val="1C3A36"/>
                <w:sz w:val="18"/>
              </w:rPr>
              <w:t>13.0%</w:t>
            </w:r>
          </w:p>
        </w:tc>
        <w:tc>
          <w:tcPr>
            <w:tcW w:type="dxa" w:w="1440"/>
            <w:shd w:val="clear" w:color="auto" w:fill="EAF0EE"/>
          </w:tcPr>
          <w:p>
            <w:pPr>
              <w:spacing w:after="20"/>
            </w:pPr>
            <w:r>
              <w:rPr>
                <w:b/>
                <w:color w:val="1C3A36"/>
                <w:sz w:val="18"/>
              </w:rPr>
              <w:t>14.0%</w:t>
            </w:r>
          </w:p>
        </w:tc>
        <w:tc>
          <w:tcPr>
            <w:tcW w:type="dxa" w:w="1440"/>
            <w:shd w:val="clear" w:color="auto" w:fill="EAF0EE"/>
          </w:tcPr>
          <w:p>
            <w:pPr>
              <w:spacing w:after="20"/>
            </w:pPr>
            <w:r>
              <w:rPr>
                <w:b/>
                <w:color w:val="1C3A36"/>
                <w:sz w:val="18"/>
              </w:rPr>
              <w:t>15.0%</w:t>
            </w:r>
          </w:p>
        </w:tc>
        <w:tc>
          <w:tcPr>
            <w:tcW w:type="dxa" w:w="1440"/>
            <w:shd w:val="clear" w:color="auto" w:fill="EAF0EE"/>
          </w:tcPr>
          <w:p>
            <w:pPr>
              <w:spacing w:after="20"/>
            </w:pPr>
            <w:r>
              <w:rPr>
                <w:b/>
                <w:color w:val="1C3A36"/>
                <w:sz w:val="18"/>
              </w:rPr>
              <w:t>16.0%</w:t>
            </w:r>
          </w:p>
        </w:tc>
        <w:tc>
          <w:tcPr>
            <w:tcW w:type="dxa" w:w="1440"/>
            <w:shd w:val="clear" w:color="auto" w:fill="EAF0EE"/>
          </w:tcPr>
          <w:p>
            <w:pPr>
              <w:spacing w:after="20"/>
            </w:pPr>
            <w:r>
              <w:rPr>
                <w:b/>
                <w:color w:val="1C3A36"/>
                <w:sz w:val="18"/>
              </w:rPr>
              <w:t>17.0%</w:t>
            </w:r>
          </w:p>
        </w:tc>
      </w:tr>
      <w:tr>
        <w:tc>
          <w:tcPr>
            <w:tcW w:type="dxa" w:w="2448"/>
          </w:tcPr>
          <w:p>
            <w:pPr>
              <w:spacing w:after="20"/>
            </w:pPr>
            <w:r>
              <w:rPr>
                <w:b/>
                <w:color w:val="1C3A36"/>
                <w:sz w:val="18"/>
              </w:rPr>
              <w:t>19.4%</w:t>
            </w:r>
          </w:p>
        </w:tc>
        <w:tc>
          <w:tcPr>
            <w:tcW w:type="dxa" w:w="1440"/>
          </w:tcPr>
          <w:p>
            <w:pPr>
              <w:spacing w:after="20"/>
              <w:jc w:val="right"/>
            </w:pPr>
            <w:r>
              <w:rPr>
                <w:color w:val="1C3A36"/>
                <w:sz w:val="18"/>
              </w:rPr>
              <w:t>-1.45</w:t>
            </w:r>
          </w:p>
        </w:tc>
        <w:tc>
          <w:tcPr>
            <w:tcW w:type="dxa" w:w="1440"/>
          </w:tcPr>
          <w:p>
            <w:pPr>
              <w:spacing w:after="20"/>
              <w:jc w:val="right"/>
            </w:pPr>
            <w:r>
              <w:rPr>
                <w:color w:val="1C3A36"/>
                <w:sz w:val="18"/>
              </w:rPr>
              <w:t>-1.63</w:t>
            </w:r>
          </w:p>
        </w:tc>
        <w:tc>
          <w:tcPr>
            <w:tcW w:type="dxa" w:w="1440"/>
          </w:tcPr>
          <w:p>
            <w:pPr>
              <w:spacing w:after="20"/>
              <w:jc w:val="right"/>
            </w:pPr>
            <w:r>
              <w:rPr>
                <w:color w:val="1C3A36"/>
                <w:sz w:val="18"/>
              </w:rPr>
              <w:t>-1.76</w:t>
            </w:r>
          </w:p>
        </w:tc>
        <w:tc>
          <w:tcPr>
            <w:tcW w:type="dxa" w:w="1440"/>
          </w:tcPr>
          <w:p>
            <w:pPr>
              <w:spacing w:after="20"/>
              <w:jc w:val="right"/>
            </w:pPr>
            <w:r>
              <w:rPr>
                <w:color w:val="1C3A36"/>
                <w:sz w:val="18"/>
              </w:rPr>
              <w:t>-1.87</w:t>
            </w:r>
          </w:p>
        </w:tc>
        <w:tc>
          <w:tcPr>
            <w:tcW w:type="dxa" w:w="1440"/>
          </w:tcPr>
          <w:p>
            <w:pPr>
              <w:spacing w:after="20"/>
              <w:jc w:val="right"/>
            </w:pPr>
            <w:r>
              <w:rPr>
                <w:color w:val="1C3A36"/>
                <w:sz w:val="18"/>
              </w:rPr>
              <w:t>-1.97</w:t>
            </w:r>
          </w:p>
        </w:tc>
      </w:tr>
      <w:tr>
        <w:tc>
          <w:tcPr>
            <w:tcW w:type="dxa" w:w="2448"/>
          </w:tcPr>
          <w:p>
            <w:pPr>
              <w:spacing w:after="20"/>
            </w:pPr>
            <w:r>
              <w:rPr>
                <w:b/>
                <w:color w:val="1C3A36"/>
                <w:sz w:val="18"/>
              </w:rPr>
              <w:t>20.4%</w:t>
            </w:r>
          </w:p>
        </w:tc>
        <w:tc>
          <w:tcPr>
            <w:tcW w:type="dxa" w:w="1440"/>
          </w:tcPr>
          <w:p>
            <w:pPr>
              <w:spacing w:after="20"/>
              <w:jc w:val="right"/>
            </w:pPr>
            <w:r>
              <w:rPr>
                <w:color w:val="1C3A36"/>
                <w:sz w:val="18"/>
              </w:rPr>
              <w:t>-1.48</w:t>
            </w:r>
          </w:p>
        </w:tc>
        <w:tc>
          <w:tcPr>
            <w:tcW w:type="dxa" w:w="1440"/>
          </w:tcPr>
          <w:p>
            <w:pPr>
              <w:spacing w:after="20"/>
              <w:jc w:val="right"/>
            </w:pPr>
            <w:r>
              <w:rPr>
                <w:color w:val="1C3A36"/>
                <w:sz w:val="18"/>
              </w:rPr>
              <w:t>-1.65</w:t>
            </w:r>
          </w:p>
        </w:tc>
        <w:tc>
          <w:tcPr>
            <w:tcW w:type="dxa" w:w="1440"/>
          </w:tcPr>
          <w:p>
            <w:pPr>
              <w:spacing w:after="20"/>
              <w:jc w:val="right"/>
            </w:pPr>
            <w:r>
              <w:rPr>
                <w:color w:val="1C3A36"/>
                <w:sz w:val="18"/>
              </w:rPr>
              <w:t>-1.78</w:t>
            </w:r>
          </w:p>
        </w:tc>
        <w:tc>
          <w:tcPr>
            <w:tcW w:type="dxa" w:w="1440"/>
          </w:tcPr>
          <w:p>
            <w:pPr>
              <w:spacing w:after="20"/>
              <w:jc w:val="right"/>
            </w:pPr>
            <w:r>
              <w:rPr>
                <w:color w:val="1C3A36"/>
                <w:sz w:val="18"/>
              </w:rPr>
              <w:t>-1.89</w:t>
            </w:r>
          </w:p>
        </w:tc>
        <w:tc>
          <w:tcPr>
            <w:tcW w:type="dxa" w:w="1440"/>
          </w:tcPr>
          <w:p>
            <w:pPr>
              <w:spacing w:after="20"/>
              <w:jc w:val="right"/>
            </w:pPr>
            <w:r>
              <w:rPr>
                <w:color w:val="1C3A36"/>
                <w:sz w:val="18"/>
              </w:rPr>
              <w:t>-1.99</w:t>
            </w:r>
          </w:p>
        </w:tc>
      </w:tr>
      <w:tr>
        <w:tc>
          <w:tcPr>
            <w:tcW w:type="dxa" w:w="2448"/>
          </w:tcPr>
          <w:p>
            <w:pPr>
              <w:spacing w:after="20"/>
            </w:pPr>
            <w:r>
              <w:rPr>
                <w:b/>
                <w:color w:val="1C3A36"/>
                <w:sz w:val="18"/>
              </w:rPr>
              <w:t>21.4%</w:t>
            </w:r>
          </w:p>
        </w:tc>
        <w:tc>
          <w:tcPr>
            <w:tcW w:type="dxa" w:w="1440"/>
          </w:tcPr>
          <w:p>
            <w:pPr>
              <w:spacing w:after="20"/>
              <w:jc w:val="right"/>
            </w:pPr>
            <w:r>
              <w:rPr>
                <w:color w:val="1C3A36"/>
                <w:sz w:val="18"/>
              </w:rPr>
              <w:t>-1.51</w:t>
            </w:r>
          </w:p>
        </w:tc>
        <w:tc>
          <w:tcPr>
            <w:tcW w:type="dxa" w:w="1440"/>
          </w:tcPr>
          <w:p>
            <w:pPr>
              <w:spacing w:after="20"/>
              <w:jc w:val="right"/>
            </w:pPr>
            <w:r>
              <w:rPr>
                <w:color w:val="1C3A36"/>
                <w:sz w:val="18"/>
              </w:rPr>
              <w:t>-1.67</w:t>
            </w:r>
          </w:p>
        </w:tc>
        <w:tc>
          <w:tcPr>
            <w:tcW w:type="dxa" w:w="1440"/>
          </w:tcPr>
          <w:p>
            <w:pPr>
              <w:spacing w:after="20"/>
              <w:jc w:val="right"/>
            </w:pPr>
            <w:r>
              <w:rPr>
                <w:color w:val="1C3A36"/>
                <w:sz w:val="18"/>
              </w:rPr>
              <w:t>-1.81</w:t>
            </w:r>
          </w:p>
        </w:tc>
        <w:tc>
          <w:tcPr>
            <w:tcW w:type="dxa" w:w="1440"/>
          </w:tcPr>
          <w:p>
            <w:pPr>
              <w:spacing w:after="20"/>
              <w:jc w:val="right"/>
            </w:pPr>
            <w:r>
              <w:rPr>
                <w:color w:val="1C3A36"/>
                <w:sz w:val="18"/>
              </w:rPr>
              <w:t>-1.91</w:t>
            </w:r>
          </w:p>
        </w:tc>
        <w:tc>
          <w:tcPr>
            <w:tcW w:type="dxa" w:w="1440"/>
          </w:tcPr>
          <w:p>
            <w:pPr>
              <w:spacing w:after="20"/>
              <w:jc w:val="right"/>
            </w:pPr>
            <w:r>
              <w:rPr>
                <w:color w:val="1C3A36"/>
                <w:sz w:val="18"/>
              </w:rPr>
              <w:t>-2.00</w:t>
            </w:r>
          </w:p>
        </w:tc>
      </w:tr>
      <w:tr>
        <w:tc>
          <w:tcPr>
            <w:tcW w:type="dxa" w:w="2448"/>
          </w:tcPr>
          <w:p>
            <w:pPr>
              <w:spacing w:after="20"/>
            </w:pPr>
            <w:r>
              <w:rPr>
                <w:b/>
                <w:color w:val="1C3A36"/>
                <w:sz w:val="18"/>
              </w:rPr>
              <w:t>22.4%</w:t>
            </w:r>
          </w:p>
        </w:tc>
        <w:tc>
          <w:tcPr>
            <w:tcW w:type="dxa" w:w="1440"/>
          </w:tcPr>
          <w:p>
            <w:pPr>
              <w:spacing w:after="20"/>
              <w:jc w:val="right"/>
            </w:pPr>
            <w:r>
              <w:rPr>
                <w:color w:val="1C3A36"/>
                <w:sz w:val="18"/>
              </w:rPr>
              <w:t>-1.54</w:t>
            </w:r>
          </w:p>
        </w:tc>
        <w:tc>
          <w:tcPr>
            <w:tcW w:type="dxa" w:w="1440"/>
          </w:tcPr>
          <w:p>
            <w:pPr>
              <w:spacing w:after="20"/>
              <w:jc w:val="right"/>
            </w:pPr>
            <w:r>
              <w:rPr>
                <w:color w:val="1C3A36"/>
                <w:sz w:val="18"/>
              </w:rPr>
              <w:t>-1.70</w:t>
            </w:r>
          </w:p>
        </w:tc>
        <w:tc>
          <w:tcPr>
            <w:tcW w:type="dxa" w:w="1440"/>
          </w:tcPr>
          <w:p>
            <w:pPr>
              <w:spacing w:after="20"/>
              <w:jc w:val="right"/>
            </w:pPr>
            <w:r>
              <w:rPr>
                <w:color w:val="1C3A36"/>
                <w:sz w:val="18"/>
              </w:rPr>
              <w:t>-1.83</w:t>
            </w:r>
          </w:p>
        </w:tc>
        <w:tc>
          <w:tcPr>
            <w:tcW w:type="dxa" w:w="1440"/>
          </w:tcPr>
          <w:p>
            <w:pPr>
              <w:spacing w:after="20"/>
              <w:jc w:val="right"/>
            </w:pPr>
            <w:r>
              <w:rPr>
                <w:color w:val="1C3A36"/>
                <w:sz w:val="18"/>
              </w:rPr>
              <w:t>-1.93</w:t>
            </w:r>
          </w:p>
        </w:tc>
        <w:tc>
          <w:tcPr>
            <w:tcW w:type="dxa" w:w="1440"/>
          </w:tcPr>
          <w:p>
            <w:pPr>
              <w:spacing w:after="20"/>
              <w:jc w:val="right"/>
            </w:pPr>
            <w:r>
              <w:rPr>
                <w:color w:val="1C3A36"/>
                <w:sz w:val="18"/>
              </w:rPr>
              <w:t>-2.02</w:t>
            </w:r>
          </w:p>
        </w:tc>
      </w:tr>
      <w:tr>
        <w:tc>
          <w:tcPr>
            <w:tcW w:type="dxa" w:w="2448"/>
          </w:tcPr>
          <w:p>
            <w:pPr>
              <w:spacing w:after="20"/>
            </w:pPr>
            <w:r>
              <w:rPr>
                <w:b/>
                <w:color w:val="1C3A36"/>
                <w:sz w:val="18"/>
              </w:rPr>
              <w:t>23.4%</w:t>
            </w:r>
          </w:p>
        </w:tc>
        <w:tc>
          <w:tcPr>
            <w:tcW w:type="dxa" w:w="1440"/>
          </w:tcPr>
          <w:p>
            <w:pPr>
              <w:spacing w:after="20"/>
              <w:jc w:val="right"/>
            </w:pPr>
            <w:r>
              <w:rPr>
                <w:color w:val="1C3A36"/>
                <w:sz w:val="18"/>
              </w:rPr>
              <w:t>-1.56</w:t>
            </w:r>
          </w:p>
        </w:tc>
        <w:tc>
          <w:tcPr>
            <w:tcW w:type="dxa" w:w="1440"/>
          </w:tcPr>
          <w:p>
            <w:pPr>
              <w:spacing w:after="20"/>
              <w:jc w:val="right"/>
            </w:pPr>
            <w:r>
              <w:rPr>
                <w:color w:val="1C3A36"/>
                <w:sz w:val="18"/>
              </w:rPr>
              <w:t>-1.72</w:t>
            </w:r>
          </w:p>
        </w:tc>
        <w:tc>
          <w:tcPr>
            <w:tcW w:type="dxa" w:w="1440"/>
          </w:tcPr>
          <w:p>
            <w:pPr>
              <w:spacing w:after="20"/>
              <w:jc w:val="right"/>
            </w:pPr>
            <w:r>
              <w:rPr>
                <w:color w:val="1C3A36"/>
                <w:sz w:val="18"/>
              </w:rPr>
              <w:t>-1.85</w:t>
            </w:r>
          </w:p>
        </w:tc>
        <w:tc>
          <w:tcPr>
            <w:tcW w:type="dxa" w:w="1440"/>
          </w:tcPr>
          <w:p>
            <w:pPr>
              <w:spacing w:after="20"/>
              <w:jc w:val="right"/>
            </w:pPr>
            <w:r>
              <w:rPr>
                <w:color w:val="1C3A36"/>
                <w:sz w:val="18"/>
              </w:rPr>
              <w:t>-1.95</w:t>
            </w:r>
          </w:p>
        </w:tc>
        <w:tc>
          <w:tcPr>
            <w:tcW w:type="dxa" w:w="1440"/>
          </w:tcPr>
          <w:p>
            <w:pPr>
              <w:spacing w:after="20"/>
              <w:jc w:val="right"/>
            </w:pPr>
            <w:r>
              <w:rPr>
                <w:color w:val="1C3A36"/>
                <w:sz w:val="18"/>
              </w:rPr>
              <w:t>-2.04</w:t>
            </w:r>
          </w:p>
        </w:tc>
      </w:tr>
    </w:tbl>
    <w:p>
      <w:pPr>
        <w:spacing w:after="40"/>
      </w:pPr>
    </w:p>
    <w:p>
      <w:pPr>
        <w:spacing w:after="200" w:before="0"/>
      </w:pPr>
      <w:r>
        <w:rPr>
          <w:b w:val="0"/>
          <w:i/>
          <w:color w:val="6E7B77"/>
          <w:sz w:val="17"/>
        </w:rPr>
        <w:t>Explicit-window WACC × terminal WACC, each varied independently around its own base — what the valuation needs the ECONOMY to do, separate from what it needs the company to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68"/>
        <w:gridCol w:w="1368"/>
        <w:gridCol w:w="1368"/>
        <w:gridCol w:w="1368"/>
        <w:gridCol w:w="1368"/>
      </w:tblGrid>
      <w:tr>
        <w:tc>
          <w:tcPr>
            <w:tcW w:type="dxa" w:w="3024"/>
            <w:shd w:val="clear" w:color="auto" w:fill="EAF0EE"/>
          </w:tcPr>
          <w:p>
            <w:pPr>
              <w:spacing w:after="20"/>
            </w:pPr>
            <w:r>
              <w:rPr>
                <w:b/>
                <w:color w:val="1C3A36"/>
                <w:sz w:val="17"/>
              </w:rPr>
              <w:t>Conversion-EBITDA/t shift \ terminal NWC %</w:t>
            </w:r>
          </w:p>
        </w:tc>
        <w:tc>
          <w:tcPr>
            <w:tcW w:type="dxa" w:w="1368"/>
            <w:shd w:val="clear" w:color="auto" w:fill="EAF0EE"/>
          </w:tcPr>
          <w:p>
            <w:pPr>
              <w:spacing w:after="20"/>
            </w:pPr>
            <w:r>
              <w:rPr>
                <w:b/>
                <w:color w:val="1C3A36"/>
                <w:sz w:val="17"/>
              </w:rPr>
              <w:t>100%</w:t>
            </w:r>
          </w:p>
        </w:tc>
        <w:tc>
          <w:tcPr>
            <w:tcW w:type="dxa" w:w="1368"/>
            <w:shd w:val="clear" w:color="auto" w:fill="EAF0EE"/>
          </w:tcPr>
          <w:p>
            <w:pPr>
              <w:spacing w:after="20"/>
            </w:pPr>
            <w:r>
              <w:rPr>
                <w:b/>
                <w:color w:val="1C3A36"/>
                <w:sz w:val="17"/>
              </w:rPr>
              <w:t>94%</w:t>
            </w:r>
          </w:p>
        </w:tc>
        <w:tc>
          <w:tcPr>
            <w:tcW w:type="dxa" w:w="1368"/>
            <w:shd w:val="clear" w:color="auto" w:fill="EAF0EE"/>
          </w:tcPr>
          <w:p>
            <w:pPr>
              <w:spacing w:after="20"/>
            </w:pPr>
            <w:r>
              <w:rPr>
                <w:b/>
                <w:color w:val="1C3A36"/>
                <w:sz w:val="17"/>
              </w:rPr>
              <w:t>88%</w:t>
            </w:r>
          </w:p>
        </w:tc>
        <w:tc>
          <w:tcPr>
            <w:tcW w:type="dxa" w:w="1368"/>
            <w:shd w:val="clear" w:color="auto" w:fill="EAF0EE"/>
          </w:tcPr>
          <w:p>
            <w:pPr>
              <w:spacing w:after="20"/>
            </w:pPr>
            <w:r>
              <w:rPr>
                <w:b/>
                <w:color w:val="1C3A36"/>
                <w:sz w:val="17"/>
              </w:rPr>
              <w:t>82%</w:t>
            </w:r>
          </w:p>
        </w:tc>
        <w:tc>
          <w:tcPr>
            <w:tcW w:type="dxa" w:w="1368"/>
            <w:shd w:val="clear" w:color="auto" w:fill="EAF0EE"/>
          </w:tcPr>
          <w:p>
            <w:pPr>
              <w:spacing w:after="20"/>
            </w:pPr>
            <w:r>
              <w:rPr>
                <w:b/>
                <w:color w:val="1C3A36"/>
                <w:sz w:val="17"/>
              </w:rPr>
              <w:t>76%</w:t>
            </w:r>
          </w:p>
        </w:tc>
      </w:tr>
      <w:tr>
        <w:tc>
          <w:tcPr>
            <w:tcW w:type="dxa" w:w="3024"/>
          </w:tcPr>
          <w:p>
            <w:pPr>
              <w:spacing w:after="20"/>
            </w:pPr>
            <w:r>
              <w:rPr>
                <w:b/>
                <w:color w:val="1C3A36"/>
                <w:sz w:val="17"/>
              </w:rPr>
              <w:t>-30%</w:t>
            </w:r>
          </w:p>
        </w:tc>
        <w:tc>
          <w:tcPr>
            <w:tcW w:type="dxa" w:w="1368"/>
          </w:tcPr>
          <w:p>
            <w:pPr>
              <w:spacing w:after="20"/>
              <w:jc w:val="right"/>
            </w:pPr>
            <w:r>
              <w:rPr>
                <w:color w:val="1C3A36"/>
                <w:sz w:val="17"/>
              </w:rPr>
              <w:t>-3.26</w:t>
            </w:r>
          </w:p>
        </w:tc>
        <w:tc>
          <w:tcPr>
            <w:tcW w:type="dxa" w:w="1368"/>
          </w:tcPr>
          <w:p>
            <w:pPr>
              <w:spacing w:after="20"/>
              <w:jc w:val="right"/>
            </w:pPr>
            <w:r>
              <w:rPr>
                <w:color w:val="1C3A36"/>
                <w:sz w:val="17"/>
              </w:rPr>
              <w:t>-3.02</w:t>
            </w:r>
          </w:p>
        </w:tc>
        <w:tc>
          <w:tcPr>
            <w:tcW w:type="dxa" w:w="1368"/>
          </w:tcPr>
          <w:p>
            <w:pPr>
              <w:spacing w:after="20"/>
              <w:jc w:val="right"/>
            </w:pPr>
            <w:r>
              <w:rPr>
                <w:color w:val="1C3A36"/>
                <w:sz w:val="17"/>
              </w:rPr>
              <w:t>-2.77</w:t>
            </w:r>
          </w:p>
        </w:tc>
        <w:tc>
          <w:tcPr>
            <w:tcW w:type="dxa" w:w="1368"/>
          </w:tcPr>
          <w:p>
            <w:pPr>
              <w:spacing w:after="20"/>
              <w:jc w:val="right"/>
            </w:pPr>
            <w:r>
              <w:rPr>
                <w:color w:val="1C3A36"/>
                <w:sz w:val="17"/>
              </w:rPr>
              <w:t>-2.53</w:t>
            </w:r>
          </w:p>
        </w:tc>
        <w:tc>
          <w:tcPr>
            <w:tcW w:type="dxa" w:w="1368"/>
          </w:tcPr>
          <w:p>
            <w:pPr>
              <w:spacing w:after="20"/>
              <w:jc w:val="right"/>
            </w:pPr>
            <w:r>
              <w:rPr>
                <w:color w:val="1C3A36"/>
                <w:sz w:val="17"/>
              </w:rPr>
              <w:t>-2.29</w:t>
            </w:r>
          </w:p>
        </w:tc>
      </w:tr>
      <w:tr>
        <w:tc>
          <w:tcPr>
            <w:tcW w:type="dxa" w:w="3024"/>
          </w:tcPr>
          <w:p>
            <w:pPr>
              <w:spacing w:after="20"/>
            </w:pPr>
            <w:r>
              <w:rPr>
                <w:b/>
                <w:color w:val="1C3A36"/>
                <w:sz w:val="17"/>
              </w:rPr>
              <w:t>-15%</w:t>
            </w:r>
          </w:p>
        </w:tc>
        <w:tc>
          <w:tcPr>
            <w:tcW w:type="dxa" w:w="1368"/>
          </w:tcPr>
          <w:p>
            <w:pPr>
              <w:spacing w:after="20"/>
              <w:jc w:val="right"/>
            </w:pPr>
            <w:r>
              <w:rPr>
                <w:color w:val="1C3A36"/>
                <w:sz w:val="17"/>
              </w:rPr>
              <w:t>-2.77</w:t>
            </w:r>
          </w:p>
        </w:tc>
        <w:tc>
          <w:tcPr>
            <w:tcW w:type="dxa" w:w="1368"/>
          </w:tcPr>
          <w:p>
            <w:pPr>
              <w:spacing w:after="20"/>
              <w:jc w:val="right"/>
            </w:pPr>
            <w:r>
              <w:rPr>
                <w:color w:val="1C3A36"/>
                <w:sz w:val="17"/>
              </w:rPr>
              <w:t>-2.53</w:t>
            </w:r>
          </w:p>
        </w:tc>
        <w:tc>
          <w:tcPr>
            <w:tcW w:type="dxa" w:w="1368"/>
          </w:tcPr>
          <w:p>
            <w:pPr>
              <w:spacing w:after="20"/>
              <w:jc w:val="right"/>
            </w:pPr>
            <w:r>
              <w:rPr>
                <w:color w:val="1C3A36"/>
                <w:sz w:val="17"/>
              </w:rPr>
              <w:t>-2.29</w:t>
            </w:r>
          </w:p>
        </w:tc>
        <w:tc>
          <w:tcPr>
            <w:tcW w:type="dxa" w:w="1368"/>
          </w:tcPr>
          <w:p>
            <w:pPr>
              <w:spacing w:after="20"/>
              <w:jc w:val="right"/>
            </w:pPr>
            <w:r>
              <w:rPr>
                <w:color w:val="1C3A36"/>
                <w:sz w:val="17"/>
              </w:rPr>
              <w:t>-2.05</w:t>
            </w:r>
          </w:p>
        </w:tc>
        <w:tc>
          <w:tcPr>
            <w:tcW w:type="dxa" w:w="1368"/>
          </w:tcPr>
          <w:p>
            <w:pPr>
              <w:spacing w:after="20"/>
              <w:jc w:val="right"/>
            </w:pPr>
            <w:r>
              <w:rPr>
                <w:color w:val="1C3A36"/>
                <w:sz w:val="17"/>
              </w:rPr>
              <w:t>-1.81</w:t>
            </w:r>
          </w:p>
        </w:tc>
      </w:tr>
      <w:tr>
        <w:tc>
          <w:tcPr>
            <w:tcW w:type="dxa" w:w="3024"/>
          </w:tcPr>
          <w:p>
            <w:pPr>
              <w:spacing w:after="20"/>
            </w:pPr>
            <w:r>
              <w:rPr>
                <w:b/>
                <w:color w:val="1C3A36"/>
                <w:sz w:val="17"/>
              </w:rPr>
              <w:t>+0%</w:t>
            </w:r>
          </w:p>
        </w:tc>
        <w:tc>
          <w:tcPr>
            <w:tcW w:type="dxa" w:w="1368"/>
          </w:tcPr>
          <w:p>
            <w:pPr>
              <w:spacing w:after="20"/>
              <w:jc w:val="right"/>
            </w:pPr>
            <w:r>
              <w:rPr>
                <w:color w:val="1C3A36"/>
                <w:sz w:val="17"/>
              </w:rPr>
              <w:t>-2.29</w:t>
            </w:r>
          </w:p>
        </w:tc>
        <w:tc>
          <w:tcPr>
            <w:tcW w:type="dxa" w:w="1368"/>
          </w:tcPr>
          <w:p>
            <w:pPr>
              <w:spacing w:after="20"/>
              <w:jc w:val="right"/>
            </w:pPr>
            <w:r>
              <w:rPr>
                <w:color w:val="1C3A36"/>
                <w:sz w:val="17"/>
              </w:rPr>
              <w:t>-2.05</w:t>
            </w:r>
          </w:p>
        </w:tc>
        <w:tc>
          <w:tcPr>
            <w:tcW w:type="dxa" w:w="1368"/>
          </w:tcPr>
          <w:p>
            <w:pPr>
              <w:spacing w:after="20"/>
              <w:jc w:val="right"/>
            </w:pPr>
            <w:r>
              <w:rPr>
                <w:color w:val="1C3A36"/>
                <w:sz w:val="17"/>
              </w:rPr>
              <w:t>-1.81</w:t>
            </w:r>
          </w:p>
        </w:tc>
        <w:tc>
          <w:tcPr>
            <w:tcW w:type="dxa" w:w="1368"/>
          </w:tcPr>
          <w:p>
            <w:pPr>
              <w:spacing w:after="20"/>
              <w:jc w:val="right"/>
            </w:pPr>
            <w:r>
              <w:rPr>
                <w:color w:val="1C3A36"/>
                <w:sz w:val="17"/>
              </w:rPr>
              <w:t>-1.56</w:t>
            </w:r>
          </w:p>
        </w:tc>
        <w:tc>
          <w:tcPr>
            <w:tcW w:type="dxa" w:w="1368"/>
          </w:tcPr>
          <w:p>
            <w:pPr>
              <w:spacing w:after="20"/>
              <w:jc w:val="right"/>
            </w:pPr>
            <w:r>
              <w:rPr>
                <w:color w:val="1C3A36"/>
                <w:sz w:val="17"/>
              </w:rPr>
              <w:t>-1.32</w:t>
            </w:r>
          </w:p>
        </w:tc>
      </w:tr>
      <w:tr>
        <w:tc>
          <w:tcPr>
            <w:tcW w:type="dxa" w:w="3024"/>
          </w:tcPr>
          <w:p>
            <w:pPr>
              <w:spacing w:after="20"/>
            </w:pPr>
            <w:r>
              <w:rPr>
                <w:b/>
                <w:color w:val="1C3A36"/>
                <w:sz w:val="17"/>
              </w:rPr>
              <w:t>+15%</w:t>
            </w:r>
          </w:p>
        </w:tc>
        <w:tc>
          <w:tcPr>
            <w:tcW w:type="dxa" w:w="1368"/>
          </w:tcPr>
          <w:p>
            <w:pPr>
              <w:spacing w:after="20"/>
              <w:jc w:val="right"/>
            </w:pPr>
            <w:r>
              <w:rPr>
                <w:color w:val="1C3A36"/>
                <w:sz w:val="17"/>
              </w:rPr>
              <w:t>-1.81</w:t>
            </w:r>
          </w:p>
        </w:tc>
        <w:tc>
          <w:tcPr>
            <w:tcW w:type="dxa" w:w="1368"/>
          </w:tcPr>
          <w:p>
            <w:pPr>
              <w:spacing w:after="20"/>
              <w:jc w:val="right"/>
            </w:pPr>
            <w:r>
              <w:rPr>
                <w:color w:val="1C3A36"/>
                <w:sz w:val="17"/>
              </w:rPr>
              <w:t>-1.56</w:t>
            </w:r>
          </w:p>
        </w:tc>
        <w:tc>
          <w:tcPr>
            <w:tcW w:type="dxa" w:w="1368"/>
          </w:tcPr>
          <w:p>
            <w:pPr>
              <w:spacing w:after="20"/>
              <w:jc w:val="right"/>
            </w:pPr>
            <w:r>
              <w:rPr>
                <w:color w:val="1C3A36"/>
                <w:sz w:val="17"/>
              </w:rPr>
              <w:t>-1.32</w:t>
            </w:r>
          </w:p>
        </w:tc>
        <w:tc>
          <w:tcPr>
            <w:tcW w:type="dxa" w:w="1368"/>
          </w:tcPr>
          <w:p>
            <w:pPr>
              <w:spacing w:after="20"/>
              <w:jc w:val="right"/>
            </w:pPr>
            <w:r>
              <w:rPr>
                <w:color w:val="1C3A36"/>
                <w:sz w:val="17"/>
              </w:rPr>
              <w:t>-1.08</w:t>
            </w:r>
          </w:p>
        </w:tc>
        <w:tc>
          <w:tcPr>
            <w:tcW w:type="dxa" w:w="1368"/>
          </w:tcPr>
          <w:p>
            <w:pPr>
              <w:spacing w:after="20"/>
              <w:jc w:val="right"/>
            </w:pPr>
            <w:r>
              <w:rPr>
                <w:color w:val="1C3A36"/>
                <w:sz w:val="17"/>
              </w:rPr>
              <w:t>-0.84</w:t>
            </w:r>
          </w:p>
        </w:tc>
      </w:tr>
      <w:tr>
        <w:tc>
          <w:tcPr>
            <w:tcW w:type="dxa" w:w="3024"/>
          </w:tcPr>
          <w:p>
            <w:pPr>
              <w:spacing w:after="20"/>
            </w:pPr>
            <w:r>
              <w:rPr>
                <w:b/>
                <w:color w:val="1C3A36"/>
                <w:sz w:val="17"/>
              </w:rPr>
              <w:t>+30%</w:t>
            </w:r>
          </w:p>
        </w:tc>
        <w:tc>
          <w:tcPr>
            <w:tcW w:type="dxa" w:w="1368"/>
          </w:tcPr>
          <w:p>
            <w:pPr>
              <w:spacing w:after="20"/>
              <w:jc w:val="right"/>
            </w:pPr>
            <w:r>
              <w:rPr>
                <w:color w:val="1C3A36"/>
                <w:sz w:val="17"/>
              </w:rPr>
              <w:t>-1.32</w:t>
            </w:r>
          </w:p>
        </w:tc>
        <w:tc>
          <w:tcPr>
            <w:tcW w:type="dxa" w:w="1368"/>
          </w:tcPr>
          <w:p>
            <w:pPr>
              <w:spacing w:after="20"/>
              <w:jc w:val="right"/>
            </w:pPr>
            <w:r>
              <w:rPr>
                <w:color w:val="1C3A36"/>
                <w:sz w:val="17"/>
              </w:rPr>
              <w:t>-1.08</w:t>
            </w:r>
          </w:p>
        </w:tc>
        <w:tc>
          <w:tcPr>
            <w:tcW w:type="dxa" w:w="1368"/>
          </w:tcPr>
          <w:p>
            <w:pPr>
              <w:spacing w:after="20"/>
              <w:jc w:val="right"/>
            </w:pPr>
            <w:r>
              <w:rPr>
                <w:color w:val="1C3A36"/>
                <w:sz w:val="17"/>
              </w:rPr>
              <w:t>-0.84</w:t>
            </w:r>
          </w:p>
        </w:tc>
        <w:tc>
          <w:tcPr>
            <w:tcW w:type="dxa" w:w="1368"/>
          </w:tcPr>
          <w:p>
            <w:pPr>
              <w:spacing w:after="20"/>
              <w:jc w:val="right"/>
            </w:pPr>
            <w:r>
              <w:rPr>
                <w:color w:val="1C3A36"/>
                <w:sz w:val="17"/>
              </w:rPr>
              <w:t>-0.59</w:t>
            </w:r>
          </w:p>
        </w:tc>
        <w:tc>
          <w:tcPr>
            <w:tcW w:type="dxa" w:w="1368"/>
          </w:tcPr>
          <w:p>
            <w:pPr>
              <w:spacing w:after="20"/>
              <w:jc w:val="right"/>
            </w:pPr>
            <w:r>
              <w:rPr>
                <w:color w:val="1C3A36"/>
                <w:sz w:val="17"/>
              </w:rPr>
              <w:t>-0.35</w:t>
            </w:r>
          </w:p>
        </w:tc>
      </w:tr>
    </w:tbl>
    <w:p>
      <w:pPr>
        <w:spacing w:after="40"/>
      </w:pPr>
    </w:p>
    <w:p>
      <w:pPr>
        <w:spacing w:after="200" w:before="0"/>
      </w:pPr>
      <w:r>
        <w:rPr>
          <w:b w:val="0"/>
          <w:i/>
          <w:color w:val="6E7B77"/>
          <w:sz w:val="17"/>
        </w:rPr>
        <w:t>The company grid: conversion economics × working-capital collection. Terminal ROIC is RECOMPUTED in every cell (shifted NOPAT over shifted invested capital), so margin shifts carry through to the terminal economics — the grid’s stated specification. +30% on conversion EBITDA/t (≈175 k EGP/t — a partial return of the windfall) AND collection back toward FY24’s ~76% intensity still does not reach spot on this lens alone; the market price needs the bull case on every axis at once, including the cost of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880"/>
        <w:gridCol w:w="2304"/>
        <w:gridCol w:w="2304"/>
      </w:tblGrid>
      <w:tr>
        <w:tc>
          <w:tcPr>
            <w:tcW w:type="dxa" w:w="2304"/>
            <w:shd w:val="clear" w:color="auto" w:fill="EAF0EE"/>
          </w:tcPr>
          <w:p>
            <w:pPr>
              <w:spacing w:after="20"/>
            </w:pPr>
            <w:r>
              <w:rPr>
                <w:b/>
                <w:color w:val="1C3A36"/>
                <w:sz w:val="17"/>
              </w:rPr>
              <w:t>Terminal ROIC</w:t>
            </w:r>
          </w:p>
        </w:tc>
        <w:tc>
          <w:tcPr>
            <w:tcW w:type="dxa" w:w="2880"/>
            <w:shd w:val="clear" w:color="auto" w:fill="EAF0EE"/>
          </w:tcPr>
          <w:p>
            <w:pPr>
              <w:spacing w:after="20"/>
            </w:pPr>
            <w:r>
              <w:rPr>
                <w:b/>
                <w:color w:val="1C3A36"/>
                <w:sz w:val="17"/>
              </w:rPr>
              <w:t>Reinvestment needed for g = 5%</w:t>
            </w:r>
          </w:p>
        </w:tc>
        <w:tc>
          <w:tcPr>
            <w:tcW w:type="dxa" w:w="2304"/>
            <w:shd w:val="clear" w:color="auto" w:fill="EAF0EE"/>
          </w:tcPr>
          <w:p>
            <w:pPr>
              <w:spacing w:after="20"/>
            </w:pPr>
            <w:r>
              <w:rPr>
                <w:b/>
                <w:color w:val="1C3A36"/>
                <w:sz w:val="17"/>
              </w:rPr>
              <w:t>Terminal value (EGP mn)</w:t>
            </w:r>
          </w:p>
        </w:tc>
        <w:tc>
          <w:tcPr>
            <w:tcW w:type="dxa" w:w="2304"/>
            <w:shd w:val="clear" w:color="auto" w:fill="EAF0EE"/>
          </w:tcPr>
          <w:p>
            <w:pPr>
              <w:spacing w:after="20"/>
            </w:pPr>
            <w:r>
              <w:rPr>
                <w:b/>
                <w:color w:val="1C3A36"/>
                <w:sz w:val="17"/>
              </w:rPr>
              <w:t>DCF (EGP/sh, unfloored)</w:t>
            </w:r>
          </w:p>
        </w:tc>
      </w:tr>
      <w:tr>
        <w:tc>
          <w:tcPr>
            <w:tcW w:type="dxa" w:w="2304"/>
          </w:tcPr>
          <w:p>
            <w:pPr>
              <w:spacing w:after="20"/>
            </w:pPr>
            <w:r>
              <w:rPr>
                <w:b/>
                <w:color w:val="1C3A36"/>
                <w:sz w:val="17"/>
              </w:rPr>
              <w:t>7.7%</w:t>
            </w:r>
          </w:p>
        </w:tc>
        <w:tc>
          <w:tcPr>
            <w:tcW w:type="dxa" w:w="2880"/>
          </w:tcPr>
          <w:p>
            <w:pPr>
              <w:spacing w:after="20"/>
              <w:jc w:val="right"/>
            </w:pPr>
            <w:r>
              <w:rPr>
                <w:color w:val="1C3A36"/>
                <w:sz w:val="17"/>
              </w:rPr>
              <w:t>65%</w:t>
            </w:r>
          </w:p>
        </w:tc>
        <w:tc>
          <w:tcPr>
            <w:tcW w:type="dxa" w:w="2304"/>
          </w:tcPr>
          <w:p>
            <w:pPr>
              <w:spacing w:after="20"/>
              <w:jc w:val="right"/>
            </w:pPr>
            <w:r>
              <w:rPr>
                <w:color w:val="1C3A36"/>
                <w:sz w:val="17"/>
              </w:rPr>
              <w:t>5,513</w:t>
            </w:r>
          </w:p>
        </w:tc>
        <w:tc>
          <w:tcPr>
            <w:tcW w:type="dxa" w:w="2304"/>
          </w:tcPr>
          <w:p>
            <w:pPr>
              <w:spacing w:after="20"/>
              <w:jc w:val="right"/>
            </w:pPr>
            <w:r>
              <w:rPr>
                <w:color w:val="1C3A36"/>
                <w:sz w:val="17"/>
              </w:rPr>
              <w:t>-2.02</w:t>
            </w:r>
          </w:p>
        </w:tc>
      </w:tr>
      <w:tr>
        <w:tc>
          <w:tcPr>
            <w:tcW w:type="dxa" w:w="2304"/>
          </w:tcPr>
          <w:p>
            <w:pPr>
              <w:spacing w:after="20"/>
            </w:pPr>
            <w:r>
              <w:rPr>
                <w:b/>
                <w:color w:val="1C3A36"/>
                <w:sz w:val="17"/>
              </w:rPr>
              <w:t>8.5%</w:t>
            </w:r>
          </w:p>
        </w:tc>
        <w:tc>
          <w:tcPr>
            <w:tcW w:type="dxa" w:w="2880"/>
          </w:tcPr>
          <w:p>
            <w:pPr>
              <w:spacing w:after="20"/>
              <w:jc w:val="right"/>
            </w:pPr>
            <w:r>
              <w:rPr>
                <w:color w:val="1C3A36"/>
                <w:sz w:val="17"/>
              </w:rPr>
              <w:t>59%</w:t>
            </w:r>
          </w:p>
        </w:tc>
        <w:tc>
          <w:tcPr>
            <w:tcW w:type="dxa" w:w="2304"/>
          </w:tcPr>
          <w:p>
            <w:pPr>
              <w:spacing w:after="20"/>
              <w:jc w:val="right"/>
            </w:pPr>
            <w:r>
              <w:rPr>
                <w:color w:val="1C3A36"/>
                <w:sz w:val="17"/>
              </w:rPr>
              <w:t>6,474</w:t>
            </w:r>
          </w:p>
        </w:tc>
        <w:tc>
          <w:tcPr>
            <w:tcW w:type="dxa" w:w="2304"/>
          </w:tcPr>
          <w:p>
            <w:pPr>
              <w:spacing w:after="20"/>
              <w:jc w:val="right"/>
            </w:pPr>
            <w:r>
              <w:rPr>
                <w:color w:val="1C3A36"/>
                <w:sz w:val="17"/>
              </w:rPr>
              <w:t>-1.89</w:t>
            </w:r>
          </w:p>
        </w:tc>
      </w:tr>
      <w:tr>
        <w:tc>
          <w:tcPr>
            <w:tcW w:type="dxa" w:w="2304"/>
          </w:tcPr>
          <w:p>
            <w:pPr>
              <w:spacing w:after="20"/>
            </w:pPr>
            <w:r>
              <w:rPr>
                <w:b/>
                <w:color w:val="1C3A36"/>
                <w:sz w:val="17"/>
              </w:rPr>
              <w:t>9.2% ← used</w:t>
            </w:r>
          </w:p>
        </w:tc>
        <w:tc>
          <w:tcPr>
            <w:tcW w:type="dxa" w:w="2880"/>
          </w:tcPr>
          <w:p>
            <w:pPr>
              <w:spacing w:after="20"/>
              <w:jc w:val="right"/>
            </w:pPr>
            <w:r>
              <w:rPr>
                <w:color w:val="1C3A36"/>
                <w:sz w:val="17"/>
              </w:rPr>
              <w:t>55%</w:t>
            </w:r>
          </w:p>
        </w:tc>
        <w:tc>
          <w:tcPr>
            <w:tcW w:type="dxa" w:w="2304"/>
          </w:tcPr>
          <w:p>
            <w:pPr>
              <w:spacing w:after="20"/>
              <w:jc w:val="right"/>
            </w:pPr>
            <w:r>
              <w:rPr>
                <w:color w:val="1C3A36"/>
                <w:sz w:val="17"/>
              </w:rPr>
              <w:t>7,150</w:t>
            </w:r>
          </w:p>
        </w:tc>
        <w:tc>
          <w:tcPr>
            <w:tcW w:type="dxa" w:w="2304"/>
          </w:tcPr>
          <w:p>
            <w:pPr>
              <w:spacing w:after="20"/>
              <w:jc w:val="right"/>
            </w:pPr>
            <w:r>
              <w:rPr>
                <w:color w:val="1C3A36"/>
                <w:sz w:val="17"/>
              </w:rPr>
              <w:t>-1.81</w:t>
            </w:r>
          </w:p>
        </w:tc>
      </w:tr>
      <w:tr>
        <w:tc>
          <w:tcPr>
            <w:tcW w:type="dxa" w:w="2304"/>
          </w:tcPr>
          <w:p>
            <w:pPr>
              <w:spacing w:after="20"/>
            </w:pPr>
            <w:r>
              <w:rPr>
                <w:b/>
                <w:color w:val="1C3A36"/>
                <w:sz w:val="17"/>
              </w:rPr>
              <w:t>12.0%</w:t>
            </w:r>
          </w:p>
        </w:tc>
        <w:tc>
          <w:tcPr>
            <w:tcW w:type="dxa" w:w="2880"/>
          </w:tcPr>
          <w:p>
            <w:pPr>
              <w:spacing w:after="20"/>
              <w:jc w:val="right"/>
            </w:pPr>
            <w:r>
              <w:rPr>
                <w:color w:val="1C3A36"/>
                <w:sz w:val="17"/>
              </w:rPr>
              <w:t>42%</w:t>
            </w:r>
          </w:p>
        </w:tc>
        <w:tc>
          <w:tcPr>
            <w:tcW w:type="dxa" w:w="2304"/>
          </w:tcPr>
          <w:p>
            <w:pPr>
              <w:spacing w:after="20"/>
              <w:jc w:val="right"/>
            </w:pPr>
            <w:r>
              <w:rPr>
                <w:color w:val="1C3A36"/>
                <w:sz w:val="17"/>
              </w:rPr>
              <w:t>9,171</w:t>
            </w:r>
          </w:p>
        </w:tc>
        <w:tc>
          <w:tcPr>
            <w:tcW w:type="dxa" w:w="2304"/>
          </w:tcPr>
          <w:p>
            <w:pPr>
              <w:spacing w:after="20"/>
              <w:jc w:val="right"/>
            </w:pPr>
            <w:r>
              <w:rPr>
                <w:color w:val="1C3A36"/>
                <w:sz w:val="17"/>
              </w:rPr>
              <w:t>-1.54</w:t>
            </w:r>
          </w:p>
        </w:tc>
      </w:tr>
      <w:tr>
        <w:tc>
          <w:tcPr>
            <w:tcW w:type="dxa" w:w="2304"/>
          </w:tcPr>
          <w:p>
            <w:pPr>
              <w:spacing w:after="20"/>
            </w:pPr>
            <w:r>
              <w:rPr>
                <w:b/>
                <w:color w:val="1C3A36"/>
                <w:sz w:val="17"/>
              </w:rPr>
              <w:t>15.0% ← = terminal WACC</w:t>
            </w:r>
          </w:p>
        </w:tc>
        <w:tc>
          <w:tcPr>
            <w:tcW w:type="dxa" w:w="2880"/>
          </w:tcPr>
          <w:p>
            <w:pPr>
              <w:spacing w:after="20"/>
              <w:jc w:val="right"/>
            </w:pPr>
            <w:r>
              <w:rPr>
                <w:color w:val="1C3A36"/>
                <w:sz w:val="17"/>
              </w:rPr>
              <w:t>33%</w:t>
            </w:r>
          </w:p>
        </w:tc>
        <w:tc>
          <w:tcPr>
            <w:tcW w:type="dxa" w:w="2304"/>
          </w:tcPr>
          <w:p>
            <w:pPr>
              <w:spacing w:after="20"/>
              <w:jc w:val="right"/>
            </w:pPr>
            <w:r>
              <w:rPr>
                <w:color w:val="1C3A36"/>
                <w:sz w:val="17"/>
              </w:rPr>
              <w:t>10,481</w:t>
            </w:r>
          </w:p>
        </w:tc>
        <w:tc>
          <w:tcPr>
            <w:tcW w:type="dxa" w:w="2304"/>
          </w:tcPr>
          <w:p>
            <w:pPr>
              <w:spacing w:after="20"/>
              <w:jc w:val="right"/>
            </w:pPr>
            <w:r>
              <w:rPr>
                <w:color w:val="1C3A36"/>
                <w:sz w:val="17"/>
              </w:rPr>
              <w:t>-1.37</w:t>
            </w:r>
          </w:p>
        </w:tc>
      </w:tr>
    </w:tbl>
    <w:p>
      <w:pPr>
        <w:spacing w:after="40"/>
      </w:pPr>
    </w:p>
    <w:p>
      <w:pPr>
        <w:spacing w:after="200" w:before="0"/>
      </w:pPr>
      <w:r>
        <w:rPr>
          <w:b w:val="0"/>
          <w:i/>
          <w:color w:val="6E7B77"/>
          <w:sz w:val="17"/>
        </w:rPr>
        <w:t>Terminal return on capital, varied alone. This is the input that sets the reinvestment burden (RR = g ÷ ROIC) and drives the inverted growth gradient; its swing across this range (~±EGP 0.3/share unfloored) is larger than the entire beta grid’s — which is why it is gridded here alongside the rates. Even at ROIC equal to the terminal cost of capital, the enterprise still does not cover the net debt.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584"/>
        <w:gridCol w:w="1872"/>
        <w:gridCol w:w="1872"/>
        <w:gridCol w:w="1728"/>
      </w:tblGrid>
      <w:tr>
        <w:tc>
          <w:tcPr>
            <w:tcW w:type="dxa" w:w="2160"/>
            <w:shd w:val="clear" w:color="auto" w:fill="EAF0EE"/>
          </w:tcPr>
          <w:p>
            <w:pPr>
              <w:spacing w:after="20"/>
            </w:pPr>
            <w:r>
              <w:rPr>
                <w:b/>
                <w:color w:val="1C3A36"/>
                <w:sz w:val="17"/>
              </w:rPr>
              <w:t>Beta</w:t>
            </w:r>
          </w:p>
        </w:tc>
        <w:tc>
          <w:tcPr>
            <w:tcW w:type="dxa" w:w="1584"/>
            <w:shd w:val="clear" w:color="auto" w:fill="EAF0EE"/>
          </w:tcPr>
          <w:p>
            <w:pPr>
              <w:spacing w:after="20"/>
            </w:pPr>
            <w:r>
              <w:rPr>
                <w:b/>
                <w:color w:val="1C3A36"/>
                <w:sz w:val="17"/>
              </w:rPr>
              <w:t>Ke</w:t>
            </w:r>
          </w:p>
        </w:tc>
        <w:tc>
          <w:tcPr>
            <w:tcW w:type="dxa" w:w="1872"/>
            <w:shd w:val="clear" w:color="auto" w:fill="EAF0EE"/>
          </w:tcPr>
          <w:p>
            <w:pPr>
              <w:spacing w:after="20"/>
            </w:pPr>
            <w:r>
              <w:rPr>
                <w:b/>
                <w:color w:val="1C3A36"/>
                <w:sz w:val="17"/>
              </w:rPr>
              <w:t>WACC (explicit)</w:t>
            </w:r>
          </w:p>
        </w:tc>
        <w:tc>
          <w:tcPr>
            <w:tcW w:type="dxa" w:w="1872"/>
            <w:shd w:val="clear" w:color="auto" w:fill="EAF0EE"/>
          </w:tcPr>
          <w:p>
            <w:pPr>
              <w:spacing w:after="20"/>
            </w:pPr>
            <w:r>
              <w:rPr>
                <w:b/>
                <w:color w:val="1C3A36"/>
                <w:sz w:val="17"/>
              </w:rPr>
              <w:t>WACC (terminal)</w:t>
            </w:r>
          </w:p>
        </w:tc>
        <w:tc>
          <w:tcPr>
            <w:tcW w:type="dxa" w:w="1728"/>
            <w:shd w:val="clear" w:color="auto" w:fill="EAF0EE"/>
          </w:tcPr>
          <w:p>
            <w:pPr>
              <w:spacing w:after="20"/>
            </w:pPr>
            <w:r>
              <w:rPr>
                <w:b/>
                <w:color w:val="1C3A36"/>
                <w:sz w:val="17"/>
              </w:rPr>
              <w:t>DCF (EGP/sh)</w:t>
            </w:r>
          </w:p>
        </w:tc>
      </w:tr>
      <w:tr>
        <w:tc>
          <w:tcPr>
            <w:tcW w:type="dxa" w:w="2160"/>
          </w:tcPr>
          <w:p>
            <w:pPr>
              <w:spacing w:after="20"/>
            </w:pPr>
            <w:r>
              <w:rPr>
                <w:b/>
                <w:color w:val="1C3A36"/>
                <w:sz w:val="17"/>
              </w:rPr>
              <w:t>0.60</w:t>
            </w:r>
          </w:p>
        </w:tc>
        <w:tc>
          <w:tcPr>
            <w:tcW w:type="dxa" w:w="1584"/>
          </w:tcPr>
          <w:p>
            <w:pPr>
              <w:spacing w:after="20"/>
              <w:jc w:val="right"/>
            </w:pPr>
            <w:r>
              <w:rPr>
                <w:color w:val="1C3A36"/>
                <w:sz w:val="17"/>
              </w:rPr>
              <w:t>24.6%</w:t>
            </w:r>
          </w:p>
        </w:tc>
        <w:tc>
          <w:tcPr>
            <w:tcW w:type="dxa" w:w="1872"/>
          </w:tcPr>
          <w:p>
            <w:pPr>
              <w:spacing w:after="20"/>
              <w:jc w:val="right"/>
            </w:pPr>
            <w:r>
              <w:rPr>
                <w:color w:val="1C3A36"/>
                <w:sz w:val="17"/>
              </w:rPr>
              <w:t>20.0%</w:t>
            </w:r>
          </w:p>
        </w:tc>
        <w:tc>
          <w:tcPr>
            <w:tcW w:type="dxa" w:w="1872"/>
          </w:tcPr>
          <w:p>
            <w:pPr>
              <w:spacing w:after="20"/>
              <w:jc w:val="right"/>
            </w:pPr>
            <w:r>
              <w:rPr>
                <w:color w:val="1C3A36"/>
                <w:sz w:val="17"/>
              </w:rPr>
              <w:t>13.5%</w:t>
            </w:r>
          </w:p>
        </w:tc>
        <w:tc>
          <w:tcPr>
            <w:tcW w:type="dxa" w:w="1728"/>
          </w:tcPr>
          <w:p>
            <w:pPr>
              <w:spacing w:after="20"/>
              <w:jc w:val="right"/>
            </w:pPr>
            <w:r>
              <w:rPr>
                <w:color w:val="1C3A36"/>
                <w:sz w:val="17"/>
              </w:rPr>
              <w:t>-1.59</w:t>
            </w:r>
          </w:p>
        </w:tc>
      </w:tr>
      <w:tr>
        <w:tc>
          <w:tcPr>
            <w:tcW w:type="dxa" w:w="2160"/>
          </w:tcPr>
          <w:p>
            <w:pPr>
              <w:spacing w:after="20"/>
            </w:pPr>
            <w:r>
              <w:rPr>
                <w:b/>
                <w:color w:val="1C3A36"/>
                <w:sz w:val="17"/>
              </w:rPr>
              <w:t>0.78 ← CI low</w:t>
            </w:r>
          </w:p>
        </w:tc>
        <w:tc>
          <w:tcPr>
            <w:tcW w:type="dxa" w:w="1584"/>
          </w:tcPr>
          <w:p>
            <w:pPr>
              <w:spacing w:after="20"/>
              <w:jc w:val="right"/>
            </w:pPr>
            <w:r>
              <w:rPr>
                <w:color w:val="1C3A36"/>
                <w:sz w:val="17"/>
              </w:rPr>
              <w:t>26.2%</w:t>
            </w:r>
          </w:p>
        </w:tc>
        <w:tc>
          <w:tcPr>
            <w:tcW w:type="dxa" w:w="1872"/>
          </w:tcPr>
          <w:p>
            <w:pPr>
              <w:spacing w:after="20"/>
              <w:jc w:val="right"/>
            </w:pPr>
            <w:r>
              <w:rPr>
                <w:color w:val="1C3A36"/>
                <w:sz w:val="17"/>
              </w:rPr>
              <w:t>20.7%</w:t>
            </w:r>
          </w:p>
        </w:tc>
        <w:tc>
          <w:tcPr>
            <w:tcW w:type="dxa" w:w="1872"/>
          </w:tcPr>
          <w:p>
            <w:pPr>
              <w:spacing w:after="20"/>
              <w:jc w:val="right"/>
            </w:pPr>
            <w:r>
              <w:rPr>
                <w:color w:val="1C3A36"/>
                <w:sz w:val="17"/>
              </w:rPr>
              <w:t>14.2%</w:t>
            </w:r>
          </w:p>
        </w:tc>
        <w:tc>
          <w:tcPr>
            <w:tcW w:type="dxa" w:w="1728"/>
          </w:tcPr>
          <w:p>
            <w:pPr>
              <w:spacing w:after="20"/>
              <w:jc w:val="right"/>
            </w:pPr>
            <w:r>
              <w:rPr>
                <w:color w:val="1C3A36"/>
                <w:sz w:val="17"/>
              </w:rPr>
              <w:t>-1.71</w:t>
            </w:r>
          </w:p>
        </w:tc>
      </w:tr>
      <w:tr>
        <w:tc>
          <w:tcPr>
            <w:tcW w:type="dxa" w:w="2160"/>
          </w:tcPr>
          <w:p>
            <w:pPr>
              <w:spacing w:after="20"/>
            </w:pPr>
            <w:r>
              <w:rPr>
                <w:b/>
                <w:color w:val="1C3A36"/>
                <w:sz w:val="17"/>
              </w:rPr>
              <w:t>0.80</w:t>
            </w:r>
          </w:p>
        </w:tc>
        <w:tc>
          <w:tcPr>
            <w:tcW w:type="dxa" w:w="1584"/>
          </w:tcPr>
          <w:p>
            <w:pPr>
              <w:spacing w:after="20"/>
              <w:jc w:val="right"/>
            </w:pPr>
            <w:r>
              <w:rPr>
                <w:color w:val="1C3A36"/>
                <w:sz w:val="17"/>
              </w:rPr>
              <w:t>26.4%</w:t>
            </w:r>
          </w:p>
        </w:tc>
        <w:tc>
          <w:tcPr>
            <w:tcW w:type="dxa" w:w="1872"/>
          </w:tcPr>
          <w:p>
            <w:pPr>
              <w:spacing w:after="20"/>
              <w:jc w:val="right"/>
            </w:pPr>
            <w:r>
              <w:rPr>
                <w:color w:val="1C3A36"/>
                <w:sz w:val="17"/>
              </w:rPr>
              <w:t>20.8%</w:t>
            </w:r>
          </w:p>
        </w:tc>
        <w:tc>
          <w:tcPr>
            <w:tcW w:type="dxa" w:w="1872"/>
          </w:tcPr>
          <w:p>
            <w:pPr>
              <w:spacing w:after="20"/>
              <w:jc w:val="right"/>
            </w:pPr>
            <w:r>
              <w:rPr>
                <w:color w:val="1C3A36"/>
                <w:sz w:val="17"/>
              </w:rPr>
              <w:t>14.3%</w:t>
            </w:r>
          </w:p>
        </w:tc>
        <w:tc>
          <w:tcPr>
            <w:tcW w:type="dxa" w:w="1728"/>
          </w:tcPr>
          <w:p>
            <w:pPr>
              <w:spacing w:after="20"/>
              <w:jc w:val="right"/>
            </w:pPr>
            <w:r>
              <w:rPr>
                <w:color w:val="1C3A36"/>
                <w:sz w:val="17"/>
              </w:rPr>
              <w:t>-1.72</w:t>
            </w:r>
          </w:p>
        </w:tc>
      </w:tr>
      <w:tr>
        <w:tc>
          <w:tcPr>
            <w:tcW w:type="dxa" w:w="2160"/>
          </w:tcPr>
          <w:p>
            <w:pPr>
              <w:spacing w:after="20"/>
            </w:pPr>
            <w:r>
              <w:rPr>
                <w:b/>
                <w:color w:val="1C3A36"/>
                <w:sz w:val="17"/>
              </w:rPr>
              <w:t>0.96 ← used</w:t>
            </w:r>
          </w:p>
        </w:tc>
        <w:tc>
          <w:tcPr>
            <w:tcW w:type="dxa" w:w="1584"/>
          </w:tcPr>
          <w:p>
            <w:pPr>
              <w:spacing w:after="20"/>
              <w:jc w:val="right"/>
            </w:pPr>
            <w:r>
              <w:rPr>
                <w:color w:val="1C3A36"/>
                <w:sz w:val="17"/>
              </w:rPr>
              <w:t>28.0%</w:t>
            </w:r>
          </w:p>
        </w:tc>
        <w:tc>
          <w:tcPr>
            <w:tcW w:type="dxa" w:w="1872"/>
          </w:tcPr>
          <w:p>
            <w:pPr>
              <w:spacing w:after="20"/>
              <w:jc w:val="right"/>
            </w:pPr>
            <w:r>
              <w:rPr>
                <w:color w:val="1C3A36"/>
                <w:sz w:val="17"/>
              </w:rPr>
              <w:t>21.4%</w:t>
            </w:r>
          </w:p>
        </w:tc>
        <w:tc>
          <w:tcPr>
            <w:tcW w:type="dxa" w:w="1872"/>
          </w:tcPr>
          <w:p>
            <w:pPr>
              <w:spacing w:after="20"/>
              <w:jc w:val="right"/>
            </w:pPr>
            <w:r>
              <w:rPr>
                <w:color w:val="1C3A36"/>
                <w:sz w:val="17"/>
              </w:rPr>
              <w:t>15.0%</w:t>
            </w:r>
          </w:p>
        </w:tc>
        <w:tc>
          <w:tcPr>
            <w:tcW w:type="dxa" w:w="1728"/>
          </w:tcPr>
          <w:p>
            <w:pPr>
              <w:spacing w:after="20"/>
              <w:jc w:val="right"/>
            </w:pPr>
            <w:r>
              <w:rPr>
                <w:color w:val="1C3A36"/>
                <w:sz w:val="17"/>
              </w:rPr>
              <w:t>-1.81</w:t>
            </w:r>
          </w:p>
        </w:tc>
      </w:tr>
      <w:tr>
        <w:tc>
          <w:tcPr>
            <w:tcW w:type="dxa" w:w="2160"/>
          </w:tcPr>
          <w:p>
            <w:pPr>
              <w:spacing w:after="20"/>
            </w:pPr>
            <w:r>
              <w:rPr>
                <w:b/>
                <w:color w:val="1C3A36"/>
                <w:sz w:val="17"/>
              </w:rPr>
              <w:t>1.00</w:t>
            </w:r>
          </w:p>
        </w:tc>
        <w:tc>
          <w:tcPr>
            <w:tcW w:type="dxa" w:w="1584"/>
          </w:tcPr>
          <w:p>
            <w:pPr>
              <w:spacing w:after="20"/>
              <w:jc w:val="right"/>
            </w:pPr>
            <w:r>
              <w:rPr>
                <w:color w:val="1C3A36"/>
                <w:sz w:val="17"/>
              </w:rPr>
              <w:t>28.3%</w:t>
            </w:r>
          </w:p>
        </w:tc>
        <w:tc>
          <w:tcPr>
            <w:tcW w:type="dxa" w:w="1872"/>
          </w:tcPr>
          <w:p>
            <w:pPr>
              <w:spacing w:after="20"/>
              <w:jc w:val="right"/>
            </w:pPr>
            <w:r>
              <w:rPr>
                <w:color w:val="1C3A36"/>
                <w:sz w:val="17"/>
              </w:rPr>
              <w:t>21.5%</w:t>
            </w:r>
          </w:p>
        </w:tc>
        <w:tc>
          <w:tcPr>
            <w:tcW w:type="dxa" w:w="1872"/>
          </w:tcPr>
          <w:p>
            <w:pPr>
              <w:spacing w:after="20"/>
              <w:jc w:val="right"/>
            </w:pPr>
            <w:r>
              <w:rPr>
                <w:color w:val="1C3A36"/>
                <w:sz w:val="17"/>
              </w:rPr>
              <w:t>15.2%</w:t>
            </w:r>
          </w:p>
        </w:tc>
        <w:tc>
          <w:tcPr>
            <w:tcW w:type="dxa" w:w="1728"/>
          </w:tcPr>
          <w:p>
            <w:pPr>
              <w:spacing w:after="20"/>
              <w:jc w:val="right"/>
            </w:pPr>
            <w:r>
              <w:rPr>
                <w:color w:val="1C3A36"/>
                <w:sz w:val="17"/>
              </w:rPr>
              <w:t>-1.82</w:t>
            </w:r>
          </w:p>
        </w:tc>
      </w:tr>
      <w:tr>
        <w:tc>
          <w:tcPr>
            <w:tcW w:type="dxa" w:w="2160"/>
          </w:tcPr>
          <w:p>
            <w:pPr>
              <w:spacing w:after="20"/>
            </w:pPr>
            <w:r>
              <w:rPr>
                <w:b/>
                <w:color w:val="1C3A36"/>
                <w:sz w:val="17"/>
              </w:rPr>
              <w:t>1.15 ← CI high</w:t>
            </w:r>
          </w:p>
        </w:tc>
        <w:tc>
          <w:tcPr>
            <w:tcW w:type="dxa" w:w="1584"/>
          </w:tcPr>
          <w:p>
            <w:pPr>
              <w:spacing w:after="20"/>
              <w:jc w:val="right"/>
            </w:pPr>
            <w:r>
              <w:rPr>
                <w:color w:val="1C3A36"/>
                <w:sz w:val="17"/>
              </w:rPr>
              <w:t>29.7%</w:t>
            </w:r>
          </w:p>
        </w:tc>
        <w:tc>
          <w:tcPr>
            <w:tcW w:type="dxa" w:w="1872"/>
          </w:tcPr>
          <w:p>
            <w:pPr>
              <w:spacing w:after="20"/>
              <w:jc w:val="right"/>
            </w:pPr>
            <w:r>
              <w:rPr>
                <w:color w:val="1C3A36"/>
                <w:sz w:val="17"/>
              </w:rPr>
              <w:t>22.1%</w:t>
            </w:r>
          </w:p>
        </w:tc>
        <w:tc>
          <w:tcPr>
            <w:tcW w:type="dxa" w:w="1872"/>
          </w:tcPr>
          <w:p>
            <w:pPr>
              <w:spacing w:after="20"/>
              <w:jc w:val="right"/>
            </w:pPr>
            <w:r>
              <w:rPr>
                <w:color w:val="1C3A36"/>
                <w:sz w:val="17"/>
              </w:rPr>
              <w:t>15.8%</w:t>
            </w:r>
          </w:p>
        </w:tc>
        <w:tc>
          <w:tcPr>
            <w:tcW w:type="dxa" w:w="1728"/>
          </w:tcPr>
          <w:p>
            <w:pPr>
              <w:spacing w:after="20"/>
              <w:jc w:val="right"/>
            </w:pPr>
            <w:r>
              <w:rPr>
                <w:color w:val="1C3A36"/>
                <w:sz w:val="17"/>
              </w:rPr>
              <w:t>-1.89</w:t>
            </w:r>
          </w:p>
        </w:tc>
      </w:tr>
      <w:tr>
        <w:tc>
          <w:tcPr>
            <w:tcW w:type="dxa" w:w="2160"/>
          </w:tcPr>
          <w:p>
            <w:pPr>
              <w:spacing w:after="20"/>
            </w:pPr>
            <w:r>
              <w:rPr>
                <w:b/>
                <w:color w:val="1C3A36"/>
                <w:sz w:val="17"/>
              </w:rPr>
              <w:t>1.30</w:t>
            </w:r>
          </w:p>
        </w:tc>
        <w:tc>
          <w:tcPr>
            <w:tcW w:type="dxa" w:w="1584"/>
          </w:tcPr>
          <w:p>
            <w:pPr>
              <w:spacing w:after="20"/>
              <w:jc w:val="right"/>
            </w:pPr>
            <w:r>
              <w:rPr>
                <w:color w:val="1C3A36"/>
                <w:sz w:val="17"/>
              </w:rPr>
              <w:t>31.1%</w:t>
            </w:r>
          </w:p>
        </w:tc>
        <w:tc>
          <w:tcPr>
            <w:tcW w:type="dxa" w:w="1872"/>
          </w:tcPr>
          <w:p>
            <w:pPr>
              <w:spacing w:after="20"/>
              <w:jc w:val="right"/>
            </w:pPr>
            <w:r>
              <w:rPr>
                <w:color w:val="1C3A36"/>
                <w:sz w:val="17"/>
              </w:rPr>
              <w:t>22.6%</w:t>
            </w:r>
          </w:p>
        </w:tc>
        <w:tc>
          <w:tcPr>
            <w:tcW w:type="dxa" w:w="1872"/>
          </w:tcPr>
          <w:p>
            <w:pPr>
              <w:spacing w:after="20"/>
              <w:jc w:val="right"/>
            </w:pPr>
            <w:r>
              <w:rPr>
                <w:color w:val="1C3A36"/>
                <w:sz w:val="17"/>
              </w:rPr>
              <w:t>16.4%</w:t>
            </w:r>
          </w:p>
        </w:tc>
        <w:tc>
          <w:tcPr>
            <w:tcW w:type="dxa" w:w="1728"/>
          </w:tcPr>
          <w:p>
            <w:pPr>
              <w:spacing w:after="20"/>
              <w:jc w:val="right"/>
            </w:pPr>
            <w:r>
              <w:rPr>
                <w:color w:val="1C3A36"/>
                <w:sz w:val="17"/>
              </w:rPr>
              <w:t>-1.95</w:t>
            </w:r>
          </w:p>
        </w:tc>
      </w:tr>
    </w:tbl>
    <w:p>
      <w:pPr>
        <w:spacing w:after="40"/>
      </w:pPr>
    </w:p>
    <w:p>
      <w:pPr>
        <w:spacing w:after="200" w:before="0"/>
      </w:pPr>
      <w:r>
        <w:rPr>
          <w:b w:val="0"/>
          <w:i/>
          <w:color w:val="6E7B77"/>
          <w:sz w:val="17"/>
        </w:rPr>
        <w:t>Beta sensitivity spanning the regression’s own 90% confidence interval plus the fixed house anchors. The valuation conclusion does not turn on the beta.</w:t>
      </w:r>
    </w:p>
    <w:p>
      <w:pPr>
        <w:spacing w:after="120" w:before="280"/>
      </w:pPr>
      <w:r>
        <w:rPr>
          <w:b/>
          <w:i w:val="0"/>
          <w:color w:val="1C3A36"/>
          <w:sz w:val="30"/>
        </w:rPr>
        <w:t>2  Technical and price structure</w:t>
      </w:r>
    </w:p>
    <w:p>
      <w:pPr>
        <w:spacing w:after="120" w:before="0"/>
      </w:pPr>
      <w:r>
        <w:rPr>
          <w:b w:val="0"/>
          <w:i w:val="0"/>
          <w:color w:val="1C3A36"/>
          <w:sz w:val="21"/>
        </w:rPr>
        <w:t>The tape is neutral: a stock that de-rated hard (−28% year-to-date, −21% over twelve months) and is now basing. Price sits above the 20/50/100-day averages but below a still-falling 200-day near 2.40 — the signature of a countertrend rally inside a larger downtrend, powered by the July-2026 EGX small-cap rotation rather than company news. RSI in the mid-50s and a flat MACD confirm: no strong signal either way. The deep floor is the 52-week low at 1.90; the ceiling that matters is the 200-day / 2.40–2.50 shelf, then the February-2026 block-trade zone near 2.80.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3744"/>
        <w:gridCol w:w="3600"/>
      </w:tblGrid>
      <w:tr>
        <w:tc>
          <w:tcPr>
            <w:tcW w:type="dxa" w:w="2592"/>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3600"/>
            <w:shd w:val="clear" w:color="auto" w:fill="EAF0EE"/>
          </w:tcPr>
          <w:p>
            <w:pPr>
              <w:spacing w:after="20"/>
            </w:pPr>
            <w:r>
              <w:rPr>
                <w:b/>
                <w:color w:val="1C3A36"/>
                <w:sz w:val="18"/>
              </w:rPr>
              <w:t>Signal</w:t>
            </w:r>
          </w:p>
        </w:tc>
      </w:tr>
      <w:tr>
        <w:tc>
          <w:tcPr>
            <w:tcW w:type="dxa" w:w="2592"/>
          </w:tcPr>
          <w:p>
            <w:pPr>
              <w:spacing w:after="20"/>
            </w:pPr>
            <w:r>
              <w:rPr>
                <w:b/>
                <w:color w:val="1C3A36"/>
                <w:sz w:val="18"/>
              </w:rPr>
              <w:t>Spot</w:t>
            </w:r>
          </w:p>
        </w:tc>
        <w:tc>
          <w:tcPr>
            <w:tcW w:type="dxa" w:w="3744"/>
          </w:tcPr>
          <w:p>
            <w:pPr>
              <w:spacing w:after="20"/>
              <w:jc w:val="right"/>
            </w:pPr>
            <w:r>
              <w:rPr>
                <w:color w:val="1C3A36"/>
                <w:sz w:val="18"/>
              </w:rPr>
              <w:t>EGP 2.08</w:t>
            </w:r>
          </w:p>
        </w:tc>
        <w:tc>
          <w:tcPr>
            <w:tcW w:type="dxa" w:w="3600"/>
          </w:tcPr>
          <w:p>
            <w:pPr>
              <w:spacing w:after="20"/>
              <w:jc w:val="right"/>
            </w:pPr>
            <w:r>
              <w:rPr>
                <w:color w:val="1C3A36"/>
                <w:sz w:val="18"/>
              </w:rPr>
              <w:t>—</w:t>
            </w:r>
          </w:p>
        </w:tc>
      </w:tr>
      <w:tr>
        <w:tc>
          <w:tcPr>
            <w:tcW w:type="dxa" w:w="2592"/>
          </w:tcPr>
          <w:p>
            <w:pPr>
              <w:spacing w:after="20"/>
            </w:pPr>
            <w:r>
              <w:rPr>
                <w:b/>
                <w:color w:val="1C3A36"/>
                <w:sz w:val="18"/>
              </w:rPr>
              <w:t>SMA 20 / 50</w:t>
            </w:r>
          </w:p>
        </w:tc>
        <w:tc>
          <w:tcPr>
            <w:tcW w:type="dxa" w:w="3744"/>
          </w:tcPr>
          <w:p>
            <w:pPr>
              <w:spacing w:after="20"/>
              <w:jc w:val="right"/>
            </w:pPr>
            <w:r>
              <w:rPr>
                <w:color w:val="1C3A36"/>
                <w:sz w:val="18"/>
              </w:rPr>
              <w:t>EGP 2.18 / 2.14</w:t>
            </w:r>
          </w:p>
        </w:tc>
        <w:tc>
          <w:tcPr>
            <w:tcW w:type="dxa" w:w="3600"/>
          </w:tcPr>
          <w:p>
            <w:pPr>
              <w:spacing w:after="20"/>
              <w:jc w:val="right"/>
            </w:pPr>
            <w:r>
              <w:rPr>
                <w:color w:val="1C3A36"/>
                <w:sz w:val="18"/>
              </w:rPr>
              <w:t>Above both — short-term stabilising</w:t>
            </w:r>
          </w:p>
        </w:tc>
      </w:tr>
      <w:tr>
        <w:tc>
          <w:tcPr>
            <w:tcW w:type="dxa" w:w="2592"/>
          </w:tcPr>
          <w:p>
            <w:pPr>
              <w:spacing w:after="20"/>
            </w:pPr>
            <w:r>
              <w:rPr>
                <w:b/>
                <w:color w:val="1C3A36"/>
                <w:sz w:val="18"/>
              </w:rPr>
              <w:t>SMA 100 / 200</w:t>
            </w:r>
          </w:p>
        </w:tc>
        <w:tc>
          <w:tcPr>
            <w:tcW w:type="dxa" w:w="3744"/>
          </w:tcPr>
          <w:p>
            <w:pPr>
              <w:spacing w:after="20"/>
              <w:jc w:val="right"/>
            </w:pPr>
            <w:r>
              <w:rPr>
                <w:color w:val="1C3A36"/>
                <w:sz w:val="18"/>
              </w:rPr>
              <w:t>EGP 2.14 / 2.40</w:t>
            </w:r>
          </w:p>
        </w:tc>
        <w:tc>
          <w:tcPr>
            <w:tcW w:type="dxa" w:w="3600"/>
          </w:tcPr>
          <w:p>
            <w:pPr>
              <w:spacing w:after="20"/>
              <w:jc w:val="right"/>
            </w:pPr>
            <w:r>
              <w:rPr>
                <w:color w:val="1C3A36"/>
                <w:sz w:val="18"/>
              </w:rPr>
              <w:t>Above 100 · below a falling 200 — larger trend still down</w:t>
            </w:r>
          </w:p>
        </w:tc>
      </w:tr>
      <w:tr>
        <w:tc>
          <w:tcPr>
            <w:tcW w:type="dxa" w:w="2592"/>
          </w:tcPr>
          <w:p>
            <w:pPr>
              <w:spacing w:after="20"/>
            </w:pPr>
            <w:r>
              <w:rPr>
                <w:b/>
                <w:color w:val="1C3A36"/>
                <w:sz w:val="18"/>
              </w:rPr>
              <w:t>RSI (14)</w:t>
            </w:r>
          </w:p>
        </w:tc>
        <w:tc>
          <w:tcPr>
            <w:tcW w:type="dxa" w:w="3744"/>
          </w:tcPr>
          <w:p>
            <w:pPr>
              <w:spacing w:after="20"/>
              <w:jc w:val="right"/>
            </w:pPr>
            <w:r>
              <w:rPr>
                <w:color w:val="1C3A36"/>
                <w:sz w:val="18"/>
              </w:rPr>
              <w:t>53.9</w:t>
            </w:r>
          </w:p>
        </w:tc>
        <w:tc>
          <w:tcPr>
            <w:tcW w:type="dxa" w:w="3600"/>
          </w:tcPr>
          <w:p>
            <w:pPr>
              <w:spacing w:after="20"/>
              <w:jc w:val="right"/>
            </w:pPr>
            <w:r>
              <w:rPr>
                <w:color w:val="1C3A36"/>
                <w:sz w:val="18"/>
              </w:rPr>
              <w:t>Neutral</w:t>
            </w:r>
          </w:p>
        </w:tc>
      </w:tr>
      <w:tr>
        <w:tc>
          <w:tcPr>
            <w:tcW w:type="dxa" w:w="2592"/>
          </w:tcPr>
          <w:p>
            <w:pPr>
              <w:spacing w:after="20"/>
            </w:pPr>
            <w:r>
              <w:rPr>
                <w:b/>
                <w:color w:val="1C3A36"/>
                <w:sz w:val="18"/>
              </w:rPr>
              <w:t>MACD (12,26,9)</w:t>
            </w:r>
          </w:p>
        </w:tc>
        <w:tc>
          <w:tcPr>
            <w:tcW w:type="dxa" w:w="3744"/>
          </w:tcPr>
          <w:p>
            <w:pPr>
              <w:spacing w:after="20"/>
              <w:jc w:val="right"/>
            </w:pPr>
            <w:r>
              <w:rPr>
                <w:color w:val="1C3A36"/>
                <w:sz w:val="18"/>
              </w:rPr>
              <w:t>+0.011 line / +0.015 signal / -0.004 hist</w:t>
            </w:r>
          </w:p>
        </w:tc>
        <w:tc>
          <w:tcPr>
            <w:tcW w:type="dxa" w:w="3600"/>
          </w:tcPr>
          <w:p>
            <w:pPr>
              <w:spacing w:after="20"/>
              <w:jc w:val="right"/>
            </w:pPr>
            <w:r>
              <w:rPr>
                <w:color w:val="1C3A36"/>
                <w:sz w:val="18"/>
              </w:rPr>
              <w:t>Flat, momentum fading</w:t>
            </w:r>
          </w:p>
        </w:tc>
      </w:tr>
      <w:tr>
        <w:tc>
          <w:tcPr>
            <w:tcW w:type="dxa" w:w="2592"/>
          </w:tcPr>
          <w:p>
            <w:pPr>
              <w:spacing w:after="20"/>
            </w:pPr>
            <w:r>
              <w:rPr>
                <w:b/>
                <w:color w:val="1C3A36"/>
                <w:sz w:val="18"/>
              </w:rPr>
              <w:t>52-week range</w:t>
            </w:r>
          </w:p>
        </w:tc>
        <w:tc>
          <w:tcPr>
            <w:tcW w:type="dxa" w:w="3744"/>
          </w:tcPr>
          <w:p>
            <w:pPr>
              <w:spacing w:after="20"/>
              <w:jc w:val="right"/>
            </w:pPr>
            <w:r>
              <w:rPr>
                <w:color w:val="1C3A36"/>
                <w:sz w:val="18"/>
              </w:rPr>
              <w:t>EGP 1.90 – 3.36</w:t>
            </w:r>
          </w:p>
        </w:tc>
        <w:tc>
          <w:tcPr>
            <w:tcW w:type="dxa" w:w="3600"/>
          </w:tcPr>
          <w:p>
            <w:pPr>
              <w:spacing w:after="20"/>
              <w:jc w:val="right"/>
            </w:pPr>
            <w:r>
              <w:rPr>
                <w:color w:val="1C3A36"/>
                <w:sz w:val="18"/>
              </w:rPr>
              <w:t>Lower third of the range</w:t>
            </w:r>
          </w:p>
        </w:tc>
      </w:tr>
      <w:tr>
        <w:tc>
          <w:tcPr>
            <w:tcW w:type="dxa" w:w="2592"/>
          </w:tcPr>
          <w:p>
            <w:pPr>
              <w:spacing w:after="20"/>
            </w:pPr>
            <w:r>
              <w:rPr>
                <w:b/>
                <w:color w:val="1C3A36"/>
                <w:sz w:val="18"/>
              </w:rPr>
              <w:t>Realized vol (252d)</w:t>
            </w:r>
          </w:p>
        </w:tc>
        <w:tc>
          <w:tcPr>
            <w:tcW w:type="dxa" w:w="3744"/>
          </w:tcPr>
          <w:p>
            <w:pPr>
              <w:spacing w:after="20"/>
              <w:jc w:val="right"/>
            </w:pPr>
            <w:r>
              <w:rPr>
                <w:color w:val="1C3A36"/>
                <w:sz w:val="18"/>
              </w:rPr>
              <w:t>27.8%</w:t>
            </w:r>
          </w:p>
        </w:tc>
        <w:tc>
          <w:tcPr>
            <w:tcW w:type="dxa" w:w="3600"/>
          </w:tcPr>
          <w:p>
            <w:pPr>
              <w:spacing w:after="20"/>
              <w:jc w:val="right"/>
            </w:pPr>
            <w:r>
              <w:rPr>
                <w:color w:val="1C3A36"/>
                <w:sz w:val="18"/>
              </w:rPr>
              <w:t>Moderate for an EGX small-cap</w:t>
            </w:r>
          </w:p>
        </w:tc>
      </w:tr>
      <w:tr>
        <w:tc>
          <w:tcPr>
            <w:tcW w:type="dxa" w:w="2592"/>
          </w:tcPr>
          <w:p>
            <w:pPr>
              <w:spacing w:after="20"/>
            </w:pPr>
            <w:r>
              <w:rPr>
                <w:b/>
                <w:color w:val="1C3A36"/>
                <w:sz w:val="18"/>
              </w:rPr>
              <w:t>12-month / YTD return</w:t>
            </w:r>
          </w:p>
        </w:tc>
        <w:tc>
          <w:tcPr>
            <w:tcW w:type="dxa" w:w="3744"/>
          </w:tcPr>
          <w:p>
            <w:pPr>
              <w:spacing w:after="20"/>
              <w:jc w:val="right"/>
            </w:pPr>
            <w:r>
              <w:rPr>
                <w:color w:val="1C3A36"/>
                <w:sz w:val="18"/>
              </w:rPr>
              <w:t>-21% / -28%</w:t>
            </w:r>
          </w:p>
        </w:tc>
        <w:tc>
          <w:tcPr>
            <w:tcW w:type="dxa" w:w="3600"/>
          </w:tcPr>
          <w:p>
            <w:pPr>
              <w:spacing w:after="20"/>
              <w:jc w:val="right"/>
            </w:pPr>
            <w:r>
              <w:rPr>
                <w:color w:val="1C3A36"/>
                <w:sz w:val="18"/>
              </w:rPr>
              <w:t>De-rating year</w:t>
            </w:r>
          </w:p>
        </w:tc>
      </w:tr>
    </w:tbl>
    <w:p>
      <w:pPr>
        <w:spacing w:after="40"/>
      </w:pPr>
    </w:p>
    <w:p>
      <w:pPr>
        <w:spacing w:after="40"/>
        <w:jc w:val="center"/>
      </w:pPr>
      <w:r>
        <w:drawing>
          <wp:inline xmlns:a="http://schemas.openxmlformats.org/drawingml/2006/main" xmlns:pic="http://schemas.openxmlformats.org/drawingml/2006/picture">
            <wp:extent cx="5852160" cy="2285129"/>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285129"/>
                    </a:xfrm>
                    <a:prstGeom prst="rect"/>
                  </pic:spPr>
                </pic:pic>
              </a:graphicData>
            </a:graphic>
          </wp:inline>
        </w:drawing>
      </w:r>
    </w:p>
    <w:p>
      <w:pPr>
        <w:spacing w:after="200" w:before="0"/>
      </w:pPr>
      <w:r>
        <w:rPr>
          <w:b w:val="0"/>
          <w:i/>
          <w:color w:val="6E7B77"/>
          <w:sz w:val="17"/>
        </w:rPr>
        <w:t>Figure 3 — Price versus the moving-average stack, last 260 sessions.</w:t>
      </w:r>
    </w:p>
    <w:p>
      <w:pPr>
        <w:spacing w:after="120" w:before="0"/>
      </w:pPr>
      <w:r>
        <w:rPr>
          <w:b w:val="0"/>
          <w:i w:val="0"/>
          <w:color w:val="1C3A36"/>
          <w:sz w:val="21"/>
        </w:rPr>
        <w:t>For the probabilistic work this matters one way: a basing, high-carry tape thickens the near-term upside tail even where the fundamental work says value sits far lower. The technical and fundamental pictures disagree here, and §6 reads the resulting probability zones without forcing a reconciliation.</w:t>
      </w:r>
    </w:p>
    <w:p>
      <w:pPr>
        <w:spacing w:after="120" w:before="280"/>
      </w:pPr>
      <w:r>
        <w:rPr>
          <w:b/>
          <w:i w:val="0"/>
          <w:color w:val="1C3A36"/>
          <w:sz w:val="30"/>
        </w:rPr>
        <w:t>3  Monte Carlo — a probabilistic price map</w:t>
      </w:r>
    </w:p>
    <w:p>
      <w:pPr>
        <w:spacing w:after="80" w:before="0"/>
      </w:pPr>
      <w:r>
        <w:rPr>
          <w:b w:val="0"/>
          <w:i w:val="0"/>
          <w:color w:val="1C3A36"/>
          <w:sz w:val="19"/>
        </w:rPr>
        <w:t>The probability read below opens the section, per house presentation: computed from the same 50,000 paths as everything that follows, it is a summary of the distribution, not an input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4752"/>
      </w:tblGrid>
      <w:tr>
        <w:tc>
          <w:tcPr>
            <w:tcW w:type="dxa" w:w="4752"/>
            <w:shd w:val="clear" w:color="auto" w:fill="F6F1E6"/>
          </w:tcPr>
          <w:p>
            <w:pPr>
              <w:spacing w:after="20"/>
            </w:pPr>
            <w:r>
              <w:rPr>
                <w:b/>
                <w:color w:val="1C3A36"/>
                <w:sz w:val="18"/>
              </w:rPr>
              <w:t>The probability read (3 months)</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P(price above spot)</w:t>
            </w:r>
          </w:p>
        </w:tc>
        <w:tc>
          <w:tcPr>
            <w:tcW w:type="dxa" w:w="4752"/>
          </w:tcPr>
          <w:p>
            <w:pPr>
              <w:spacing w:after="20"/>
              <w:jc w:val="right"/>
            </w:pPr>
            <w:r>
              <w:rPr>
                <w:color w:val="1C3A36"/>
                <w:sz w:val="18"/>
              </w:rPr>
              <w:t>73%</w:t>
            </w:r>
          </w:p>
        </w:tc>
      </w:tr>
      <w:tr>
        <w:tc>
          <w:tcPr>
            <w:tcW w:type="dxa" w:w="4752"/>
          </w:tcPr>
          <w:p>
            <w:pPr>
              <w:spacing w:after="20"/>
            </w:pPr>
            <w:r>
              <w:rPr>
                <w:b/>
                <w:color w:val="1C3A36"/>
                <w:sz w:val="18"/>
              </w:rPr>
              <w:t>P(+10%) vs P(−10%) — the odds</w:t>
            </w:r>
          </w:p>
        </w:tc>
        <w:tc>
          <w:tcPr>
            <w:tcW w:type="dxa" w:w="4752"/>
          </w:tcPr>
          <w:p>
            <w:pPr>
              <w:spacing w:after="20"/>
              <w:jc w:val="right"/>
            </w:pPr>
            <w:r>
              <w:rPr>
                <w:color w:val="1C3A36"/>
                <w:sz w:val="18"/>
              </w:rPr>
              <w:t>50% vs 11%  ·  4.4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EGP 2.29  (+10.2%)</w:t>
            </w:r>
          </w:p>
        </w:tc>
      </w:tr>
      <w:tr>
        <w:tc>
          <w:tcPr>
            <w:tcW w:type="dxa" w:w="4752"/>
          </w:tcPr>
          <w:p>
            <w:pPr>
              <w:spacing w:after="20"/>
            </w:pPr>
            <w:r>
              <w:rPr>
                <w:b/>
                <w:color w:val="1C3A36"/>
                <w:sz w:val="18"/>
              </w:rPr>
              <w:t>The 50% band (25th–75th)</w:t>
            </w:r>
          </w:p>
        </w:tc>
        <w:tc>
          <w:tcPr>
            <w:tcW w:type="dxa" w:w="4752"/>
          </w:tcPr>
          <w:p>
            <w:pPr>
              <w:spacing w:after="20"/>
              <w:jc w:val="right"/>
            </w:pPr>
            <w:r>
              <w:rPr>
                <w:color w:val="1C3A36"/>
                <w:sz w:val="18"/>
              </w:rPr>
              <w:t>EGP 2.06 – 2.55</w:t>
            </w:r>
          </w:p>
        </w:tc>
      </w:tr>
      <w:tr>
        <w:tc>
          <w:tcPr>
            <w:tcW w:type="dxa" w:w="4752"/>
          </w:tcPr>
          <w:p>
            <w:pPr>
              <w:spacing w:after="20"/>
            </w:pPr>
            <w:r>
              <w:rPr>
                <w:b/>
                <w:color w:val="1C3A36"/>
                <w:sz w:val="18"/>
              </w:rPr>
              <w:t>Touch(+10%) / touch(−10%) at any point</w:t>
            </w:r>
          </w:p>
        </w:tc>
        <w:tc>
          <w:tcPr>
            <w:tcW w:type="dxa" w:w="4752"/>
          </w:tcPr>
          <w:p>
            <w:pPr>
              <w:spacing w:after="20"/>
              <w:jc w:val="right"/>
            </w:pPr>
            <w:r>
              <w:rPr>
                <w:color w:val="1C3A36"/>
                <w:sz w:val="18"/>
              </w:rPr>
              <w:t>80%  /  24%</w:t>
            </w:r>
          </w:p>
        </w:tc>
      </w:tr>
    </w:tbl>
    <w:p>
      <w:pPr>
        <w:spacing w:after="40"/>
      </w:pPr>
    </w:p>
    <w:p>
      <w:pPr>
        <w:spacing w:after="120" w:before="0"/>
      </w:pPr>
      <w:r>
        <w:rPr>
          <w:b w:val="0"/>
          <w:i w:val="0"/>
          <w:color w:val="1C3A36"/>
          <w:sz w:val="21"/>
        </w:rPr>
        <w:t>We simulate 50,000 three-month price paths with the house engine, exactly as fitted on the 30-name Egyptian panel: width from a gap-aware Yang–Zhang variance forecast (annualised ≈ 40% at this anchor; the panel's width-calibration factor 0.951 scales the applied cone to ≈37% effective — both numbers stated so the cone reconciles to its label), Student-t(6) tails calibrated on the panel, and drift anchored on the cost of carrying Egyptian money (the 19.50% policy-corridor rate) — deliberately nothing else. No margin view, no fair-value gap, no analyst judgment enters the drift: the same configuration was walk-forward tested on this stock's own history at seventeen non-overlapping quarterly origins (the full valid span after Egypt's March-2022 structural break), where it beat a carry-anchored random-walk benchmark by a scale-normalized skill of +0.09 with statistically uniform interval coverage (χ² p ≈ 0.4) — which is the only reason it is published. The upward median is the price of time in a 19.5% currency, not a view that the stock should rise.</w:t>
      </w:r>
    </w:p>
    <w:p>
      <w:pPr>
        <w:spacing w:after="120" w:before="0"/>
      </w:pPr>
      <w:r>
        <w:rPr>
          <w:b/>
          <w:i w:val="0"/>
          <w:color w:val="1C3A36"/>
          <w:sz w:val="21"/>
        </w:rPr>
        <w:t xml:space="preserve">By design the paths diffuse from spot as near-term price and deliberately do not embed the fundamental value gap of §1. </w:t>
      </w:r>
      <w:r>
        <w:rPr>
          <w:b w:val="0"/>
          <w:i w:val="0"/>
          <w:color w:val="1C3A36"/>
          <w:sz w:val="21"/>
        </w:rPr>
        <w:t>§3 maps where price could go from today; §1 says what the business is worth. When they disagree — as they do here — that disagreement is information, and §4 reads it.</w:t>
      </w:r>
    </w:p>
    <w:p>
      <w:pPr>
        <w:spacing w:after="80" w:before="0"/>
      </w:pPr>
      <w:r>
        <w:rPr>
          <w:b w:val="0"/>
          <w:i w:val="0"/>
          <w:color w:val="1C3A36"/>
          <w:sz w:val="19"/>
        </w:rPr>
        <w:t>Forces and events on the watch list — context for reading the distribution, not drift inputs (the engine is deliberately carry-only):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720"/>
        <w:gridCol w:w="3168"/>
        <w:gridCol w:w="2376"/>
      </w:tblGrid>
      <w:tr>
        <w:tc>
          <w:tcPr>
            <w:tcW w:type="dxa" w:w="3096"/>
            <w:shd w:val="clear" w:color="auto" w:fill="EAF0EE"/>
          </w:tcPr>
          <w:p>
            <w:pPr>
              <w:spacing w:after="20"/>
            </w:pPr>
            <w:r>
              <w:rPr>
                <w:b/>
                <w:color w:val="1C3A36"/>
                <w:sz w:val="17"/>
              </w:rPr>
              <w:t>Continuous force</w:t>
            </w:r>
          </w:p>
        </w:tc>
        <w:tc>
          <w:tcPr>
            <w:tcW w:type="dxa" w:w="720"/>
            <w:shd w:val="clear" w:color="auto" w:fill="EAF0EE"/>
          </w:tcPr>
          <w:p>
            <w:pPr>
              <w:spacing w:after="20"/>
            </w:pPr>
            <w:r>
              <w:rPr>
                <w:b/>
                <w:color w:val="1C3A36"/>
                <w:sz w:val="17"/>
              </w:rPr>
              <w:t>Dir.</w:t>
            </w:r>
          </w:p>
        </w:tc>
        <w:tc>
          <w:tcPr>
            <w:tcW w:type="dxa" w:w="3168"/>
            <w:shd w:val="clear" w:color="auto" w:fill="EAF0EE"/>
          </w:tcPr>
          <w:p>
            <w:pPr>
              <w:spacing w:after="20"/>
            </w:pPr>
            <w:r>
              <w:rPr>
                <w:b/>
                <w:color w:val="1C3A36"/>
                <w:sz w:val="17"/>
              </w:rPr>
              <w:t>Discrete event (next 3 months)</w:t>
            </w:r>
          </w:p>
        </w:tc>
        <w:tc>
          <w:tcPr>
            <w:tcW w:type="dxa" w:w="2376"/>
            <w:shd w:val="clear" w:color="auto" w:fill="EAF0EE"/>
          </w:tcPr>
          <w:p>
            <w:pPr>
              <w:spacing w:after="20"/>
            </w:pPr>
            <w:r>
              <w:rPr>
                <w:b/>
                <w:color w:val="1C3A36"/>
                <w:sz w:val="17"/>
              </w:rPr>
              <w:t>When / note</w:t>
            </w:r>
          </w:p>
        </w:tc>
      </w:tr>
      <w:tr>
        <w:tc>
          <w:tcPr>
            <w:tcW w:type="dxa" w:w="3096"/>
          </w:tcPr>
          <w:p>
            <w:pPr>
              <w:spacing w:after="20"/>
            </w:pPr>
            <w:r>
              <w:rPr>
                <w:color w:val="1C3A36"/>
                <w:sz w:val="17"/>
              </w:rPr>
              <w:t>EGX70 small-cap rotation / retail flows</w:t>
            </w:r>
          </w:p>
        </w:tc>
        <w:tc>
          <w:tcPr>
            <w:tcW w:type="dxa" w:w="720"/>
          </w:tcPr>
          <w:p>
            <w:pPr>
              <w:spacing w:after="20"/>
              <w:jc w:val="right"/>
            </w:pPr>
            <w:r>
              <w:rPr>
                <w:color w:val="1C3A36"/>
                <w:sz w:val="17"/>
              </w:rPr>
              <w:t>±</w:t>
            </w:r>
          </w:p>
        </w:tc>
        <w:tc>
          <w:tcPr>
            <w:tcW w:type="dxa" w:w="3168"/>
          </w:tcPr>
          <w:p>
            <w:pPr>
              <w:spacing w:after="20"/>
              <w:jc w:val="right"/>
            </w:pPr>
            <w:r>
              <w:rPr>
                <w:color w:val="1C3A36"/>
                <w:sz w:val="17"/>
              </w:rPr>
              <w:t>H1-2026 results publication</w:t>
            </w:r>
          </w:p>
        </w:tc>
        <w:tc>
          <w:tcPr>
            <w:tcW w:type="dxa" w:w="2376"/>
          </w:tcPr>
          <w:p>
            <w:pPr>
              <w:spacing w:after="20"/>
              <w:jc w:val="right"/>
            </w:pPr>
            <w:r>
              <w:rPr>
                <w:color w:val="1C3A36"/>
                <w:sz w:val="17"/>
              </w:rPr>
              <w:t>~mid-Aug-2026 — the single largest scheduled event</w:t>
            </w:r>
          </w:p>
        </w:tc>
      </w:tr>
      <w:tr>
        <w:tc>
          <w:tcPr>
            <w:tcW w:type="dxa" w:w="3096"/>
          </w:tcPr>
          <w:p>
            <w:pPr>
              <w:spacing w:after="20"/>
            </w:pPr>
            <w:r>
              <w:rPr>
                <w:color w:val="1C3A36"/>
                <w:sz w:val="17"/>
              </w:rPr>
              <w:t>CBE easing resumption (finance-cost relief)</w:t>
            </w:r>
          </w:p>
        </w:tc>
        <w:tc>
          <w:tcPr>
            <w:tcW w:type="dxa" w:w="720"/>
          </w:tcPr>
          <w:p>
            <w:pPr>
              <w:spacing w:after="20"/>
              <w:jc w:val="right"/>
            </w:pPr>
            <w:r>
              <w:rPr>
                <w:color w:val="1C3A36"/>
                <w:sz w:val="17"/>
              </w:rPr>
              <w:t>+</w:t>
            </w:r>
          </w:p>
        </w:tc>
        <w:tc>
          <w:tcPr>
            <w:tcW w:type="dxa" w:w="3168"/>
          </w:tcPr>
          <w:p>
            <w:pPr>
              <w:spacing w:after="20"/>
              <w:jc w:val="right"/>
            </w:pPr>
            <w:r>
              <w:rPr>
                <w:color w:val="1C3A36"/>
                <w:sz w:val="17"/>
              </w:rPr>
              <w:t>CBE MPC meetings</w:t>
            </w:r>
          </w:p>
        </w:tc>
        <w:tc>
          <w:tcPr>
            <w:tcW w:type="dxa" w:w="2376"/>
          </w:tcPr>
          <w:p>
            <w:pPr>
              <w:spacing w:after="20"/>
              <w:jc w:val="right"/>
            </w:pPr>
            <w:r>
              <w:rPr>
                <w:color w:val="1C3A36"/>
                <w:sz w:val="17"/>
              </w:rPr>
              <w:t>20-Aug / 01-Oct / 12-Nov-2026</w:t>
            </w:r>
          </w:p>
        </w:tc>
      </w:tr>
      <w:tr>
        <w:tc>
          <w:tcPr>
            <w:tcW w:type="dxa" w:w="3096"/>
          </w:tcPr>
          <w:p>
            <w:pPr>
              <w:spacing w:after="20"/>
            </w:pPr>
            <w:r>
              <w:rPr>
                <w:color w:val="1C3A36"/>
                <w:sz w:val="17"/>
              </w:rPr>
              <w:t>Copper at records (input cost, WC strain)</w:t>
            </w:r>
          </w:p>
        </w:tc>
        <w:tc>
          <w:tcPr>
            <w:tcW w:type="dxa" w:w="720"/>
          </w:tcPr>
          <w:p>
            <w:pPr>
              <w:spacing w:after="20"/>
              <w:jc w:val="right"/>
            </w:pPr>
            <w:r>
              <w:rPr>
                <w:color w:val="1C3A36"/>
                <w:sz w:val="17"/>
              </w:rPr>
              <w:t>−</w:t>
            </w:r>
          </w:p>
        </w:tc>
        <w:tc>
          <w:tcPr>
            <w:tcW w:type="dxa" w:w="3168"/>
          </w:tcPr>
          <w:p>
            <w:pPr>
              <w:spacing w:after="20"/>
              <w:jc w:val="right"/>
            </w:pPr>
            <w:r>
              <w:rPr>
                <w:color w:val="1C3A36"/>
                <w:sz w:val="17"/>
              </w:rPr>
              <w:t>Egypt–Saudi interconnector commissioning</w:t>
            </w:r>
          </w:p>
        </w:tc>
        <w:tc>
          <w:tcPr>
            <w:tcW w:type="dxa" w:w="2376"/>
          </w:tcPr>
          <w:p>
            <w:pPr>
              <w:spacing w:after="20"/>
              <w:jc w:val="right"/>
            </w:pPr>
            <w:r>
              <w:rPr>
                <w:color w:val="1C3A36"/>
                <w:sz w:val="17"/>
              </w:rPr>
              <w:t>Final testing since Feb-2026</w:t>
            </w:r>
          </w:p>
        </w:tc>
      </w:tr>
      <w:tr>
        <w:tc>
          <w:tcPr>
            <w:tcW w:type="dxa" w:w="3096"/>
          </w:tcPr>
          <w:p>
            <w:pPr>
              <w:spacing w:after="20"/>
            </w:pPr>
            <w:r>
              <w:rPr>
                <w:color w:val="1C3A36"/>
                <w:sz w:val="17"/>
              </w:rPr>
              <w:t>EGP stability (real appreciation vs margins)</w:t>
            </w:r>
          </w:p>
        </w:tc>
        <w:tc>
          <w:tcPr>
            <w:tcW w:type="dxa" w:w="720"/>
          </w:tcPr>
          <w:p>
            <w:pPr>
              <w:spacing w:after="20"/>
              <w:jc w:val="right"/>
            </w:pPr>
            <w:r>
              <w:rPr>
                <w:color w:val="1C3A36"/>
                <w:sz w:val="17"/>
              </w:rPr>
              <w:t>−</w:t>
            </w:r>
          </w:p>
        </w:tc>
        <w:tc>
          <w:tcPr>
            <w:tcW w:type="dxa" w:w="3168"/>
          </w:tcPr>
          <w:p>
            <w:pPr>
              <w:spacing w:after="20"/>
              <w:jc w:val="right"/>
            </w:pPr>
            <w:r>
              <w:rPr>
                <w:color w:val="1C3A36"/>
                <w:sz w:val="17"/>
              </w:rPr>
              <w:t>EETC tender awards (EGP 45bn plan)</w:t>
            </w:r>
          </w:p>
        </w:tc>
        <w:tc>
          <w:tcPr>
            <w:tcW w:type="dxa" w:w="2376"/>
          </w:tcPr>
          <w:p>
            <w:pPr>
              <w:spacing w:after="20"/>
              <w:jc w:val="right"/>
            </w:pPr>
            <w:r>
              <w:rPr>
                <w:color w:val="1C3A36"/>
                <w:sz w:val="17"/>
              </w:rPr>
              <w:t>Through FY26/27</w:t>
            </w:r>
          </w:p>
        </w:tc>
      </w:tr>
      <w:tr>
        <w:tc>
          <w:tcPr>
            <w:tcW w:type="dxa" w:w="3096"/>
          </w:tcPr>
          <w:p>
            <w:pPr>
              <w:spacing w:after="20"/>
            </w:pPr>
            <w:r>
              <w:rPr>
                <w:color w:val="1C3A36"/>
                <w:sz w:val="17"/>
              </w:rPr>
              <w:t>Grid-capex demand cycle</w:t>
            </w:r>
          </w:p>
        </w:tc>
        <w:tc>
          <w:tcPr>
            <w:tcW w:type="dxa" w:w="720"/>
          </w:tcPr>
          <w:p>
            <w:pPr>
              <w:spacing w:after="20"/>
              <w:jc w:val="right"/>
            </w:pPr>
            <w:r>
              <w:rPr>
                <w:color w:val="1C3A36"/>
                <w:sz w:val="17"/>
              </w:rPr>
              <w:t>+</w:t>
            </w:r>
          </w:p>
        </w:tc>
        <w:tc>
          <w:tcPr>
            <w:tcW w:type="dxa" w:w="3168"/>
          </w:tcPr>
          <w:p>
            <w:pPr>
              <w:spacing w:after="20"/>
              <w:jc w:val="right"/>
            </w:pPr>
            <w:r>
              <w:rPr>
                <w:color w:val="1C3A36"/>
                <w:sz w:val="17"/>
              </w:rPr>
              <w:t>Further controlling-group block sales</w:t>
            </w:r>
          </w:p>
        </w:tc>
        <w:tc>
          <w:tcPr>
            <w:tcW w:type="dxa" w:w="2376"/>
          </w:tcPr>
          <w:p>
            <w:pPr>
              <w:spacing w:after="20"/>
              <w:jc w:val="right"/>
            </w:pPr>
            <w:r>
              <w:rPr>
                <w:color w:val="1C3A36"/>
                <w:sz w:val="17"/>
              </w:rPr>
              <w:t>Pattern: Jan/Feb/Apr/Jul-2026</w:t>
            </w:r>
          </w:p>
        </w:tc>
      </w:tr>
      <w:tr>
        <w:tc>
          <w:tcPr>
            <w:tcW w:type="dxa" w:w="3096"/>
          </w:tcPr>
          <w:p>
            <w:pPr>
              <w:spacing w:after="20"/>
            </w:pPr>
            <w:r>
              <w:rPr>
                <w:color w:val="1C3A36"/>
                <w:sz w:val="17"/>
              </w:rPr>
              <w:t>Receivables collection cycle</w:t>
            </w:r>
          </w:p>
        </w:tc>
        <w:tc>
          <w:tcPr>
            <w:tcW w:type="dxa" w:w="720"/>
          </w:tcPr>
          <w:p>
            <w:pPr>
              <w:spacing w:after="20"/>
              <w:jc w:val="right"/>
            </w:pPr>
            <w:r>
              <w:rPr>
                <w:color w:val="1C3A36"/>
                <w:sz w:val="17"/>
              </w:rPr>
              <w:t>±</w:t>
            </w:r>
          </w:p>
        </w:tc>
        <w:tc>
          <w:tcPr>
            <w:tcW w:type="dxa" w:w="3168"/>
          </w:tcPr>
          <w:p>
            <w:pPr>
              <w:spacing w:after="20"/>
              <w:jc w:val="right"/>
            </w:pPr>
            <w:r>
              <w:rPr>
                <w:color w:val="1C3A36"/>
                <w:sz w:val="17"/>
              </w:rPr>
              <w:t>EGP step-move (either direction)</w:t>
            </w:r>
          </w:p>
        </w:tc>
        <w:tc>
          <w:tcPr>
            <w:tcW w:type="dxa" w:w="2376"/>
          </w:tcPr>
          <w:p>
            <w:pPr>
              <w:spacing w:after="20"/>
              <w:jc w:val="right"/>
            </w:pPr>
            <w:r>
              <w:rPr>
                <w:color w:val="1C3A36"/>
                <w:sz w:val="17"/>
              </w:rPr>
              <w:t>Range-bound 47–52 since the float</w:t>
            </w:r>
          </w:p>
        </w:tc>
      </w:tr>
    </w:tbl>
    <w:p>
      <w:pPr>
        <w:spacing w:after="40"/>
      </w:pP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40"/>
        <w:gridCol w:w="1440"/>
        <w:gridCol w:w="1440"/>
        <w:gridCol w:w="1440"/>
        <w:gridCol w:w="1440"/>
      </w:tblGrid>
      <w:tr>
        <w:tc>
          <w:tcPr>
            <w:tcW w:type="dxa" w:w="2736"/>
            <w:shd w:val="clear" w:color="auto" w:fill="EAF0EE"/>
          </w:tcPr>
          <w:p>
            <w:pPr>
              <w:spacing w:after="20"/>
            </w:pPr>
            <w:r>
              <w:rPr>
                <w:b/>
                <w:color w:val="1C3A36"/>
                <w:sz w:val="18"/>
              </w:rPr>
              <w:t>Horizon</w:t>
            </w:r>
          </w:p>
        </w:tc>
        <w:tc>
          <w:tcPr>
            <w:tcW w:type="dxa" w:w="1440"/>
            <w:shd w:val="clear" w:color="auto" w:fill="EAF0EE"/>
          </w:tcPr>
          <w:p>
            <w:pPr>
              <w:spacing w:after="20"/>
            </w:pPr>
            <w:r>
              <w:rPr>
                <w:b/>
                <w:color w:val="1C3A36"/>
                <w:sz w:val="18"/>
              </w:rPr>
              <w:t>p5</w:t>
            </w:r>
          </w:p>
        </w:tc>
        <w:tc>
          <w:tcPr>
            <w:tcW w:type="dxa" w:w="1440"/>
            <w:shd w:val="clear" w:color="auto" w:fill="EAF0EE"/>
          </w:tcPr>
          <w:p>
            <w:pPr>
              <w:spacing w:after="20"/>
            </w:pPr>
            <w:r>
              <w:rPr>
                <w:b/>
                <w:color w:val="1C3A36"/>
                <w:sz w:val="18"/>
              </w:rPr>
              <w:t>p25</w:t>
            </w:r>
          </w:p>
        </w:tc>
        <w:tc>
          <w:tcPr>
            <w:tcW w:type="dxa" w:w="1440"/>
            <w:shd w:val="clear" w:color="auto" w:fill="EAF0EE"/>
          </w:tcPr>
          <w:p>
            <w:pPr>
              <w:spacing w:after="20"/>
            </w:pPr>
            <w:r>
              <w:rPr>
                <w:b/>
                <w:color w:val="1C3A36"/>
                <w:sz w:val="18"/>
              </w:rPr>
              <w:t>p50</w:t>
            </w:r>
          </w:p>
        </w:tc>
        <w:tc>
          <w:tcPr>
            <w:tcW w:type="dxa" w:w="1440"/>
            <w:shd w:val="clear" w:color="auto" w:fill="EAF0EE"/>
          </w:tcPr>
          <w:p>
            <w:pPr>
              <w:spacing w:after="20"/>
            </w:pPr>
            <w:r>
              <w:rPr>
                <w:b/>
                <w:color w:val="1C3A36"/>
                <w:sz w:val="18"/>
              </w:rPr>
              <w:t>p75</w:t>
            </w:r>
          </w:p>
        </w:tc>
        <w:tc>
          <w:tcPr>
            <w:tcW w:type="dxa" w:w="1440"/>
            <w:shd w:val="clear" w:color="auto" w:fill="EAF0EE"/>
          </w:tcPr>
          <w:p>
            <w:pPr>
              <w:spacing w:after="20"/>
            </w:pPr>
            <w:r>
              <w:rPr>
                <w:b/>
                <w:color w:val="1C3A36"/>
                <w:sz w:val="18"/>
              </w:rPr>
              <w:t>p95</w:t>
            </w:r>
          </w:p>
        </w:tc>
      </w:tr>
      <w:tr>
        <w:tc>
          <w:tcPr>
            <w:tcW w:type="dxa" w:w="2736"/>
          </w:tcPr>
          <w:p>
            <w:pPr>
              <w:spacing w:after="20"/>
            </w:pPr>
            <w:r>
              <w:rPr>
                <w:b/>
                <w:color w:val="1C3A36"/>
                <w:sz w:val="18"/>
              </w:rPr>
              <w:t>1 month</w:t>
            </w:r>
          </w:p>
        </w:tc>
        <w:tc>
          <w:tcPr>
            <w:tcW w:type="dxa" w:w="1440"/>
          </w:tcPr>
          <w:p>
            <w:pPr>
              <w:spacing w:after="20"/>
              <w:jc w:val="right"/>
            </w:pPr>
            <w:r>
              <w:rPr>
                <w:color w:val="1C3A36"/>
                <w:sz w:val="18"/>
              </w:rPr>
              <w:t>1.91</w:t>
            </w:r>
          </w:p>
        </w:tc>
        <w:tc>
          <w:tcPr>
            <w:tcW w:type="dxa" w:w="1440"/>
          </w:tcPr>
          <w:p>
            <w:pPr>
              <w:spacing w:after="20"/>
              <w:jc w:val="right"/>
            </w:pPr>
            <w:r>
              <w:rPr>
                <w:color w:val="1C3A36"/>
                <w:sz w:val="18"/>
              </w:rPr>
              <w:t>2.10</w:t>
            </w:r>
          </w:p>
        </w:tc>
        <w:tc>
          <w:tcPr>
            <w:tcW w:type="dxa" w:w="1440"/>
          </w:tcPr>
          <w:p>
            <w:pPr>
              <w:spacing w:after="20"/>
              <w:jc w:val="right"/>
            </w:pPr>
            <w:r>
              <w:rPr>
                <w:color w:val="1C3A36"/>
                <w:sz w:val="18"/>
              </w:rPr>
              <w:t>2.22</w:t>
            </w:r>
          </w:p>
        </w:tc>
        <w:tc>
          <w:tcPr>
            <w:tcW w:type="dxa" w:w="1440"/>
          </w:tcPr>
          <w:p>
            <w:pPr>
              <w:spacing w:after="20"/>
              <w:jc w:val="right"/>
            </w:pPr>
            <w:r>
              <w:rPr>
                <w:color w:val="1C3A36"/>
                <w:sz w:val="18"/>
              </w:rPr>
              <w:t>2.35</w:t>
            </w:r>
          </w:p>
        </w:tc>
        <w:tc>
          <w:tcPr>
            <w:tcW w:type="dxa" w:w="1440"/>
          </w:tcPr>
          <w:p>
            <w:pPr>
              <w:spacing w:after="20"/>
              <w:jc w:val="right"/>
            </w:pPr>
            <w:r>
              <w:rPr>
                <w:color w:val="1C3A36"/>
                <w:sz w:val="18"/>
              </w:rPr>
              <w:t>2.59</w:t>
            </w:r>
          </w:p>
        </w:tc>
      </w:tr>
      <w:tr>
        <w:tc>
          <w:tcPr>
            <w:tcW w:type="dxa" w:w="2736"/>
          </w:tcPr>
          <w:p>
            <w:pPr>
              <w:spacing w:after="20"/>
            </w:pPr>
            <w:r>
              <w:rPr>
                <w:b/>
                <w:color w:val="1C3A36"/>
                <w:sz w:val="18"/>
              </w:rPr>
              <w:t>3 months</w:t>
            </w:r>
          </w:p>
        </w:tc>
        <w:tc>
          <w:tcPr>
            <w:tcW w:type="dxa" w:w="1440"/>
          </w:tcPr>
          <w:p>
            <w:pPr>
              <w:spacing w:after="20"/>
              <w:jc w:val="right"/>
            </w:pPr>
            <w:r>
              <w:rPr>
                <w:color w:val="1C3A36"/>
                <w:sz w:val="18"/>
              </w:rPr>
              <w:t>1.71</w:t>
            </w:r>
          </w:p>
        </w:tc>
        <w:tc>
          <w:tcPr>
            <w:tcW w:type="dxa" w:w="1440"/>
          </w:tcPr>
          <w:p>
            <w:pPr>
              <w:spacing w:after="20"/>
              <w:jc w:val="right"/>
            </w:pPr>
            <w:r>
              <w:rPr>
                <w:color w:val="1C3A36"/>
                <w:sz w:val="18"/>
              </w:rPr>
              <w:t>2.06</w:t>
            </w:r>
          </w:p>
        </w:tc>
        <w:tc>
          <w:tcPr>
            <w:tcW w:type="dxa" w:w="1440"/>
          </w:tcPr>
          <w:p>
            <w:pPr>
              <w:spacing w:after="20"/>
              <w:jc w:val="right"/>
            </w:pPr>
            <w:r>
              <w:rPr>
                <w:color w:val="1C3A36"/>
                <w:sz w:val="18"/>
              </w:rPr>
              <w:t>2.29</w:t>
            </w:r>
          </w:p>
        </w:tc>
        <w:tc>
          <w:tcPr>
            <w:tcW w:type="dxa" w:w="1440"/>
          </w:tcPr>
          <w:p>
            <w:pPr>
              <w:spacing w:after="20"/>
              <w:jc w:val="right"/>
            </w:pPr>
            <w:r>
              <w:rPr>
                <w:color w:val="1C3A36"/>
                <w:sz w:val="18"/>
              </w:rPr>
              <w:t>2.55</w:t>
            </w:r>
          </w:p>
        </w:tc>
        <w:tc>
          <w:tcPr>
            <w:tcW w:type="dxa" w:w="1440"/>
          </w:tcPr>
          <w:p>
            <w:pPr>
              <w:spacing w:after="20"/>
              <w:jc w:val="right"/>
            </w:pPr>
            <w:r>
              <w:rPr>
                <w:color w:val="1C3A36"/>
                <w:sz w:val="18"/>
              </w:rPr>
              <w:t>3.07</w:t>
            </w:r>
          </w:p>
        </w:tc>
      </w:tr>
    </w:tbl>
    <w:p>
      <w:pPr>
        <w:spacing w:after="40"/>
      </w:pPr>
    </w:p>
    <w:p>
      <w:pPr>
        <w:spacing w:after="120" w:before="0"/>
      </w:pPr>
      <w:r>
        <w:rPr>
          <w:b w:val="0"/>
          <w:i w:val="0"/>
          <w:color w:val="1C3A36"/>
          <w:sz w:val="19"/>
        </w:rPr>
        <w:t>Lead with the 50% band, not the tails: a quarter ahead, half of all paths finish between roughly EGP 2.06 and 2.55; at one month the band is EGP 2.10–2.35. The 5–95% cone is context, not a forecast.</w:t>
      </w:r>
    </w:p>
    <w:p>
      <w:pPr>
        <w:spacing w:after="4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852160" cy="2508069"/>
                    </a:xfrm>
                    <a:prstGeom prst="rect"/>
                  </pic:spPr>
                </pic:pic>
              </a:graphicData>
            </a:graphic>
          </wp:inline>
        </w:drawing>
      </w:r>
    </w:p>
    <w:p>
      <w:pPr>
        <w:spacing w:after="200" w:before="0"/>
      </w:pPr>
      <w:r>
        <w:rPr>
          <w:b w:val="0"/>
          <w:i/>
          <w:color w:val="6E7B77"/>
          <w:sz w:val="17"/>
        </w:rPr>
        <w:t>Figure 4 — Forward price cone to 3 months. The brass dashed line marks the fundamental central — far below the whole cone: the tape would have to fall out of its own distribution to reach it within a quarter.</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Price distribution at 1 month.</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Price distribution at 3 months.</w:t>
      </w:r>
    </w:p>
    <w:p>
      <w:pPr>
        <w:spacing w:after="80" w:before="200"/>
      </w:pPr>
      <w:r>
        <w:rPr>
          <w:b/>
          <w:i w:val="0"/>
          <w:color w:val="1C3A36"/>
          <w:sz w:val="24"/>
        </w:rPr>
        <w:t>Level-touch ladder</w:t>
      </w:r>
    </w:p>
    <w:p>
      <w:pPr>
        <w:spacing w:after="120" w:before="0"/>
      </w:pPr>
      <w:r>
        <w:rPr>
          <w:b w:val="0"/>
          <w:i w:val="0"/>
          <w:color w:val="1C3A36"/>
          <w:sz w:val="19"/>
        </w:rPr>
        <w:t>The probability that price touches a level at any point by the horizon (running max for upside, running min for downside):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728"/>
        <w:gridCol w:w="1728"/>
        <w:gridCol w:w="4320"/>
      </w:tblGrid>
      <w:tr>
        <w:tc>
          <w:tcPr>
            <w:tcW w:type="dxa" w:w="1728"/>
            <w:shd w:val="clear" w:color="auto" w:fill="EAF0EE"/>
          </w:tcPr>
          <w:p>
            <w:pPr>
              <w:spacing w:after="20"/>
            </w:pPr>
            <w:r>
              <w:rPr>
                <w:b/>
                <w:color w:val="1C3A36"/>
                <w:sz w:val="18"/>
              </w:rPr>
              <w:t>Level (EGP)</w:t>
            </w:r>
          </w:p>
        </w:tc>
        <w:tc>
          <w:tcPr>
            <w:tcW w:type="dxa" w:w="1728"/>
            <w:shd w:val="clear" w:color="auto" w:fill="EAF0EE"/>
          </w:tcPr>
          <w:p>
            <w:pPr>
              <w:spacing w:after="20"/>
            </w:pPr>
            <w:r>
              <w:rPr>
                <w:b/>
                <w:color w:val="1C3A36"/>
                <w:sz w:val="18"/>
              </w:rPr>
              <w:t>1-month touch</w:t>
            </w:r>
          </w:p>
        </w:tc>
        <w:tc>
          <w:tcPr>
            <w:tcW w:type="dxa" w:w="1728"/>
            <w:shd w:val="clear" w:color="auto" w:fill="EAF0EE"/>
          </w:tcPr>
          <w:p>
            <w:pPr>
              <w:spacing w:after="20"/>
            </w:pPr>
            <w:r>
              <w:rPr>
                <w:b/>
                <w:color w:val="1C3A36"/>
                <w:sz w:val="18"/>
              </w:rPr>
              <w:t>3-month touch</w:t>
            </w:r>
          </w:p>
        </w:tc>
        <w:tc>
          <w:tcPr>
            <w:tcW w:type="dxa" w:w="4320"/>
            <w:shd w:val="clear" w:color="auto" w:fill="EAF0EE"/>
          </w:tcPr>
          <w:p>
            <w:pPr>
              <w:spacing w:after="20"/>
            </w:pPr>
            <w:r>
              <w:rPr>
                <w:b/>
                <w:color w:val="1C3A36"/>
                <w:sz w:val="18"/>
              </w:rPr>
              <w:t>Note</w:t>
            </w:r>
          </w:p>
        </w:tc>
      </w:tr>
      <w:tr>
        <w:tc>
          <w:tcPr>
            <w:tcW w:type="dxa" w:w="1728"/>
          </w:tcPr>
          <w:p>
            <w:pPr>
              <w:spacing w:after="20"/>
            </w:pPr>
            <w:r>
              <w:rPr>
                <w:b/>
                <w:color w:val="1C3A36"/>
                <w:sz w:val="18"/>
              </w:rPr>
              <w:t>3.00</w:t>
            </w:r>
          </w:p>
        </w:tc>
        <w:tc>
          <w:tcPr>
            <w:tcW w:type="dxa" w:w="1728"/>
          </w:tcPr>
          <w:p>
            <w:pPr>
              <w:spacing w:after="20"/>
              <w:jc w:val="right"/>
            </w:pPr>
            <w:r>
              <w:rPr>
                <w:color w:val="1C3A36"/>
                <w:sz w:val="18"/>
              </w:rPr>
              <w:t>1%</w:t>
            </w:r>
          </w:p>
        </w:tc>
        <w:tc>
          <w:tcPr>
            <w:tcW w:type="dxa" w:w="1728"/>
          </w:tcPr>
          <w:p>
            <w:pPr>
              <w:spacing w:after="20"/>
              <w:jc w:val="right"/>
            </w:pPr>
            <w:r>
              <w:rPr>
                <w:color w:val="1C3A36"/>
                <w:sz w:val="18"/>
              </w:rPr>
              <w:t>10%</w:t>
            </w:r>
          </w:p>
        </w:tc>
        <w:tc>
          <w:tcPr>
            <w:tcW w:type="dxa" w:w="4320"/>
          </w:tcPr>
          <w:p>
            <w:pPr>
              <w:spacing w:after="20"/>
              <w:jc w:val="right"/>
            </w:pPr>
            <w:r>
              <w:rPr>
                <w:color w:val="1C3A36"/>
                <w:sz w:val="18"/>
              </w:rPr>
              <w:t>Post-results re-rating zone</w:t>
            </w:r>
          </w:p>
        </w:tc>
      </w:tr>
      <w:tr>
        <w:tc>
          <w:tcPr>
            <w:tcW w:type="dxa" w:w="1728"/>
          </w:tcPr>
          <w:p>
            <w:pPr>
              <w:spacing w:after="20"/>
            </w:pPr>
            <w:r>
              <w:rPr>
                <w:b/>
                <w:color w:val="1C3A36"/>
                <w:sz w:val="18"/>
              </w:rPr>
              <w:t>2.75</w:t>
            </w:r>
          </w:p>
        </w:tc>
        <w:tc>
          <w:tcPr>
            <w:tcW w:type="dxa" w:w="1728"/>
          </w:tcPr>
          <w:p>
            <w:pPr>
              <w:spacing w:after="20"/>
              <w:jc w:val="right"/>
            </w:pPr>
            <w:r>
              <w:rPr>
                <w:color w:val="1C3A36"/>
                <w:sz w:val="18"/>
              </w:rPr>
              <w:t>3%</w:t>
            </w:r>
          </w:p>
        </w:tc>
        <w:tc>
          <w:tcPr>
            <w:tcW w:type="dxa" w:w="1728"/>
          </w:tcPr>
          <w:p>
            <w:pPr>
              <w:spacing w:after="20"/>
              <w:jc w:val="right"/>
            </w:pPr>
            <w:r>
              <w:rPr>
                <w:color w:val="1C3A36"/>
                <w:sz w:val="18"/>
              </w:rPr>
              <w:t>22%</w:t>
            </w:r>
          </w:p>
        </w:tc>
        <w:tc>
          <w:tcPr>
            <w:tcW w:type="dxa" w:w="4320"/>
          </w:tcPr>
          <w:p>
            <w:pPr>
              <w:spacing w:after="20"/>
              <w:jc w:val="right"/>
            </w:pPr>
            <w:r>
              <w:rPr>
                <w:color w:val="1C3A36"/>
                <w:sz w:val="18"/>
              </w:rPr>
              <w:t>Feb-26 block-trade zone</w:t>
            </w:r>
          </w:p>
        </w:tc>
      </w:tr>
      <w:tr>
        <w:tc>
          <w:tcPr>
            <w:tcW w:type="dxa" w:w="1728"/>
          </w:tcPr>
          <w:p>
            <w:pPr>
              <w:spacing w:after="20"/>
            </w:pPr>
            <w:r>
              <w:rPr>
                <w:b/>
                <w:color w:val="1C3A36"/>
                <w:sz w:val="18"/>
              </w:rPr>
              <w:t>2.50</w:t>
            </w:r>
          </w:p>
        </w:tc>
        <w:tc>
          <w:tcPr>
            <w:tcW w:type="dxa" w:w="1728"/>
          </w:tcPr>
          <w:p>
            <w:pPr>
              <w:spacing w:after="20"/>
              <w:jc w:val="right"/>
            </w:pPr>
            <w:r>
              <w:rPr>
                <w:color w:val="1C3A36"/>
                <w:sz w:val="18"/>
              </w:rPr>
              <w:t>14%</w:t>
            </w:r>
          </w:p>
        </w:tc>
        <w:tc>
          <w:tcPr>
            <w:tcW w:type="dxa" w:w="1728"/>
          </w:tcPr>
          <w:p>
            <w:pPr>
              <w:spacing w:after="20"/>
              <w:jc w:val="right"/>
            </w:pPr>
            <w:r>
              <w:rPr>
                <w:color w:val="1C3A36"/>
                <w:sz w:val="18"/>
              </w:rPr>
              <w:t>47%</w:t>
            </w:r>
          </w:p>
        </w:tc>
        <w:tc>
          <w:tcPr>
            <w:tcW w:type="dxa" w:w="4320"/>
          </w:tcPr>
          <w:p>
            <w:pPr>
              <w:spacing w:after="20"/>
              <w:jc w:val="right"/>
            </w:pPr>
            <w:r>
              <w:rPr>
                <w:color w:val="1C3A36"/>
                <w:sz w:val="18"/>
              </w:rPr>
              <w:t>The 200-day shelf</w:t>
            </w:r>
          </w:p>
        </w:tc>
      </w:tr>
      <w:tr>
        <w:tc>
          <w:tcPr>
            <w:tcW w:type="dxa" w:w="1728"/>
          </w:tcPr>
          <w:p>
            <w:pPr>
              <w:spacing w:after="20"/>
            </w:pPr>
            <w:r>
              <w:rPr>
                <w:b/>
                <w:color w:val="1C3A36"/>
                <w:sz w:val="18"/>
              </w:rPr>
              <w:t>2.35</w:t>
            </w:r>
          </w:p>
        </w:tc>
        <w:tc>
          <w:tcPr>
            <w:tcW w:type="dxa" w:w="1728"/>
          </w:tcPr>
          <w:p>
            <w:pPr>
              <w:spacing w:after="20"/>
              <w:jc w:val="right"/>
            </w:pPr>
            <w:r>
              <w:rPr>
                <w:color w:val="1C3A36"/>
                <w:sz w:val="18"/>
              </w:rPr>
              <w:t>40%</w:t>
            </w:r>
          </w:p>
        </w:tc>
        <w:tc>
          <w:tcPr>
            <w:tcW w:type="dxa" w:w="1728"/>
          </w:tcPr>
          <w:p>
            <w:pPr>
              <w:spacing w:after="20"/>
              <w:jc w:val="right"/>
            </w:pPr>
            <w:r>
              <w:rPr>
                <w:color w:val="1C3A36"/>
                <w:sz w:val="18"/>
              </w:rPr>
              <w:t>70%</w:t>
            </w:r>
          </w:p>
        </w:tc>
        <w:tc>
          <w:tcPr>
            <w:tcW w:type="dxa" w:w="4320"/>
          </w:tcPr>
          <w:p>
            <w:pPr>
              <w:spacing w:after="20"/>
              <w:jc w:val="right"/>
            </w:pPr>
            <w:r>
              <w:rPr>
                <w:color w:val="1C3A36"/>
                <w:sz w:val="18"/>
              </w:rPr>
              <w:t>SMA-200 first test</w:t>
            </w:r>
          </w:p>
        </w:tc>
      </w:tr>
      <w:tr>
        <w:tc>
          <w:tcPr>
            <w:tcW w:type="dxa" w:w="1728"/>
          </w:tcPr>
          <w:p>
            <w:pPr>
              <w:spacing w:after="20"/>
            </w:pPr>
            <w:r>
              <w:rPr>
                <w:b/>
                <w:color w:val="1C3A36"/>
                <w:sz w:val="18"/>
              </w:rPr>
              <w:t>2.05</w:t>
            </w:r>
          </w:p>
        </w:tc>
        <w:tc>
          <w:tcPr>
            <w:tcW w:type="dxa" w:w="1728"/>
          </w:tcPr>
          <w:p>
            <w:pPr>
              <w:spacing w:after="20"/>
              <w:jc w:val="right"/>
            </w:pPr>
            <w:r>
              <w:rPr>
                <w:color w:val="1C3A36"/>
                <w:sz w:val="18"/>
              </w:rPr>
              <w:t>31%</w:t>
            </w:r>
          </w:p>
        </w:tc>
        <w:tc>
          <w:tcPr>
            <w:tcW w:type="dxa" w:w="1728"/>
          </w:tcPr>
          <w:p>
            <w:pPr>
              <w:spacing w:after="20"/>
              <w:jc w:val="right"/>
            </w:pPr>
            <w:r>
              <w:rPr>
                <w:color w:val="1C3A36"/>
                <w:sz w:val="18"/>
              </w:rPr>
              <w:t>54%</w:t>
            </w:r>
          </w:p>
        </w:tc>
        <w:tc>
          <w:tcPr>
            <w:tcW w:type="dxa" w:w="4320"/>
          </w:tcPr>
          <w:p>
            <w:pPr>
              <w:spacing w:after="20"/>
              <w:jc w:val="right"/>
            </w:pPr>
            <w:r>
              <w:rPr>
                <w:color w:val="1C3A36"/>
                <w:sz w:val="18"/>
              </w:rPr>
              <w:t>July base / SMA-50 zone</w:t>
            </w:r>
          </w:p>
        </w:tc>
      </w:tr>
      <w:tr>
        <w:tc>
          <w:tcPr>
            <w:tcW w:type="dxa" w:w="1728"/>
          </w:tcPr>
          <w:p>
            <w:pPr>
              <w:spacing w:after="20"/>
            </w:pPr>
            <w:r>
              <w:rPr>
                <w:b/>
                <w:color w:val="1C3A36"/>
                <w:sz w:val="18"/>
              </w:rPr>
              <w:t>1.90</w:t>
            </w:r>
          </w:p>
        </w:tc>
        <w:tc>
          <w:tcPr>
            <w:tcW w:type="dxa" w:w="1728"/>
          </w:tcPr>
          <w:p>
            <w:pPr>
              <w:spacing w:after="20"/>
              <w:jc w:val="right"/>
            </w:pPr>
            <w:r>
              <w:rPr>
                <w:color w:val="1C3A36"/>
                <w:sz w:val="18"/>
              </w:rPr>
              <w:t>8%</w:t>
            </w:r>
          </w:p>
        </w:tc>
        <w:tc>
          <w:tcPr>
            <w:tcW w:type="dxa" w:w="1728"/>
          </w:tcPr>
          <w:p>
            <w:pPr>
              <w:spacing w:after="20"/>
              <w:jc w:val="right"/>
            </w:pPr>
            <w:r>
              <w:rPr>
                <w:color w:val="1C3A36"/>
                <w:sz w:val="18"/>
              </w:rPr>
              <w:t>27%</w:t>
            </w:r>
          </w:p>
        </w:tc>
        <w:tc>
          <w:tcPr>
            <w:tcW w:type="dxa" w:w="4320"/>
          </w:tcPr>
          <w:p>
            <w:pPr>
              <w:spacing w:after="20"/>
              <w:jc w:val="right"/>
            </w:pPr>
            <w:r>
              <w:rPr>
                <w:color w:val="1C3A36"/>
                <w:sz w:val="18"/>
              </w:rPr>
              <w:t>52-week low</w:t>
            </w:r>
          </w:p>
        </w:tc>
      </w:tr>
      <w:tr>
        <w:tc>
          <w:tcPr>
            <w:tcW w:type="dxa" w:w="1728"/>
          </w:tcPr>
          <w:p>
            <w:pPr>
              <w:spacing w:after="20"/>
            </w:pPr>
            <w:r>
              <w:rPr>
                <w:b/>
                <w:color w:val="1C3A36"/>
                <w:sz w:val="18"/>
              </w:rPr>
              <w:t>1.70</w:t>
            </w:r>
          </w:p>
        </w:tc>
        <w:tc>
          <w:tcPr>
            <w:tcW w:type="dxa" w:w="1728"/>
          </w:tcPr>
          <w:p>
            <w:pPr>
              <w:spacing w:after="20"/>
              <w:jc w:val="right"/>
            </w:pPr>
            <w:r>
              <w:rPr>
                <w:color w:val="1C3A36"/>
                <w:sz w:val="18"/>
              </w:rPr>
              <w:t>1%</w:t>
            </w:r>
          </w:p>
        </w:tc>
        <w:tc>
          <w:tcPr>
            <w:tcW w:type="dxa" w:w="1728"/>
          </w:tcPr>
          <w:p>
            <w:pPr>
              <w:spacing w:after="20"/>
              <w:jc w:val="right"/>
            </w:pPr>
            <w:r>
              <w:rPr>
                <w:color w:val="1C3A36"/>
                <w:sz w:val="18"/>
              </w:rPr>
              <w:t>9%</w:t>
            </w:r>
          </w:p>
        </w:tc>
        <w:tc>
          <w:tcPr>
            <w:tcW w:type="dxa" w:w="4320"/>
          </w:tcPr>
          <w:p>
            <w:pPr>
              <w:spacing w:after="20"/>
              <w:jc w:val="right"/>
            </w:pPr>
            <w:r>
              <w:rPr>
                <w:color w:val="1C3A36"/>
                <w:sz w:val="18"/>
              </w:rPr>
              <w:t>Below the low — bear-case zone</w:t>
            </w:r>
          </w:p>
        </w:tc>
      </w:tr>
    </w:tbl>
    <w:p>
      <w:pPr>
        <w:spacing w:after="40"/>
      </w:pPr>
    </w:p>
    <w:p>
      <w:pPr>
        <w:spacing w:after="120" w:before="280"/>
      </w:pPr>
      <w:r>
        <w:rPr>
          <w:b/>
          <w:i w:val="0"/>
          <w:color w:val="1C3A36"/>
          <w:sz w:val="30"/>
        </w:rPr>
        <w:t>4  Comparison of the lenses, and a verdict</w:t>
      </w:r>
    </w:p>
    <w:p>
      <w:pPr>
        <w:spacing w:after="120" w:before="0"/>
      </w:pPr>
      <w:r>
        <w:rPr>
          <w:b w:val="0"/>
          <w:i w:val="0"/>
          <w:color w:val="1C3A36"/>
          <w:sz w:val="21"/>
        </w:rPr>
        <w:t>Three readings sit side by side, and they genuinely disagree. The fundamental lenses cluster at EGP 0.05–0.70 with a central of 0.34 — roughly 84% below the market. The technical picture is neutral: a basing chart inside a larger downtrend, no strong signal. The probabilistic map's median (2.29) sits slightly ABOVE spot — but read it for what it is: the engine anchors drift on the 19.5% cost of Egyptian money and prices the stock's own path; it does not know what the business is worth. The fundamental work says the price needs the bull scenario to be right; the tape says the market is not currently walking away from that bet; the simulation says a quarter is too short for the gap to close by drift alone.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736"/>
        <w:gridCol w:w="4464"/>
      </w:tblGrid>
      <w:tr>
        <w:tc>
          <w:tcPr>
            <w:tcW w:type="dxa" w:w="2736"/>
            <w:shd w:val="clear" w:color="auto" w:fill="EAF0EE"/>
          </w:tcPr>
          <w:p>
            <w:pPr>
              <w:spacing w:after="20"/>
            </w:pPr>
            <w:r>
              <w:rPr>
                <w:b/>
                <w:color w:val="1C3A36"/>
                <w:sz w:val="18"/>
              </w:rPr>
              <w:t>Lens</w:t>
            </w:r>
          </w:p>
        </w:tc>
        <w:tc>
          <w:tcPr>
            <w:tcW w:type="dxa" w:w="2736"/>
            <w:shd w:val="clear" w:color="auto" w:fill="EAF0EE"/>
          </w:tcPr>
          <w:p>
            <w:pPr>
              <w:spacing w:after="20"/>
            </w:pPr>
            <w:r>
              <w:rPr>
                <w:b/>
                <w:color w:val="1C3A36"/>
                <w:sz w:val="18"/>
              </w:rPr>
              <w:t>Reads</w:t>
            </w:r>
          </w:p>
        </w:tc>
        <w:tc>
          <w:tcPr>
            <w:tcW w:type="dxa" w:w="4464"/>
            <w:shd w:val="clear" w:color="auto" w:fill="EAF0EE"/>
          </w:tcPr>
          <w:p>
            <w:pPr>
              <w:spacing w:after="20"/>
            </w:pPr>
            <w:r>
              <w:rPr>
                <w:b/>
                <w:color w:val="1C3A36"/>
                <w:sz w:val="18"/>
              </w:rPr>
              <w:t>Central / implication</w:t>
            </w:r>
          </w:p>
        </w:tc>
      </w:tr>
      <w:tr>
        <w:tc>
          <w:tcPr>
            <w:tcW w:type="dxa" w:w="2736"/>
          </w:tcPr>
          <w:p>
            <w:pPr>
              <w:spacing w:after="20"/>
            </w:pPr>
            <w:r>
              <w:rPr>
                <w:b/>
                <w:color w:val="1C3A36"/>
                <w:sz w:val="18"/>
              </w:rPr>
              <w:t>Fundamental (4-lens)</w:t>
            </w:r>
          </w:p>
        </w:tc>
        <w:tc>
          <w:tcPr>
            <w:tcW w:type="dxa" w:w="2736"/>
          </w:tcPr>
          <w:p>
            <w:pPr>
              <w:spacing w:after="20"/>
              <w:jc w:val="right"/>
            </w:pPr>
            <w:r>
              <w:rPr>
                <w:color w:val="1C3A36"/>
                <w:sz w:val="18"/>
              </w:rPr>
              <w:t>Meaningfully overvalued</w:t>
            </w:r>
          </w:p>
        </w:tc>
        <w:tc>
          <w:tcPr>
            <w:tcW w:type="dxa" w:w="4464"/>
          </w:tcPr>
          <w:p>
            <w:pPr>
              <w:spacing w:after="20"/>
              <w:jc w:val="right"/>
            </w:pPr>
            <w:r>
              <w:rPr>
                <w:color w:val="1C3A36"/>
                <w:sz w:val="18"/>
              </w:rPr>
              <w:t>EGP 0.34 (-84%)</w:t>
            </w:r>
          </w:p>
        </w:tc>
      </w:tr>
      <w:tr>
        <w:tc>
          <w:tcPr>
            <w:tcW w:type="dxa" w:w="2736"/>
          </w:tcPr>
          <w:p>
            <w:pPr>
              <w:spacing w:after="20"/>
            </w:pPr>
            <w:r>
              <w:rPr>
                <w:b/>
                <w:color w:val="1C3A36"/>
                <w:sz w:val="18"/>
              </w:rPr>
              <w:t>Technical</w:t>
            </w:r>
          </w:p>
        </w:tc>
        <w:tc>
          <w:tcPr>
            <w:tcW w:type="dxa" w:w="2736"/>
          </w:tcPr>
          <w:p>
            <w:pPr>
              <w:spacing w:after="20"/>
              <w:jc w:val="right"/>
            </w:pPr>
            <w:r>
              <w:rPr>
                <w:color w:val="1C3A36"/>
                <w:sz w:val="18"/>
              </w:rPr>
              <w:t>Neutral — basing inside a downtrend</w:t>
            </w:r>
          </w:p>
        </w:tc>
        <w:tc>
          <w:tcPr>
            <w:tcW w:type="dxa" w:w="4464"/>
          </w:tcPr>
          <w:p>
            <w:pPr>
              <w:spacing w:after="20"/>
              <w:jc w:val="right"/>
            </w:pPr>
            <w:r>
              <w:rPr>
                <w:color w:val="1C3A36"/>
                <w:sz w:val="18"/>
              </w:rPr>
              <w:t>Support 2.05 / 1.90; resistance 2.40 (200d) / 2.80</w:t>
            </w:r>
          </w:p>
        </w:tc>
      </w:tr>
      <w:tr>
        <w:tc>
          <w:tcPr>
            <w:tcW w:type="dxa" w:w="2736"/>
          </w:tcPr>
          <w:p>
            <w:pPr>
              <w:spacing w:after="20"/>
            </w:pPr>
            <w:r>
              <w:rPr>
                <w:b/>
                <w:color w:val="1C3A36"/>
                <w:sz w:val="18"/>
              </w:rPr>
              <w:t>Monte Carlo (3-month)</w:t>
            </w:r>
          </w:p>
        </w:tc>
        <w:tc>
          <w:tcPr>
            <w:tcW w:type="dxa" w:w="2736"/>
          </w:tcPr>
          <w:p>
            <w:pPr>
              <w:spacing w:after="20"/>
              <w:jc w:val="right"/>
            </w:pPr>
            <w:r>
              <w:rPr>
                <w:color w:val="1C3A36"/>
                <w:sz w:val="18"/>
              </w:rPr>
              <w:t>Carry-tilted, wide</w:t>
            </w:r>
          </w:p>
        </w:tc>
        <w:tc>
          <w:tcPr>
            <w:tcW w:type="dxa" w:w="4464"/>
          </w:tcPr>
          <w:p>
            <w:pPr>
              <w:spacing w:after="20"/>
              <w:jc w:val="right"/>
            </w:pPr>
            <w:r>
              <w:rPr>
                <w:color w:val="1C3A36"/>
                <w:sz w:val="18"/>
              </w:rPr>
              <w:t>Median 2.29; p5–p95 1.71–3.07</w:t>
            </w:r>
          </w:p>
        </w:tc>
      </w:tr>
    </w:tbl>
    <w:p>
      <w:pPr>
        <w:spacing w:after="40"/>
      </w:pPr>
    </w:p>
    <w:p>
      <w:pPr>
        <w:spacing w:after="120" w:before="0"/>
      </w:pPr>
      <w:r>
        <w:rPr>
          <w:b/>
          <w:i w:val="0"/>
          <w:color w:val="1C3A36"/>
          <w:sz w:val="21"/>
        </w:rPr>
        <w:t xml:space="preserve">Verdict (a fair-value read, not a recommendation). </w:t>
      </w:r>
      <w:r>
        <w:rPr>
          <w:b w:val="0"/>
          <w:i w:val="0"/>
          <w:color w:val="1C3A36"/>
          <w:sz w:val="21"/>
        </w:rPr>
        <w:t>ELEC reads severely overvalued on fundamentals (-84% to the central estimate), and the bottom-up build sharpens the statement: at record copper and pre-windfall conversion economics, the enterprise is worth less than its ~EGP 9.8 bn net debt — the base-case equity is an option, not a claim — and the modelled equity P&amp;L path breaches book solvency by FY29E unless margins or volumes outrun the base case. Three checkable legs carry the read: the earnings the market capitalises were devaluation-era windfalls the company has stopped printing (1Q26: gross margin 5.7%, operating profit zero); implied volumes have fallen to ~38% of capacity while working capital of ~113% of revenue is funded at 22% money; and the controlling group has been selling at EGP 2.00–2.21 throughout 2026. What would change the read is equally specific: an H1-2026 print showing conversion EBITDA per tonne back above ~100,000 EGP without currency help, receivables actually collecting (operating cash flow positive, debt falling), or a step-devaluation — the one event that genuinely reruns the windfall. Even then, note the ceiling: the modelled bull central is 0.95. The bear–bull span (EGP 0.18–0.95) is wide, humility is warranted on the derived lines, and the tonnage build rests on a single-sourced capacity figure — but no reading of the disclosed numbers we can construct supports the current price. We publish the distribution, not a target.</w:t>
      </w:r>
    </w:p>
    <w:p>
      <w:pPr>
        <w:spacing w:after="120" w:before="280"/>
      </w:pPr>
      <w:r>
        <w:rPr>
          <w:b/>
          <w:i w:val="0"/>
          <w:color w:val="1C3A36"/>
          <w:sz w:val="30"/>
        </w:rPr>
        <w:t>5  Catalysts to watch</w:t>
      </w:r>
    </w:p>
    <w:p>
      <w:pPr>
        <w:pStyle w:val="ListBullet"/>
        <w:spacing w:after="60"/>
      </w:pPr>
      <w:r>
        <w:rPr>
          <w:b/>
          <w:color w:val="1C3A36"/>
          <w:sz w:val="21"/>
        </w:rPr>
        <w:t xml:space="preserve">H1-2026 results (~mid-August 2026). </w:t>
      </w:r>
      <w:r>
        <w:rPr>
          <w:color w:val="1C3A36"/>
          <w:sz w:val="21"/>
        </w:rPr>
        <w:t>The single most important print of the year: whether the 1Q26 loss was the trough. Watch three lines — gross margin (the ~14% implied trough vs any recovery), receivables (collection or further build), and finance cost (the first read on easing pass-through).</w:t>
      </w:r>
    </w:p>
    <w:p>
      <w:pPr>
        <w:pStyle w:val="ListBullet"/>
        <w:spacing w:after="60"/>
      </w:pPr>
      <w:r>
        <w:rPr>
          <w:b/>
          <w:color w:val="1C3A36"/>
          <w:sz w:val="21"/>
        </w:rPr>
        <w:t xml:space="preserve">CBE MPC meetings (20-Aug, 01-Oct, 12-Nov 2026). </w:t>
      </w:r>
      <w:r>
        <w:rPr>
          <w:color w:val="1C3A36"/>
          <w:sz w:val="21"/>
        </w:rPr>
        <w:t>Each 100bp off the corridor cuts ~EGP 110 mn from annual finance cost at the disclosed debt load and compresses the discount schedule — the most mechanical catalyst.</w:t>
      </w:r>
    </w:p>
    <w:p>
      <w:pPr>
        <w:pStyle w:val="ListBullet"/>
        <w:spacing w:after="60"/>
      </w:pPr>
      <w:r>
        <w:rPr>
          <w:b/>
          <w:color w:val="1C3A36"/>
          <w:sz w:val="21"/>
        </w:rPr>
        <w:t xml:space="preserve">EETC tender awards under the EGP 45 bn FY25/26 plan. </w:t>
      </w:r>
      <w:r>
        <w:rPr>
          <w:color w:val="1C3A36"/>
          <w:sz w:val="21"/>
        </w:rPr>
        <w:t>Direct order-book demand; ELEC’s ~2/3 revenue exposure to the power sector makes tender flow the volume driver.</w:t>
      </w:r>
    </w:p>
    <w:p>
      <w:pPr>
        <w:pStyle w:val="ListBullet"/>
        <w:spacing w:after="60"/>
      </w:pPr>
      <w:r>
        <w:rPr>
          <w:b/>
          <w:color w:val="1C3A36"/>
          <w:sz w:val="21"/>
        </w:rPr>
        <w:t xml:space="preserve">Egypt–Saudi interconnector commissioning. </w:t>
      </w:r>
      <w:r>
        <w:rPr>
          <w:color w:val="1C3A36"/>
          <w:sz w:val="21"/>
        </w:rPr>
        <w:t>Entered final testing Feb-2026; commercial operation was postponed in June to end-2026 (summer peak loads). Commissioning validates the HV build-out cycle and pulls forward follow-on grid spending.</w:t>
      </w:r>
    </w:p>
    <w:p>
      <w:pPr>
        <w:pStyle w:val="ListBullet"/>
        <w:spacing w:after="60"/>
      </w:pPr>
      <w:r>
        <w:rPr>
          <w:b/>
          <w:color w:val="1C3A36"/>
          <w:sz w:val="21"/>
        </w:rPr>
        <w:t xml:space="preserve">Copper. </w:t>
      </w:r>
      <w:r>
        <w:rPr>
          <w:color w:val="1C3A36"/>
          <w:sz w:val="21"/>
        </w:rPr>
        <w:t>AT records — LME cash ~$14,000/t (3–4 Aug-26; all-time high $14.5k Jan-26), and the model now anchors its flat forecast there: every leg higher inflates ELEC’s working capital and funding need; a copper break lower (the −10% grid column = $12.6k) would be a quiet balance-sheet relief.</w:t>
      </w:r>
    </w:p>
    <w:p>
      <w:pPr>
        <w:pStyle w:val="ListBullet"/>
        <w:spacing w:after="60"/>
      </w:pPr>
      <w:r>
        <w:rPr>
          <w:b/>
          <w:color w:val="1C3A36"/>
          <w:sz w:val="21"/>
        </w:rPr>
        <w:t xml:space="preserve">The pound. </w:t>
      </w:r>
      <w:r>
        <w:rPr>
          <w:color w:val="1C3A36"/>
          <w:sz w:val="21"/>
        </w:rPr>
        <w:t>A step-devaluation would reflate cable margins and inventory (the FY23–24 mechanism) at the cost of the funding base; continued stability keeps the margin squeeze on. This stock is, in effect, a devaluation call option the market keeps partly priced.</w:t>
      </w:r>
    </w:p>
    <w:p>
      <w:pPr>
        <w:pStyle w:val="ListBullet"/>
        <w:spacing w:after="60"/>
      </w:pPr>
      <w:r>
        <w:rPr>
          <w:b/>
          <w:color w:val="1C3A36"/>
          <w:sz w:val="21"/>
        </w:rPr>
        <w:t xml:space="preserve">Controlling-group block sales. </w:t>
      </w:r>
      <w:r>
        <w:rPr>
          <w:color w:val="1C3A36"/>
          <w:sz w:val="21"/>
        </w:rPr>
        <w:t>Gadwa/Alhsn/Mashareq sold through Jan/Feb/Apr/Jul-2026 at EGP 2.00–2.21. Further distribution caps rallies; a cessation — or a strategic buyer — changes the flow picture.</w:t>
      </w:r>
    </w:p>
    <w:p>
      <w:pPr>
        <w:pStyle w:val="ListBullet"/>
        <w:spacing w:after="60"/>
      </w:pPr>
      <w:r>
        <w:rPr>
          <w:b/>
          <w:color w:val="1C3A36"/>
          <w:sz w:val="21"/>
        </w:rPr>
        <w:t xml:space="preserve">Any audited-statement access. </w:t>
      </w:r>
      <w:r>
        <w:rPr>
          <w:color w:val="1C3A36"/>
          <w:sz w:val="21"/>
        </w:rPr>
        <w:t>Publication of the full FY25/H1-26 statements (receivables ageing, facility schedule, capex) would resolve the derived lines in this model — in either direction.</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spot EGP 2.08 and the fair-value cluster: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872"/>
        <w:gridCol w:w="2160"/>
        <w:gridCol w:w="3744"/>
      </w:tblGrid>
      <w:tr>
        <w:tc>
          <w:tcPr>
            <w:tcW w:type="dxa" w:w="2160"/>
            <w:shd w:val="clear" w:color="auto" w:fill="EAF0EE"/>
          </w:tcPr>
          <w:p>
            <w:pPr>
              <w:spacing w:after="20"/>
            </w:pPr>
            <w:r>
              <w:rPr>
                <w:b/>
                <w:color w:val="1C3A36"/>
                <w:sz w:val="18"/>
              </w:rPr>
              <w:t>Zone (3 months)</w:t>
            </w:r>
          </w:p>
        </w:tc>
        <w:tc>
          <w:tcPr>
            <w:tcW w:type="dxa" w:w="1872"/>
            <w:shd w:val="clear" w:color="auto" w:fill="EAF0EE"/>
          </w:tcPr>
          <w:p>
            <w:pPr>
              <w:spacing w:after="20"/>
            </w:pPr>
            <w:r>
              <w:rPr>
                <w:b/>
                <w:color w:val="1C3A36"/>
                <w:sz w:val="18"/>
              </w:rPr>
              <w:t>Range</w:t>
            </w:r>
          </w:p>
        </w:tc>
        <w:tc>
          <w:tcPr>
            <w:tcW w:type="dxa" w:w="2160"/>
            <w:shd w:val="clear" w:color="auto" w:fill="EAF0EE"/>
          </w:tcPr>
          <w:p>
            <w:pPr>
              <w:spacing w:after="20"/>
            </w:pPr>
            <w:r>
              <w:rPr>
                <w:b/>
                <w:color w:val="1C3A36"/>
                <w:sz w:val="18"/>
              </w:rPr>
              <w:t>Approx. probability</w:t>
            </w:r>
          </w:p>
        </w:tc>
        <w:tc>
          <w:tcPr>
            <w:tcW w:type="dxa" w:w="3744"/>
            <w:shd w:val="clear" w:color="auto" w:fill="EAF0EE"/>
          </w:tcPr>
          <w:p>
            <w:pPr>
              <w:spacing w:after="20"/>
            </w:pPr>
            <w:r>
              <w:rPr>
                <w:b/>
                <w:color w:val="1C3A36"/>
                <w:sz w:val="18"/>
              </w:rPr>
              <w:t>What it would mean</w:t>
            </w:r>
          </w:p>
        </w:tc>
      </w:tr>
      <w:tr>
        <w:tc>
          <w:tcPr>
            <w:tcW w:type="dxa" w:w="2160"/>
          </w:tcPr>
          <w:p>
            <w:pPr>
              <w:spacing w:after="20"/>
            </w:pPr>
            <w:r>
              <w:rPr>
                <w:b/>
                <w:color w:val="1C3A36"/>
                <w:sz w:val="18"/>
              </w:rPr>
              <w:t>Deep downside</w:t>
            </w:r>
          </w:p>
        </w:tc>
        <w:tc>
          <w:tcPr>
            <w:tcW w:type="dxa" w:w="1872"/>
          </w:tcPr>
          <w:p>
            <w:pPr>
              <w:spacing w:after="20"/>
              <w:jc w:val="right"/>
            </w:pPr>
            <w:r>
              <w:rPr>
                <w:color w:val="1C3A36"/>
                <w:sz w:val="18"/>
              </w:rPr>
              <w:t>&lt; EGP 1.80</w:t>
            </w:r>
          </w:p>
        </w:tc>
        <w:tc>
          <w:tcPr>
            <w:tcW w:type="dxa" w:w="2160"/>
          </w:tcPr>
          <w:p>
            <w:pPr>
              <w:spacing w:after="20"/>
              <w:jc w:val="right"/>
            </w:pPr>
            <w:r>
              <w:rPr>
                <w:color w:val="1C3A36"/>
                <w:sz w:val="18"/>
              </w:rPr>
              <w:t>~8%</w:t>
            </w:r>
          </w:p>
        </w:tc>
        <w:tc>
          <w:tcPr>
            <w:tcW w:type="dxa" w:w="3744"/>
          </w:tcPr>
          <w:p>
            <w:pPr>
              <w:spacing w:after="20"/>
              <w:jc w:val="right"/>
            </w:pPr>
            <w:r>
              <w:rPr>
                <w:color w:val="1C3A36"/>
                <w:sz w:val="18"/>
              </w:rPr>
              <w:t>Collection fails / H1 loss deepens; breaks the 52-week low toward the fundamental reads</w:t>
            </w:r>
          </w:p>
        </w:tc>
      </w:tr>
      <w:tr>
        <w:tc>
          <w:tcPr>
            <w:tcW w:type="dxa" w:w="2160"/>
          </w:tcPr>
          <w:p>
            <w:pPr>
              <w:spacing w:after="20"/>
            </w:pPr>
            <w:r>
              <w:rPr>
                <w:b/>
                <w:color w:val="1C3A36"/>
                <w:sz w:val="18"/>
              </w:rPr>
              <w:t>Lower band</w:t>
            </w:r>
          </w:p>
        </w:tc>
        <w:tc>
          <w:tcPr>
            <w:tcW w:type="dxa" w:w="1872"/>
          </w:tcPr>
          <w:p>
            <w:pPr>
              <w:spacing w:after="20"/>
              <w:jc w:val="right"/>
            </w:pPr>
            <w:r>
              <w:rPr>
                <w:color w:val="1C3A36"/>
                <w:sz w:val="18"/>
              </w:rPr>
              <w:t>EGP 1.80–2.05</w:t>
            </w:r>
          </w:p>
        </w:tc>
        <w:tc>
          <w:tcPr>
            <w:tcW w:type="dxa" w:w="2160"/>
          </w:tcPr>
          <w:p>
            <w:pPr>
              <w:spacing w:after="20"/>
              <w:jc w:val="right"/>
            </w:pPr>
            <w:r>
              <w:rPr>
                <w:color w:val="1C3A36"/>
                <w:sz w:val="18"/>
              </w:rPr>
              <w:t>~16%</w:t>
            </w:r>
          </w:p>
        </w:tc>
        <w:tc>
          <w:tcPr>
            <w:tcW w:type="dxa" w:w="3744"/>
          </w:tcPr>
          <w:p>
            <w:pPr>
              <w:spacing w:after="20"/>
              <w:jc w:val="right"/>
            </w:pPr>
            <w:r>
              <w:rPr>
                <w:color w:val="1C3A36"/>
                <w:sz w:val="18"/>
              </w:rPr>
              <w:t>De-rating resumes; the July base gives way</w:t>
            </w:r>
          </w:p>
        </w:tc>
      </w:tr>
      <w:tr>
        <w:tc>
          <w:tcPr>
            <w:tcW w:type="dxa" w:w="2160"/>
          </w:tcPr>
          <w:p>
            <w:pPr>
              <w:spacing w:after="20"/>
            </w:pPr>
            <w:r>
              <w:rPr>
                <w:b/>
                <w:color w:val="1C3A36"/>
                <w:sz w:val="18"/>
              </w:rPr>
              <w:t>Around spot</w:t>
            </w:r>
          </w:p>
        </w:tc>
        <w:tc>
          <w:tcPr>
            <w:tcW w:type="dxa" w:w="1872"/>
          </w:tcPr>
          <w:p>
            <w:pPr>
              <w:spacing w:after="20"/>
              <w:jc w:val="right"/>
            </w:pPr>
            <w:r>
              <w:rPr>
                <w:color w:val="1C3A36"/>
                <w:sz w:val="18"/>
              </w:rPr>
              <w:t>EGP 2.05–2.35</w:t>
            </w:r>
          </w:p>
        </w:tc>
        <w:tc>
          <w:tcPr>
            <w:tcW w:type="dxa" w:w="2160"/>
          </w:tcPr>
          <w:p>
            <w:pPr>
              <w:spacing w:after="20"/>
              <w:jc w:val="right"/>
            </w:pPr>
            <w:r>
              <w:rPr>
                <w:color w:val="1C3A36"/>
                <w:sz w:val="18"/>
              </w:rPr>
              <w:t>~32%</w:t>
            </w:r>
          </w:p>
        </w:tc>
        <w:tc>
          <w:tcPr>
            <w:tcW w:type="dxa" w:w="3744"/>
          </w:tcPr>
          <w:p>
            <w:pPr>
              <w:spacing w:after="20"/>
              <w:jc w:val="right"/>
            </w:pPr>
            <w:r>
              <w:rPr>
                <w:color w:val="1C3A36"/>
                <w:sz w:val="18"/>
              </w:rPr>
              <w:t>Status quo: small-cap rotation holds the price, fundamentals unresolved</w:t>
            </w:r>
          </w:p>
        </w:tc>
      </w:tr>
      <w:tr>
        <w:tc>
          <w:tcPr>
            <w:tcW w:type="dxa" w:w="2160"/>
          </w:tcPr>
          <w:p>
            <w:pPr>
              <w:spacing w:after="20"/>
            </w:pPr>
            <w:r>
              <w:rPr>
                <w:b/>
                <w:color w:val="1C3A36"/>
                <w:sz w:val="18"/>
              </w:rPr>
              <w:t>Upper band</w:t>
            </w:r>
          </w:p>
        </w:tc>
        <w:tc>
          <w:tcPr>
            <w:tcW w:type="dxa" w:w="1872"/>
          </w:tcPr>
          <w:p>
            <w:pPr>
              <w:spacing w:after="20"/>
              <w:jc w:val="right"/>
            </w:pPr>
            <w:r>
              <w:rPr>
                <w:color w:val="1C3A36"/>
                <w:sz w:val="18"/>
              </w:rPr>
              <w:t>EGP 2.35–2.70</w:t>
            </w:r>
          </w:p>
        </w:tc>
        <w:tc>
          <w:tcPr>
            <w:tcW w:type="dxa" w:w="2160"/>
          </w:tcPr>
          <w:p>
            <w:pPr>
              <w:spacing w:after="20"/>
              <w:jc w:val="right"/>
            </w:pPr>
            <w:r>
              <w:rPr>
                <w:color w:val="1C3A36"/>
                <w:sz w:val="18"/>
              </w:rPr>
              <w:t>~28%</w:t>
            </w:r>
          </w:p>
        </w:tc>
        <w:tc>
          <w:tcPr>
            <w:tcW w:type="dxa" w:w="3744"/>
          </w:tcPr>
          <w:p>
            <w:pPr>
              <w:spacing w:after="20"/>
              <w:jc w:val="right"/>
            </w:pPr>
            <w:r>
              <w:rPr>
                <w:color w:val="1C3A36"/>
                <w:sz w:val="18"/>
              </w:rPr>
              <w:t>H1 relief + easing resumption; 200-day reclaimed</w:t>
            </w:r>
          </w:p>
        </w:tc>
      </w:tr>
      <w:tr>
        <w:tc>
          <w:tcPr>
            <w:tcW w:type="dxa" w:w="2160"/>
          </w:tcPr>
          <w:p>
            <w:pPr>
              <w:spacing w:after="20"/>
            </w:pPr>
            <w:r>
              <w:rPr>
                <w:b/>
                <w:color w:val="1C3A36"/>
                <w:sz w:val="18"/>
              </w:rPr>
              <w:t>Strong upside</w:t>
            </w:r>
          </w:p>
        </w:tc>
        <w:tc>
          <w:tcPr>
            <w:tcW w:type="dxa" w:w="1872"/>
          </w:tcPr>
          <w:p>
            <w:pPr>
              <w:spacing w:after="20"/>
              <w:jc w:val="right"/>
            </w:pPr>
            <w:r>
              <w:rPr>
                <w:color w:val="1C3A36"/>
                <w:sz w:val="18"/>
              </w:rPr>
              <w:t>&gt; EGP 2.70</w:t>
            </w:r>
          </w:p>
        </w:tc>
        <w:tc>
          <w:tcPr>
            <w:tcW w:type="dxa" w:w="2160"/>
          </w:tcPr>
          <w:p>
            <w:pPr>
              <w:spacing w:after="20"/>
              <w:jc w:val="right"/>
            </w:pPr>
            <w:r>
              <w:rPr>
                <w:color w:val="1C3A36"/>
                <w:sz w:val="18"/>
              </w:rPr>
              <w:t>~16%</w:t>
            </w:r>
          </w:p>
        </w:tc>
        <w:tc>
          <w:tcPr>
            <w:tcW w:type="dxa" w:w="3744"/>
          </w:tcPr>
          <w:p>
            <w:pPr>
              <w:spacing w:after="20"/>
              <w:jc w:val="right"/>
            </w:pPr>
            <w:r>
              <w:rPr>
                <w:color w:val="1C3A36"/>
                <w:sz w:val="18"/>
              </w:rPr>
              <w:t>Margin-recovery evidence or devaluation trade returns; block-trade zone retested</w:t>
            </w:r>
          </w:p>
        </w:tc>
      </w:tr>
    </w:tbl>
    <w:p>
      <w:pPr>
        <w:spacing w:after="40"/>
      </w:pPr>
    </w:p>
    <w:p>
      <w:pPr>
        <w:spacing w:after="120" w:before="0"/>
      </w:pPr>
      <w:r>
        <w:rPr>
          <w:b w:val="0"/>
          <w:i w:val="0"/>
          <w:color w:val="1C3A36"/>
          <w:sz w:val="21"/>
        </w:rPr>
        <w:t>Note what the zone table cannot say: nothing in a three-month price map adjudicates the fundamental question. Even the deep-downside zone stops far above the DCF’s base value — if the fundamental work is right, the reckoning is slower than a quarter. The map describes the tape’s physics; the thesis lives in §1.</w:t>
      </w:r>
    </w:p>
    <w:p>
      <w:pPr>
        <w:spacing w:after="120" w:before="280"/>
      </w:pPr>
      <w:r>
        <w:rPr>
          <w:b/>
          <w:i w:val="0"/>
          <w:color w:val="1C3A36"/>
          <w:sz w:val="30"/>
        </w:rPr>
        <w:t>7  Caveats and what would change our mind</w:t>
      </w:r>
    </w:p>
    <w:p>
      <w:pPr>
        <w:pStyle w:val="ListBullet"/>
        <w:spacing w:after="60"/>
      </w:pPr>
      <w:r>
        <w:rPr>
          <w:b/>
          <w:color w:val="1C3A36"/>
          <w:sz w:val="21"/>
        </w:rPr>
        <w:t xml:space="preserve">The statements gap is narrower than at first build, but still real. </w:t>
      </w:r>
      <w:r>
        <w:rPr>
          <w:color w:val="1C3A36"/>
          <w:sz w:val="21"/>
        </w:rPr>
        <w:t>The Q1-2026 income-statement lines, the FY25 totals (assets, profit, no dividend) and the FY25/FY24 facilities figures ARE disclosed (recovered from press coverage of the EGX filings); interest expense, capex, the working-capital split and facility-level terms remain DERIVED. The FY24 triangulation closing within 0.8% earns the derivations a place in the model, and the net-debt anchor is now triangulated three ways off the FY24 audited comparatives rather than read from the ambiguous facilities sentence (§1.6) — but the honest range is still EGP 9.1–10.4 bn, worth ~±EGP 0.19/share, and the residual risk is SKEWED ADVERSE: the two readings the triangulation could not use both sit at or above the top of the range (facilities-as-drawn 10.2 bn; an unverifiable aggregator debt/equity print implying ~10.4 bn net). At that challenged 10.4 bn reading the unfloored DCF moves to -1.98/share — deeper underwater, same floored conclusion. The audited FY2025 borrowings note is the one document that would settle it. Every derived line is flagged in §1.6 and the Source Register.</w:t>
      </w:r>
    </w:p>
    <w:p>
      <w:pPr>
        <w:pStyle w:val="ListBullet"/>
        <w:spacing w:after="60"/>
      </w:pPr>
      <w:r>
        <w:rPr>
          <w:b/>
          <w:color w:val="1C3A36"/>
          <w:sz w:val="21"/>
        </w:rPr>
        <w:t xml:space="preserve">The base-case equity P&amp;L path raises a genuine solvency question. </w:t>
      </w:r>
      <w:r>
        <w:rPr>
          <w:color w:val="1C3A36"/>
          <w:sz w:val="21"/>
        </w:rPr>
        <w:t>Charging 22%-gliding-to-15% money on the triangulated debt against recovering-but-thin conversion economics, the modelled book equity erodes from ~EGP 4.1 bn to below zero by FY29E, with net debt rising toward EGP 17 bn. This is a modelled path on derived lines, not an audit opinion — but it is what the disclosed numbers imply if nothing improves, and it explains why the DCF equity is an option rather than a claim. The exits are named in §4: collection, conversion recovery above ~100k EGP/t, a step-devaluation, or a controlling-group recapitalisation.</w:t>
      </w:r>
    </w:p>
    <w:p>
      <w:pPr>
        <w:pStyle w:val="ListBullet"/>
        <w:spacing w:after="60"/>
      </w:pPr>
      <w:r>
        <w:rPr>
          <w:b/>
          <w:color w:val="1C3A36"/>
          <w:sz w:val="21"/>
        </w:rPr>
        <w:t xml:space="preserve">The working-capital release is an assumption, not a fact. </w:t>
      </w:r>
      <w:r>
        <w:rPr>
          <w:color w:val="1C3A36"/>
          <w:sz w:val="21"/>
        </w:rPr>
        <w:t>FY26E’s cash flow leans on ~EGP 845 mn of collection as revenue contracts (smaller than in earlier drafts because copper is now anchored at the $14k market level, which keeps more capital trapped). Receivables from state-linked customers can age for years; if intensity stays above ~100% of revenue, the bear case is the base case.</w:t>
      </w:r>
    </w:p>
    <w:p>
      <w:pPr>
        <w:pStyle w:val="ListBullet"/>
        <w:spacing w:after="60"/>
      </w:pPr>
      <w:r>
        <w:rPr>
          <w:b/>
          <w:color w:val="1C3A36"/>
          <w:sz w:val="21"/>
        </w:rPr>
        <w:t xml:space="preserve">Margin normalisation is a judgment between poles. </w:t>
      </w:r>
      <w:r>
        <w:rPr>
          <w:color w:val="1C3A36"/>
          <w:sz w:val="21"/>
        </w:rPr>
        <w:t>Nobody outside the company knows whether 25% EBITDA margins were entirely windfall; the build’s ~11–12% mid-cycle-to-terminal output is argued, sensitized, and could be wrong in either direction. The §1.9 company grid is the honest statement of how much this matters.</w:t>
      </w:r>
    </w:p>
    <w:p>
      <w:pPr>
        <w:pStyle w:val="ListBullet"/>
        <w:spacing w:after="60"/>
      </w:pPr>
      <w:r>
        <w:rPr>
          <w:b/>
          <w:color w:val="1C3A36"/>
          <w:sz w:val="21"/>
        </w:rPr>
        <w:t xml:space="preserve">Terminal-value dependency. </w:t>
      </w:r>
      <w:r>
        <w:rPr>
          <w:color w:val="1C3A36"/>
          <w:sz w:val="21"/>
        </w:rPr>
        <w:t>82% of the EV is terminal value at a 5.8-pt negative terminal spread — HIGH, and stated prominently per house rule: the explicit years are working-capital-suppressed, so most of the modelled worth arrives after them; the study is partly a bet on Egyptian normalisation arriving on the central bank’s own schedule.</w:t>
      </w:r>
    </w:p>
    <w:p>
      <w:pPr>
        <w:pStyle w:val="ListBullet"/>
        <w:spacing w:after="60"/>
      </w:pPr>
      <w:r>
        <w:rPr>
          <w:b/>
          <w:color w:val="1C3A36"/>
          <w:sz w:val="21"/>
        </w:rPr>
        <w:t xml:space="preserve">A devaluation would rescue the bull case. </w:t>
      </w:r>
      <w:r>
        <w:rPr>
          <w:color w:val="1C3A36"/>
          <w:sz w:val="21"/>
        </w:rPr>
        <w:t>The FY23–24 windfall mechanism — EGP falls, copper-linked prices reprice, inventory gains — is repeatable. This study’s base case assumes the pound holds; readers who expect another step-move should weight the bull column, and note that the same event punishes the funding side and the country risk premium.</w:t>
      </w:r>
    </w:p>
    <w:p>
      <w:pPr>
        <w:pStyle w:val="ListBullet"/>
        <w:spacing w:after="60"/>
      </w:pPr>
      <w:r>
        <w:rPr>
          <w:b/>
          <w:color w:val="1C3A36"/>
          <w:sz w:val="21"/>
        </w:rPr>
        <w:t xml:space="preserve">The market may be pricing flow, not value. </w:t>
      </w:r>
      <w:r>
        <w:rPr>
          <w:color w:val="1C3A36"/>
          <w:sz w:val="21"/>
        </w:rPr>
        <w:t>A ~33%-float EGX70 name in a retail rotation can stay away from fundamental value for a long time; overvaluation is a statement about the destination, never the timetable.</w:t>
      </w:r>
    </w:p>
    <w:p>
      <w:pPr>
        <w:pStyle w:val="ListBullet"/>
        <w:spacing w:after="60"/>
      </w:pPr>
      <w:r>
        <w:rPr>
          <w:b/>
          <w:color w:val="1C3A36"/>
          <w:sz w:val="21"/>
        </w:rPr>
        <w:t xml:space="preserve">Concentrated ownership cuts both ways. </w:t>
      </w:r>
      <w:r>
        <w:rPr>
          <w:color w:val="1C3A36"/>
          <w:sz w:val="21"/>
        </w:rPr>
        <w:t>The related-party group has sold down hard — 81.2% (Mar-25) to 66.72% (Jul-26) — which both widens the float and underlines the insider read; but the group could equally take the company private, restructure the debt, or inject assets; control events are not in the model.</w:t>
      </w:r>
    </w:p>
    <w:p>
      <w:pPr>
        <w:pStyle w:val="ListBullet"/>
        <w:spacing w:after="60"/>
      </w:pPr>
      <w:r>
        <w:rPr>
          <w:b/>
          <w:color w:val="1C3A36"/>
          <w:sz w:val="21"/>
        </w:rPr>
        <w:t xml:space="preserve">The simulation prices the path, not the thesis. </w:t>
      </w:r>
      <w:r>
        <w:rPr>
          <w:color w:val="1C3A36"/>
          <w:sz w:val="21"/>
        </w:rPr>
        <w:t>Its median sits above spot because Egyptian carry is 19.5%; do not read that as the model disagreeing with itself — the two clocks measure different things.</w:t>
      </w:r>
    </w:p>
    <w:p>
      <w:pPr>
        <w:spacing w:after="120" w:before="280"/>
      </w:pPr>
      <w:r>
        <w:rPr>
          <w:b/>
          <w:i w:val="0"/>
          <w:color w:val="1C3A36"/>
          <w:sz w:val="30"/>
        </w:rPr>
        <w:t>Appendix A  Financial statements</w:t>
      </w:r>
    </w:p>
    <w:p>
      <w:pPr>
        <w:spacing w:after="120" w:before="0"/>
      </w:pPr>
      <w:r>
        <w:rPr>
          <w:b w:val="0"/>
          <w:i w:val="0"/>
          <w:color w:val="1C3A36"/>
          <w:sz w:val="21"/>
        </w:rPr>
        <w:t>Consolidated figures as available through bourse-disclosure reporting of the company’s EGX filings; derived lines are marked (d) and their construction is stated in §1.6 and the Source Register. The five-year forecast is the model build (companion Excel, formula-linked to its Assumptions sheet). EGP million.</w:t>
      </w:r>
    </w:p>
    <w:p>
      <w:pPr>
        <w:spacing w:after="80" w:before="200"/>
      </w:pPr>
      <w:r>
        <w:rPr>
          <w:b/>
          <w:i w:val="0"/>
          <w:color w:val="1C3A36"/>
          <w:sz w:val="24"/>
        </w:rPr>
        <w:t>A.1  Income statement — 3-year historical + 5-year forecast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900"/>
        <w:gridCol w:w="900"/>
        <w:gridCol w:w="900"/>
        <w:gridCol w:w="900"/>
        <w:gridCol w:w="900"/>
        <w:gridCol w:w="900"/>
        <w:gridCol w:w="900"/>
        <w:gridCol w:w="900"/>
      </w:tblGrid>
      <w:tr>
        <w:tc>
          <w:tcPr>
            <w:tcW w:type="dxa" w:w="2952"/>
            <w:shd w:val="clear" w:color="auto" w:fill="EAF0EE"/>
          </w:tcPr>
          <w:p>
            <w:pPr>
              <w:spacing w:after="20"/>
            </w:pPr>
            <w:r>
              <w:rPr>
                <w:b/>
                <w:color w:val="1C3A36"/>
                <w:sz w:val="16"/>
              </w:rPr>
              <w:t>Line</w:t>
            </w:r>
          </w:p>
        </w:tc>
        <w:tc>
          <w:tcPr>
            <w:tcW w:type="dxa" w:w="900"/>
            <w:shd w:val="clear" w:color="auto" w:fill="EAF0EE"/>
          </w:tcPr>
          <w:p>
            <w:pPr>
              <w:spacing w:after="20"/>
            </w:pPr>
            <w:r>
              <w:rPr>
                <w:b/>
                <w:color w:val="1C3A36"/>
                <w:sz w:val="16"/>
              </w:rPr>
              <w:t>FY23</w:t>
            </w:r>
          </w:p>
        </w:tc>
        <w:tc>
          <w:tcPr>
            <w:tcW w:type="dxa" w:w="900"/>
            <w:shd w:val="clear" w:color="auto" w:fill="EAF0EE"/>
          </w:tcPr>
          <w:p>
            <w:pPr>
              <w:spacing w:after="20"/>
            </w:pPr>
            <w:r>
              <w:rPr>
                <w:b/>
                <w:color w:val="1C3A36"/>
                <w:sz w:val="16"/>
              </w:rPr>
              <w:t>FY24</w:t>
            </w:r>
          </w:p>
        </w:tc>
        <w:tc>
          <w:tcPr>
            <w:tcW w:type="dxa" w:w="900"/>
            <w:shd w:val="clear" w:color="auto" w:fill="EAF0EE"/>
          </w:tcPr>
          <w:p>
            <w:pPr>
              <w:spacing w:after="20"/>
            </w:pPr>
            <w:r>
              <w:rPr>
                <w:b/>
                <w:color w:val="1C3A36"/>
                <w:sz w:val="16"/>
              </w:rPr>
              <w:t>FY25</w:t>
            </w:r>
          </w:p>
        </w:tc>
        <w:tc>
          <w:tcPr>
            <w:tcW w:type="dxa" w:w="900"/>
            <w:shd w:val="clear" w:color="auto" w:fill="EAF0EE"/>
          </w:tcPr>
          <w:p>
            <w:pPr>
              <w:spacing w:after="20"/>
            </w:pPr>
            <w:r>
              <w:rPr>
                <w:b/>
                <w:color w:val="1C3A36"/>
                <w:sz w:val="16"/>
              </w:rPr>
              <w:t>FY26E</w:t>
            </w:r>
          </w:p>
        </w:tc>
        <w:tc>
          <w:tcPr>
            <w:tcW w:type="dxa" w:w="900"/>
            <w:shd w:val="clear" w:color="auto" w:fill="EAF0EE"/>
          </w:tcPr>
          <w:p>
            <w:pPr>
              <w:spacing w:after="20"/>
            </w:pPr>
            <w:r>
              <w:rPr>
                <w:b/>
                <w:color w:val="1C3A36"/>
                <w:sz w:val="16"/>
              </w:rPr>
              <w:t>FY27E</w:t>
            </w:r>
          </w:p>
        </w:tc>
        <w:tc>
          <w:tcPr>
            <w:tcW w:type="dxa" w:w="900"/>
            <w:shd w:val="clear" w:color="auto" w:fill="EAF0EE"/>
          </w:tcPr>
          <w:p>
            <w:pPr>
              <w:spacing w:after="20"/>
            </w:pPr>
            <w:r>
              <w:rPr>
                <w:b/>
                <w:color w:val="1C3A36"/>
                <w:sz w:val="16"/>
              </w:rPr>
              <w:t>FY28E</w:t>
            </w:r>
          </w:p>
        </w:tc>
        <w:tc>
          <w:tcPr>
            <w:tcW w:type="dxa" w:w="900"/>
            <w:shd w:val="clear" w:color="auto" w:fill="EAF0EE"/>
          </w:tcPr>
          <w:p>
            <w:pPr>
              <w:spacing w:after="20"/>
            </w:pPr>
            <w:r>
              <w:rPr>
                <w:b/>
                <w:color w:val="1C3A36"/>
                <w:sz w:val="16"/>
              </w:rPr>
              <w:t>FY29E</w:t>
            </w:r>
          </w:p>
        </w:tc>
        <w:tc>
          <w:tcPr>
            <w:tcW w:type="dxa" w:w="900"/>
            <w:shd w:val="clear" w:color="auto" w:fill="EAF0EE"/>
          </w:tcPr>
          <w:p>
            <w:pPr>
              <w:spacing w:after="20"/>
            </w:pPr>
            <w:r>
              <w:rPr>
                <w:b/>
                <w:color w:val="1C3A36"/>
                <w:sz w:val="16"/>
              </w:rPr>
              <w:t>FY30E</w:t>
            </w:r>
          </w:p>
        </w:tc>
      </w:tr>
      <w:tr>
        <w:tc>
          <w:tcPr>
            <w:tcW w:type="dxa" w:w="2952"/>
          </w:tcPr>
          <w:p>
            <w:pPr>
              <w:spacing w:after="20"/>
            </w:pPr>
            <w:r>
              <w:rPr>
                <w:b/>
                <w:color w:val="1C3A36"/>
                <w:sz w:val="16"/>
              </w:rPr>
              <w:t>Revenue</w:t>
            </w:r>
          </w:p>
        </w:tc>
        <w:tc>
          <w:tcPr>
            <w:tcW w:type="dxa" w:w="900"/>
          </w:tcPr>
          <w:p>
            <w:pPr>
              <w:spacing w:after="20"/>
              <w:jc w:val="right"/>
            </w:pPr>
            <w:r>
              <w:rPr>
                <w:color w:val="1C3A36"/>
                <w:sz w:val="16"/>
              </w:rPr>
              <w:t>8,673</w:t>
            </w:r>
          </w:p>
        </w:tc>
        <w:tc>
          <w:tcPr>
            <w:tcW w:type="dxa" w:w="900"/>
          </w:tcPr>
          <w:p>
            <w:pPr>
              <w:spacing w:after="20"/>
              <w:jc w:val="right"/>
            </w:pPr>
            <w:r>
              <w:rPr>
                <w:color w:val="1C3A36"/>
                <w:sz w:val="16"/>
              </w:rPr>
              <w:t>13,778</w:t>
            </w:r>
          </w:p>
        </w:tc>
        <w:tc>
          <w:tcPr>
            <w:tcW w:type="dxa" w:w="900"/>
          </w:tcPr>
          <w:p>
            <w:pPr>
              <w:spacing w:after="20"/>
              <w:jc w:val="right"/>
            </w:pPr>
            <w:r>
              <w:rPr>
                <w:color w:val="1C3A36"/>
                <w:sz w:val="16"/>
              </w:rPr>
              <w:t>10,819</w:t>
            </w:r>
          </w:p>
        </w:tc>
        <w:tc>
          <w:tcPr>
            <w:tcW w:type="dxa" w:w="900"/>
          </w:tcPr>
          <w:p>
            <w:pPr>
              <w:spacing w:after="20"/>
              <w:jc w:val="right"/>
            </w:pPr>
            <w:r>
              <w:rPr>
                <w:color w:val="1C3A36"/>
                <w:sz w:val="16"/>
              </w:rPr>
              <w:t>10,178</w:t>
            </w:r>
          </w:p>
        </w:tc>
        <w:tc>
          <w:tcPr>
            <w:tcW w:type="dxa" w:w="900"/>
          </w:tcPr>
          <w:p>
            <w:pPr>
              <w:spacing w:after="20"/>
              <w:jc w:val="right"/>
            </w:pPr>
            <w:r>
              <w:rPr>
                <w:color w:val="1C3A36"/>
                <w:sz w:val="16"/>
              </w:rPr>
              <w:t>12,016</w:t>
            </w:r>
          </w:p>
        </w:tc>
        <w:tc>
          <w:tcPr>
            <w:tcW w:type="dxa" w:w="900"/>
          </w:tcPr>
          <w:p>
            <w:pPr>
              <w:spacing w:after="20"/>
              <w:jc w:val="right"/>
            </w:pPr>
            <w:r>
              <w:rPr>
                <w:color w:val="1C3A36"/>
                <w:sz w:val="16"/>
              </w:rPr>
              <w:t>13,921</w:t>
            </w:r>
          </w:p>
        </w:tc>
        <w:tc>
          <w:tcPr>
            <w:tcW w:type="dxa" w:w="900"/>
          </w:tcPr>
          <w:p>
            <w:pPr>
              <w:spacing w:after="20"/>
              <w:jc w:val="right"/>
            </w:pPr>
            <w:r>
              <w:rPr>
                <w:color w:val="1C3A36"/>
                <w:sz w:val="16"/>
              </w:rPr>
              <w:t>15,806</w:t>
            </w:r>
          </w:p>
        </w:tc>
        <w:tc>
          <w:tcPr>
            <w:tcW w:type="dxa" w:w="900"/>
          </w:tcPr>
          <w:p>
            <w:pPr>
              <w:spacing w:after="20"/>
              <w:jc w:val="right"/>
            </w:pPr>
            <w:r>
              <w:rPr>
                <w:color w:val="1C3A36"/>
                <w:sz w:val="16"/>
              </w:rPr>
              <w:t>17,554</w:t>
            </w:r>
          </w:p>
        </w:tc>
      </w:tr>
      <w:tr>
        <w:tc>
          <w:tcPr>
            <w:tcW w:type="dxa" w:w="2952"/>
          </w:tcPr>
          <w:p>
            <w:pPr>
              <w:spacing w:after="20"/>
            </w:pPr>
            <w:r>
              <w:rPr>
                <w:b/>
                <w:color w:val="1C3A36"/>
                <w:sz w:val="16"/>
              </w:rPr>
              <w:t>EBITDA</w:t>
            </w:r>
          </w:p>
        </w:tc>
        <w:tc>
          <w:tcPr>
            <w:tcW w:type="dxa" w:w="900"/>
          </w:tcPr>
          <w:p>
            <w:pPr>
              <w:spacing w:after="20"/>
              <w:jc w:val="right"/>
            </w:pPr>
            <w:r>
              <w:rPr>
                <w:color w:val="1C3A36"/>
                <w:sz w:val="16"/>
              </w:rPr>
              <w:t>2,661 (d)</w:t>
            </w:r>
          </w:p>
        </w:tc>
        <w:tc>
          <w:tcPr>
            <w:tcW w:type="dxa" w:w="900"/>
          </w:tcPr>
          <w:p>
            <w:pPr>
              <w:spacing w:after="20"/>
              <w:jc w:val="right"/>
            </w:pPr>
            <w:r>
              <w:rPr>
                <w:color w:val="1C3A36"/>
                <w:sz w:val="16"/>
              </w:rPr>
              <w:t>3,490 (a)</w:t>
            </w:r>
          </w:p>
        </w:tc>
        <w:tc>
          <w:tcPr>
            <w:tcW w:type="dxa" w:w="900"/>
          </w:tcPr>
          <w:p>
            <w:pPr>
              <w:spacing w:after="20"/>
              <w:jc w:val="right"/>
            </w:pPr>
            <w:r>
              <w:rPr>
                <w:color w:val="1C3A36"/>
                <w:sz w:val="16"/>
              </w:rPr>
              <w:t>2,871 (d)</w:t>
            </w:r>
          </w:p>
        </w:tc>
        <w:tc>
          <w:tcPr>
            <w:tcW w:type="dxa" w:w="900"/>
          </w:tcPr>
          <w:p>
            <w:pPr>
              <w:spacing w:after="20"/>
              <w:jc w:val="right"/>
            </w:pPr>
            <w:r>
              <w:rPr>
                <w:color w:val="1C3A36"/>
                <w:sz w:val="16"/>
              </w:rPr>
              <w:t>416</w:t>
            </w:r>
          </w:p>
        </w:tc>
        <w:tc>
          <w:tcPr>
            <w:tcW w:type="dxa" w:w="900"/>
          </w:tcPr>
          <w:p>
            <w:pPr>
              <w:spacing w:after="20"/>
              <w:jc w:val="right"/>
            </w:pPr>
            <w:r>
              <w:rPr>
                <w:color w:val="1C3A36"/>
                <w:sz w:val="16"/>
              </w:rPr>
              <w:t>1,071</w:t>
            </w:r>
          </w:p>
        </w:tc>
        <w:tc>
          <w:tcPr>
            <w:tcW w:type="dxa" w:w="900"/>
          </w:tcPr>
          <w:p>
            <w:pPr>
              <w:spacing w:after="20"/>
              <w:jc w:val="right"/>
            </w:pPr>
            <w:r>
              <w:rPr>
                <w:color w:val="1C3A36"/>
                <w:sz w:val="16"/>
              </w:rPr>
              <w:t>1,541</w:t>
            </w:r>
          </w:p>
        </w:tc>
        <w:tc>
          <w:tcPr>
            <w:tcW w:type="dxa" w:w="900"/>
          </w:tcPr>
          <w:p>
            <w:pPr>
              <w:spacing w:after="20"/>
              <w:jc w:val="right"/>
            </w:pPr>
            <w:r>
              <w:rPr>
                <w:color w:val="1C3A36"/>
                <w:sz w:val="16"/>
              </w:rPr>
              <w:t>1,894</w:t>
            </w:r>
          </w:p>
        </w:tc>
        <w:tc>
          <w:tcPr>
            <w:tcW w:type="dxa" w:w="900"/>
          </w:tcPr>
          <w:p>
            <w:pPr>
              <w:spacing w:after="20"/>
              <w:jc w:val="right"/>
            </w:pPr>
            <w:r>
              <w:rPr>
                <w:color w:val="1C3A36"/>
                <w:sz w:val="16"/>
              </w:rPr>
              <w:t>2,160</w:t>
            </w:r>
          </w:p>
        </w:tc>
      </w:tr>
      <w:tr>
        <w:tc>
          <w:tcPr>
            <w:tcW w:type="dxa" w:w="2952"/>
          </w:tcPr>
          <w:p>
            <w:pPr>
              <w:spacing w:after="20"/>
            </w:pPr>
            <w:r>
              <w:rPr>
                <w:b/>
                <w:color w:val="1C3A36"/>
                <w:sz w:val="16"/>
              </w:rPr>
              <w:t>EBITDA margin</w:t>
            </w:r>
          </w:p>
        </w:tc>
        <w:tc>
          <w:tcPr>
            <w:tcW w:type="dxa" w:w="900"/>
          </w:tcPr>
          <w:p>
            <w:pPr>
              <w:spacing w:after="20"/>
              <w:jc w:val="right"/>
            </w:pPr>
            <w:r>
              <w:rPr>
                <w:color w:val="1C3A36"/>
                <w:sz w:val="16"/>
              </w:rPr>
              <w:t>30.7%</w:t>
            </w:r>
          </w:p>
        </w:tc>
        <w:tc>
          <w:tcPr>
            <w:tcW w:type="dxa" w:w="900"/>
          </w:tcPr>
          <w:p>
            <w:pPr>
              <w:spacing w:after="20"/>
              <w:jc w:val="right"/>
            </w:pPr>
            <w:r>
              <w:rPr>
                <w:color w:val="1C3A36"/>
                <w:sz w:val="16"/>
              </w:rPr>
              <w:t>25.3%</w:t>
            </w:r>
          </w:p>
        </w:tc>
        <w:tc>
          <w:tcPr>
            <w:tcW w:type="dxa" w:w="900"/>
          </w:tcPr>
          <w:p>
            <w:pPr>
              <w:spacing w:after="20"/>
              <w:jc w:val="right"/>
            </w:pPr>
            <w:r>
              <w:rPr>
                <w:color w:val="1C3A36"/>
                <w:sz w:val="16"/>
              </w:rPr>
              <w:t>26.5%</w:t>
            </w:r>
          </w:p>
        </w:tc>
        <w:tc>
          <w:tcPr>
            <w:tcW w:type="dxa" w:w="900"/>
          </w:tcPr>
          <w:p>
            <w:pPr>
              <w:spacing w:after="20"/>
              <w:jc w:val="right"/>
            </w:pPr>
            <w:r>
              <w:rPr>
                <w:color w:val="1C3A36"/>
                <w:sz w:val="16"/>
              </w:rPr>
              <w:t>4.1%</w:t>
            </w:r>
          </w:p>
        </w:tc>
        <w:tc>
          <w:tcPr>
            <w:tcW w:type="dxa" w:w="900"/>
          </w:tcPr>
          <w:p>
            <w:pPr>
              <w:spacing w:after="20"/>
              <w:jc w:val="right"/>
            </w:pPr>
            <w:r>
              <w:rPr>
                <w:color w:val="1C3A36"/>
                <w:sz w:val="16"/>
              </w:rPr>
              <w:t>8.9%</w:t>
            </w:r>
          </w:p>
        </w:tc>
        <w:tc>
          <w:tcPr>
            <w:tcW w:type="dxa" w:w="900"/>
          </w:tcPr>
          <w:p>
            <w:pPr>
              <w:spacing w:after="20"/>
              <w:jc w:val="right"/>
            </w:pPr>
            <w:r>
              <w:rPr>
                <w:color w:val="1C3A36"/>
                <w:sz w:val="16"/>
              </w:rPr>
              <w:t>11.1%</w:t>
            </w:r>
          </w:p>
        </w:tc>
        <w:tc>
          <w:tcPr>
            <w:tcW w:type="dxa" w:w="900"/>
          </w:tcPr>
          <w:p>
            <w:pPr>
              <w:spacing w:after="20"/>
              <w:jc w:val="right"/>
            </w:pPr>
            <w:r>
              <w:rPr>
                <w:color w:val="1C3A36"/>
                <w:sz w:val="16"/>
              </w:rPr>
              <w:t>12.0%</w:t>
            </w:r>
          </w:p>
        </w:tc>
        <w:tc>
          <w:tcPr>
            <w:tcW w:type="dxa" w:w="900"/>
          </w:tcPr>
          <w:p>
            <w:pPr>
              <w:spacing w:after="20"/>
              <w:jc w:val="right"/>
            </w:pPr>
            <w:r>
              <w:rPr>
                <w:color w:val="1C3A36"/>
                <w:sz w:val="16"/>
              </w:rPr>
              <w:t>12.3%</w:t>
            </w:r>
          </w:p>
        </w:tc>
      </w:tr>
      <w:tr>
        <w:tc>
          <w:tcPr>
            <w:tcW w:type="dxa" w:w="2952"/>
          </w:tcPr>
          <w:p>
            <w:pPr>
              <w:spacing w:after="20"/>
            </w:pPr>
            <w:r>
              <w:rPr>
                <w:b/>
                <w:color w:val="1C3A36"/>
                <w:sz w:val="16"/>
              </w:rPr>
              <w:t>D&amp;A</w:t>
            </w:r>
          </w:p>
        </w:tc>
        <w:tc>
          <w:tcPr>
            <w:tcW w:type="dxa" w:w="900"/>
          </w:tcPr>
          <w:p>
            <w:pPr>
              <w:spacing w:after="20"/>
              <w:jc w:val="right"/>
            </w:pPr>
            <w:r>
              <w:rPr>
                <w:color w:val="1C3A36"/>
                <w:sz w:val="16"/>
              </w:rPr>
              <w:t>(61) (d)</w:t>
            </w:r>
          </w:p>
        </w:tc>
        <w:tc>
          <w:tcPr>
            <w:tcW w:type="dxa" w:w="900"/>
          </w:tcPr>
          <w:p>
            <w:pPr>
              <w:spacing w:after="20"/>
              <w:jc w:val="right"/>
            </w:pPr>
            <w:r>
              <w:rPr>
                <w:color w:val="1C3A36"/>
                <w:sz w:val="16"/>
              </w:rPr>
              <w:t>(90)</w:t>
            </w:r>
          </w:p>
        </w:tc>
        <w:tc>
          <w:tcPr>
            <w:tcW w:type="dxa" w:w="900"/>
          </w:tcPr>
          <w:p>
            <w:pPr>
              <w:spacing w:after="20"/>
              <w:jc w:val="right"/>
            </w:pPr>
            <w:r>
              <w:rPr>
                <w:color w:val="1C3A36"/>
                <w:sz w:val="16"/>
              </w:rPr>
              <w:t>(76) (d)</w:t>
            </w:r>
          </w:p>
        </w:tc>
        <w:tc>
          <w:tcPr>
            <w:tcW w:type="dxa" w:w="900"/>
          </w:tcPr>
          <w:p>
            <w:pPr>
              <w:spacing w:after="20"/>
              <w:jc w:val="right"/>
            </w:pPr>
            <w:r>
              <w:rPr>
                <w:color w:val="1C3A36"/>
                <w:sz w:val="16"/>
              </w:rPr>
              <w:t>(132)</w:t>
            </w:r>
          </w:p>
        </w:tc>
        <w:tc>
          <w:tcPr>
            <w:tcW w:type="dxa" w:w="900"/>
          </w:tcPr>
          <w:p>
            <w:pPr>
              <w:spacing w:after="20"/>
              <w:jc w:val="right"/>
            </w:pPr>
            <w:r>
              <w:rPr>
                <w:color w:val="1C3A36"/>
                <w:sz w:val="16"/>
              </w:rPr>
              <w:t>(156)</w:t>
            </w:r>
          </w:p>
        </w:tc>
        <w:tc>
          <w:tcPr>
            <w:tcW w:type="dxa" w:w="900"/>
          </w:tcPr>
          <w:p>
            <w:pPr>
              <w:spacing w:after="20"/>
              <w:jc w:val="right"/>
            </w:pPr>
            <w:r>
              <w:rPr>
                <w:color w:val="1C3A36"/>
                <w:sz w:val="16"/>
              </w:rPr>
              <w:t>(181)</w:t>
            </w:r>
          </w:p>
        </w:tc>
        <w:tc>
          <w:tcPr>
            <w:tcW w:type="dxa" w:w="900"/>
          </w:tcPr>
          <w:p>
            <w:pPr>
              <w:spacing w:after="20"/>
              <w:jc w:val="right"/>
            </w:pPr>
            <w:r>
              <w:rPr>
                <w:color w:val="1C3A36"/>
                <w:sz w:val="16"/>
              </w:rPr>
              <w:t>(205)</w:t>
            </w:r>
          </w:p>
        </w:tc>
        <w:tc>
          <w:tcPr>
            <w:tcW w:type="dxa" w:w="900"/>
          </w:tcPr>
          <w:p>
            <w:pPr>
              <w:spacing w:after="20"/>
              <w:jc w:val="right"/>
            </w:pPr>
            <w:r>
              <w:rPr>
                <w:color w:val="1C3A36"/>
                <w:sz w:val="16"/>
              </w:rPr>
              <w:t>(228)</w:t>
            </w:r>
          </w:p>
        </w:tc>
      </w:tr>
      <w:tr>
        <w:tc>
          <w:tcPr>
            <w:tcW w:type="dxa" w:w="2952"/>
          </w:tcPr>
          <w:p>
            <w:pPr>
              <w:spacing w:after="20"/>
            </w:pPr>
            <w:r>
              <w:rPr>
                <w:b/>
                <w:color w:val="1C3A36"/>
                <w:sz w:val="16"/>
              </w:rPr>
              <w:t>EBIT</w:t>
            </w:r>
          </w:p>
        </w:tc>
        <w:tc>
          <w:tcPr>
            <w:tcW w:type="dxa" w:w="900"/>
          </w:tcPr>
          <w:p>
            <w:pPr>
              <w:spacing w:after="20"/>
              <w:jc w:val="right"/>
            </w:pPr>
            <w:r>
              <w:rPr>
                <w:color w:val="1C3A36"/>
                <w:sz w:val="16"/>
              </w:rPr>
              <w:t>2,600 (d)</w:t>
            </w:r>
          </w:p>
        </w:tc>
        <w:tc>
          <w:tcPr>
            <w:tcW w:type="dxa" w:w="900"/>
          </w:tcPr>
          <w:p>
            <w:pPr>
              <w:spacing w:after="20"/>
              <w:jc w:val="right"/>
            </w:pPr>
            <w:r>
              <w:rPr>
                <w:color w:val="1C3A36"/>
                <w:sz w:val="16"/>
              </w:rPr>
              <w:t>3,400</w:t>
            </w:r>
          </w:p>
        </w:tc>
        <w:tc>
          <w:tcPr>
            <w:tcW w:type="dxa" w:w="900"/>
          </w:tcPr>
          <w:p>
            <w:pPr>
              <w:spacing w:after="20"/>
              <w:jc w:val="right"/>
            </w:pPr>
            <w:r>
              <w:rPr>
                <w:color w:val="1C3A36"/>
                <w:sz w:val="16"/>
              </w:rPr>
              <w:t>2,796 (d)</w:t>
            </w:r>
          </w:p>
        </w:tc>
        <w:tc>
          <w:tcPr>
            <w:tcW w:type="dxa" w:w="900"/>
          </w:tcPr>
          <w:p>
            <w:pPr>
              <w:spacing w:after="20"/>
              <w:jc w:val="right"/>
            </w:pPr>
            <w:r>
              <w:rPr>
                <w:color w:val="1C3A36"/>
                <w:sz w:val="16"/>
              </w:rPr>
              <w:t>284</w:t>
            </w:r>
          </w:p>
        </w:tc>
        <w:tc>
          <w:tcPr>
            <w:tcW w:type="dxa" w:w="900"/>
          </w:tcPr>
          <w:p>
            <w:pPr>
              <w:spacing w:after="20"/>
              <w:jc w:val="right"/>
            </w:pPr>
            <w:r>
              <w:rPr>
                <w:color w:val="1C3A36"/>
                <w:sz w:val="16"/>
              </w:rPr>
              <w:t>915</w:t>
            </w:r>
          </w:p>
        </w:tc>
        <w:tc>
          <w:tcPr>
            <w:tcW w:type="dxa" w:w="900"/>
          </w:tcPr>
          <w:p>
            <w:pPr>
              <w:spacing w:after="20"/>
              <w:jc w:val="right"/>
            </w:pPr>
            <w:r>
              <w:rPr>
                <w:color w:val="1C3A36"/>
                <w:sz w:val="16"/>
              </w:rPr>
              <w:t>1,360</w:t>
            </w:r>
          </w:p>
        </w:tc>
        <w:tc>
          <w:tcPr>
            <w:tcW w:type="dxa" w:w="900"/>
          </w:tcPr>
          <w:p>
            <w:pPr>
              <w:spacing w:after="20"/>
              <w:jc w:val="right"/>
            </w:pPr>
            <w:r>
              <w:rPr>
                <w:color w:val="1C3A36"/>
                <w:sz w:val="16"/>
              </w:rPr>
              <w:t>1,689</w:t>
            </w:r>
          </w:p>
        </w:tc>
        <w:tc>
          <w:tcPr>
            <w:tcW w:type="dxa" w:w="900"/>
          </w:tcPr>
          <w:p>
            <w:pPr>
              <w:spacing w:after="20"/>
              <w:jc w:val="right"/>
            </w:pPr>
            <w:r>
              <w:rPr>
                <w:color w:val="1C3A36"/>
                <w:sz w:val="16"/>
              </w:rPr>
              <w:t>1,932</w:t>
            </w:r>
          </w:p>
        </w:tc>
      </w:tr>
      <w:tr>
        <w:tc>
          <w:tcPr>
            <w:tcW w:type="dxa" w:w="2952"/>
          </w:tcPr>
          <w:p>
            <w:pPr>
              <w:spacing w:after="20"/>
            </w:pPr>
            <w:r>
              <w:rPr>
                <w:b/>
                <w:color w:val="1C3A36"/>
                <w:sz w:val="16"/>
              </w:rPr>
              <w:t>Net finance cost</w:t>
            </w:r>
          </w:p>
        </w:tc>
        <w:tc>
          <w:tcPr>
            <w:tcW w:type="dxa" w:w="900"/>
          </w:tcPr>
          <w:p>
            <w:pPr>
              <w:spacing w:after="20"/>
              <w:jc w:val="right"/>
            </w:pPr>
            <w:r>
              <w:rPr>
                <w:color w:val="1C3A36"/>
                <w:sz w:val="16"/>
              </w:rPr>
              <w:t>(990) (d)</w:t>
            </w:r>
          </w:p>
        </w:tc>
        <w:tc>
          <w:tcPr>
            <w:tcW w:type="dxa" w:w="900"/>
          </w:tcPr>
          <w:p>
            <w:pPr>
              <w:spacing w:after="20"/>
              <w:jc w:val="right"/>
            </w:pPr>
            <w:r>
              <w:rPr>
                <w:color w:val="1C3A36"/>
                <w:sz w:val="16"/>
              </w:rPr>
              <w:t>(1,700) (d)</w:t>
            </w:r>
          </w:p>
        </w:tc>
        <w:tc>
          <w:tcPr>
            <w:tcW w:type="dxa" w:w="900"/>
          </w:tcPr>
          <w:p>
            <w:pPr>
              <w:spacing w:after="20"/>
              <w:jc w:val="right"/>
            </w:pPr>
            <w:r>
              <w:rPr>
                <w:color w:val="1C3A36"/>
                <w:sz w:val="16"/>
              </w:rPr>
              <w:t>(2,150) (d)</w:t>
            </w:r>
          </w:p>
        </w:tc>
        <w:tc>
          <w:tcPr>
            <w:tcW w:type="dxa" w:w="900"/>
          </w:tcPr>
          <w:p>
            <w:pPr>
              <w:spacing w:after="20"/>
              <w:jc w:val="right"/>
            </w:pPr>
            <w:r>
              <w:rPr>
                <w:color w:val="1C3A36"/>
                <w:sz w:val="16"/>
              </w:rPr>
              <w:t>(2,157)</w:t>
            </w:r>
          </w:p>
        </w:tc>
        <w:tc>
          <w:tcPr>
            <w:tcW w:type="dxa" w:w="900"/>
          </w:tcPr>
          <w:p>
            <w:pPr>
              <w:spacing w:after="20"/>
              <w:jc w:val="right"/>
            </w:pPr>
            <w:r>
              <w:rPr>
                <w:color w:val="1C3A36"/>
                <w:sz w:val="16"/>
              </w:rPr>
              <w:t>(2,185)</w:t>
            </w:r>
          </w:p>
        </w:tc>
        <w:tc>
          <w:tcPr>
            <w:tcW w:type="dxa" w:w="900"/>
          </w:tcPr>
          <w:p>
            <w:pPr>
              <w:spacing w:after="20"/>
              <w:jc w:val="right"/>
            </w:pPr>
            <w:r>
              <w:rPr>
                <w:color w:val="1C3A36"/>
                <w:sz w:val="16"/>
              </w:rPr>
              <w:t>(2,520)</w:t>
            </w:r>
          </w:p>
        </w:tc>
        <w:tc>
          <w:tcPr>
            <w:tcW w:type="dxa" w:w="900"/>
          </w:tcPr>
          <w:p>
            <w:pPr>
              <w:spacing w:after="20"/>
              <w:jc w:val="right"/>
            </w:pPr>
            <w:r>
              <w:rPr>
                <w:color w:val="1C3A36"/>
                <w:sz w:val="16"/>
              </w:rPr>
              <w:t>(2,696)</w:t>
            </w:r>
          </w:p>
        </w:tc>
        <w:tc>
          <w:tcPr>
            <w:tcW w:type="dxa" w:w="900"/>
          </w:tcPr>
          <w:p>
            <w:pPr>
              <w:spacing w:after="20"/>
              <w:jc w:val="right"/>
            </w:pPr>
            <w:r>
              <w:rPr>
                <w:color w:val="1C3A36"/>
                <w:sz w:val="16"/>
              </w:rPr>
              <w:t>(2,800)</w:t>
            </w:r>
          </w:p>
        </w:tc>
      </w:tr>
      <w:tr>
        <w:tc>
          <w:tcPr>
            <w:tcW w:type="dxa" w:w="2952"/>
          </w:tcPr>
          <w:p>
            <w:pPr>
              <w:spacing w:after="20"/>
            </w:pPr>
            <w:r>
              <w:rPr>
                <w:b/>
                <w:color w:val="1C3A36"/>
                <w:sz w:val="16"/>
              </w:rPr>
              <w:t>Earnings before tax</w:t>
            </w:r>
          </w:p>
        </w:tc>
        <w:tc>
          <w:tcPr>
            <w:tcW w:type="dxa" w:w="900"/>
          </w:tcPr>
          <w:p>
            <w:pPr>
              <w:spacing w:after="20"/>
              <w:jc w:val="right"/>
            </w:pPr>
            <w:r>
              <w:rPr>
                <w:color w:val="1C3A36"/>
                <w:sz w:val="16"/>
              </w:rPr>
              <w:t>1,610</w:t>
            </w:r>
          </w:p>
        </w:tc>
        <w:tc>
          <w:tcPr>
            <w:tcW w:type="dxa" w:w="900"/>
          </w:tcPr>
          <w:p>
            <w:pPr>
              <w:spacing w:after="20"/>
              <w:jc w:val="right"/>
            </w:pPr>
            <w:r>
              <w:rPr>
                <w:color w:val="1C3A36"/>
                <w:sz w:val="16"/>
              </w:rPr>
              <w:t>1,700</w:t>
            </w:r>
          </w:p>
        </w:tc>
        <w:tc>
          <w:tcPr>
            <w:tcW w:type="dxa" w:w="900"/>
          </w:tcPr>
          <w:p>
            <w:pPr>
              <w:spacing w:after="20"/>
              <w:jc w:val="right"/>
            </w:pPr>
            <w:r>
              <w:rPr>
                <w:color w:val="1C3A36"/>
                <w:sz w:val="16"/>
              </w:rPr>
              <w:t>646</w:t>
            </w:r>
          </w:p>
        </w:tc>
        <w:tc>
          <w:tcPr>
            <w:tcW w:type="dxa" w:w="900"/>
          </w:tcPr>
          <w:p>
            <w:pPr>
              <w:spacing w:after="20"/>
              <w:jc w:val="right"/>
            </w:pPr>
            <w:r>
              <w:rPr>
                <w:color w:val="1C3A36"/>
                <w:sz w:val="16"/>
              </w:rPr>
              <w:t>(1,873)</w:t>
            </w:r>
          </w:p>
        </w:tc>
        <w:tc>
          <w:tcPr>
            <w:tcW w:type="dxa" w:w="900"/>
          </w:tcPr>
          <w:p>
            <w:pPr>
              <w:spacing w:after="20"/>
              <w:jc w:val="right"/>
            </w:pPr>
            <w:r>
              <w:rPr>
                <w:color w:val="1C3A36"/>
                <w:sz w:val="16"/>
              </w:rPr>
              <w:t>(1,270)</w:t>
            </w:r>
          </w:p>
        </w:tc>
        <w:tc>
          <w:tcPr>
            <w:tcW w:type="dxa" w:w="900"/>
          </w:tcPr>
          <w:p>
            <w:pPr>
              <w:spacing w:after="20"/>
              <w:jc w:val="right"/>
            </w:pPr>
            <w:r>
              <w:rPr>
                <w:color w:val="1C3A36"/>
                <w:sz w:val="16"/>
              </w:rPr>
              <w:t>(1,160)</w:t>
            </w:r>
          </w:p>
        </w:tc>
        <w:tc>
          <w:tcPr>
            <w:tcW w:type="dxa" w:w="900"/>
          </w:tcPr>
          <w:p>
            <w:pPr>
              <w:spacing w:after="20"/>
              <w:jc w:val="right"/>
            </w:pPr>
            <w:r>
              <w:rPr>
                <w:color w:val="1C3A36"/>
                <w:sz w:val="16"/>
              </w:rPr>
              <w:t>(1,007)</w:t>
            </w:r>
          </w:p>
        </w:tc>
        <w:tc>
          <w:tcPr>
            <w:tcW w:type="dxa" w:w="900"/>
          </w:tcPr>
          <w:p>
            <w:pPr>
              <w:spacing w:after="20"/>
              <w:jc w:val="right"/>
            </w:pPr>
            <w:r>
              <w:rPr>
                <w:color w:val="1C3A36"/>
                <w:sz w:val="16"/>
              </w:rPr>
              <w:t>(868)</w:t>
            </w:r>
          </w:p>
        </w:tc>
      </w:tr>
      <w:tr>
        <w:tc>
          <w:tcPr>
            <w:tcW w:type="dxa" w:w="2952"/>
          </w:tcPr>
          <w:p>
            <w:pPr>
              <w:spacing w:after="20"/>
            </w:pPr>
            <w:r>
              <w:rPr>
                <w:b/>
                <w:color w:val="1C3A36"/>
                <w:sz w:val="16"/>
              </w:rPr>
              <w:t>Income tax (effective; statutory 22.5%)</w:t>
            </w:r>
          </w:p>
        </w:tc>
        <w:tc>
          <w:tcPr>
            <w:tcW w:type="dxa" w:w="900"/>
          </w:tcPr>
          <w:p>
            <w:pPr>
              <w:spacing w:after="20"/>
              <w:jc w:val="right"/>
            </w:pPr>
            <w:r>
              <w:rPr>
                <w:color w:val="1C3A36"/>
                <w:sz w:val="16"/>
              </w:rPr>
              <w:t>(362)</w:t>
            </w:r>
          </w:p>
        </w:tc>
        <w:tc>
          <w:tcPr>
            <w:tcW w:type="dxa" w:w="900"/>
          </w:tcPr>
          <w:p>
            <w:pPr>
              <w:spacing w:after="20"/>
              <w:jc w:val="right"/>
            </w:pPr>
            <w:r>
              <w:rPr>
                <w:color w:val="1C3A36"/>
                <w:sz w:val="16"/>
              </w:rPr>
              <w:t>(372)</w:t>
            </w:r>
          </w:p>
        </w:tc>
        <w:tc>
          <w:tcPr>
            <w:tcW w:type="dxa" w:w="900"/>
          </w:tcPr>
          <w:p>
            <w:pPr>
              <w:spacing w:after="20"/>
              <w:jc w:val="right"/>
            </w:pPr>
            <w:r>
              <w:rPr>
                <w:color w:val="1C3A36"/>
                <w:sz w:val="16"/>
              </w:rPr>
              <w:t>(145)</w:t>
            </w:r>
          </w:p>
        </w:tc>
        <w:tc>
          <w:tcPr>
            <w:tcW w:type="dxa" w:w="900"/>
          </w:tcPr>
          <w:p>
            <w:pPr>
              <w:spacing w:after="20"/>
              <w:jc w:val="right"/>
            </w:pPr>
            <w:r>
              <w:rPr>
                <w:color w:val="1C3A36"/>
                <w:sz w:val="16"/>
              </w:rPr>
              <w:t>—</w:t>
            </w:r>
          </w:p>
        </w:tc>
        <w:tc>
          <w:tcPr>
            <w:tcW w:type="dxa" w:w="900"/>
          </w:tcPr>
          <w:p>
            <w:pPr>
              <w:spacing w:after="20"/>
              <w:jc w:val="right"/>
            </w:pPr>
            <w:r>
              <w:rPr>
                <w:color w:val="1C3A36"/>
                <w:sz w:val="16"/>
              </w:rPr>
              <w:t>—</w:t>
            </w:r>
          </w:p>
        </w:tc>
        <w:tc>
          <w:tcPr>
            <w:tcW w:type="dxa" w:w="900"/>
          </w:tcPr>
          <w:p>
            <w:pPr>
              <w:spacing w:after="20"/>
              <w:jc w:val="right"/>
            </w:pPr>
            <w:r>
              <w:rPr>
                <w:color w:val="1C3A36"/>
                <w:sz w:val="16"/>
              </w:rPr>
              <w:t>—</w:t>
            </w:r>
          </w:p>
        </w:tc>
        <w:tc>
          <w:tcPr>
            <w:tcW w:type="dxa" w:w="900"/>
          </w:tcPr>
          <w:p>
            <w:pPr>
              <w:spacing w:after="20"/>
              <w:jc w:val="right"/>
            </w:pPr>
            <w:r>
              <w:rPr>
                <w:color w:val="1C3A36"/>
                <w:sz w:val="16"/>
              </w:rPr>
              <w:t>—</w:t>
            </w:r>
          </w:p>
        </w:tc>
        <w:tc>
          <w:tcPr>
            <w:tcW w:type="dxa" w:w="900"/>
          </w:tcPr>
          <w:p>
            <w:pPr>
              <w:spacing w:after="20"/>
              <w:jc w:val="right"/>
            </w:pPr>
            <w:r>
              <w:rPr>
                <w:color w:val="1C3A36"/>
                <w:sz w:val="16"/>
              </w:rPr>
              <w:t>—</w:t>
            </w:r>
          </w:p>
        </w:tc>
      </w:tr>
      <w:tr>
        <w:tc>
          <w:tcPr>
            <w:tcW w:type="dxa" w:w="2952"/>
          </w:tcPr>
          <w:p>
            <w:pPr>
              <w:spacing w:after="20"/>
            </w:pPr>
            <w:r>
              <w:rPr>
                <w:b/>
                <w:color w:val="1C3A36"/>
                <w:sz w:val="16"/>
              </w:rPr>
              <w:t>Net profit (attributable)</w:t>
            </w:r>
          </w:p>
        </w:tc>
        <w:tc>
          <w:tcPr>
            <w:tcW w:type="dxa" w:w="900"/>
          </w:tcPr>
          <w:p>
            <w:pPr>
              <w:spacing w:after="20"/>
              <w:jc w:val="right"/>
            </w:pPr>
            <w:r>
              <w:rPr>
                <w:color w:val="1C3A36"/>
                <w:sz w:val="16"/>
              </w:rPr>
              <w:t>1,248</w:t>
            </w:r>
          </w:p>
        </w:tc>
        <w:tc>
          <w:tcPr>
            <w:tcW w:type="dxa" w:w="900"/>
          </w:tcPr>
          <w:p>
            <w:pPr>
              <w:spacing w:after="20"/>
              <w:jc w:val="right"/>
            </w:pPr>
            <w:r>
              <w:rPr>
                <w:color w:val="1C3A36"/>
                <w:sz w:val="16"/>
              </w:rPr>
              <w:t>1,328</w:t>
            </w:r>
          </w:p>
        </w:tc>
        <w:tc>
          <w:tcPr>
            <w:tcW w:type="dxa" w:w="900"/>
          </w:tcPr>
          <w:p>
            <w:pPr>
              <w:spacing w:after="20"/>
              <w:jc w:val="right"/>
            </w:pPr>
            <w:r>
              <w:rPr>
                <w:color w:val="1C3A36"/>
                <w:sz w:val="16"/>
              </w:rPr>
              <w:t>500</w:t>
            </w:r>
          </w:p>
        </w:tc>
        <w:tc>
          <w:tcPr>
            <w:tcW w:type="dxa" w:w="900"/>
          </w:tcPr>
          <w:p>
            <w:pPr>
              <w:spacing w:after="20"/>
              <w:jc w:val="right"/>
            </w:pPr>
            <w:r>
              <w:rPr>
                <w:color w:val="1C3A36"/>
                <w:sz w:val="16"/>
              </w:rPr>
              <w:t>(1,873)</w:t>
            </w:r>
          </w:p>
        </w:tc>
        <w:tc>
          <w:tcPr>
            <w:tcW w:type="dxa" w:w="900"/>
          </w:tcPr>
          <w:p>
            <w:pPr>
              <w:spacing w:after="20"/>
              <w:jc w:val="right"/>
            </w:pPr>
            <w:r>
              <w:rPr>
                <w:color w:val="1C3A36"/>
                <w:sz w:val="16"/>
              </w:rPr>
              <w:t>(1,270)</w:t>
            </w:r>
          </w:p>
        </w:tc>
        <w:tc>
          <w:tcPr>
            <w:tcW w:type="dxa" w:w="900"/>
          </w:tcPr>
          <w:p>
            <w:pPr>
              <w:spacing w:after="20"/>
              <w:jc w:val="right"/>
            </w:pPr>
            <w:r>
              <w:rPr>
                <w:color w:val="1C3A36"/>
                <w:sz w:val="16"/>
              </w:rPr>
              <w:t>(1,160)</w:t>
            </w:r>
          </w:p>
        </w:tc>
        <w:tc>
          <w:tcPr>
            <w:tcW w:type="dxa" w:w="900"/>
          </w:tcPr>
          <w:p>
            <w:pPr>
              <w:spacing w:after="20"/>
              <w:jc w:val="right"/>
            </w:pPr>
            <w:r>
              <w:rPr>
                <w:color w:val="1C3A36"/>
                <w:sz w:val="16"/>
              </w:rPr>
              <w:t>(1,007)</w:t>
            </w:r>
          </w:p>
        </w:tc>
        <w:tc>
          <w:tcPr>
            <w:tcW w:type="dxa" w:w="900"/>
          </w:tcPr>
          <w:p>
            <w:pPr>
              <w:spacing w:after="20"/>
              <w:jc w:val="right"/>
            </w:pPr>
            <w:r>
              <w:rPr>
                <w:color w:val="1C3A36"/>
                <w:sz w:val="16"/>
              </w:rPr>
              <w:t>(868)</w:t>
            </w:r>
          </w:p>
        </w:tc>
      </w:tr>
      <w:tr>
        <w:tc>
          <w:tcPr>
            <w:tcW w:type="dxa" w:w="2952"/>
          </w:tcPr>
          <w:p>
            <w:pPr>
              <w:spacing w:after="20"/>
            </w:pPr>
            <w:r>
              <w:rPr>
                <w:b/>
                <w:color w:val="1C3A36"/>
                <w:sz w:val="16"/>
              </w:rPr>
              <w:t>EPS (EGP)</w:t>
            </w:r>
          </w:p>
        </w:tc>
        <w:tc>
          <w:tcPr>
            <w:tcW w:type="dxa" w:w="900"/>
          </w:tcPr>
          <w:p>
            <w:pPr>
              <w:spacing w:after="20"/>
              <w:jc w:val="right"/>
            </w:pPr>
            <w:r>
              <w:rPr>
                <w:color w:val="1C3A36"/>
                <w:sz w:val="16"/>
              </w:rPr>
              <w:t>0.38</w:t>
            </w:r>
          </w:p>
        </w:tc>
        <w:tc>
          <w:tcPr>
            <w:tcW w:type="dxa" w:w="900"/>
          </w:tcPr>
          <w:p>
            <w:pPr>
              <w:spacing w:after="20"/>
              <w:jc w:val="right"/>
            </w:pPr>
            <w:r>
              <w:rPr>
                <w:color w:val="1C3A36"/>
                <w:sz w:val="16"/>
              </w:rPr>
              <w:t>0.40</w:t>
            </w:r>
          </w:p>
        </w:tc>
        <w:tc>
          <w:tcPr>
            <w:tcW w:type="dxa" w:w="900"/>
          </w:tcPr>
          <w:p>
            <w:pPr>
              <w:spacing w:after="20"/>
              <w:jc w:val="right"/>
            </w:pPr>
            <w:r>
              <w:rPr>
                <w:color w:val="1C3A36"/>
                <w:sz w:val="16"/>
              </w:rPr>
              <w:t>0.15</w:t>
            </w:r>
          </w:p>
        </w:tc>
        <w:tc>
          <w:tcPr>
            <w:tcW w:type="dxa" w:w="900"/>
          </w:tcPr>
          <w:p>
            <w:pPr>
              <w:spacing w:after="20"/>
              <w:jc w:val="right"/>
            </w:pPr>
            <w:r>
              <w:rPr>
                <w:color w:val="1C3A36"/>
                <w:sz w:val="16"/>
              </w:rPr>
              <w:t>(0.57)</w:t>
            </w:r>
          </w:p>
        </w:tc>
        <w:tc>
          <w:tcPr>
            <w:tcW w:type="dxa" w:w="900"/>
          </w:tcPr>
          <w:p>
            <w:pPr>
              <w:spacing w:after="20"/>
              <w:jc w:val="right"/>
            </w:pPr>
            <w:r>
              <w:rPr>
                <w:color w:val="1C3A36"/>
                <w:sz w:val="16"/>
              </w:rPr>
              <w:t>(0.38)</w:t>
            </w:r>
          </w:p>
        </w:tc>
        <w:tc>
          <w:tcPr>
            <w:tcW w:type="dxa" w:w="900"/>
          </w:tcPr>
          <w:p>
            <w:pPr>
              <w:spacing w:after="20"/>
              <w:jc w:val="right"/>
            </w:pPr>
            <w:r>
              <w:rPr>
                <w:color w:val="1C3A36"/>
                <w:sz w:val="16"/>
              </w:rPr>
              <w:t>(0.35)</w:t>
            </w:r>
          </w:p>
        </w:tc>
        <w:tc>
          <w:tcPr>
            <w:tcW w:type="dxa" w:w="900"/>
          </w:tcPr>
          <w:p>
            <w:pPr>
              <w:spacing w:after="20"/>
              <w:jc w:val="right"/>
            </w:pPr>
            <w:r>
              <w:rPr>
                <w:color w:val="1C3A36"/>
                <w:sz w:val="16"/>
              </w:rPr>
              <w:t>(0.30)</w:t>
            </w:r>
          </w:p>
        </w:tc>
        <w:tc>
          <w:tcPr>
            <w:tcW w:type="dxa" w:w="900"/>
          </w:tcPr>
          <w:p>
            <w:pPr>
              <w:spacing w:after="20"/>
              <w:jc w:val="right"/>
            </w:pPr>
            <w:r>
              <w:rPr>
                <w:color w:val="1C3A36"/>
                <w:sz w:val="16"/>
              </w:rPr>
              <w:t>(0.26)</w:t>
            </w:r>
          </w:p>
        </w:tc>
      </w:tr>
    </w:tbl>
    <w:p>
      <w:pPr>
        <w:spacing w:after="40"/>
      </w:pPr>
    </w:p>
    <w:p>
      <w:pPr>
        <w:spacing w:after="200" w:before="0"/>
      </w:pPr>
      <w:r>
        <w:rPr>
          <w:b w:val="0"/>
          <w:i/>
          <w:color w:val="6E7B77"/>
          <w:sz w:val="17"/>
        </w:rPr>
        <w:t>Historical revenue/NP/EBT/tax: bourse-reported. (d) = derived; (a) = single-aggregator figure (Investing.com), flagged. The FY24 closure (reported NP reproduced within 0.8% from disclosed EBIT, coverage and the statutory rate) validates the finance-cost and tax chain specifically — the capex and working-capital derivations carry their own constructions and ranges. The FY24 tax cell is the effective plug (21.9%) to the reported NP; the statutory rate is 22.5%. Forecast net-finance-cost line uses the forward Kd path on the modelled debt schedule; the equity P&amp;L pays zero cash tax in loss years and uses the 5-year Egyptian loss carryforward, while the FCFF valuation taxes EBIT at the full 22.5% every year (the standard unlevered convention — conservative, since it forgoes the NOL shield worth ~0.1–0.2/share unfloored). That tax-convention difference is also why the net-debt schedule in A.2 runs slightly below net debt rolled from the FCFF line (~66 mn in FY26E): the schedule pays the equity P&amp;L’s actual (zero) tax, the FCFF line pays notional full tax. The valuation runs on FCFF, which is independent of the financing line.</w:t>
      </w:r>
    </w:p>
    <w:p>
      <w:pPr>
        <w:spacing w:after="80" w:before="200"/>
      </w:pPr>
      <w:r>
        <w:rPr>
          <w:b/>
          <w:i w:val="0"/>
          <w:color w:val="1C3A36"/>
          <w:sz w:val="24"/>
        </w:rPr>
        <w:t>A.2  Balance sheet — condensed house layout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224"/>
        <w:gridCol w:w="1224"/>
        <w:gridCol w:w="1224"/>
        <w:gridCol w:w="1224"/>
        <w:gridCol w:w="1224"/>
        <w:gridCol w:w="1224"/>
      </w:tblGrid>
      <w:tr>
        <w:tc>
          <w:tcPr>
            <w:tcW w:type="dxa" w:w="3312"/>
            <w:shd w:val="clear" w:color="auto" w:fill="EAF0EE"/>
          </w:tcPr>
          <w:p>
            <w:pPr>
              <w:spacing w:after="20"/>
            </w:pPr>
            <w:r>
              <w:rPr>
                <w:b/>
                <w:color w:val="1C3A36"/>
                <w:sz w:val="16"/>
              </w:rPr>
              <w:t>Line</w:t>
            </w:r>
          </w:p>
        </w:tc>
        <w:tc>
          <w:tcPr>
            <w:tcW w:type="dxa" w:w="1224"/>
            <w:shd w:val="clear" w:color="auto" w:fill="EAF0EE"/>
          </w:tcPr>
          <w:p>
            <w:pPr>
              <w:spacing w:after="20"/>
            </w:pPr>
            <w:r>
              <w:rPr>
                <w:b/>
                <w:color w:val="1C3A36"/>
                <w:sz w:val="16"/>
              </w:rPr>
              <w:t>FY22</w:t>
            </w:r>
          </w:p>
        </w:tc>
        <w:tc>
          <w:tcPr>
            <w:tcW w:type="dxa" w:w="1224"/>
            <w:shd w:val="clear" w:color="auto" w:fill="EAF0EE"/>
          </w:tcPr>
          <w:p>
            <w:pPr>
              <w:spacing w:after="20"/>
            </w:pPr>
            <w:r>
              <w:rPr>
                <w:b/>
                <w:color w:val="1C3A36"/>
                <w:sz w:val="16"/>
              </w:rPr>
              <w:t>FY23e</w:t>
            </w:r>
          </w:p>
        </w:tc>
        <w:tc>
          <w:tcPr>
            <w:tcW w:type="dxa" w:w="1224"/>
            <w:shd w:val="clear" w:color="auto" w:fill="EAF0EE"/>
          </w:tcPr>
          <w:p>
            <w:pPr>
              <w:spacing w:after="20"/>
            </w:pPr>
            <w:r>
              <w:rPr>
                <w:b/>
                <w:color w:val="1C3A36"/>
                <w:sz w:val="16"/>
              </w:rPr>
              <w:t>FY24</w:t>
            </w:r>
          </w:p>
        </w:tc>
        <w:tc>
          <w:tcPr>
            <w:tcW w:type="dxa" w:w="1224"/>
            <w:shd w:val="clear" w:color="auto" w:fill="EAF0EE"/>
          </w:tcPr>
          <w:p>
            <w:pPr>
              <w:spacing w:after="20"/>
            </w:pPr>
            <w:r>
              <w:rPr>
                <w:b/>
                <w:color w:val="1C3A36"/>
                <w:sz w:val="16"/>
              </w:rPr>
              <w:t>FY25e</w:t>
            </w:r>
          </w:p>
        </w:tc>
        <w:tc>
          <w:tcPr>
            <w:tcW w:type="dxa" w:w="1224"/>
            <w:shd w:val="clear" w:color="auto" w:fill="EAF0EE"/>
          </w:tcPr>
          <w:p>
            <w:pPr>
              <w:spacing w:after="20"/>
            </w:pPr>
            <w:r>
              <w:rPr>
                <w:b/>
                <w:color w:val="1C3A36"/>
                <w:sz w:val="16"/>
              </w:rPr>
              <w:t>FY27E</w:t>
            </w:r>
          </w:p>
        </w:tc>
        <w:tc>
          <w:tcPr>
            <w:tcW w:type="dxa" w:w="1224"/>
            <w:shd w:val="clear" w:color="auto" w:fill="EAF0EE"/>
          </w:tcPr>
          <w:p>
            <w:pPr>
              <w:spacing w:after="20"/>
            </w:pPr>
            <w:r>
              <w:rPr>
                <w:b/>
                <w:color w:val="1C3A36"/>
                <w:sz w:val="16"/>
              </w:rPr>
              <w:t>FY30E</w:t>
            </w:r>
          </w:p>
        </w:tc>
      </w:tr>
      <w:tr>
        <w:tc>
          <w:tcPr>
            <w:tcW w:type="dxa" w:w="3312"/>
          </w:tcPr>
          <w:p>
            <w:pPr>
              <w:spacing w:after="20"/>
            </w:pPr>
            <w:r>
              <w:rPr>
                <w:b/>
                <w:color w:val="1C3A36"/>
                <w:sz w:val="16"/>
              </w:rPr>
              <w:t>Total assets (model basis fwd)</w:t>
            </w:r>
          </w:p>
        </w:tc>
        <w:tc>
          <w:tcPr>
            <w:tcW w:type="dxa" w:w="1224"/>
          </w:tcPr>
          <w:p>
            <w:pPr>
              <w:spacing w:after="20"/>
              <w:jc w:val="right"/>
            </w:pPr>
            <w:r>
              <w:rPr>
                <w:color w:val="1C3A36"/>
                <w:sz w:val="16"/>
              </w:rPr>
              <w:t>4,960</w:t>
            </w:r>
          </w:p>
        </w:tc>
        <w:tc>
          <w:tcPr>
            <w:tcW w:type="dxa" w:w="1224"/>
          </w:tcPr>
          <w:p>
            <w:pPr>
              <w:spacing w:after="20"/>
              <w:jc w:val="right"/>
            </w:pPr>
            <w:r>
              <w:rPr>
                <w:color w:val="1C3A36"/>
                <w:sz w:val="16"/>
              </w:rPr>
              <w:t>10,000 (e)</w:t>
            </w:r>
          </w:p>
        </w:tc>
        <w:tc>
          <w:tcPr>
            <w:tcW w:type="dxa" w:w="1224"/>
          </w:tcPr>
          <w:p>
            <w:pPr>
              <w:spacing w:after="20"/>
              <w:jc w:val="right"/>
            </w:pPr>
            <w:r>
              <w:rPr>
                <w:color w:val="1C3A36"/>
                <w:sz w:val="16"/>
              </w:rPr>
              <w:t>14,970</w:t>
            </w:r>
          </w:p>
        </w:tc>
        <w:tc>
          <w:tcPr>
            <w:tcW w:type="dxa" w:w="1224"/>
          </w:tcPr>
          <w:p>
            <w:pPr>
              <w:spacing w:after="20"/>
              <w:jc w:val="right"/>
            </w:pPr>
            <w:r>
              <w:rPr>
                <w:color w:val="1C3A36"/>
                <w:sz w:val="16"/>
              </w:rPr>
              <w:t>16,460</w:t>
            </w:r>
          </w:p>
        </w:tc>
        <w:tc>
          <w:tcPr>
            <w:tcW w:type="dxa" w:w="1224"/>
          </w:tcPr>
          <w:p>
            <w:pPr>
              <w:spacing w:after="20"/>
              <w:jc w:val="right"/>
            </w:pPr>
            <w:r>
              <w:rPr>
                <w:color w:val="1C3A36"/>
                <w:sz w:val="16"/>
              </w:rPr>
              <w:t>15,117</w:t>
            </w:r>
          </w:p>
        </w:tc>
        <w:tc>
          <w:tcPr>
            <w:tcW w:type="dxa" w:w="1224"/>
          </w:tcPr>
          <w:p>
            <w:pPr>
              <w:spacing w:after="20"/>
              <w:jc w:val="right"/>
            </w:pPr>
            <w:r>
              <w:rPr>
                <w:color w:val="1C3A36"/>
                <w:sz w:val="16"/>
              </w:rPr>
              <w:t>17,827</w:t>
            </w:r>
          </w:p>
        </w:tc>
      </w:tr>
      <w:tr>
        <w:tc>
          <w:tcPr>
            <w:tcW w:type="dxa" w:w="3312"/>
          </w:tcPr>
          <w:p>
            <w:pPr>
              <w:spacing w:after="20"/>
            </w:pPr>
            <w:r>
              <w:rPr>
                <w:b/>
                <w:color w:val="1C3A36"/>
                <w:sz w:val="16"/>
              </w:rPr>
              <w:t xml:space="preserve">  of which net working capital</w:t>
            </w:r>
          </w:p>
        </w:tc>
        <w:tc>
          <w:tcPr>
            <w:tcW w:type="dxa" w:w="1224"/>
          </w:tcPr>
          <w:p>
            <w:pPr>
              <w:spacing w:after="20"/>
              <w:jc w:val="right"/>
            </w:pPr>
            <w:r>
              <w:rPr>
                <w:color w:val="1C3A36"/>
                <w:sz w:val="16"/>
              </w:rPr>
              <w:t>n/d</w:t>
            </w:r>
          </w:p>
        </w:tc>
        <w:tc>
          <w:tcPr>
            <w:tcW w:type="dxa" w:w="1224"/>
          </w:tcPr>
          <w:p>
            <w:pPr>
              <w:spacing w:after="20"/>
              <w:jc w:val="right"/>
            </w:pPr>
            <w:r>
              <w:rPr>
                <w:color w:val="1C3A36"/>
                <w:sz w:val="16"/>
              </w:rPr>
              <w:t>~7,000 (e)</w:t>
            </w:r>
          </w:p>
        </w:tc>
        <w:tc>
          <w:tcPr>
            <w:tcW w:type="dxa" w:w="1224"/>
          </w:tcPr>
          <w:p>
            <w:pPr>
              <w:spacing w:after="20"/>
              <w:jc w:val="right"/>
            </w:pPr>
            <w:r>
              <w:rPr>
                <w:color w:val="1C3A36"/>
                <w:sz w:val="16"/>
              </w:rPr>
              <w:t>~10,500 (d)</w:t>
            </w:r>
          </w:p>
        </w:tc>
        <w:tc>
          <w:tcPr>
            <w:tcW w:type="dxa" w:w="1224"/>
          </w:tcPr>
          <w:p>
            <w:pPr>
              <w:spacing w:after="20"/>
              <w:jc w:val="right"/>
            </w:pPr>
            <w:r>
              <w:rPr>
                <w:color w:val="1C3A36"/>
                <w:sz w:val="16"/>
              </w:rPr>
              <w:t>12,245 (d)</w:t>
            </w:r>
          </w:p>
        </w:tc>
        <w:tc>
          <w:tcPr>
            <w:tcW w:type="dxa" w:w="1224"/>
          </w:tcPr>
          <w:p>
            <w:pPr>
              <w:spacing w:after="20"/>
              <w:jc w:val="right"/>
            </w:pPr>
            <w:r>
              <w:rPr>
                <w:color w:val="1C3A36"/>
                <w:sz w:val="16"/>
              </w:rPr>
              <w:t>12,737</w:t>
            </w:r>
          </w:p>
        </w:tc>
        <w:tc>
          <w:tcPr>
            <w:tcW w:type="dxa" w:w="1224"/>
          </w:tcPr>
          <w:p>
            <w:pPr>
              <w:spacing w:after="20"/>
              <w:jc w:val="right"/>
            </w:pPr>
            <w:r>
              <w:rPr>
                <w:color w:val="1C3A36"/>
                <w:sz w:val="16"/>
              </w:rPr>
              <w:t>15,447</w:t>
            </w:r>
          </w:p>
        </w:tc>
      </w:tr>
      <w:tr>
        <w:tc>
          <w:tcPr>
            <w:tcW w:type="dxa" w:w="3312"/>
          </w:tcPr>
          <w:p>
            <w:pPr>
              <w:spacing w:after="20"/>
            </w:pPr>
            <w:r>
              <w:rPr>
                <w:b/>
                <w:color w:val="1C3A36"/>
                <w:sz w:val="16"/>
              </w:rPr>
              <w:t>Net debt</w:t>
            </w:r>
          </w:p>
        </w:tc>
        <w:tc>
          <w:tcPr>
            <w:tcW w:type="dxa" w:w="1224"/>
          </w:tcPr>
          <w:p>
            <w:pPr>
              <w:spacing w:after="20"/>
              <w:jc w:val="right"/>
            </w:pPr>
            <w:r>
              <w:rPr>
                <w:color w:val="1C3A36"/>
                <w:sz w:val="16"/>
              </w:rPr>
              <w:t>n/d</w:t>
            </w:r>
          </w:p>
        </w:tc>
        <w:tc>
          <w:tcPr>
            <w:tcW w:type="dxa" w:w="1224"/>
          </w:tcPr>
          <w:p>
            <w:pPr>
              <w:spacing w:after="20"/>
              <w:jc w:val="right"/>
            </w:pPr>
            <w:r>
              <w:rPr>
                <w:color w:val="1C3A36"/>
                <w:sz w:val="16"/>
              </w:rPr>
              <w:t>n/d</w:t>
            </w:r>
          </w:p>
        </w:tc>
        <w:tc>
          <w:tcPr>
            <w:tcW w:type="dxa" w:w="1224"/>
          </w:tcPr>
          <w:p>
            <w:pPr>
              <w:spacing w:after="20"/>
              <w:jc w:val="right"/>
            </w:pPr>
            <w:r>
              <w:rPr>
                <w:color w:val="1C3A36"/>
                <w:sz w:val="16"/>
              </w:rPr>
              <w:t>8,132</w:t>
            </w:r>
          </w:p>
        </w:tc>
        <w:tc>
          <w:tcPr>
            <w:tcW w:type="dxa" w:w="1224"/>
          </w:tcPr>
          <w:p>
            <w:pPr>
              <w:spacing w:after="20"/>
              <w:jc w:val="right"/>
            </w:pPr>
            <w:r>
              <w:rPr>
                <w:color w:val="1C3A36"/>
                <w:sz w:val="16"/>
              </w:rPr>
              <w:t>9,805 (d)</w:t>
            </w:r>
          </w:p>
        </w:tc>
        <w:tc>
          <w:tcPr>
            <w:tcW w:type="dxa" w:w="1224"/>
          </w:tcPr>
          <w:p>
            <w:pPr>
              <w:spacing w:after="20"/>
              <w:jc w:val="right"/>
            </w:pPr>
            <w:r>
              <w:rPr>
                <w:color w:val="1C3A36"/>
                <w:sz w:val="16"/>
              </w:rPr>
              <w:t>13,620</w:t>
            </w:r>
          </w:p>
        </w:tc>
        <w:tc>
          <w:tcPr>
            <w:tcW w:type="dxa" w:w="1224"/>
          </w:tcPr>
          <w:p>
            <w:pPr>
              <w:spacing w:after="20"/>
              <w:jc w:val="right"/>
            </w:pPr>
            <w:r>
              <w:rPr>
                <w:color w:val="1C3A36"/>
                <w:sz w:val="16"/>
              </w:rPr>
              <w:t>19,602</w:t>
            </w:r>
          </w:p>
        </w:tc>
      </w:tr>
      <w:tr>
        <w:tc>
          <w:tcPr>
            <w:tcW w:type="dxa" w:w="3312"/>
          </w:tcPr>
          <w:p>
            <w:pPr>
              <w:spacing w:after="20"/>
            </w:pPr>
            <w:r>
              <w:rPr>
                <w:b/>
                <w:color w:val="1C3A36"/>
                <w:sz w:val="16"/>
              </w:rPr>
              <w:t>Equity attributable</w:t>
            </w:r>
          </w:p>
        </w:tc>
        <w:tc>
          <w:tcPr>
            <w:tcW w:type="dxa" w:w="1224"/>
          </w:tcPr>
          <w:p>
            <w:pPr>
              <w:spacing w:after="20"/>
              <w:jc w:val="right"/>
            </w:pPr>
            <w:r>
              <w:rPr>
                <w:color w:val="1C3A36"/>
                <w:sz w:val="16"/>
              </w:rPr>
              <w:t>n/d</w:t>
            </w:r>
          </w:p>
        </w:tc>
        <w:tc>
          <w:tcPr>
            <w:tcW w:type="dxa" w:w="1224"/>
          </w:tcPr>
          <w:p>
            <w:pPr>
              <w:spacing w:after="20"/>
              <w:jc w:val="right"/>
            </w:pPr>
            <w:r>
              <w:rPr>
                <w:color w:val="1C3A36"/>
                <w:sz w:val="16"/>
              </w:rPr>
              <w:t>n/d</w:t>
            </w:r>
          </w:p>
        </w:tc>
        <w:tc>
          <w:tcPr>
            <w:tcW w:type="dxa" w:w="1224"/>
          </w:tcPr>
          <w:p>
            <w:pPr>
              <w:spacing w:after="20"/>
              <w:jc w:val="right"/>
            </w:pPr>
            <w:r>
              <w:rPr>
                <w:color w:val="1C3A36"/>
                <w:sz w:val="16"/>
              </w:rPr>
              <w:t>3,600</w:t>
            </w:r>
          </w:p>
        </w:tc>
        <w:tc>
          <w:tcPr>
            <w:tcW w:type="dxa" w:w="1224"/>
          </w:tcPr>
          <w:p>
            <w:pPr>
              <w:spacing w:after="20"/>
              <w:jc w:val="right"/>
            </w:pPr>
            <w:r>
              <w:rPr>
                <w:color w:val="1C3A36"/>
                <w:sz w:val="16"/>
              </w:rPr>
              <w:t>4,100 (d)</w:t>
            </w:r>
          </w:p>
        </w:tc>
        <w:tc>
          <w:tcPr>
            <w:tcW w:type="dxa" w:w="1224"/>
          </w:tcPr>
          <w:p>
            <w:pPr>
              <w:spacing w:after="20"/>
              <w:jc w:val="right"/>
            </w:pPr>
            <w:r>
              <w:rPr>
                <w:color w:val="1C3A36"/>
                <w:sz w:val="16"/>
              </w:rPr>
              <w:t>956</w:t>
            </w:r>
          </w:p>
        </w:tc>
        <w:tc>
          <w:tcPr>
            <w:tcW w:type="dxa" w:w="1224"/>
          </w:tcPr>
          <w:p>
            <w:pPr>
              <w:spacing w:after="20"/>
              <w:jc w:val="right"/>
            </w:pPr>
            <w:r>
              <w:rPr>
                <w:color w:val="1C3A36"/>
                <w:sz w:val="16"/>
              </w:rPr>
              <w:t>-2,078</w:t>
            </w:r>
          </w:p>
        </w:tc>
      </w:tr>
      <w:tr>
        <w:tc>
          <w:tcPr>
            <w:tcW w:type="dxa" w:w="3312"/>
          </w:tcPr>
          <w:p>
            <w:pPr>
              <w:spacing w:after="20"/>
            </w:pPr>
            <w:r>
              <w:rPr>
                <w:b/>
                <w:color w:val="1C3A36"/>
                <w:sz w:val="16"/>
              </w:rPr>
              <w:t>Net debt / equity</w:t>
            </w:r>
          </w:p>
        </w:tc>
        <w:tc>
          <w:tcPr>
            <w:tcW w:type="dxa" w:w="1224"/>
          </w:tcPr>
          <w:p>
            <w:pPr>
              <w:spacing w:after="20"/>
              <w:jc w:val="right"/>
            </w:pPr>
            <w:r>
              <w:rPr>
                <w:color w:val="1C3A36"/>
                <w:sz w:val="16"/>
              </w:rPr>
              <w:t>n/d</w:t>
            </w:r>
          </w:p>
        </w:tc>
        <w:tc>
          <w:tcPr>
            <w:tcW w:type="dxa" w:w="1224"/>
          </w:tcPr>
          <w:p>
            <w:pPr>
              <w:spacing w:after="20"/>
              <w:jc w:val="right"/>
            </w:pPr>
            <w:r>
              <w:rPr>
                <w:color w:val="1C3A36"/>
                <w:sz w:val="16"/>
              </w:rPr>
              <w:t>n/d</w:t>
            </w:r>
          </w:p>
        </w:tc>
        <w:tc>
          <w:tcPr>
            <w:tcW w:type="dxa" w:w="1224"/>
          </w:tcPr>
          <w:p>
            <w:pPr>
              <w:spacing w:after="20"/>
              <w:jc w:val="right"/>
            </w:pPr>
            <w:r>
              <w:rPr>
                <w:color w:val="1C3A36"/>
                <w:sz w:val="16"/>
              </w:rPr>
              <w:t>226%</w:t>
            </w:r>
          </w:p>
        </w:tc>
        <w:tc>
          <w:tcPr>
            <w:tcW w:type="dxa" w:w="1224"/>
          </w:tcPr>
          <w:p>
            <w:pPr>
              <w:spacing w:after="20"/>
              <w:jc w:val="right"/>
            </w:pPr>
            <w:r>
              <w:rPr>
                <w:color w:val="1C3A36"/>
                <w:sz w:val="16"/>
              </w:rPr>
              <w:t>239% (d)</w:t>
            </w:r>
          </w:p>
        </w:tc>
        <w:tc>
          <w:tcPr>
            <w:tcW w:type="dxa" w:w="1224"/>
          </w:tcPr>
          <w:p>
            <w:pPr>
              <w:spacing w:after="20"/>
              <w:jc w:val="right"/>
            </w:pPr>
            <w:r>
              <w:rPr>
                <w:color w:val="1C3A36"/>
                <w:sz w:val="16"/>
              </w:rPr>
              <w:t>1424%</w:t>
            </w:r>
          </w:p>
        </w:tc>
        <w:tc>
          <w:tcPr>
            <w:tcW w:type="dxa" w:w="1224"/>
          </w:tcPr>
          <w:p>
            <w:pPr>
              <w:spacing w:after="20"/>
              <w:jc w:val="right"/>
            </w:pPr>
            <w:r>
              <w:rPr>
                <w:color w:val="1C3A36"/>
                <w:sz w:val="16"/>
              </w:rPr>
              <w:t>-943%</w:t>
            </w:r>
          </w:p>
        </w:tc>
      </w:tr>
    </w:tbl>
    <w:p>
      <w:pPr>
        <w:spacing w:after="40"/>
      </w:pPr>
    </w:p>
    <w:p>
      <w:pPr>
        <w:spacing w:after="200" w:before="0"/>
      </w:pPr>
      <w:r>
        <w:rPr>
          <w:b w:val="0"/>
          <w:i/>
          <w:color w:val="6E7B77"/>
          <w:sz w:val="17"/>
        </w:rPr>
        <w:t>(e) = estimate bounded by disclosed prints; (d) = derived from disclosed totals (construction in §1.6). FY22/FY24/FY25 total assets, the FY24 debt/cash/equity set and the FY25 facilities are sourced; the FY25 debt/cash/net-debt set is triangulated from them (roll-forward table, §1.6); the FY23 year-end balance sheet was never found (flagged gap). Forecast columns are the model’s clean-surplus roll-forward — and they are the honest bad news: on the base case, book equity erodes toward zero by FY29–30E while net debt compounds. See §7, first two caveats.</w:t>
      </w:r>
    </w:p>
    <w:p>
      <w:pPr>
        <w:spacing w:after="80" w:before="200"/>
      </w:pPr>
      <w:r>
        <w:rPr>
          <w:b/>
          <w:i w:val="0"/>
          <w:color w:val="1C3A36"/>
          <w:sz w:val="24"/>
        </w:rPr>
        <w:t>A.3  Cash flow markers and the working-capital story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656"/>
        <w:gridCol w:w="1656"/>
        <w:gridCol w:w="1656"/>
        <w:gridCol w:w="1944"/>
      </w:tblGrid>
      <w:tr>
        <w:tc>
          <w:tcPr>
            <w:tcW w:type="dxa" w:w="374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FY23</w:t>
            </w:r>
          </w:p>
        </w:tc>
        <w:tc>
          <w:tcPr>
            <w:tcW w:type="dxa" w:w="1656"/>
            <w:shd w:val="clear" w:color="auto" w:fill="EAF0EE"/>
          </w:tcPr>
          <w:p>
            <w:pPr>
              <w:spacing w:after="20"/>
            </w:pPr>
            <w:r>
              <w:rPr>
                <w:b/>
                <w:color w:val="1C3A36"/>
                <w:sz w:val="17"/>
              </w:rPr>
              <w:t>FY24</w:t>
            </w:r>
          </w:p>
        </w:tc>
        <w:tc>
          <w:tcPr>
            <w:tcW w:type="dxa" w:w="1656"/>
            <w:shd w:val="clear" w:color="auto" w:fill="EAF0EE"/>
          </w:tcPr>
          <w:p>
            <w:pPr>
              <w:spacing w:after="20"/>
            </w:pPr>
            <w:r>
              <w:rPr>
                <w:b/>
                <w:color w:val="1C3A36"/>
                <w:sz w:val="17"/>
              </w:rPr>
              <w:t>FY25</w:t>
            </w:r>
          </w:p>
        </w:tc>
        <w:tc>
          <w:tcPr>
            <w:tcW w:type="dxa" w:w="1944"/>
            <w:shd w:val="clear" w:color="auto" w:fill="EAF0EE"/>
          </w:tcPr>
          <w:p>
            <w:pPr>
              <w:spacing w:after="20"/>
            </w:pPr>
            <w:r>
              <w:rPr>
                <w:b/>
                <w:color w:val="1C3A36"/>
                <w:sz w:val="17"/>
              </w:rPr>
              <w:t>FY26E</w:t>
            </w:r>
          </w:p>
        </w:tc>
      </w:tr>
      <w:tr>
        <w:tc>
          <w:tcPr>
            <w:tcW w:type="dxa" w:w="3744"/>
          </w:tcPr>
          <w:p>
            <w:pPr>
              <w:spacing w:after="20"/>
            </w:pPr>
            <w:r>
              <w:rPr>
                <w:b/>
                <w:color w:val="1C3A36"/>
                <w:sz w:val="17"/>
              </w:rPr>
              <w:t>Operating cash flow</w:t>
            </w:r>
          </w:p>
        </w:tc>
        <w:tc>
          <w:tcPr>
            <w:tcW w:type="dxa" w:w="1656"/>
          </w:tcPr>
          <w:p>
            <w:pPr>
              <w:spacing w:after="20"/>
              <w:jc w:val="right"/>
            </w:pPr>
            <w:r>
              <w:rPr>
                <w:color w:val="1C3A36"/>
                <w:sz w:val="17"/>
              </w:rPr>
              <w:t>negative (agg.)</w:t>
            </w:r>
          </w:p>
        </w:tc>
        <w:tc>
          <w:tcPr>
            <w:tcW w:type="dxa" w:w="1656"/>
          </w:tcPr>
          <w:p>
            <w:pPr>
              <w:spacing w:after="20"/>
              <w:jc w:val="right"/>
            </w:pPr>
            <w:r>
              <w:rPr>
                <w:color w:val="1C3A36"/>
                <w:sz w:val="17"/>
              </w:rPr>
              <w:t>negative (agg.)</w:t>
            </w:r>
          </w:p>
        </w:tc>
        <w:tc>
          <w:tcPr>
            <w:tcW w:type="dxa" w:w="1656"/>
          </w:tcPr>
          <w:p>
            <w:pPr>
              <w:spacing w:after="20"/>
              <w:jc w:val="right"/>
            </w:pPr>
            <w:r>
              <w:rPr>
                <w:color w:val="1C3A36"/>
                <w:sz w:val="17"/>
              </w:rPr>
              <w:t>~+690 pre-finance / ~−1,460 after finance (d)</w:t>
            </w:r>
          </w:p>
        </w:tc>
        <w:tc>
          <w:tcPr>
            <w:tcW w:type="dxa" w:w="1944"/>
          </w:tcPr>
          <w:p>
            <w:pPr>
              <w:spacing w:after="20"/>
              <w:jc w:val="right"/>
            </w:pPr>
            <w:r>
              <w:rPr>
                <w:color w:val="1C3A36"/>
                <w:sz w:val="17"/>
              </w:rPr>
              <w:t>+1,198 (release)</w:t>
            </w:r>
          </w:p>
        </w:tc>
      </w:tr>
      <w:tr>
        <w:tc>
          <w:tcPr>
            <w:tcW w:type="dxa" w:w="3744"/>
          </w:tcPr>
          <w:p>
            <w:pPr>
              <w:spacing w:after="20"/>
            </w:pPr>
            <w:r>
              <w:rPr>
                <w:b/>
                <w:color w:val="1C3A36"/>
                <w:sz w:val="17"/>
              </w:rPr>
              <w:t>NWC as % of revenue</w:t>
            </w:r>
          </w:p>
        </w:tc>
        <w:tc>
          <w:tcPr>
            <w:tcW w:type="dxa" w:w="1656"/>
          </w:tcPr>
          <w:p>
            <w:pPr>
              <w:spacing w:after="20"/>
              <w:jc w:val="right"/>
            </w:pPr>
            <w:r>
              <w:rPr>
                <w:color w:val="1C3A36"/>
                <w:sz w:val="17"/>
              </w:rPr>
              <w:t>~81% (e)</w:t>
            </w:r>
          </w:p>
        </w:tc>
        <w:tc>
          <w:tcPr>
            <w:tcW w:type="dxa" w:w="1656"/>
          </w:tcPr>
          <w:p>
            <w:pPr>
              <w:spacing w:after="20"/>
              <w:jc w:val="right"/>
            </w:pPr>
            <w:r>
              <w:rPr>
                <w:color w:val="1C3A36"/>
                <w:sz w:val="17"/>
              </w:rPr>
              <w:t>~76% (d)</w:t>
            </w:r>
          </w:p>
        </w:tc>
        <w:tc>
          <w:tcPr>
            <w:tcW w:type="dxa" w:w="1656"/>
          </w:tcPr>
          <w:p>
            <w:pPr>
              <w:spacing w:after="20"/>
              <w:jc w:val="right"/>
            </w:pPr>
            <w:r>
              <w:rPr>
                <w:color w:val="1C3A36"/>
                <w:sz w:val="17"/>
              </w:rPr>
              <w:t>~113% (d)</w:t>
            </w:r>
          </w:p>
        </w:tc>
        <w:tc>
          <w:tcPr>
            <w:tcW w:type="dxa" w:w="1944"/>
          </w:tcPr>
          <w:p>
            <w:pPr>
              <w:spacing w:after="20"/>
              <w:jc w:val="right"/>
            </w:pPr>
            <w:r>
              <w:rPr>
                <w:color w:val="1C3A36"/>
                <w:sz w:val="17"/>
              </w:rPr>
              <w:t>112%</w:t>
            </w:r>
          </w:p>
        </w:tc>
      </w:tr>
      <w:tr>
        <w:tc>
          <w:tcPr>
            <w:tcW w:type="dxa" w:w="3744"/>
          </w:tcPr>
          <w:p>
            <w:pPr>
              <w:spacing w:after="20"/>
            </w:pPr>
            <w:r>
              <w:rPr>
                <w:b/>
                <w:color w:val="1C3A36"/>
                <w:sz w:val="17"/>
              </w:rPr>
              <w:t>Capex (derived: maintenance norm ~EGP 8–9k/t of capacity)</w:t>
            </w:r>
          </w:p>
        </w:tc>
        <w:tc>
          <w:tcPr>
            <w:tcW w:type="dxa" w:w="1656"/>
          </w:tcPr>
          <w:p>
            <w:pPr>
              <w:spacing w:after="20"/>
              <w:jc w:val="right"/>
            </w:pPr>
            <w:r>
              <w:rPr>
                <w:color w:val="1C3A36"/>
                <w:sz w:val="17"/>
              </w:rPr>
              <w:t>~104 (d)</w:t>
            </w:r>
          </w:p>
        </w:tc>
        <w:tc>
          <w:tcPr>
            <w:tcW w:type="dxa" w:w="1656"/>
          </w:tcPr>
          <w:p>
            <w:pPr>
              <w:spacing w:after="20"/>
              <w:jc w:val="right"/>
            </w:pPr>
            <w:r>
              <w:rPr>
                <w:color w:val="1C3A36"/>
                <w:sz w:val="17"/>
              </w:rPr>
              <w:t>~165 (d)</w:t>
            </w:r>
          </w:p>
        </w:tc>
        <w:tc>
          <w:tcPr>
            <w:tcW w:type="dxa" w:w="1656"/>
          </w:tcPr>
          <w:p>
            <w:pPr>
              <w:spacing w:after="20"/>
              <w:jc w:val="right"/>
            </w:pPr>
            <w:r>
              <w:rPr>
                <w:color w:val="1C3A36"/>
                <w:sz w:val="17"/>
              </w:rPr>
              <w:t>~210 (d)</w:t>
            </w:r>
          </w:p>
        </w:tc>
        <w:tc>
          <w:tcPr>
            <w:tcW w:type="dxa" w:w="1944"/>
          </w:tcPr>
          <w:p>
            <w:pPr>
              <w:spacing w:after="20"/>
              <w:jc w:val="right"/>
            </w:pPr>
            <w:r>
              <w:rPr>
                <w:color w:val="1C3A36"/>
                <w:sz w:val="17"/>
              </w:rPr>
              <w:t>225</w:t>
            </w:r>
          </w:p>
        </w:tc>
      </w:tr>
      <w:tr>
        <w:tc>
          <w:tcPr>
            <w:tcW w:type="dxa" w:w="3744"/>
          </w:tcPr>
          <w:p>
            <w:pPr>
              <w:spacing w:after="20"/>
            </w:pPr>
            <w:r>
              <w:rPr>
                <w:b/>
                <w:color w:val="1C3A36"/>
                <w:sz w:val="17"/>
              </w:rPr>
              <w:t>Dividends paid</w:t>
            </w:r>
          </w:p>
        </w:tc>
        <w:tc>
          <w:tcPr>
            <w:tcW w:type="dxa" w:w="1656"/>
          </w:tcPr>
          <w:p>
            <w:pPr>
              <w:spacing w:after="20"/>
              <w:jc w:val="right"/>
            </w:pPr>
            <w:r>
              <w:rPr>
                <w:color w:val="1C3A36"/>
                <w:sz w:val="17"/>
              </w:rPr>
              <w:t>0</w:t>
            </w:r>
          </w:p>
        </w:tc>
        <w:tc>
          <w:tcPr>
            <w:tcW w:type="dxa" w:w="1656"/>
          </w:tcPr>
          <w:p>
            <w:pPr>
              <w:spacing w:after="20"/>
              <w:jc w:val="right"/>
            </w:pPr>
            <w:r>
              <w:rPr>
                <w:color w:val="1C3A36"/>
                <w:sz w:val="17"/>
              </w:rPr>
              <w:t>0</w:t>
            </w:r>
          </w:p>
        </w:tc>
        <w:tc>
          <w:tcPr>
            <w:tcW w:type="dxa" w:w="1656"/>
          </w:tcPr>
          <w:p>
            <w:pPr>
              <w:spacing w:after="20"/>
              <w:jc w:val="right"/>
            </w:pPr>
            <w:r>
              <w:rPr>
                <w:color w:val="1C3A36"/>
                <w:sz w:val="17"/>
              </w:rPr>
              <w:t>0</w:t>
            </w:r>
          </w:p>
        </w:tc>
        <w:tc>
          <w:tcPr>
            <w:tcW w:type="dxa" w:w="1944"/>
          </w:tcPr>
          <w:p>
            <w:pPr>
              <w:spacing w:after="20"/>
              <w:jc w:val="right"/>
            </w:pPr>
            <w:r>
              <w:rPr>
                <w:color w:val="1C3A36"/>
                <w:sz w:val="17"/>
              </w:rPr>
              <w:t>0 — none in the disclosed record</w:t>
            </w:r>
          </w:p>
        </w:tc>
      </w:tr>
    </w:tbl>
    <w:p>
      <w:pPr>
        <w:spacing w:after="40"/>
      </w:pPr>
    </w:p>
    <w:p>
      <w:pPr>
        <w:spacing w:after="200" w:before="0"/>
      </w:pPr>
      <w:r>
        <w:rPr>
          <w:b w:val="0"/>
          <w:i/>
          <w:color w:val="6E7B77"/>
          <w:sz w:val="17"/>
        </w:rPr>
        <w:t>The aggregator flag “operating cash flow is negative; debt is not well covered” (FY24 vintage) is the single most important sentence in ELEC’s public record: three years of reported profits never became cash — they became receivables and inventory, funded by debt at 20%+ money.</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224"/>
        <w:gridCol w:w="1440"/>
        <w:gridCol w:w="1080"/>
        <w:gridCol w:w="2448"/>
      </w:tblGrid>
      <w:tr>
        <w:tc>
          <w:tcPr>
            <w:tcW w:type="dxa" w:w="2880"/>
            <w:shd w:val="clear" w:color="auto" w:fill="EAF0EE"/>
          </w:tcPr>
          <w:p>
            <w:pPr>
              <w:spacing w:after="20"/>
            </w:pPr>
            <w:r>
              <w:rPr>
                <w:b/>
                <w:color w:val="1C3A36"/>
                <w:sz w:val="17"/>
              </w:rPr>
              <w:t>Name</w:t>
            </w:r>
          </w:p>
        </w:tc>
        <w:tc>
          <w:tcPr>
            <w:tcW w:type="dxa" w:w="1440"/>
            <w:shd w:val="clear" w:color="auto" w:fill="EAF0EE"/>
          </w:tcPr>
          <w:p>
            <w:pPr>
              <w:spacing w:after="20"/>
            </w:pPr>
            <w:r>
              <w:rPr>
                <w:b/>
                <w:color w:val="1C3A36"/>
                <w:sz w:val="17"/>
              </w:rPr>
              <w:t>Mkt cap</w:t>
            </w:r>
          </w:p>
        </w:tc>
        <w:tc>
          <w:tcPr>
            <w:tcW w:type="dxa" w:w="1224"/>
            <w:shd w:val="clear" w:color="auto" w:fill="EAF0EE"/>
          </w:tcPr>
          <w:p>
            <w:pPr>
              <w:spacing w:after="20"/>
            </w:pPr>
            <w:r>
              <w:rPr>
                <w:b/>
                <w:color w:val="1C3A36"/>
                <w:sz w:val="17"/>
              </w:rPr>
              <w:t>P/E</w:t>
            </w:r>
          </w:p>
        </w:tc>
        <w:tc>
          <w:tcPr>
            <w:tcW w:type="dxa" w:w="1440"/>
            <w:shd w:val="clear" w:color="auto" w:fill="EAF0EE"/>
          </w:tcPr>
          <w:p>
            <w:pPr>
              <w:spacing w:after="20"/>
            </w:pPr>
            <w:r>
              <w:rPr>
                <w:b/>
                <w:color w:val="1C3A36"/>
                <w:sz w:val="17"/>
              </w:rPr>
              <w:t>EV/EBITDA</w:t>
            </w:r>
          </w:p>
        </w:tc>
        <w:tc>
          <w:tcPr>
            <w:tcW w:type="dxa" w:w="1080"/>
            <w:shd w:val="clear" w:color="auto" w:fill="EAF0EE"/>
          </w:tcPr>
          <w:p>
            <w:pPr>
              <w:spacing w:after="20"/>
            </w:pPr>
            <w:r>
              <w:rPr>
                <w:b/>
                <w:color w:val="1C3A36"/>
                <w:sz w:val="17"/>
              </w:rPr>
              <w:t>D/E</w:t>
            </w:r>
          </w:p>
        </w:tc>
        <w:tc>
          <w:tcPr>
            <w:tcW w:type="dxa" w:w="2448"/>
            <w:shd w:val="clear" w:color="auto" w:fill="EAF0EE"/>
          </w:tcPr>
          <w:p>
            <w:pPr>
              <w:spacing w:after="20"/>
            </w:pPr>
            <w:r>
              <w:rPr>
                <w:b/>
                <w:color w:val="1C3A36"/>
                <w:sz w:val="17"/>
              </w:rPr>
              <w:t>Note</w:t>
            </w:r>
          </w:p>
        </w:tc>
      </w:tr>
      <w:tr>
        <w:tc>
          <w:tcPr>
            <w:tcW w:type="dxa" w:w="2880"/>
          </w:tcPr>
          <w:p>
            <w:pPr>
              <w:spacing w:after="20"/>
            </w:pPr>
            <w:r>
              <w:rPr>
                <w:b/>
                <w:color w:val="1C3A36"/>
                <w:sz w:val="17"/>
              </w:rPr>
              <w:t>El Sewedy Electric (EGX: SWDY)</w:t>
            </w:r>
          </w:p>
        </w:tc>
        <w:tc>
          <w:tcPr>
            <w:tcW w:type="dxa" w:w="1440"/>
          </w:tcPr>
          <w:p>
            <w:pPr>
              <w:spacing w:after="20"/>
              <w:jc w:val="right"/>
            </w:pPr>
            <w:r>
              <w:rPr>
                <w:color w:val="1C3A36"/>
                <w:sz w:val="17"/>
              </w:rPr>
              <w:t>EGP 196 bn (21-Jul print; ~205 bn at 27-Jul)</w:t>
            </w:r>
          </w:p>
        </w:tc>
        <w:tc>
          <w:tcPr>
            <w:tcW w:type="dxa" w:w="1224"/>
          </w:tcPr>
          <w:p>
            <w:pPr>
              <w:spacing w:after="20"/>
              <w:jc w:val="right"/>
            </w:pPr>
            <w:r>
              <w:rPr>
                <w:color w:val="1C3A36"/>
                <w:sz w:val="17"/>
              </w:rPr>
              <w:t>11.3× (computed)</w:t>
            </w:r>
          </w:p>
        </w:tc>
        <w:tc>
          <w:tcPr>
            <w:tcW w:type="dxa" w:w="1440"/>
          </w:tcPr>
          <w:p>
            <w:pPr>
              <w:spacing w:after="20"/>
              <w:jc w:val="right"/>
            </w:pPr>
            <w:r>
              <w:rPr>
                <w:color w:val="1C3A36"/>
                <w:sz w:val="17"/>
              </w:rPr>
              <w:t>~7.1× (computed)</w:t>
            </w:r>
          </w:p>
        </w:tc>
        <w:tc>
          <w:tcPr>
            <w:tcW w:type="dxa" w:w="1080"/>
          </w:tcPr>
          <w:p>
            <w:pPr>
              <w:spacing w:after="20"/>
              <w:jc w:val="right"/>
            </w:pPr>
            <w:r>
              <w:rPr>
                <w:color w:val="1C3A36"/>
                <w:sz w:val="17"/>
              </w:rPr>
              <w:t>moderate</w:t>
            </w:r>
          </w:p>
        </w:tc>
        <w:tc>
          <w:tcPr>
            <w:tcW w:type="dxa" w:w="2448"/>
          </w:tcPr>
          <w:p>
            <w:pPr>
              <w:spacing w:after="20"/>
              <w:jc w:val="right"/>
            </w:pPr>
            <w:r>
              <w:rPr>
                <w:color w:val="1C3A36"/>
                <w:sz w:val="17"/>
              </w:rPr>
              <w:t>FY25 revenue EGP 281 bn, NP 17.3 bn, EBITDA 30.7 bn, net bank debt 19.8 bn (filed); W&amp;C grew low-teens FY25 — the widely quoted +66% is FY2024</w:t>
            </w:r>
          </w:p>
        </w:tc>
      </w:tr>
      <w:tr>
        <w:tc>
          <w:tcPr>
            <w:tcW w:type="dxa" w:w="2880"/>
          </w:tcPr>
          <w:p>
            <w:pPr>
              <w:spacing w:after="20"/>
            </w:pPr>
            <w:r>
              <w:rPr>
                <w:b/>
                <w:color w:val="1C3A36"/>
                <w:sz w:val="17"/>
              </w:rPr>
              <w:t>Riyadh Cables (Tadawul: 4142)</w:t>
            </w:r>
          </w:p>
        </w:tc>
        <w:tc>
          <w:tcPr>
            <w:tcW w:type="dxa" w:w="1440"/>
          </w:tcPr>
          <w:p>
            <w:pPr>
              <w:spacing w:after="20"/>
              <w:jc w:val="right"/>
            </w:pPr>
            <w:r>
              <w:rPr>
                <w:color w:val="1C3A36"/>
                <w:sz w:val="17"/>
              </w:rPr>
              <w:t>SAR 15.4 bn (30-Jul)</w:t>
            </w:r>
          </w:p>
        </w:tc>
        <w:tc>
          <w:tcPr>
            <w:tcW w:type="dxa" w:w="1224"/>
          </w:tcPr>
          <w:p>
            <w:pPr>
              <w:spacing w:after="20"/>
              <w:jc w:val="right"/>
            </w:pPr>
            <w:r>
              <w:rPr>
                <w:color w:val="1C3A36"/>
                <w:sz w:val="17"/>
              </w:rPr>
              <w:t>14.3×</w:t>
            </w:r>
          </w:p>
        </w:tc>
        <w:tc>
          <w:tcPr>
            <w:tcW w:type="dxa" w:w="1440"/>
          </w:tcPr>
          <w:p>
            <w:pPr>
              <w:spacing w:after="20"/>
              <w:jc w:val="right"/>
            </w:pPr>
            <w:r>
              <w:rPr>
                <w:color w:val="1C3A36"/>
                <w:sz w:val="17"/>
              </w:rPr>
              <w:t>~12.5× (derived)</w:t>
            </w:r>
          </w:p>
        </w:tc>
        <w:tc>
          <w:tcPr>
            <w:tcW w:type="dxa" w:w="1080"/>
          </w:tcPr>
          <w:p>
            <w:pPr>
              <w:spacing w:after="20"/>
              <w:jc w:val="right"/>
            </w:pPr>
            <w:r>
              <w:rPr>
                <w:color w:val="1C3A36"/>
                <w:sz w:val="17"/>
              </w:rPr>
              <w:t>~0.5×</w:t>
            </w:r>
          </w:p>
        </w:tc>
        <w:tc>
          <w:tcPr>
            <w:tcW w:type="dxa" w:w="2448"/>
          </w:tcPr>
          <w:p>
            <w:pPr>
              <w:spacing w:after="20"/>
              <w:jc w:val="right"/>
            </w:pPr>
            <w:r>
              <w:rPr>
                <w:color w:val="1C3A36"/>
                <w:sz w:val="17"/>
              </w:rPr>
              <w:t>What the market pays for the same industry with a clean balance sheet; balance-sheet inputs unverified</w:t>
            </w:r>
          </w:p>
        </w:tc>
      </w:tr>
      <w:tr>
        <w:tc>
          <w:tcPr>
            <w:tcW w:type="dxa" w:w="2880"/>
          </w:tcPr>
          <w:p>
            <w:pPr>
              <w:spacing w:after="20"/>
            </w:pPr>
            <w:r>
              <w:rPr>
                <w:b/>
                <w:color w:val="1C3A36"/>
                <w:sz w:val="17"/>
              </w:rPr>
              <w:t>Electro Cable Egypt (ELEC)</w:t>
            </w:r>
          </w:p>
        </w:tc>
        <w:tc>
          <w:tcPr>
            <w:tcW w:type="dxa" w:w="1440"/>
          </w:tcPr>
          <w:p>
            <w:pPr>
              <w:spacing w:after="20"/>
              <w:jc w:val="right"/>
            </w:pPr>
            <w:r>
              <w:rPr>
                <w:color w:val="1C3A36"/>
                <w:sz w:val="17"/>
              </w:rPr>
              <w:t>EGP 7.3 bn</w:t>
            </w:r>
          </w:p>
        </w:tc>
        <w:tc>
          <w:tcPr>
            <w:tcW w:type="dxa" w:w="1224"/>
          </w:tcPr>
          <w:p>
            <w:pPr>
              <w:spacing w:after="20"/>
              <w:jc w:val="right"/>
            </w:pPr>
            <w:r>
              <w:rPr>
                <w:color w:val="1C3A36"/>
                <w:sz w:val="17"/>
              </w:rPr>
              <w:t>14.5× trailing</w:t>
            </w:r>
          </w:p>
        </w:tc>
        <w:tc>
          <w:tcPr>
            <w:tcW w:type="dxa" w:w="1440"/>
          </w:tcPr>
          <w:p>
            <w:pPr>
              <w:spacing w:after="20"/>
              <w:jc w:val="right"/>
            </w:pPr>
            <w:r>
              <w:rPr>
                <w:color w:val="1C3A36"/>
                <w:sz w:val="17"/>
              </w:rPr>
              <w:t>~5.9× on FY25e</w:t>
            </w:r>
          </w:p>
        </w:tc>
        <w:tc>
          <w:tcPr>
            <w:tcW w:type="dxa" w:w="1080"/>
          </w:tcPr>
          <w:p>
            <w:pPr>
              <w:spacing w:after="20"/>
              <w:jc w:val="right"/>
            </w:pPr>
            <w:r>
              <w:rPr>
                <w:color w:val="1C3A36"/>
                <w:sz w:val="17"/>
              </w:rPr>
              <w:t>~2.5×</w:t>
            </w:r>
          </w:p>
        </w:tc>
        <w:tc>
          <w:tcPr>
            <w:tcW w:type="dxa" w:w="2448"/>
          </w:tcPr>
          <w:p>
            <w:pPr>
              <w:spacing w:after="20"/>
              <w:jc w:val="right"/>
            </w:pPr>
            <w:r>
              <w:rPr>
                <w:color w:val="1C3A36"/>
                <w:sz w:val="17"/>
              </w:rPr>
              <w:t>On depressed, now loss-making earnings; ~5.5× on FY24 windfall EPS</w:t>
            </w:r>
          </w:p>
        </w:tc>
      </w:tr>
      <w:tr>
        <w:tc>
          <w:tcPr>
            <w:tcW w:type="dxa" w:w="2880"/>
          </w:tcPr>
          <w:p>
            <w:pPr>
              <w:spacing w:after="20"/>
            </w:pPr>
            <w:r>
              <w:rPr>
                <w:b/>
                <w:color w:val="1C3A36"/>
                <w:sz w:val="17"/>
              </w:rPr>
              <w:t>Giza Cables (private; unrelated to ELEC’s subsidiary Giza Power Industry)</w:t>
            </w:r>
          </w:p>
        </w:tc>
        <w:tc>
          <w:tcPr>
            <w:tcW w:type="dxa" w:w="1440"/>
          </w:tcPr>
          <w:p>
            <w:pPr>
              <w:spacing w:after="20"/>
              <w:jc w:val="right"/>
            </w:pPr>
            <w:r>
              <w:rPr>
                <w:color w:val="1C3A36"/>
                <w:sz w:val="17"/>
              </w:rPr>
              <w:t>—</w:t>
            </w:r>
          </w:p>
        </w:tc>
        <w:tc>
          <w:tcPr>
            <w:tcW w:type="dxa" w:w="1224"/>
          </w:tcPr>
          <w:p>
            <w:pPr>
              <w:spacing w:after="20"/>
              <w:jc w:val="right"/>
            </w:pPr>
            <w:r>
              <w:rPr>
                <w:color w:val="1C3A36"/>
                <w:sz w:val="17"/>
              </w:rPr>
              <w:t>—</w:t>
            </w:r>
          </w:p>
        </w:tc>
        <w:tc>
          <w:tcPr>
            <w:tcW w:type="dxa" w:w="1440"/>
          </w:tcPr>
          <w:p>
            <w:pPr>
              <w:spacing w:after="20"/>
              <w:jc w:val="right"/>
            </w:pPr>
            <w:r>
              <w:rPr>
                <w:color w:val="1C3A36"/>
                <w:sz w:val="17"/>
              </w:rPr>
              <w:t>—</w:t>
            </w:r>
          </w:p>
        </w:tc>
        <w:tc>
          <w:tcPr>
            <w:tcW w:type="dxa" w:w="1080"/>
          </w:tcPr>
          <w:p>
            <w:pPr>
              <w:spacing w:after="20"/>
              <w:jc w:val="right"/>
            </w:pPr>
            <w:r>
              <w:rPr>
                <w:color w:val="1C3A36"/>
                <w:sz w:val="17"/>
              </w:rPr>
              <w:t>—</w:t>
            </w:r>
          </w:p>
        </w:tc>
        <w:tc>
          <w:tcPr>
            <w:tcW w:type="dxa" w:w="2448"/>
          </w:tcPr>
          <w:p>
            <w:pPr>
              <w:spacing w:after="20"/>
              <w:jc w:val="right"/>
            </w:pPr>
            <w:r>
              <w:rPr>
                <w:color w:val="1C3A36"/>
                <w:sz w:val="17"/>
              </w:rPr>
              <w:t>The other mid-tier player; no public financials</w:t>
            </w:r>
          </w:p>
        </w:tc>
      </w:tr>
    </w:tbl>
    <w:p>
      <w:pPr>
        <w:spacing w:after="40"/>
      </w:pPr>
    </w:p>
    <w:p>
      <w:pPr>
        <w:spacing w:after="120" w:before="0"/>
      </w:pPr>
      <w:r>
        <w:rPr>
          <w:b w:val="0"/>
          <w:i w:val="0"/>
          <w:color w:val="1C3A36"/>
          <w:sz w:val="21"/>
        </w:rPr>
        <w:t>Sector structure: one giant (Elsewedy, with scale, exports and funding access) above a tier of mid-caps competing on price and local content in government tenders. Demand is the strongest it has been in a decade (grid capex, interconnection, renewables hookups) — but pass-through pricing means the demand cycle rescues volumes before it rescues margins, and funding cost decides who banks the difference.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304"/>
        <w:gridCol w:w="3600"/>
      </w:tblGrid>
      <w:tr>
        <w:tc>
          <w:tcPr>
            <w:tcW w:type="dxa" w:w="4176"/>
            <w:shd w:val="clear" w:color="auto" w:fill="EAF0EE"/>
          </w:tcPr>
          <w:p>
            <w:pPr>
              <w:spacing w:after="20"/>
            </w:pPr>
            <w:r>
              <w:rPr>
                <w:b/>
                <w:color w:val="1C3A36"/>
                <w:sz w:val="17"/>
              </w:rPr>
              <w:t>Risk</w:t>
            </w:r>
          </w:p>
        </w:tc>
        <w:tc>
          <w:tcPr>
            <w:tcW w:type="dxa" w:w="2304"/>
            <w:shd w:val="clear" w:color="auto" w:fill="EAF0EE"/>
          </w:tcPr>
          <w:p>
            <w:pPr>
              <w:spacing w:after="20"/>
            </w:pPr>
            <w:r>
              <w:rPr>
                <w:b/>
                <w:color w:val="1C3A36"/>
                <w:sz w:val="17"/>
              </w:rPr>
              <w:t>Direction</w:t>
            </w:r>
          </w:p>
        </w:tc>
        <w:tc>
          <w:tcPr>
            <w:tcW w:type="dxa" w:w="3600"/>
            <w:shd w:val="clear" w:color="auto" w:fill="EAF0EE"/>
          </w:tcPr>
          <w:p>
            <w:pPr>
              <w:spacing w:after="20"/>
            </w:pPr>
            <w:r>
              <w:rPr>
                <w:b/>
                <w:color w:val="1C3A36"/>
                <w:sz w:val="17"/>
              </w:rPr>
              <w:t>Where it is priced</w:t>
            </w:r>
          </w:p>
        </w:tc>
      </w:tr>
      <w:tr>
        <w:tc>
          <w:tcPr>
            <w:tcW w:type="dxa" w:w="4176"/>
          </w:tcPr>
          <w:p>
            <w:pPr>
              <w:spacing w:after="20"/>
            </w:pPr>
            <w:r>
              <w:rPr>
                <w:b/>
                <w:color w:val="1C3A36"/>
                <w:sz w:val="17"/>
              </w:rPr>
              <w:t>Receivables fail to collect / further WC build</w:t>
            </w:r>
          </w:p>
        </w:tc>
        <w:tc>
          <w:tcPr>
            <w:tcW w:type="dxa" w:w="2304"/>
          </w:tcPr>
          <w:p>
            <w:pPr>
              <w:spacing w:after="20"/>
              <w:jc w:val="right"/>
            </w:pPr>
            <w:r>
              <w:rPr>
                <w:color w:val="1C3A36"/>
                <w:sz w:val="17"/>
              </w:rPr>
              <w:t>Severe negative</w:t>
            </w:r>
          </w:p>
        </w:tc>
        <w:tc>
          <w:tcPr>
            <w:tcW w:type="dxa" w:w="3600"/>
          </w:tcPr>
          <w:p>
            <w:pPr>
              <w:spacing w:after="20"/>
              <w:jc w:val="right"/>
            </w:pPr>
            <w:r>
              <w:rPr>
                <w:color w:val="1C3A36"/>
                <w:sz w:val="17"/>
              </w:rPr>
              <w:t>Bear DCF (0.05); the central weight on the DCF</w:t>
            </w:r>
          </w:p>
        </w:tc>
      </w:tr>
      <w:tr>
        <w:tc>
          <w:tcPr>
            <w:tcW w:type="dxa" w:w="4176"/>
          </w:tcPr>
          <w:p>
            <w:pPr>
              <w:spacing w:after="20"/>
            </w:pPr>
            <w:r>
              <w:rPr>
                <w:b/>
                <w:color w:val="1C3A36"/>
                <w:sz w:val="17"/>
              </w:rPr>
              <w:t>Margins never recover past ~14%</w:t>
            </w:r>
          </w:p>
        </w:tc>
        <w:tc>
          <w:tcPr>
            <w:tcW w:type="dxa" w:w="2304"/>
          </w:tcPr>
          <w:p>
            <w:pPr>
              <w:spacing w:after="20"/>
              <w:jc w:val="right"/>
            </w:pPr>
            <w:r>
              <w:rPr>
                <w:color w:val="1C3A36"/>
                <w:sz w:val="17"/>
              </w:rPr>
              <w:t>Negative</w:t>
            </w:r>
          </w:p>
        </w:tc>
        <w:tc>
          <w:tcPr>
            <w:tcW w:type="dxa" w:w="3600"/>
          </w:tcPr>
          <w:p>
            <w:pPr>
              <w:spacing w:after="20"/>
              <w:jc w:val="right"/>
            </w:pPr>
            <w:r>
              <w:rPr>
                <w:color w:val="1C3A36"/>
                <w:sz w:val="17"/>
              </w:rPr>
              <w:t>Company grid, bear column</w:t>
            </w:r>
          </w:p>
        </w:tc>
      </w:tr>
      <w:tr>
        <w:tc>
          <w:tcPr>
            <w:tcW w:type="dxa" w:w="4176"/>
          </w:tcPr>
          <w:p>
            <w:pPr>
              <w:spacing w:after="20"/>
            </w:pPr>
            <w:r>
              <w:rPr>
                <w:b/>
                <w:color w:val="1C3A36"/>
                <w:sz w:val="17"/>
              </w:rPr>
              <w:t>Copper spikes further (WC funding strain)</w:t>
            </w:r>
          </w:p>
        </w:tc>
        <w:tc>
          <w:tcPr>
            <w:tcW w:type="dxa" w:w="2304"/>
          </w:tcPr>
          <w:p>
            <w:pPr>
              <w:spacing w:after="20"/>
              <w:jc w:val="right"/>
            </w:pPr>
            <w:r>
              <w:rPr>
                <w:color w:val="1C3A36"/>
                <w:sz w:val="17"/>
              </w:rPr>
              <w:t>Negative</w:t>
            </w:r>
          </w:p>
        </w:tc>
        <w:tc>
          <w:tcPr>
            <w:tcW w:type="dxa" w:w="3600"/>
          </w:tcPr>
          <w:p>
            <w:pPr>
              <w:spacing w:after="20"/>
              <w:jc w:val="right"/>
            </w:pPr>
            <w:r>
              <w:rPr>
                <w:color w:val="1C3A36"/>
                <w:sz w:val="17"/>
              </w:rPr>
              <w:t>Qualitative; enters through the NWC glide</w:t>
            </w:r>
          </w:p>
        </w:tc>
      </w:tr>
      <w:tr>
        <w:tc>
          <w:tcPr>
            <w:tcW w:type="dxa" w:w="4176"/>
          </w:tcPr>
          <w:p>
            <w:pPr>
              <w:spacing w:after="20"/>
            </w:pPr>
            <w:r>
              <w:rPr>
                <w:b/>
                <w:color w:val="1C3A36"/>
                <w:sz w:val="17"/>
              </w:rPr>
              <w:t>EGP step-devaluation</w:t>
            </w:r>
          </w:p>
        </w:tc>
        <w:tc>
          <w:tcPr>
            <w:tcW w:type="dxa" w:w="2304"/>
          </w:tcPr>
          <w:p>
            <w:pPr>
              <w:spacing w:after="20"/>
              <w:jc w:val="right"/>
            </w:pPr>
            <w:r>
              <w:rPr>
                <w:color w:val="1C3A36"/>
                <w:sz w:val="17"/>
              </w:rPr>
              <w:t>Positive for margins, negative for funding/CRP</w:t>
            </w:r>
          </w:p>
        </w:tc>
        <w:tc>
          <w:tcPr>
            <w:tcW w:type="dxa" w:w="3600"/>
          </w:tcPr>
          <w:p>
            <w:pPr>
              <w:spacing w:after="20"/>
              <w:jc w:val="right"/>
            </w:pPr>
            <w:r>
              <w:rPr>
                <w:color w:val="1C3A36"/>
                <w:sz w:val="17"/>
              </w:rPr>
              <w:t>Bull margin column; not in the base case</w:t>
            </w:r>
          </w:p>
        </w:tc>
      </w:tr>
      <w:tr>
        <w:tc>
          <w:tcPr>
            <w:tcW w:type="dxa" w:w="4176"/>
          </w:tcPr>
          <w:p>
            <w:pPr>
              <w:spacing w:after="20"/>
            </w:pPr>
            <w:r>
              <w:rPr>
                <w:b/>
                <w:color w:val="1C3A36"/>
                <w:sz w:val="17"/>
              </w:rPr>
              <w:t>Easing cycle stalls (inflation re-accelerates)</w:t>
            </w:r>
          </w:p>
        </w:tc>
        <w:tc>
          <w:tcPr>
            <w:tcW w:type="dxa" w:w="2304"/>
          </w:tcPr>
          <w:p>
            <w:pPr>
              <w:spacing w:after="20"/>
              <w:jc w:val="right"/>
            </w:pPr>
            <w:r>
              <w:rPr>
                <w:color w:val="1C3A36"/>
                <w:sz w:val="17"/>
              </w:rPr>
              <w:t>Negative</w:t>
            </w:r>
          </w:p>
        </w:tc>
        <w:tc>
          <w:tcPr>
            <w:tcW w:type="dxa" w:w="3600"/>
          </w:tcPr>
          <w:p>
            <w:pPr>
              <w:spacing w:after="20"/>
              <w:jc w:val="right"/>
            </w:pPr>
            <w:r>
              <w:rPr>
                <w:color w:val="1C3A36"/>
                <w:sz w:val="17"/>
              </w:rPr>
              <w:t>Explicit × terminal WACC grid</w:t>
            </w:r>
          </w:p>
        </w:tc>
      </w:tr>
      <w:tr>
        <w:tc>
          <w:tcPr>
            <w:tcW w:type="dxa" w:w="4176"/>
          </w:tcPr>
          <w:p>
            <w:pPr>
              <w:spacing w:after="20"/>
            </w:pPr>
            <w:r>
              <w:rPr>
                <w:b/>
                <w:color w:val="1C3A36"/>
                <w:sz w:val="17"/>
              </w:rPr>
              <w:t>Controlling-group distribution continues</w:t>
            </w:r>
          </w:p>
        </w:tc>
        <w:tc>
          <w:tcPr>
            <w:tcW w:type="dxa" w:w="2304"/>
          </w:tcPr>
          <w:p>
            <w:pPr>
              <w:spacing w:after="20"/>
              <w:jc w:val="right"/>
            </w:pPr>
            <w:r>
              <w:rPr>
                <w:color w:val="1C3A36"/>
                <w:sz w:val="17"/>
              </w:rPr>
              <w:t>Negative (flow)</w:t>
            </w:r>
          </w:p>
        </w:tc>
        <w:tc>
          <w:tcPr>
            <w:tcW w:type="dxa" w:w="3600"/>
          </w:tcPr>
          <w:p>
            <w:pPr>
              <w:spacing w:after="20"/>
              <w:jc w:val="right"/>
            </w:pPr>
            <w:r>
              <w:rPr>
                <w:color w:val="1C3A36"/>
                <w:sz w:val="17"/>
              </w:rPr>
              <w:t>Not in the model — a market-structure risk</w:t>
            </w:r>
          </w:p>
        </w:tc>
      </w:tr>
      <w:tr>
        <w:tc>
          <w:tcPr>
            <w:tcW w:type="dxa" w:w="4176"/>
          </w:tcPr>
          <w:p>
            <w:pPr>
              <w:spacing w:after="20"/>
            </w:pPr>
            <w:r>
              <w:rPr>
                <w:b/>
                <w:color w:val="1C3A36"/>
                <w:sz w:val="17"/>
              </w:rPr>
              <w:t>Control event (buy-out, restructuring, asset injection)</w:t>
            </w:r>
          </w:p>
        </w:tc>
        <w:tc>
          <w:tcPr>
            <w:tcW w:type="dxa" w:w="2304"/>
          </w:tcPr>
          <w:p>
            <w:pPr>
              <w:spacing w:after="20"/>
              <w:jc w:val="right"/>
            </w:pPr>
            <w:r>
              <w:rPr>
                <w:color w:val="1C3A36"/>
                <w:sz w:val="17"/>
              </w:rPr>
              <w:t>Either</w:t>
            </w:r>
          </w:p>
        </w:tc>
        <w:tc>
          <w:tcPr>
            <w:tcW w:type="dxa" w:w="3600"/>
          </w:tcPr>
          <w:p>
            <w:pPr>
              <w:spacing w:after="20"/>
              <w:jc w:val="right"/>
            </w:pPr>
            <w:r>
              <w:rPr>
                <w:color w:val="1C3A36"/>
                <w:sz w:val="17"/>
              </w:rPr>
              <w:t>Not in the model</w:t>
            </w:r>
          </w:p>
        </w:tc>
      </w:tr>
      <w:tr>
        <w:tc>
          <w:tcPr>
            <w:tcW w:type="dxa" w:w="4176"/>
          </w:tcPr>
          <w:p>
            <w:pPr>
              <w:spacing w:after="20"/>
            </w:pPr>
            <w:r>
              <w:rPr>
                <w:b/>
                <w:color w:val="1C3A36"/>
                <w:sz w:val="17"/>
              </w:rPr>
              <w:t>Statement access resolves derived lines adversely</w:t>
            </w:r>
          </w:p>
        </w:tc>
        <w:tc>
          <w:tcPr>
            <w:tcW w:type="dxa" w:w="2304"/>
          </w:tcPr>
          <w:p>
            <w:pPr>
              <w:spacing w:after="20"/>
              <w:jc w:val="right"/>
            </w:pPr>
            <w:r>
              <w:rPr>
                <w:color w:val="1C3A36"/>
                <w:sz w:val="17"/>
              </w:rPr>
              <w:t>Either</w:t>
            </w:r>
          </w:p>
        </w:tc>
        <w:tc>
          <w:tcPr>
            <w:tcW w:type="dxa" w:w="3600"/>
          </w:tcPr>
          <w:p>
            <w:pPr>
              <w:spacing w:after="20"/>
              <w:jc w:val="right"/>
            </w:pPr>
            <w:r>
              <w:rPr>
                <w:color w:val="1C3A36"/>
                <w:sz w:val="17"/>
              </w:rPr>
              <w:t>§7 first caveat; ~±EGP 0.19/share on the triangulated ND range</w:t>
            </w:r>
          </w:p>
        </w:tc>
      </w:tr>
    </w:tbl>
    <w:p>
      <w:pPr>
        <w:spacing w:after="40"/>
      </w:pPr>
    </w:p>
    <w:p>
      <w:pPr>
        <w:spacing w:after="80" w:before="200"/>
      </w:pPr>
      <w:r>
        <w:rPr>
          <w:b/>
          <w:i w:val="0"/>
          <w:color w:val="1C3A36"/>
          <w:sz w:val="24"/>
        </w:rPr>
        <w:t>B.3  The research register — four layers, dated, negative searches included</w:t>
      </w:r>
    </w:p>
    <w:p>
      <w:pPr>
        <w:spacing w:after="120" w:before="0"/>
      </w:pPr>
      <w:r>
        <w:rPr>
          <w:b w:val="0"/>
          <w:i w:val="0"/>
          <w:color w:val="1C3A36"/>
          <w:sz w:val="19"/>
        </w:rPr>
        <w:t>Research for this study ran outward-in — world, country, industry, company — before any forecast driver was set. The register below condenses what was found and where; the companion Source Register document carries the full input-by-input listing.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80"/>
        <w:gridCol w:w="792"/>
        <w:gridCol w:w="4896"/>
        <w:gridCol w:w="2088"/>
        <w:gridCol w:w="1224"/>
      </w:tblGrid>
      <w:tr>
        <w:tc>
          <w:tcPr>
            <w:tcW w:type="dxa" w:w="1080"/>
            <w:shd w:val="clear" w:color="auto" w:fill="EAF0EE"/>
          </w:tcPr>
          <w:p>
            <w:pPr>
              <w:spacing w:after="20"/>
            </w:pPr>
            <w:r>
              <w:rPr>
                <w:b/>
                <w:color w:val="1C3A36"/>
                <w:sz w:val="15"/>
              </w:rPr>
              <w:t>Layer</w:t>
            </w:r>
          </w:p>
        </w:tc>
        <w:tc>
          <w:tcPr>
            <w:tcW w:type="dxa" w:w="792"/>
            <w:shd w:val="clear" w:color="auto" w:fill="EAF0EE"/>
          </w:tcPr>
          <w:p>
            <w:pPr>
              <w:spacing w:after="20"/>
            </w:pPr>
            <w:r>
              <w:rPr>
                <w:b/>
                <w:color w:val="1C3A36"/>
                <w:sz w:val="15"/>
              </w:rPr>
              <w:t>Class</w:t>
            </w:r>
          </w:p>
        </w:tc>
        <w:tc>
          <w:tcPr>
            <w:tcW w:type="dxa" w:w="4896"/>
            <w:shd w:val="clear" w:color="auto" w:fill="EAF0EE"/>
          </w:tcPr>
          <w:p>
            <w:pPr>
              <w:spacing w:after="20"/>
            </w:pPr>
            <w:r>
              <w:rPr>
                <w:b/>
                <w:color w:val="1C3A36"/>
                <w:sz w:val="15"/>
              </w:rPr>
              <w:t>Finding (condensed)</w:t>
            </w:r>
          </w:p>
        </w:tc>
        <w:tc>
          <w:tcPr>
            <w:tcW w:type="dxa" w:w="2088"/>
            <w:shd w:val="clear" w:color="auto" w:fill="EAF0EE"/>
          </w:tcPr>
          <w:p>
            <w:pPr>
              <w:spacing w:after="20"/>
            </w:pPr>
            <w:r>
              <w:rPr>
                <w:b/>
                <w:color w:val="1C3A36"/>
                <w:sz w:val="15"/>
              </w:rPr>
              <w:t>Source</w:t>
            </w:r>
          </w:p>
        </w:tc>
        <w:tc>
          <w:tcPr>
            <w:tcW w:type="dxa" w:w="1224"/>
            <w:shd w:val="clear" w:color="auto" w:fill="EAF0EE"/>
          </w:tcPr>
          <w:p>
            <w:pPr>
              <w:spacing w:after="20"/>
            </w:pPr>
            <w:r>
              <w:rPr>
                <w:b/>
                <w:color w:val="1C3A36"/>
                <w:sz w:val="15"/>
              </w:rPr>
              <w:t>Date</w:t>
            </w:r>
          </w:p>
        </w:tc>
      </w:tr>
      <w:tr>
        <w:tc>
          <w:tcPr>
            <w:tcW w:type="dxa" w:w="1080"/>
          </w:tcPr>
          <w:p>
            <w:pPr>
              <w:spacing w:after="20"/>
            </w:pPr>
            <w:r>
              <w:rPr>
                <w:b/>
                <w:color w:val="1C3A36"/>
                <w:sz w:val="15"/>
              </w:rPr>
              <w:t>Global</w:t>
            </w:r>
          </w:p>
        </w:tc>
        <w:tc>
          <w:tcPr>
            <w:tcW w:type="dxa" w:w="792"/>
          </w:tcPr>
          <w:p>
            <w:pPr>
              <w:spacing w:after="20"/>
              <w:jc w:val="right"/>
            </w:pPr>
            <w:r>
              <w:rPr>
                <w:color w:val="1C3A36"/>
                <w:sz w:val="15"/>
              </w:rPr>
              <w:t>D</w:t>
            </w:r>
          </w:p>
        </w:tc>
        <w:tc>
          <w:tcPr>
            <w:tcW w:type="dxa" w:w="4896"/>
          </w:tcPr>
          <w:p>
            <w:pPr>
              <w:spacing w:after="20"/>
              <w:jc w:val="right"/>
            </w:pPr>
            <w:r>
              <w:rPr>
                <w:color w:val="1C3A36"/>
                <w:sz w:val="15"/>
              </w:rPr>
              <w:t>Copper +51.6% y/y: LME cash ~$14.0k (3-4 Aug-26; ATH $14.5k Jan-26), COMEX $6.63/lb; US refined-copper tariff 15% (Jan-27)/30% (Jan-28) AUTHORIZED but determination pending — 50% duty on semi-finished in force since Aug-25</w:t>
            </w:r>
          </w:p>
        </w:tc>
        <w:tc>
          <w:tcPr>
            <w:tcW w:type="dxa" w:w="2088"/>
          </w:tcPr>
          <w:p>
            <w:pPr>
              <w:spacing w:after="20"/>
              <w:jc w:val="right"/>
            </w:pPr>
            <w:r>
              <w:rPr>
                <w:color w:val="1C3A36"/>
                <w:sz w:val="15"/>
              </w:rPr>
              <w:t>TradingEconomics; INN; Federal Register</w:t>
            </w:r>
          </w:p>
        </w:tc>
        <w:tc>
          <w:tcPr>
            <w:tcW w:type="dxa" w:w="1224"/>
          </w:tcPr>
          <w:p>
            <w:pPr>
              <w:spacing w:after="20"/>
              <w:jc w:val="right"/>
            </w:pPr>
            <w:r>
              <w:rPr>
                <w:color w:val="1C3A36"/>
                <w:sz w:val="15"/>
              </w:rPr>
              <w:t>05-Aug-26</w:t>
            </w:r>
          </w:p>
        </w:tc>
      </w:tr>
      <w:tr>
        <w:tc>
          <w:tcPr>
            <w:tcW w:type="dxa" w:w="1080"/>
          </w:tcPr>
          <w:p>
            <w:pPr>
              <w:spacing w:after="20"/>
            </w:pPr>
            <w:r>
              <w:rPr>
                <w:b/>
                <w:color w:val="1C3A36"/>
                <w:sz w:val="15"/>
              </w:rPr>
              <w:t>Global</w:t>
            </w:r>
          </w:p>
        </w:tc>
        <w:tc>
          <w:tcPr>
            <w:tcW w:type="dxa" w:w="792"/>
          </w:tcPr>
          <w:p>
            <w:pPr>
              <w:spacing w:after="20"/>
              <w:jc w:val="right"/>
            </w:pPr>
            <w:r>
              <w:rPr>
                <w:color w:val="1C3A36"/>
                <w:sz w:val="15"/>
              </w:rPr>
              <w:t>S</w:t>
            </w:r>
          </w:p>
        </w:tc>
        <w:tc>
          <w:tcPr>
            <w:tcW w:type="dxa" w:w="4896"/>
          </w:tcPr>
          <w:p>
            <w:pPr>
              <w:spacing w:after="20"/>
              <w:jc w:val="right"/>
            </w:pPr>
            <w:r>
              <w:rPr>
                <w:color w:val="1C3A36"/>
                <w:sz w:val="15"/>
              </w:rPr>
              <w:t>Grid renewal + data centers drive global W&amp;C demand (~6.5% CAGR to $409bn by 2034)</w:t>
            </w:r>
          </w:p>
        </w:tc>
        <w:tc>
          <w:tcPr>
            <w:tcW w:type="dxa" w:w="2088"/>
          </w:tcPr>
          <w:p>
            <w:pPr>
              <w:spacing w:after="20"/>
              <w:jc w:val="right"/>
            </w:pPr>
            <w:r>
              <w:rPr>
                <w:color w:val="1C3A36"/>
                <w:sz w:val="15"/>
              </w:rPr>
              <w:t>Fortune BI; Mordor; CRU</w:t>
            </w:r>
          </w:p>
        </w:tc>
        <w:tc>
          <w:tcPr>
            <w:tcW w:type="dxa" w:w="1224"/>
          </w:tcPr>
          <w:p>
            <w:pPr>
              <w:spacing w:after="20"/>
              <w:jc w:val="right"/>
            </w:pPr>
            <w:r>
              <w:rPr>
                <w:color w:val="1C3A36"/>
                <w:sz w:val="15"/>
              </w:rPr>
              <w:t>2026</w:t>
            </w:r>
          </w:p>
        </w:tc>
      </w:tr>
      <w:tr>
        <w:tc>
          <w:tcPr>
            <w:tcW w:type="dxa" w:w="1080"/>
          </w:tcPr>
          <w:p>
            <w:pPr>
              <w:spacing w:after="20"/>
            </w:pPr>
            <w:r>
              <w:rPr>
                <w:b/>
                <w:color w:val="1C3A36"/>
                <w:sz w:val="15"/>
              </w:rPr>
              <w:t>Global</w:t>
            </w:r>
          </w:p>
        </w:tc>
        <w:tc>
          <w:tcPr>
            <w:tcW w:type="dxa" w:w="792"/>
          </w:tcPr>
          <w:p>
            <w:pPr>
              <w:spacing w:after="20"/>
              <w:jc w:val="right"/>
            </w:pPr>
            <w:r>
              <w:rPr>
                <w:color w:val="1C3A36"/>
                <w:sz w:val="15"/>
              </w:rPr>
              <w:t>B</w:t>
            </w:r>
          </w:p>
        </w:tc>
        <w:tc>
          <w:tcPr>
            <w:tcW w:type="dxa" w:w="4896"/>
          </w:tcPr>
          <w:p>
            <w:pPr>
              <w:spacing w:after="20"/>
              <w:jc w:val="right"/>
            </w:pPr>
            <w:r>
              <w:rPr>
                <w:color w:val="1C3A36"/>
                <w:sz w:val="15"/>
              </w:rPr>
              <w:t>Fed held 3.50–3.75% on 29-Jul-26 (fifth straight hold)</w:t>
            </w:r>
          </w:p>
        </w:tc>
        <w:tc>
          <w:tcPr>
            <w:tcW w:type="dxa" w:w="2088"/>
          </w:tcPr>
          <w:p>
            <w:pPr>
              <w:spacing w:after="20"/>
              <w:jc w:val="right"/>
            </w:pPr>
            <w:r>
              <w:rPr>
                <w:color w:val="1C3A36"/>
                <w:sz w:val="15"/>
              </w:rPr>
              <w:t>Federal Reserve</w:t>
            </w:r>
          </w:p>
        </w:tc>
        <w:tc>
          <w:tcPr>
            <w:tcW w:type="dxa" w:w="1224"/>
          </w:tcPr>
          <w:p>
            <w:pPr>
              <w:spacing w:after="20"/>
              <w:jc w:val="right"/>
            </w:pPr>
            <w:r>
              <w:rPr>
                <w:color w:val="1C3A36"/>
                <w:sz w:val="15"/>
              </w:rPr>
              <w:t>29-Jul-26</w:t>
            </w:r>
          </w:p>
        </w:tc>
      </w:tr>
      <w:tr>
        <w:tc>
          <w:tcPr>
            <w:tcW w:type="dxa" w:w="1080"/>
          </w:tcPr>
          <w:p>
            <w:pPr>
              <w:spacing w:after="20"/>
            </w:pPr>
            <w:r>
              <w:rPr>
                <w:b/>
                <w:color w:val="1C3A36"/>
                <w:sz w:val="15"/>
              </w:rPr>
              <w:t>Country</w:t>
            </w:r>
          </w:p>
        </w:tc>
        <w:tc>
          <w:tcPr>
            <w:tcW w:type="dxa" w:w="792"/>
          </w:tcPr>
          <w:p>
            <w:pPr>
              <w:spacing w:after="20"/>
              <w:jc w:val="right"/>
            </w:pPr>
            <w:r>
              <w:rPr>
                <w:color w:val="1C3A36"/>
                <w:sz w:val="15"/>
              </w:rPr>
              <w:t>B/D</w:t>
            </w:r>
          </w:p>
        </w:tc>
        <w:tc>
          <w:tcPr>
            <w:tcW w:type="dxa" w:w="4896"/>
          </w:tcPr>
          <w:p>
            <w:pPr>
              <w:spacing w:after="20"/>
              <w:jc w:val="right"/>
            </w:pPr>
            <w:r>
              <w:rPr>
                <w:color w:val="1C3A36"/>
                <w:sz w:val="15"/>
              </w:rPr>
              <w:t>CBE held 19.00/20.00% on 09-Jul-26, third straight hold; 825bp cut Apr-25→Feb-26; next MPC 20-Aug</w:t>
            </w:r>
          </w:p>
        </w:tc>
        <w:tc>
          <w:tcPr>
            <w:tcW w:type="dxa" w:w="2088"/>
          </w:tcPr>
          <w:p>
            <w:pPr>
              <w:spacing w:after="20"/>
              <w:jc w:val="right"/>
            </w:pPr>
            <w:r>
              <w:rPr>
                <w:color w:val="1C3A36"/>
                <w:sz w:val="15"/>
              </w:rPr>
              <w:t>CBE via FocusEconomics</w:t>
            </w:r>
          </w:p>
        </w:tc>
        <w:tc>
          <w:tcPr>
            <w:tcW w:type="dxa" w:w="1224"/>
          </w:tcPr>
          <w:p>
            <w:pPr>
              <w:spacing w:after="20"/>
              <w:jc w:val="right"/>
            </w:pPr>
            <w:r>
              <w:rPr>
                <w:color w:val="1C3A36"/>
                <w:sz w:val="15"/>
              </w:rPr>
              <w:t>09-Jul-26</w:t>
            </w:r>
          </w:p>
        </w:tc>
      </w:tr>
      <w:tr>
        <w:tc>
          <w:tcPr>
            <w:tcW w:type="dxa" w:w="1080"/>
          </w:tcPr>
          <w:p>
            <w:pPr>
              <w:spacing w:after="20"/>
            </w:pPr>
            <w:r>
              <w:rPr>
                <w:b/>
                <w:color w:val="1C3A36"/>
                <w:sz w:val="15"/>
              </w:rPr>
              <w:t>Country</w:t>
            </w:r>
          </w:p>
        </w:tc>
        <w:tc>
          <w:tcPr>
            <w:tcW w:type="dxa" w:w="792"/>
          </w:tcPr>
          <w:p>
            <w:pPr>
              <w:spacing w:after="20"/>
              <w:jc w:val="right"/>
            </w:pPr>
            <w:r>
              <w:rPr>
                <w:color w:val="1C3A36"/>
                <w:sz w:val="15"/>
              </w:rPr>
              <w:t>B</w:t>
            </w:r>
          </w:p>
        </w:tc>
        <w:tc>
          <w:tcPr>
            <w:tcW w:type="dxa" w:w="4896"/>
          </w:tcPr>
          <w:p>
            <w:pPr>
              <w:spacing w:after="20"/>
              <w:jc w:val="right"/>
            </w:pPr>
            <w:r>
              <w:rPr>
                <w:color w:val="1C3A36"/>
                <w:sz w:val="15"/>
              </w:rPr>
              <w:t>Inflation 14.3% (Jun-26); target 7±2pp Q4-26, 5±2pp Q4-28</w:t>
            </w:r>
          </w:p>
        </w:tc>
        <w:tc>
          <w:tcPr>
            <w:tcW w:type="dxa" w:w="2088"/>
          </w:tcPr>
          <w:p>
            <w:pPr>
              <w:spacing w:after="20"/>
              <w:jc w:val="right"/>
            </w:pPr>
            <w:r>
              <w:rPr>
                <w:color w:val="1C3A36"/>
                <w:sz w:val="15"/>
              </w:rPr>
              <w:t>CBE CPI release</w:t>
            </w:r>
          </w:p>
        </w:tc>
        <w:tc>
          <w:tcPr>
            <w:tcW w:type="dxa" w:w="1224"/>
          </w:tcPr>
          <w:p>
            <w:pPr>
              <w:spacing w:after="20"/>
              <w:jc w:val="right"/>
            </w:pPr>
            <w:r>
              <w:rPr>
                <w:color w:val="1C3A36"/>
                <w:sz w:val="15"/>
              </w:rPr>
              <w:t>09-Jul-26</w:t>
            </w:r>
          </w:p>
        </w:tc>
      </w:tr>
      <w:tr>
        <w:tc>
          <w:tcPr>
            <w:tcW w:type="dxa" w:w="1080"/>
          </w:tcPr>
          <w:p>
            <w:pPr>
              <w:spacing w:after="20"/>
            </w:pPr>
            <w:r>
              <w:rPr>
                <w:b/>
                <w:color w:val="1C3A36"/>
                <w:sz w:val="15"/>
              </w:rPr>
              <w:t>Country</w:t>
            </w:r>
          </w:p>
        </w:tc>
        <w:tc>
          <w:tcPr>
            <w:tcW w:type="dxa" w:w="792"/>
          </w:tcPr>
          <w:p>
            <w:pPr>
              <w:spacing w:after="20"/>
              <w:jc w:val="right"/>
            </w:pPr>
            <w:r>
              <w:rPr>
                <w:color w:val="1C3A36"/>
                <w:sz w:val="15"/>
              </w:rPr>
              <w:t>B</w:t>
            </w:r>
          </w:p>
        </w:tc>
        <w:tc>
          <w:tcPr>
            <w:tcW w:type="dxa" w:w="4896"/>
          </w:tcPr>
          <w:p>
            <w:pPr>
              <w:spacing w:after="20"/>
              <w:jc w:val="right"/>
            </w:pPr>
            <w:r>
              <w:rPr>
                <w:color w:val="1C3A36"/>
                <w:sz w:val="15"/>
              </w:rPr>
              <w:t>Egypt 10Y 22.31% print 21-Jul-26 (May-26 avg 21.3; Jul-26 3Y auction 23.3 — early-Aug band ~22.3–23.0); 5Y CDS 270 (Jan) → ~330 (late-May, war) → ~296 (Jun, retightening)</w:t>
            </w:r>
          </w:p>
        </w:tc>
        <w:tc>
          <w:tcPr>
            <w:tcW w:type="dxa" w:w="2088"/>
          </w:tcPr>
          <w:p>
            <w:pPr>
              <w:spacing w:after="20"/>
              <w:jc w:val="right"/>
            </w:pPr>
            <w:r>
              <w:rPr>
                <w:color w:val="1C3A36"/>
                <w:sz w:val="15"/>
              </w:rPr>
              <w:t>investing.com; MoF; MacroMicro</w:t>
            </w:r>
          </w:p>
        </w:tc>
        <w:tc>
          <w:tcPr>
            <w:tcW w:type="dxa" w:w="1224"/>
          </w:tcPr>
          <w:p>
            <w:pPr>
              <w:spacing w:after="20"/>
              <w:jc w:val="right"/>
            </w:pPr>
            <w:r>
              <w:rPr>
                <w:color w:val="1C3A36"/>
                <w:sz w:val="15"/>
              </w:rPr>
              <w:t>May–Aug-26</w:t>
            </w:r>
          </w:p>
        </w:tc>
      </w:tr>
      <w:tr>
        <w:tc>
          <w:tcPr>
            <w:tcW w:type="dxa" w:w="1080"/>
          </w:tcPr>
          <w:p>
            <w:pPr>
              <w:spacing w:after="20"/>
            </w:pPr>
            <w:r>
              <w:rPr>
                <w:b/>
                <w:color w:val="1C3A36"/>
                <w:sz w:val="15"/>
              </w:rPr>
              <w:t>Country</w:t>
            </w:r>
          </w:p>
        </w:tc>
        <w:tc>
          <w:tcPr>
            <w:tcW w:type="dxa" w:w="792"/>
          </w:tcPr>
          <w:p>
            <w:pPr>
              <w:spacing w:after="20"/>
              <w:jc w:val="right"/>
            </w:pPr>
            <w:r>
              <w:rPr>
                <w:color w:val="1C3A36"/>
                <w:sz w:val="15"/>
              </w:rPr>
              <w:t>S/D</w:t>
            </w:r>
          </w:p>
        </w:tc>
        <w:tc>
          <w:tcPr>
            <w:tcW w:type="dxa" w:w="4896"/>
          </w:tcPr>
          <w:p>
            <w:pPr>
              <w:spacing w:after="20"/>
              <w:jc w:val="right"/>
            </w:pPr>
            <w:r>
              <w:rPr>
                <w:color w:val="1C3A36"/>
                <w:sz w:val="15"/>
              </w:rPr>
              <w:t>EETC EGP 45bn FY25/26 plan; EGP 26.5bn spent FY24/25; EU €690mn package 15-Jun-26 (22GW hookups by 2030)</w:t>
            </w:r>
          </w:p>
        </w:tc>
        <w:tc>
          <w:tcPr>
            <w:tcW w:type="dxa" w:w="2088"/>
          </w:tcPr>
          <w:p>
            <w:pPr>
              <w:spacing w:after="20"/>
              <w:jc w:val="right"/>
            </w:pPr>
            <w:r>
              <w:rPr>
                <w:color w:val="1C3A36"/>
                <w:sz w:val="15"/>
              </w:rPr>
              <w:t>DNE; EEAS</w:t>
            </w:r>
          </w:p>
        </w:tc>
        <w:tc>
          <w:tcPr>
            <w:tcW w:type="dxa" w:w="1224"/>
          </w:tcPr>
          <w:p>
            <w:pPr>
              <w:spacing w:after="20"/>
              <w:jc w:val="right"/>
            </w:pPr>
            <w:r>
              <w:rPr>
                <w:color w:val="1C3A36"/>
                <w:sz w:val="15"/>
              </w:rPr>
              <w:t>Nov-25–Jun-26</w:t>
            </w:r>
          </w:p>
        </w:tc>
      </w:tr>
      <w:tr>
        <w:tc>
          <w:tcPr>
            <w:tcW w:type="dxa" w:w="1080"/>
          </w:tcPr>
          <w:p>
            <w:pPr>
              <w:spacing w:after="20"/>
            </w:pPr>
            <w:r>
              <w:rPr>
                <w:b/>
                <w:color w:val="1C3A36"/>
                <w:sz w:val="15"/>
              </w:rPr>
              <w:t>Country</w:t>
            </w:r>
          </w:p>
        </w:tc>
        <w:tc>
          <w:tcPr>
            <w:tcW w:type="dxa" w:w="792"/>
          </w:tcPr>
          <w:p>
            <w:pPr>
              <w:spacing w:after="20"/>
              <w:jc w:val="right"/>
            </w:pPr>
            <w:r>
              <w:rPr>
                <w:color w:val="1C3A36"/>
                <w:sz w:val="15"/>
              </w:rPr>
              <w:t>B</w:t>
            </w:r>
          </w:p>
        </w:tc>
        <w:tc>
          <w:tcPr>
            <w:tcW w:type="dxa" w:w="4896"/>
          </w:tcPr>
          <w:p>
            <w:pPr>
              <w:spacing w:after="20"/>
              <w:jc w:val="right"/>
            </w:pPr>
            <w:r>
              <w:rPr>
                <w:color w:val="1C3A36"/>
                <w:sz w:val="15"/>
              </w:rPr>
              <w:t>EGP ~49.8 spot; 52-week path 46.8 (Feb-26) → ~54.7 (Apr-26 war spike) → 49.8 — a nominal round-trip that is still a large REAL appreciation given the inflation differential</w:t>
            </w:r>
          </w:p>
        </w:tc>
        <w:tc>
          <w:tcPr>
            <w:tcW w:type="dxa" w:w="2088"/>
          </w:tcPr>
          <w:p>
            <w:pPr>
              <w:spacing w:after="20"/>
              <w:jc w:val="right"/>
            </w:pPr>
            <w:r>
              <w:rPr>
                <w:color w:val="1C3A36"/>
                <w:sz w:val="15"/>
              </w:rPr>
              <w:t>Xe; exchangerates.org.uk; Bloomberg</w:t>
            </w:r>
          </w:p>
        </w:tc>
        <w:tc>
          <w:tcPr>
            <w:tcW w:type="dxa" w:w="1224"/>
          </w:tcPr>
          <w:p>
            <w:pPr>
              <w:spacing w:after="20"/>
              <w:jc w:val="right"/>
            </w:pPr>
            <w:r>
              <w:rPr>
                <w:color w:val="1C3A36"/>
                <w:sz w:val="15"/>
              </w:rPr>
              <w:t>Aug-26</w:t>
            </w:r>
          </w:p>
        </w:tc>
      </w:tr>
      <w:tr>
        <w:tc>
          <w:tcPr>
            <w:tcW w:type="dxa" w:w="1080"/>
          </w:tcPr>
          <w:p>
            <w:pPr>
              <w:spacing w:after="20"/>
            </w:pPr>
            <w:r>
              <w:rPr>
                <w:b/>
                <w:color w:val="1C3A36"/>
                <w:sz w:val="15"/>
              </w:rPr>
              <w:t>Country</w:t>
            </w:r>
          </w:p>
        </w:tc>
        <w:tc>
          <w:tcPr>
            <w:tcW w:type="dxa" w:w="792"/>
          </w:tcPr>
          <w:p>
            <w:pPr>
              <w:spacing w:after="20"/>
              <w:jc w:val="right"/>
            </w:pPr>
            <w:r>
              <w:rPr>
                <w:color w:val="1C3A36"/>
                <w:sz w:val="15"/>
              </w:rPr>
              <w:t>B</w:t>
            </w:r>
          </w:p>
        </w:tc>
        <w:tc>
          <w:tcPr>
            <w:tcW w:type="dxa" w:w="4896"/>
          </w:tcPr>
          <w:p>
            <w:pPr>
              <w:spacing w:after="20"/>
              <w:jc w:val="right"/>
            </w:pPr>
            <w:r>
              <w:rPr>
                <w:color w:val="1C3A36"/>
                <w:sz w:val="15"/>
              </w:rPr>
              <w:t>Corporate tax confirmed 22.5%, unchanged</w:t>
            </w:r>
          </w:p>
        </w:tc>
        <w:tc>
          <w:tcPr>
            <w:tcW w:type="dxa" w:w="2088"/>
          </w:tcPr>
          <w:p>
            <w:pPr>
              <w:spacing w:after="20"/>
              <w:jc w:val="right"/>
            </w:pPr>
            <w:r>
              <w:rPr>
                <w:color w:val="1C3A36"/>
                <w:sz w:val="15"/>
              </w:rPr>
              <w:t>PwC Tax Summaries</w:t>
            </w:r>
          </w:p>
        </w:tc>
        <w:tc>
          <w:tcPr>
            <w:tcW w:type="dxa" w:w="1224"/>
          </w:tcPr>
          <w:p>
            <w:pPr>
              <w:spacing w:after="20"/>
              <w:jc w:val="right"/>
            </w:pPr>
            <w:r>
              <w:rPr>
                <w:color w:val="1C3A36"/>
                <w:sz w:val="15"/>
              </w:rPr>
              <w:t>2026</w:t>
            </w:r>
          </w:p>
        </w:tc>
      </w:tr>
      <w:tr>
        <w:tc>
          <w:tcPr>
            <w:tcW w:type="dxa" w:w="1080"/>
          </w:tcPr>
          <w:p>
            <w:pPr>
              <w:spacing w:after="20"/>
            </w:pPr>
            <w:r>
              <w:rPr>
                <w:b/>
                <w:color w:val="1C3A36"/>
                <w:sz w:val="15"/>
              </w:rPr>
              <w:t>Industry</w:t>
            </w:r>
          </w:p>
        </w:tc>
        <w:tc>
          <w:tcPr>
            <w:tcW w:type="dxa" w:w="792"/>
          </w:tcPr>
          <w:p>
            <w:pPr>
              <w:spacing w:after="20"/>
              <w:jc w:val="right"/>
            </w:pPr>
            <w:r>
              <w:rPr>
                <w:color w:val="1C3A36"/>
                <w:sz w:val="15"/>
              </w:rPr>
              <w:t>S</w:t>
            </w:r>
          </w:p>
        </w:tc>
        <w:tc>
          <w:tcPr>
            <w:tcW w:type="dxa" w:w="4896"/>
          </w:tcPr>
          <w:p>
            <w:pPr>
              <w:spacing w:after="20"/>
              <w:jc w:val="right"/>
            </w:pPr>
            <w:r>
              <w:rPr>
                <w:color w:val="1C3A36"/>
                <w:sz w:val="15"/>
              </w:rPr>
              <w:t>Egypt power-cable market ~6.7% CAGR 2026-32; Elsewedy W&amp;C grew low-teens in FY25 (H1 +12.3%; the widely quoted +66% is FY2024) — demand support, not proof</w:t>
            </w:r>
          </w:p>
        </w:tc>
        <w:tc>
          <w:tcPr>
            <w:tcW w:type="dxa" w:w="2088"/>
          </w:tcPr>
          <w:p>
            <w:pPr>
              <w:spacing w:after="20"/>
              <w:jc w:val="right"/>
            </w:pPr>
            <w:r>
              <w:rPr>
                <w:color w:val="1C3A36"/>
                <w:sz w:val="15"/>
              </w:rPr>
              <w:t>6Wresearch; Elsewedy releases</w:t>
            </w:r>
          </w:p>
        </w:tc>
        <w:tc>
          <w:tcPr>
            <w:tcW w:type="dxa" w:w="1224"/>
          </w:tcPr>
          <w:p>
            <w:pPr>
              <w:spacing w:after="20"/>
              <w:jc w:val="right"/>
            </w:pPr>
            <w:r>
              <w:rPr>
                <w:color w:val="1C3A36"/>
                <w:sz w:val="15"/>
              </w:rPr>
              <w:t>2026</w:t>
            </w:r>
          </w:p>
        </w:tc>
      </w:tr>
      <w:tr>
        <w:tc>
          <w:tcPr>
            <w:tcW w:type="dxa" w:w="1080"/>
          </w:tcPr>
          <w:p>
            <w:pPr>
              <w:spacing w:after="20"/>
            </w:pPr>
            <w:r>
              <w:rPr>
                <w:b/>
                <w:color w:val="1C3A36"/>
                <w:sz w:val="15"/>
              </w:rPr>
              <w:t>Industry</w:t>
            </w:r>
          </w:p>
        </w:tc>
        <w:tc>
          <w:tcPr>
            <w:tcW w:type="dxa" w:w="792"/>
          </w:tcPr>
          <w:p>
            <w:pPr>
              <w:spacing w:after="20"/>
              <w:jc w:val="right"/>
            </w:pPr>
            <w:r>
              <w:rPr>
                <w:color w:val="1C3A36"/>
                <w:sz w:val="15"/>
              </w:rPr>
              <w:t>S</w:t>
            </w:r>
          </w:p>
        </w:tc>
        <w:tc>
          <w:tcPr>
            <w:tcW w:type="dxa" w:w="4896"/>
          </w:tcPr>
          <w:p>
            <w:pPr>
              <w:spacing w:after="20"/>
              <w:jc w:val="right"/>
            </w:pPr>
            <w:r>
              <w:rPr>
                <w:color w:val="1C3A36"/>
                <w:sz w:val="15"/>
              </w:rPr>
              <w:t>LME-linked pass-through pricing with raw-material clauses; margins structurally thin; scale + funding decide winners</w:t>
            </w:r>
          </w:p>
        </w:tc>
        <w:tc>
          <w:tcPr>
            <w:tcW w:type="dxa" w:w="2088"/>
          </w:tcPr>
          <w:p>
            <w:pPr>
              <w:spacing w:after="20"/>
              <w:jc w:val="right"/>
            </w:pPr>
            <w:r>
              <w:rPr>
                <w:color w:val="1C3A36"/>
                <w:sz w:val="15"/>
              </w:rPr>
              <w:t>IndexBox</w:t>
            </w:r>
          </w:p>
        </w:tc>
        <w:tc>
          <w:tcPr>
            <w:tcW w:type="dxa" w:w="1224"/>
          </w:tcPr>
          <w:p>
            <w:pPr>
              <w:spacing w:after="20"/>
              <w:jc w:val="right"/>
            </w:pPr>
            <w:r>
              <w:rPr>
                <w:color w:val="1C3A36"/>
                <w:sz w:val="15"/>
              </w:rPr>
              <w:t>2025-26</w:t>
            </w:r>
          </w:p>
        </w:tc>
      </w:tr>
      <w:tr>
        <w:tc>
          <w:tcPr>
            <w:tcW w:type="dxa" w:w="1080"/>
          </w:tcPr>
          <w:p>
            <w:pPr>
              <w:spacing w:after="20"/>
            </w:pPr>
            <w:r>
              <w:rPr>
                <w:b/>
                <w:color w:val="1C3A36"/>
                <w:sz w:val="15"/>
              </w:rPr>
              <w:t>Industry</w:t>
            </w:r>
          </w:p>
        </w:tc>
        <w:tc>
          <w:tcPr>
            <w:tcW w:type="dxa" w:w="792"/>
          </w:tcPr>
          <w:p>
            <w:pPr>
              <w:spacing w:after="20"/>
              <w:jc w:val="right"/>
            </w:pPr>
            <w:r>
              <w:rPr>
                <w:color w:val="1C3A36"/>
                <w:sz w:val="15"/>
              </w:rPr>
              <w:t>D</w:t>
            </w:r>
          </w:p>
        </w:tc>
        <w:tc>
          <w:tcPr>
            <w:tcW w:type="dxa" w:w="4896"/>
          </w:tcPr>
          <w:p>
            <w:pPr>
              <w:spacing w:after="20"/>
              <w:jc w:val="right"/>
            </w:pPr>
            <w:r>
              <w:rPr>
                <w:color w:val="1C3A36"/>
                <w:sz w:val="15"/>
              </w:rPr>
              <w:t>Egypt–Saudi $1.8bn/3,000MW interconnector: 95% complete (Oct-25), final testing entered Feb-26, commercial operation POSTPONED to end-2026 (Jun-26 announcement)</w:t>
            </w:r>
          </w:p>
        </w:tc>
        <w:tc>
          <w:tcPr>
            <w:tcW w:type="dxa" w:w="2088"/>
          </w:tcPr>
          <w:p>
            <w:pPr>
              <w:spacing w:after="20"/>
              <w:jc w:val="right"/>
            </w:pPr>
            <w:r>
              <w:rPr>
                <w:color w:val="1C3A36"/>
                <w:sz w:val="15"/>
              </w:rPr>
              <w:t>DNE; Zawya; Shorouk</w:t>
            </w:r>
          </w:p>
        </w:tc>
        <w:tc>
          <w:tcPr>
            <w:tcW w:type="dxa" w:w="1224"/>
          </w:tcPr>
          <w:p>
            <w:pPr>
              <w:spacing w:after="20"/>
              <w:jc w:val="right"/>
            </w:pPr>
            <w:r>
              <w:rPr>
                <w:color w:val="1C3A36"/>
                <w:sz w:val="15"/>
              </w:rPr>
              <w:t>Oct-25–Jun-26</w:t>
            </w:r>
          </w:p>
        </w:tc>
      </w:tr>
      <w:tr>
        <w:tc>
          <w:tcPr>
            <w:tcW w:type="dxa" w:w="1080"/>
          </w:tcPr>
          <w:p>
            <w:pPr>
              <w:spacing w:after="20"/>
            </w:pPr>
            <w:r>
              <w:rPr>
                <w:b/>
                <w:color w:val="1C3A36"/>
                <w:sz w:val="15"/>
              </w:rPr>
              <w:t>Company</w:t>
            </w:r>
          </w:p>
        </w:tc>
        <w:tc>
          <w:tcPr>
            <w:tcW w:type="dxa" w:w="792"/>
          </w:tcPr>
          <w:p>
            <w:pPr>
              <w:spacing w:after="20"/>
              <w:jc w:val="right"/>
            </w:pPr>
            <w:r>
              <w:rPr>
                <w:color w:val="1C3A36"/>
                <w:sz w:val="15"/>
              </w:rPr>
              <w:t>C</w:t>
            </w:r>
          </w:p>
        </w:tc>
        <w:tc>
          <w:tcPr>
            <w:tcW w:type="dxa" w:w="4896"/>
          </w:tcPr>
          <w:p>
            <w:pPr>
              <w:spacing w:after="20"/>
              <w:jc w:val="right"/>
            </w:pPr>
            <w:r>
              <w:rPr>
                <w:color w:val="1C3A36"/>
                <w:sz w:val="15"/>
              </w:rPr>
              <w:t>FY25 NP −62% to 500.3mn; 1Q26 net LOSS 241.6mn on sales −44% — the windfall is over</w:t>
            </w:r>
          </w:p>
        </w:tc>
        <w:tc>
          <w:tcPr>
            <w:tcW w:type="dxa" w:w="2088"/>
          </w:tcPr>
          <w:p>
            <w:pPr>
              <w:spacing w:after="20"/>
              <w:jc w:val="right"/>
            </w:pPr>
            <w:r>
              <w:rPr>
                <w:color w:val="1C3A36"/>
                <w:sz w:val="15"/>
              </w:rPr>
              <w:t>Zawya; Arab Finance</w:t>
            </w:r>
          </w:p>
        </w:tc>
        <w:tc>
          <w:tcPr>
            <w:tcW w:type="dxa" w:w="1224"/>
          </w:tcPr>
          <w:p>
            <w:pPr>
              <w:spacing w:after="20"/>
              <w:jc w:val="right"/>
            </w:pPr>
            <w:r>
              <w:rPr>
                <w:color w:val="1C3A36"/>
                <w:sz w:val="15"/>
              </w:rPr>
              <w:t>Mar/May-26</w:t>
            </w:r>
          </w:p>
        </w:tc>
      </w:tr>
      <w:tr>
        <w:tc>
          <w:tcPr>
            <w:tcW w:type="dxa" w:w="1080"/>
          </w:tcPr>
          <w:p>
            <w:pPr>
              <w:spacing w:after="20"/>
            </w:pPr>
            <w:r>
              <w:rPr>
                <w:b/>
                <w:color w:val="1C3A36"/>
                <w:sz w:val="15"/>
              </w:rPr>
              <w:t>Company</w:t>
            </w:r>
          </w:p>
        </w:tc>
        <w:tc>
          <w:tcPr>
            <w:tcW w:type="dxa" w:w="792"/>
          </w:tcPr>
          <w:p>
            <w:pPr>
              <w:spacing w:after="20"/>
              <w:jc w:val="right"/>
            </w:pPr>
            <w:r>
              <w:rPr>
                <w:color w:val="1C3A36"/>
                <w:sz w:val="15"/>
              </w:rPr>
              <w:t>C</w:t>
            </w:r>
          </w:p>
        </w:tc>
        <w:tc>
          <w:tcPr>
            <w:tcW w:type="dxa" w:w="4896"/>
          </w:tcPr>
          <w:p>
            <w:pPr>
              <w:spacing w:after="20"/>
              <w:jc w:val="right"/>
            </w:pPr>
            <w:r>
              <w:rPr>
                <w:color w:val="1C3A36"/>
                <w:sz w:val="15"/>
              </w:rPr>
              <w:t>FY24-vintage: debt ~9bn, equity ~3.6bn, D/E 248% (was 36%), OCF negative, coverage 2.0×</w:t>
            </w:r>
          </w:p>
        </w:tc>
        <w:tc>
          <w:tcPr>
            <w:tcW w:type="dxa" w:w="2088"/>
          </w:tcPr>
          <w:p>
            <w:pPr>
              <w:spacing w:after="20"/>
              <w:jc w:val="right"/>
            </w:pPr>
            <w:r>
              <w:rPr>
                <w:color w:val="1C3A36"/>
                <w:sz w:val="15"/>
              </w:rPr>
              <w:t>Simply Wall St</w:t>
            </w:r>
          </w:p>
        </w:tc>
        <w:tc>
          <w:tcPr>
            <w:tcW w:type="dxa" w:w="1224"/>
          </w:tcPr>
          <w:p>
            <w:pPr>
              <w:spacing w:after="20"/>
              <w:jc w:val="right"/>
            </w:pPr>
            <w:r>
              <w:rPr>
                <w:color w:val="1C3A36"/>
                <w:sz w:val="15"/>
              </w:rPr>
              <w:t>May-25</w:t>
            </w:r>
          </w:p>
        </w:tc>
      </w:tr>
      <w:tr>
        <w:tc>
          <w:tcPr>
            <w:tcW w:type="dxa" w:w="1080"/>
          </w:tcPr>
          <w:p>
            <w:pPr>
              <w:spacing w:after="20"/>
            </w:pPr>
            <w:r>
              <w:rPr>
                <w:b/>
                <w:color w:val="1C3A36"/>
                <w:sz w:val="15"/>
              </w:rPr>
              <w:t>Company</w:t>
            </w:r>
          </w:p>
        </w:tc>
        <w:tc>
          <w:tcPr>
            <w:tcW w:type="dxa" w:w="792"/>
          </w:tcPr>
          <w:p>
            <w:pPr>
              <w:spacing w:after="20"/>
              <w:jc w:val="right"/>
            </w:pPr>
            <w:r>
              <w:rPr>
                <w:color w:val="1C3A36"/>
                <w:sz w:val="15"/>
              </w:rPr>
              <w:t>C/D</w:t>
            </w:r>
          </w:p>
        </w:tc>
        <w:tc>
          <w:tcPr>
            <w:tcW w:type="dxa" w:w="4896"/>
          </w:tcPr>
          <w:p>
            <w:pPr>
              <w:spacing w:after="20"/>
              <w:jc w:val="right"/>
            </w:pPr>
            <w:r>
              <w:rPr>
                <w:color w:val="1C3A36"/>
                <w:sz w:val="15"/>
              </w:rPr>
              <w:t>Related-party group 81.2% (Mar-25) → 66.72% (05-Jul-26): Alhsn 88mn sh @2.00 (01-Jul-26); Mashareq partial cuts @2.21–2.33 (Feb-26, holds ~0.8%)</w:t>
            </w:r>
          </w:p>
        </w:tc>
        <w:tc>
          <w:tcPr>
            <w:tcW w:type="dxa" w:w="2088"/>
          </w:tcPr>
          <w:p>
            <w:pPr>
              <w:spacing w:after="20"/>
              <w:jc w:val="right"/>
            </w:pPr>
            <w:r>
              <w:rPr>
                <w:color w:val="1C3A36"/>
                <w:sz w:val="15"/>
              </w:rPr>
              <w:t>Hapi Journal; Arab Finance; Forbes ME</w:t>
            </w:r>
          </w:p>
        </w:tc>
        <w:tc>
          <w:tcPr>
            <w:tcW w:type="dxa" w:w="1224"/>
          </w:tcPr>
          <w:p>
            <w:pPr>
              <w:spacing w:after="20"/>
              <w:jc w:val="right"/>
            </w:pPr>
            <w:r>
              <w:rPr>
                <w:color w:val="1C3A36"/>
                <w:sz w:val="15"/>
              </w:rPr>
              <w:t>2025-26</w:t>
            </w:r>
          </w:p>
        </w:tc>
      </w:tr>
      <w:tr>
        <w:tc>
          <w:tcPr>
            <w:tcW w:type="dxa" w:w="1080"/>
          </w:tcPr>
          <w:p>
            <w:pPr>
              <w:spacing w:after="20"/>
            </w:pPr>
            <w:r>
              <w:rPr>
                <w:b/>
                <w:color w:val="1C3A36"/>
                <w:sz w:val="15"/>
              </w:rPr>
              <w:t>Company</w:t>
            </w:r>
          </w:p>
        </w:tc>
        <w:tc>
          <w:tcPr>
            <w:tcW w:type="dxa" w:w="792"/>
          </w:tcPr>
          <w:p>
            <w:pPr>
              <w:spacing w:after="20"/>
              <w:jc w:val="right"/>
            </w:pPr>
            <w:r>
              <w:rPr>
                <w:color w:val="1C3A36"/>
                <w:sz w:val="15"/>
              </w:rPr>
              <w:t>C</w:t>
            </w:r>
          </w:p>
        </w:tc>
        <w:tc>
          <w:tcPr>
            <w:tcW w:type="dxa" w:w="4896"/>
          </w:tcPr>
          <w:p>
            <w:pPr>
              <w:spacing w:after="20"/>
              <w:jc w:val="right"/>
            </w:pPr>
            <w:r>
              <w:rPr>
                <w:color w:val="1C3A36"/>
                <w:sz w:val="15"/>
              </w:rPr>
              <w:t>No published estimates or targets located (one aggregator claims nominal coverage, zero estimates submitted); no dividend in the disclosed record; no capital increase 2024-26</w:t>
            </w:r>
          </w:p>
        </w:tc>
        <w:tc>
          <w:tcPr>
            <w:tcW w:type="dxa" w:w="2088"/>
          </w:tcPr>
          <w:p>
            <w:pPr>
              <w:spacing w:after="20"/>
              <w:jc w:val="right"/>
            </w:pPr>
            <w:r>
              <w:rPr>
                <w:color w:val="1C3A36"/>
                <w:sz w:val="15"/>
              </w:rPr>
              <w:t>sweep + aggregators</w:t>
            </w:r>
          </w:p>
        </w:tc>
        <w:tc>
          <w:tcPr>
            <w:tcW w:type="dxa" w:w="1224"/>
          </w:tcPr>
          <w:p>
            <w:pPr>
              <w:spacing w:after="20"/>
              <w:jc w:val="right"/>
            </w:pPr>
            <w:r>
              <w:rPr>
                <w:color w:val="1C3A36"/>
                <w:sz w:val="15"/>
              </w:rPr>
              <w:t>05-Aug-26</w:t>
            </w:r>
          </w:p>
        </w:tc>
      </w:tr>
      <w:tr>
        <w:tc>
          <w:tcPr>
            <w:tcW w:type="dxa" w:w="1080"/>
          </w:tcPr>
          <w:p>
            <w:pPr>
              <w:spacing w:after="20"/>
            </w:pPr>
            <w:r>
              <w:rPr>
                <w:b/>
                <w:color w:val="1C3A36"/>
                <w:sz w:val="15"/>
              </w:rPr>
              <w:t>Company</w:t>
            </w:r>
          </w:p>
        </w:tc>
        <w:tc>
          <w:tcPr>
            <w:tcW w:type="dxa" w:w="792"/>
          </w:tcPr>
          <w:p>
            <w:pPr>
              <w:spacing w:after="20"/>
              <w:jc w:val="right"/>
            </w:pPr>
            <w:r>
              <w:rPr>
                <w:color w:val="1C3A36"/>
                <w:sz w:val="15"/>
              </w:rPr>
              <w:t>C</w:t>
            </w:r>
          </w:p>
        </w:tc>
        <w:tc>
          <w:tcPr>
            <w:tcW w:type="dxa" w:w="4896"/>
          </w:tcPr>
          <w:p>
            <w:pPr>
              <w:spacing w:after="20"/>
              <w:jc w:val="right"/>
            </w:pPr>
            <w:r>
              <w:rPr>
                <w:color w:val="1C3A36"/>
                <w:sz w:val="15"/>
              </w:rPr>
              <w:t>Audited FS PDFs unreachable (company site &amp; disclosure hosts blocked) — derived lines flagged throughout</w:t>
            </w:r>
          </w:p>
        </w:tc>
        <w:tc>
          <w:tcPr>
            <w:tcW w:type="dxa" w:w="2088"/>
          </w:tcPr>
          <w:p>
            <w:pPr>
              <w:spacing w:after="20"/>
              <w:jc w:val="right"/>
            </w:pPr>
            <w:r>
              <w:rPr>
                <w:color w:val="1C3A36"/>
                <w:sz w:val="15"/>
              </w:rPr>
              <w:t>access log</w:t>
            </w:r>
          </w:p>
        </w:tc>
        <w:tc>
          <w:tcPr>
            <w:tcW w:type="dxa" w:w="1224"/>
          </w:tcPr>
          <w:p>
            <w:pPr>
              <w:spacing w:after="20"/>
              <w:jc w:val="right"/>
            </w:pPr>
            <w:r>
              <w:rPr>
                <w:color w:val="1C3A36"/>
                <w:sz w:val="15"/>
              </w:rPr>
              <w:t>05-Aug-26</w:t>
            </w:r>
          </w:p>
        </w:tc>
      </w:tr>
    </w:tbl>
    <w:p>
      <w:pPr>
        <w:spacing w:after="40"/>
      </w:pPr>
    </w:p>
    <w:p>
      <w:pPr>
        <w:spacing w:after="200" w:before="0"/>
      </w:pPr>
      <w:r>
        <w:rPr>
          <w:b w:val="0"/>
          <w:i/>
          <w:color w:val="6E7B77"/>
          <w:sz w:val="17"/>
        </w:rPr>
        <w:t>Class: B = backdrop · S = structural · D = discrete/event · C = company-specific.</w:t>
      </w:r>
    </w:p>
    <w:p>
      <w:pPr>
        <w:spacing w:after="120" w:before="280"/>
      </w:pPr>
      <w:r>
        <w:rPr>
          <w:b/>
          <w:i w:val="0"/>
          <w:color w:val="1C3A36"/>
          <w:sz w:val="30"/>
        </w:rPr>
        <w:t>Appendix C  The expert valuation panel</w:t>
      </w:r>
    </w:p>
    <w:p>
      <w:pPr>
        <w:spacing w:after="120" w:before="0"/>
      </w:pPr>
      <w:r>
        <w:rPr>
          <w:b w:val="0"/>
          <w:i w:val="0"/>
          <w:color w:val="1C3A36"/>
          <w:sz w:val="21"/>
        </w:rPr>
        <w:t>Every study closes with a panel of standing expert methods — each expert runs a genuinely different method, derives a fair value from shown workings, and states the evidence that would falsify it. For ELEC we cast the earnings-power lens, the accountant’s owner-cash-earnings lens, and the cash-returns lens — the three methods that disagree most productively on a levered cyclical.</w:t>
      </w:r>
    </w:p>
    <w:p>
      <w:pPr>
        <w:spacing w:after="80" w:before="200"/>
      </w:pPr>
      <w:r>
        <w:rPr>
          <w:b/>
          <w:i w:val="0"/>
          <w:color w:val="1C3A36"/>
          <w:sz w:val="24"/>
        </w:rPr>
        <w:t>C.1  Expert 1 — earnings power: normalized EPS at a justified multiple</w:t>
      </w:r>
    </w:p>
    <w:p>
      <w:pPr>
        <w:spacing w:after="120" w:before="0"/>
      </w:pPr>
      <w:r>
        <w:rPr>
          <w:b w:val="0"/>
          <w:i w:val="0"/>
          <w:color w:val="1C3A36"/>
          <w:sz w:val="19"/>
        </w:rPr>
        <w:t>Worldview. A cyclical is worth a fair multiple of its mid-cycle earnings; both the windfall peak and the washout trough are noise to be stripped.</w:t>
      </w:r>
    </w:p>
    <w:p>
      <w:pPr>
        <w:spacing w:after="120" w:before="0"/>
      </w:pPr>
      <w:r>
        <w:rPr>
          <w:b w:val="0"/>
          <w:i w:val="0"/>
          <w:color w:val="1C3A36"/>
          <w:sz w:val="19"/>
        </w:rPr>
        <w:t>When it works / fails. Best with a long through-cycle record; vulnerable when “mid-cycle” itself is contested — exactly the ELEC problem: is normal 14% EBITDA margin or 25%?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448"/>
      </w:tblGrid>
      <w:tr>
        <w:tc>
          <w:tcPr>
            <w:tcW w:type="dxa" w:w="6336"/>
            <w:shd w:val="clear" w:color="auto" w:fill="EAF0EE"/>
          </w:tcPr>
          <w:p>
            <w:pPr>
              <w:spacing w:after="20"/>
            </w:pPr>
            <w:r>
              <w:rPr>
                <w:b/>
                <w:color w:val="1C3A36"/>
                <w:sz w:val="18"/>
              </w:rPr>
              <w:t>Expert 1’s build</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Mid-cycle revenue (FY28E-scale)</w:t>
            </w:r>
          </w:p>
        </w:tc>
        <w:tc>
          <w:tcPr>
            <w:tcW w:type="dxa" w:w="2448"/>
          </w:tcPr>
          <w:p>
            <w:pPr>
              <w:spacing w:after="20"/>
              <w:jc w:val="right"/>
            </w:pPr>
            <w:r>
              <w:rPr>
                <w:color w:val="1C3A36"/>
                <w:sz w:val="18"/>
              </w:rPr>
              <w:t>13,921</w:t>
            </w:r>
          </w:p>
        </w:tc>
      </w:tr>
      <w:tr>
        <w:tc>
          <w:tcPr>
            <w:tcW w:type="dxa" w:w="6336"/>
          </w:tcPr>
          <w:p>
            <w:pPr>
              <w:spacing w:after="20"/>
            </w:pPr>
            <w:r>
              <w:rPr>
                <w:b/>
                <w:color w:val="1C3A36"/>
                <w:sz w:val="18"/>
              </w:rPr>
              <w:t>Mid-cycle EBITDA margin (the FY28E tonnage-build output)</w:t>
            </w:r>
          </w:p>
        </w:tc>
        <w:tc>
          <w:tcPr>
            <w:tcW w:type="dxa" w:w="2448"/>
          </w:tcPr>
          <w:p>
            <w:pPr>
              <w:spacing w:after="20"/>
              <w:jc w:val="right"/>
            </w:pPr>
            <w:r>
              <w:rPr>
                <w:color w:val="1C3A36"/>
                <w:sz w:val="18"/>
              </w:rPr>
              <w:t>11.1%</w:t>
            </w:r>
          </w:p>
        </w:tc>
      </w:tr>
      <w:tr>
        <w:tc>
          <w:tcPr>
            <w:tcW w:type="dxa" w:w="6336"/>
          </w:tcPr>
          <w:p>
            <w:pPr>
              <w:spacing w:after="20"/>
            </w:pPr>
            <w:r>
              <w:rPr>
                <w:b/>
                <w:color w:val="1C3A36"/>
                <w:sz w:val="18"/>
              </w:rPr>
              <w:t>Normalized net profit (after 15% money on ~6bn net debt)</w:t>
            </w:r>
          </w:p>
        </w:tc>
        <w:tc>
          <w:tcPr>
            <w:tcW w:type="dxa" w:w="2448"/>
          </w:tcPr>
          <w:p>
            <w:pPr>
              <w:spacing w:after="20"/>
              <w:jc w:val="right"/>
            </w:pPr>
            <w:r>
              <w:rPr>
                <w:color w:val="1C3A36"/>
                <w:sz w:val="18"/>
              </w:rPr>
              <w:t>357</w:t>
            </w:r>
          </w:p>
        </w:tc>
      </w:tr>
      <w:tr>
        <w:tc>
          <w:tcPr>
            <w:tcW w:type="dxa" w:w="6336"/>
          </w:tcPr>
          <w:p>
            <w:pPr>
              <w:spacing w:after="20"/>
            </w:pPr>
            <w:r>
              <w:rPr>
                <w:b/>
                <w:color w:val="1C3A36"/>
                <w:sz w:val="18"/>
              </w:rPr>
              <w:t>Normalized EPS</w:t>
            </w:r>
          </w:p>
        </w:tc>
        <w:tc>
          <w:tcPr>
            <w:tcW w:type="dxa" w:w="2448"/>
          </w:tcPr>
          <w:p>
            <w:pPr>
              <w:spacing w:after="20"/>
              <w:jc w:val="right"/>
            </w:pPr>
            <w:r>
              <w:rPr>
                <w:color w:val="1C3A36"/>
                <w:sz w:val="18"/>
              </w:rPr>
              <w:t>0.11</w:t>
            </w:r>
          </w:p>
        </w:tc>
      </w:tr>
      <w:tr>
        <w:tc>
          <w:tcPr>
            <w:tcW w:type="dxa" w:w="6336"/>
          </w:tcPr>
          <w:p>
            <w:pPr>
              <w:spacing w:after="20"/>
            </w:pPr>
            <w:r>
              <w:rPr>
                <w:b/>
                <w:color w:val="1C3A36"/>
                <w:sz w:val="18"/>
              </w:rPr>
              <w:t>Justified through-cycle P/E</w:t>
            </w:r>
          </w:p>
        </w:tc>
        <w:tc>
          <w:tcPr>
            <w:tcW w:type="dxa" w:w="2448"/>
          </w:tcPr>
          <w:p>
            <w:pPr>
              <w:spacing w:after="20"/>
              <w:jc w:val="right"/>
            </w:pPr>
            <w:r>
              <w:rPr>
                <w:color w:val="1C3A36"/>
                <w:sz w:val="18"/>
              </w:rPr>
              <w:t>6.5×</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EGP 0.70</w:t>
            </w:r>
          </w:p>
        </w:tc>
      </w:tr>
    </w:tbl>
    <w:p>
      <w:pPr>
        <w:spacing w:after="40"/>
      </w:pPr>
    </w:p>
    <w:p>
      <w:pPr>
        <w:spacing w:after="120" w:before="0"/>
      </w:pPr>
      <w:r>
        <w:rPr>
          <w:b w:val="0"/>
          <w:i w:val="0"/>
          <w:color w:val="1C3A36"/>
          <w:sz w:val="19"/>
        </w:rPr>
        <w:t>Sensitivity (swing = the margin and the multiple): at 8× on the same earnings, 1.36; at 5.5× on bear-margin earnings, 0.24. Falsified by two consecutive halves of EBITDA margin above ~20% without currency help — that would prove the windfall margins were partly structural.</w:t>
      </w:r>
    </w:p>
    <w:p>
      <w:pPr>
        <w:spacing w:after="80" w:before="200"/>
      </w:pPr>
      <w:r>
        <w:rPr>
          <w:b/>
          <w:i w:val="0"/>
          <w:color w:val="1C3A36"/>
          <w:sz w:val="24"/>
        </w:rPr>
        <w:t>C.2  Expert 2 — the accountant: owner cash earnings from the statements</w:t>
      </w:r>
    </w:p>
    <w:p>
      <w:pPr>
        <w:spacing w:after="120" w:before="0"/>
      </w:pPr>
      <w:r>
        <w:rPr>
          <w:b w:val="0"/>
          <w:i w:val="0"/>
          <w:color w:val="1C3A36"/>
          <w:sz w:val="19"/>
        </w:rPr>
        <w:t>Worldview. Profit is an opinion; cash is a fact. Value only the earnings that historically became cash the owner could take out.</w:t>
      </w:r>
    </w:p>
    <w:p>
      <w:pPr>
        <w:spacing w:after="120" w:before="0"/>
      </w:pPr>
      <w:r>
        <w:rPr>
          <w:b w:val="0"/>
          <w:i w:val="0"/>
          <w:color w:val="1C3A36"/>
          <w:sz w:val="19"/>
        </w:rPr>
        <w:t>When it works / fails. Devastating on names whose profits pile up as receivables — ELEC precisely; unfair to genuine growth if the working-capital build eventually monetises.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448"/>
      </w:tblGrid>
      <w:tr>
        <w:tc>
          <w:tcPr>
            <w:tcW w:type="dxa" w:w="6336"/>
            <w:shd w:val="clear" w:color="auto" w:fill="EAF0EE"/>
          </w:tcPr>
          <w:p>
            <w:pPr>
              <w:spacing w:after="20"/>
            </w:pPr>
            <w:r>
              <w:rPr>
                <w:b/>
                <w:color w:val="1C3A36"/>
                <w:sz w:val="18"/>
              </w:rPr>
              <w:t>Expert 2’s ledger</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Reported cumulative NP FY23–FY25</w:t>
            </w:r>
          </w:p>
        </w:tc>
        <w:tc>
          <w:tcPr>
            <w:tcW w:type="dxa" w:w="2448"/>
          </w:tcPr>
          <w:p>
            <w:pPr>
              <w:spacing w:after="20"/>
              <w:jc w:val="right"/>
            </w:pPr>
            <w:r>
              <w:rPr>
                <w:color w:val="1C3A36"/>
                <w:sz w:val="18"/>
              </w:rPr>
              <w:t>3,076</w:t>
            </w:r>
          </w:p>
        </w:tc>
      </w:tr>
      <w:tr>
        <w:tc>
          <w:tcPr>
            <w:tcW w:type="dxa" w:w="6336"/>
          </w:tcPr>
          <w:p>
            <w:pPr>
              <w:spacing w:after="20"/>
            </w:pPr>
            <w:r>
              <w:rPr>
                <w:b/>
                <w:color w:val="1C3A36"/>
                <w:sz w:val="18"/>
              </w:rPr>
              <w:t>Of which converted to operating cash</w:t>
            </w:r>
          </w:p>
        </w:tc>
        <w:tc>
          <w:tcPr>
            <w:tcW w:type="dxa" w:w="2448"/>
          </w:tcPr>
          <w:p>
            <w:pPr>
              <w:spacing w:after="20"/>
              <w:jc w:val="right"/>
            </w:pPr>
            <w:r>
              <w:rPr>
                <w:color w:val="1C3A36"/>
                <w:sz w:val="18"/>
              </w:rPr>
              <w:t>≈ nil (OCF negative in FY23/24; FY25 ~+690 pre-finance, ~−1,460 after finance costs)</w:t>
            </w:r>
          </w:p>
        </w:tc>
      </w:tr>
      <w:tr>
        <w:tc>
          <w:tcPr>
            <w:tcW w:type="dxa" w:w="6336"/>
          </w:tcPr>
          <w:p>
            <w:pPr>
              <w:spacing w:after="20"/>
            </w:pPr>
            <w:r>
              <w:rPr>
                <w:b/>
                <w:color w:val="1C3A36"/>
                <w:sz w:val="18"/>
              </w:rPr>
              <w:t>Where it went</w:t>
            </w:r>
          </w:p>
        </w:tc>
        <w:tc>
          <w:tcPr>
            <w:tcW w:type="dxa" w:w="2448"/>
          </w:tcPr>
          <w:p>
            <w:pPr>
              <w:spacing w:after="20"/>
              <w:jc w:val="right"/>
            </w:pPr>
            <w:r>
              <w:rPr>
                <w:color w:val="1C3A36"/>
                <w:sz w:val="18"/>
              </w:rPr>
              <w:t>Receivables + inventory, funded by ~EGP 10.5bn of bank debt at 20%+ money</w:t>
            </w:r>
          </w:p>
        </w:tc>
      </w:tr>
      <w:tr>
        <w:tc>
          <w:tcPr>
            <w:tcW w:type="dxa" w:w="6336"/>
          </w:tcPr>
          <w:p>
            <w:pPr>
              <w:spacing w:after="20"/>
            </w:pPr>
            <w:r>
              <w:rPr>
                <w:b/>
                <w:color w:val="1C3A36"/>
                <w:sz w:val="18"/>
              </w:rPr>
              <w:t>Cash-earnings basis (FY27E EBIT less actual funding cost, after tax)</w:t>
            </w:r>
          </w:p>
        </w:tc>
        <w:tc>
          <w:tcPr>
            <w:tcW w:type="dxa" w:w="2448"/>
          </w:tcPr>
          <w:p>
            <w:pPr>
              <w:spacing w:after="20"/>
              <w:jc w:val="right"/>
            </w:pPr>
            <w:r>
              <w:rPr>
                <w:color w:val="1C3A36"/>
                <w:sz w:val="18"/>
              </w:rPr>
              <w:t>-985/yr — negative</w:t>
            </w:r>
          </w:p>
        </w:tc>
      </w:tr>
      <w:tr>
        <w:tc>
          <w:tcPr>
            <w:tcW w:type="dxa" w:w="6336"/>
          </w:tcPr>
          <w:p>
            <w:pPr>
              <w:spacing w:after="20"/>
            </w:pPr>
            <w:r>
              <w:rPr>
                <w:b/>
                <w:color w:val="1C3A36"/>
                <w:sz w:val="18"/>
              </w:rPr>
              <w:t>plus 35% credit toward the normalized-earnings figure</w:t>
            </w:r>
          </w:p>
        </w:tc>
        <w:tc>
          <w:tcPr>
            <w:tcW w:type="dxa" w:w="2448"/>
          </w:tcPr>
          <w:p>
            <w:pPr>
              <w:spacing w:after="20"/>
              <w:jc w:val="right"/>
            </w:pPr>
            <w:r>
              <w:rPr>
                <w:color w:val="1C3A36"/>
                <w:sz w:val="18"/>
              </w:rPr>
              <w:t>+469</w:t>
            </w:r>
          </w:p>
        </w:tc>
      </w:tr>
      <w:tr>
        <w:tc>
          <w:tcPr>
            <w:tcW w:type="dxa" w:w="6336"/>
          </w:tcPr>
          <w:p>
            <w:pPr>
              <w:spacing w:after="20"/>
            </w:pPr>
            <w:r>
              <w:rPr>
                <w:b/>
                <w:color w:val="1C3A36"/>
                <w:sz w:val="18"/>
              </w:rPr>
              <w:t>= creditable cash earnings before floor</w:t>
            </w:r>
          </w:p>
        </w:tc>
        <w:tc>
          <w:tcPr>
            <w:tcW w:type="dxa" w:w="2448"/>
          </w:tcPr>
          <w:p>
            <w:pPr>
              <w:spacing w:after="20"/>
              <w:jc w:val="right"/>
            </w:pPr>
            <w:r>
              <w:rPr>
                <w:color w:val="1C3A36"/>
                <w:sz w:val="18"/>
              </w:rPr>
              <w:t>-515 — still negative</w:t>
            </w:r>
          </w:p>
        </w:tc>
      </w:tr>
      <w:tr>
        <w:tc>
          <w:tcPr>
            <w:tcW w:type="dxa" w:w="6336"/>
          </w:tcPr>
          <w:p>
            <w:pPr>
              <w:spacing w:after="20"/>
            </w:pPr>
            <w:r>
              <w:rPr>
                <w:b/>
                <w:color w:val="1C3A36"/>
                <w:sz w:val="18"/>
              </w:rPr>
              <w:t>FLOOR applied: nominal residual cash-earnings base (option value, disclosed)</w:t>
            </w:r>
          </w:p>
        </w:tc>
        <w:tc>
          <w:tcPr>
            <w:tcW w:type="dxa" w:w="2448"/>
          </w:tcPr>
          <w:p>
            <w:pPr>
              <w:spacing w:after="20"/>
              <w:jc w:val="right"/>
            </w:pPr>
            <w:r>
              <w:rPr>
                <w:color w:val="1C3A36"/>
                <w:sz w:val="18"/>
              </w:rPr>
              <w:t>60 mn/yr</w:t>
            </w:r>
          </w:p>
        </w:tc>
      </w:tr>
      <w:tr>
        <w:tc>
          <w:tcPr>
            <w:tcW w:type="dxa" w:w="6336"/>
          </w:tcPr>
          <w:p>
            <w:pPr>
              <w:spacing w:after="20"/>
            </w:pPr>
            <w:r>
              <w:rPr>
                <w:b/>
                <w:color w:val="1C3A36"/>
                <w:sz w:val="18"/>
              </w:rPr>
              <w:t>Multiple on floored cash earnings</w:t>
            </w:r>
          </w:p>
        </w:tc>
        <w:tc>
          <w:tcPr>
            <w:tcW w:type="dxa" w:w="2448"/>
          </w:tcPr>
          <w:p>
            <w:pPr>
              <w:spacing w:after="20"/>
              <w:jc w:val="right"/>
            </w:pPr>
            <w:r>
              <w:rPr>
                <w:color w:val="1C3A36"/>
                <w:sz w:val="18"/>
              </w:rPr>
              <w:t>6× → equity 360 mn</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EGP 0.11</w:t>
            </w:r>
          </w:p>
        </w:tc>
      </w:tr>
    </w:tbl>
    <w:p>
      <w:pPr>
        <w:spacing w:after="40"/>
      </w:pPr>
    </w:p>
    <w:p>
      <w:pPr>
        <w:spacing w:after="120" w:before="0"/>
      </w:pPr>
      <w:r>
        <w:rPr>
          <w:b w:val="0"/>
          <w:i w:val="0"/>
          <w:color w:val="1C3A36"/>
          <w:sz w:val="19"/>
        </w:rPr>
        <w:t>Sensitivity: his range (0.07–0.16) turns almost entirely on how much credit to give unproven collection. Falsified by a published cash-flow statement showing sustained positive operating cash flow with receivables actually falling — he would re-run on the proven number.</w:t>
      </w:r>
    </w:p>
    <w:p>
      <w:pPr>
        <w:spacing w:after="80" w:before="200"/>
      </w:pPr>
      <w:r>
        <w:rPr>
          <w:b/>
          <w:i w:val="0"/>
          <w:color w:val="1C3A36"/>
          <w:sz w:val="24"/>
        </w:rPr>
        <w:t>C.3  Expert 3 — cash returns: ROIC against the cost of capital, through the rate cycle</w:t>
      </w:r>
    </w:p>
    <w:p>
      <w:pPr>
        <w:spacing w:after="120" w:before="0"/>
      </w:pPr>
      <w:r>
        <w:rPr>
          <w:b w:val="0"/>
          <w:i w:val="0"/>
          <w:color w:val="1C3A36"/>
          <w:sz w:val="19"/>
        </w:rPr>
        <w:t>Worldview. A business is worth its invested capital plus the present value of its spread over the cost of that capital. In a disinflating economy, both legs move — measure them on one calendar.</w:t>
      </w:r>
    </w:p>
    <w:p>
      <w:pPr>
        <w:spacing w:after="120" w:before="0"/>
      </w:pPr>
      <w:r>
        <w:rPr>
          <w:b w:val="0"/>
          <w:i w:val="0"/>
          <w:color w:val="1C3A36"/>
          <w:sz w:val="19"/>
        </w:rPr>
        <w:t>When it works / fails. The right frame for capital-heavy compounders and the honest frame for capital-heavy value traps; weakest when invested capital itself is mismeasured (his caveat: ELEC’s IC is mostly working capital of contestable quality).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448"/>
      </w:tblGrid>
      <w:tr>
        <w:tc>
          <w:tcPr>
            <w:tcW w:type="dxa" w:w="6336"/>
            <w:shd w:val="clear" w:color="auto" w:fill="EAF0EE"/>
          </w:tcPr>
          <w:p>
            <w:pPr>
              <w:spacing w:after="20"/>
            </w:pPr>
            <w:r>
              <w:rPr>
                <w:b/>
                <w:color w:val="1C3A36"/>
                <w:sz w:val="18"/>
              </w:rPr>
              <w:t>Expert 3’s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Invested capital (terminal-year basis)</w:t>
            </w:r>
          </w:p>
        </w:tc>
        <w:tc>
          <w:tcPr>
            <w:tcW w:type="dxa" w:w="2448"/>
          </w:tcPr>
          <w:p>
            <w:pPr>
              <w:spacing w:after="20"/>
              <w:jc w:val="right"/>
            </w:pPr>
            <w:r>
              <w:rPr>
                <w:color w:val="1C3A36"/>
                <w:sz w:val="18"/>
              </w:rPr>
              <w:t>16,325</w:t>
            </w:r>
          </w:p>
        </w:tc>
      </w:tr>
      <w:tr>
        <w:tc>
          <w:tcPr>
            <w:tcW w:type="dxa" w:w="6336"/>
          </w:tcPr>
          <w:p>
            <w:pPr>
              <w:spacing w:after="20"/>
            </w:pPr>
            <w:r>
              <w:rPr>
                <w:b/>
                <w:color w:val="1C3A36"/>
                <w:sz w:val="18"/>
              </w:rPr>
              <w:t>Terminal ROIC</w:t>
            </w:r>
          </w:p>
        </w:tc>
        <w:tc>
          <w:tcPr>
            <w:tcW w:type="dxa" w:w="2448"/>
          </w:tcPr>
          <w:p>
            <w:pPr>
              <w:spacing w:after="20"/>
              <w:jc w:val="right"/>
            </w:pPr>
            <w:r>
              <w:rPr>
                <w:color w:val="1C3A36"/>
                <w:sz w:val="18"/>
              </w:rPr>
              <w:t>9.2%</w:t>
            </w:r>
          </w:p>
        </w:tc>
      </w:tr>
      <w:tr>
        <w:tc>
          <w:tcPr>
            <w:tcW w:type="dxa" w:w="6336"/>
          </w:tcPr>
          <w:p>
            <w:pPr>
              <w:spacing w:after="20"/>
            </w:pPr>
            <w:r>
              <w:rPr>
                <w:b/>
                <w:color w:val="1C3A36"/>
                <w:sz w:val="18"/>
              </w:rPr>
              <w:t>Cost of capital: 21.4% today → 15.0% terminal</w:t>
            </w:r>
          </w:p>
        </w:tc>
        <w:tc>
          <w:tcPr>
            <w:tcW w:type="dxa" w:w="2448"/>
          </w:tcPr>
          <w:p>
            <w:pPr>
              <w:spacing w:after="20"/>
              <w:jc w:val="right"/>
            </w:pPr>
            <w:r>
              <w:rPr>
                <w:color w:val="1C3A36"/>
                <w:sz w:val="18"/>
              </w:rPr>
              <w:t>the spread is NEGATIVE for the whole explicit window</w:t>
            </w:r>
          </w:p>
        </w:tc>
      </w:tr>
      <w:tr>
        <w:tc>
          <w:tcPr>
            <w:tcW w:type="dxa" w:w="6336"/>
          </w:tcPr>
          <w:p>
            <w:pPr>
              <w:spacing w:after="20"/>
            </w:pPr>
            <w:r>
              <w:rPr>
                <w:b/>
                <w:color w:val="1C3A36"/>
                <w:sz w:val="18"/>
              </w:rPr>
              <w:t>His EV (economic-profit build ≈ the DCF with a 5% haircut on the spread years)</w:t>
            </w:r>
          </w:p>
        </w:tc>
        <w:tc>
          <w:tcPr>
            <w:tcW w:type="dxa" w:w="2448"/>
          </w:tcPr>
          <w:p>
            <w:pPr>
              <w:spacing w:after="20"/>
              <w:jc w:val="right"/>
            </w:pPr>
            <w:r>
              <w:rPr>
                <w:color w:val="1C3A36"/>
                <w:sz w:val="18"/>
              </w:rPr>
              <w:t>3,632</w:t>
            </w:r>
          </w:p>
        </w:tc>
      </w:tr>
      <w:tr>
        <w:tc>
          <w:tcPr>
            <w:tcW w:type="dxa" w:w="6336"/>
          </w:tcPr>
          <w:p>
            <w:pPr>
              <w:spacing w:after="20"/>
            </w:pPr>
            <w:r>
              <w:rPr>
                <w:b/>
                <w:color w:val="1C3A36"/>
                <w:sz w:val="18"/>
              </w:rPr>
              <w:t>less net debt</w:t>
            </w:r>
          </w:p>
        </w:tc>
        <w:tc>
          <w:tcPr>
            <w:tcW w:type="dxa" w:w="2448"/>
          </w:tcPr>
          <w:p>
            <w:pPr>
              <w:spacing w:after="20"/>
              <w:jc w:val="right"/>
            </w:pPr>
            <w:r>
              <w:rPr>
                <w:color w:val="1C3A36"/>
                <w:sz w:val="18"/>
              </w:rPr>
              <w:t>(9,805)</w:t>
            </w:r>
          </w:p>
        </w:tc>
      </w:tr>
      <w:tr>
        <w:tc>
          <w:tcPr>
            <w:tcW w:type="dxa" w:w="6336"/>
          </w:tcPr>
          <w:p>
            <w:pPr>
              <w:spacing w:after="20"/>
            </w:pPr>
            <w:r>
              <w:rPr>
                <w:b/>
                <w:color w:val="1C3A36"/>
                <w:sz w:val="18"/>
              </w:rPr>
              <w:t>= intrinsic equity per share — negative</w:t>
            </w:r>
          </w:p>
        </w:tc>
        <w:tc>
          <w:tcPr>
            <w:tcW w:type="dxa" w:w="2448"/>
          </w:tcPr>
          <w:p>
            <w:pPr>
              <w:spacing w:after="20"/>
              <w:jc w:val="right"/>
            </w:pPr>
            <w:r>
              <w:rPr>
                <w:color w:val="1C3A36"/>
                <w:sz w:val="18"/>
              </w:rPr>
              <w:t>-1.86</w:t>
            </w:r>
          </w:p>
        </w:tc>
      </w:tr>
      <w:tr>
        <w:tc>
          <w:tcPr>
            <w:tcW w:type="dxa" w:w="6336"/>
          </w:tcPr>
          <w:p>
            <w:pPr>
              <w:spacing w:after="20"/>
            </w:pPr>
            <w:r>
              <w:rPr>
                <w:b/>
                <w:color w:val="1C3A36"/>
                <w:sz w:val="18"/>
              </w:rPr>
              <w:t>FLOOR applied: limited-liability option value (same logic as the DCF lens, disclosed)</w:t>
            </w:r>
          </w:p>
        </w:tc>
        <w:tc>
          <w:tcPr>
            <w:tcW w:type="dxa" w:w="2448"/>
          </w:tcPr>
          <w:p>
            <w:pPr>
              <w:spacing w:after="20"/>
              <w:jc w:val="right"/>
            </w:pPr>
            <w:r>
              <w:rPr>
                <w:color w:val="1C3A36"/>
                <w:sz w:val="18"/>
              </w:rPr>
              <w:t>0.10</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EGP 0.10</w:t>
            </w:r>
          </w:p>
        </w:tc>
      </w:tr>
    </w:tbl>
    <w:p>
      <w:pPr>
        <w:spacing w:after="40"/>
      </w:pPr>
    </w:p>
    <w:p>
      <w:pPr>
        <w:spacing w:after="120" w:before="0"/>
      </w:pPr>
      <w:r>
        <w:rPr>
          <w:b w:val="0"/>
          <w:i w:val="0"/>
          <w:color w:val="1C3A36"/>
          <w:sz w:val="19"/>
        </w:rPr>
        <w:t>Sensitivity: ±EGP 500 mn on the EV or the debt anchor moves him ±0.15/share — his range (0.05–0.20) is the leverage talking, not the method. Falsified by ROIC printing above the falling WACC earlier than modelled — collection would do it, since it shrinks the denominator and the debt at once.</w:t>
      </w:r>
    </w:p>
    <w:p>
      <w:pPr>
        <w:spacing w:after="80" w:before="200"/>
      </w:pPr>
      <w:r>
        <w:rPr>
          <w:b/>
          <w:i w:val="0"/>
          <w:color w:val="1C3A36"/>
          <w:sz w:val="24"/>
        </w:rPr>
        <w:t>C.4  Cross-examination</w:t>
      </w:r>
    </w:p>
    <w:p>
      <w:pPr>
        <w:spacing w:after="120" w:before="0"/>
      </w:pPr>
      <w:r>
        <w:rPr>
          <w:b w:val="0"/>
          <w:i w:val="0"/>
          <w:color w:val="1C3A36"/>
          <w:sz w:val="19"/>
        </w:rPr>
        <w:t>Expert 1 to Expert 2: “You are punishing them twice — once for the working-capital build and again with a 6× multiple on the earnings that survive it. Collection is not impossible; it is just unproven.”</w:t>
      </w:r>
    </w:p>
    <w:p>
      <w:pPr>
        <w:spacing w:after="120" w:before="0"/>
      </w:pPr>
      <w:r>
        <w:rPr>
          <w:b w:val="0"/>
          <w:i w:val="0"/>
          <w:color w:val="1C3A36"/>
          <w:sz w:val="19"/>
        </w:rPr>
        <w:t>Expert 2 to Expert 1: “Your normalized EPS pays out of profits that have never once turned into cash. Show me one year of positive operating cash flow and I will move; until then a multiple on paper earnings is a multiple on paper.”</w:t>
      </w:r>
    </w:p>
    <w:p>
      <w:pPr>
        <w:spacing w:after="120" w:before="0"/>
      </w:pPr>
      <w:r>
        <w:rPr>
          <w:b w:val="0"/>
          <w:i w:val="0"/>
          <w:color w:val="1C3A36"/>
          <w:sz w:val="19"/>
        </w:rPr>
        <w:t>Expert 3 to both: “You are arguing about the numerator. The economics are simpler: this business earns ~10% on its capital at the terminal and pays 22% for money today, 15% even in the normalized state. A negative spread at this leverage is value destruction on a schedule — the only question is whether the easing cycle arrives before the balance sheet does.”</w:t>
      </w:r>
    </w:p>
    <w:p>
      <w:pPr>
        <w:spacing w:after="80" w:before="200"/>
      </w:pPr>
      <w:r>
        <w:rPr>
          <w:b/>
          <w:i w:val="0"/>
          <w:color w:val="1C3A36"/>
          <w:sz w:val="24"/>
        </w:rPr>
        <w:t>C.5  The three in one room</w:t>
      </w:r>
    </w:p>
    <w:p>
      <w:pPr>
        <w:spacing w:after="120" w:before="0"/>
      </w:pPr>
      <w:r>
        <w:rPr>
          <w:b w:val="0"/>
          <w:i w:val="0"/>
          <w:color w:val="1C3A36"/>
          <w:sz w:val="19"/>
        </w:rPr>
        <w:t>Where they agree is more striking than where they differ: all three land below EGP 0.70 — the most generous number in the room is still ~66% under the market. They disagree on mechanism, not direction: Expert 1 prices a recovery that has not printed, Expert 2 refuses to pay for cash that has not appeared, Expert 3 counts the cost of waiting for either. Each names the same two exhibits as decisive: the H1-2026 statements (margin and receivables) and any audited cash-flow disclosure.</w:t>
      </w:r>
    </w:p>
    <w:p>
      <w:pPr>
        <w:spacing w:after="80" w:before="200"/>
      </w:pPr>
      <w:r>
        <w:rPr>
          <w:b/>
          <w:i w:val="0"/>
          <w:color w:val="1C3A36"/>
          <w:sz w:val="24"/>
        </w:rPr>
        <w:t>C.6  Reading the divergence</w:t>
      </w:r>
    </w:p>
    <w:p>
      <w:pPr>
        <w:spacing w:after="40"/>
        <w:jc w:val="center"/>
      </w:pPr>
      <w:r>
        <w:drawing>
          <wp:inline xmlns:a="http://schemas.openxmlformats.org/drawingml/2006/main" xmlns:pic="http://schemas.openxmlformats.org/drawingml/2006/picture">
            <wp:extent cx="5486400" cy="1979629"/>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5486400" cy="1979629"/>
                    </a:xfrm>
                    <a:prstGeom prst="rect"/>
                  </pic:spPr>
                </pic:pic>
              </a:graphicData>
            </a:graphic>
          </wp:inline>
        </w:drawing>
      </w:r>
    </w:p>
    <w:p>
      <w:pPr>
        <w:spacing w:after="200" w:before="0"/>
      </w:pPr>
      <w:r>
        <w:rPr>
          <w:b w:val="0"/>
          <w:i/>
          <w:color w:val="6E7B77"/>
          <w:sz w:val="17"/>
        </w:rPr>
        <w:t>Figure 7 — The three experts’ fair-value ranges. Brass ticks are base cases; the gold band is the panel centre; the dark line is spot — above every range shown.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440"/>
        <w:gridCol w:w="3168"/>
        <w:gridCol w:w="3600"/>
        <w:gridCol w:w="1872"/>
      </w:tblGrid>
      <w:tr>
        <w:tc>
          <w:tcPr>
            <w:tcW w:type="dxa" w:w="1440"/>
            <w:shd w:val="clear" w:color="auto" w:fill="EAF0EE"/>
          </w:tcPr>
          <w:p>
            <w:pPr>
              <w:spacing w:after="20"/>
            </w:pPr>
            <w:r>
              <w:rPr>
                <w:b/>
                <w:color w:val="1C3A36"/>
                <w:sz w:val="18"/>
              </w:rPr>
              <w:t>Expert</w:t>
            </w:r>
          </w:p>
        </w:tc>
        <w:tc>
          <w:tcPr>
            <w:tcW w:type="dxa" w:w="3168"/>
            <w:shd w:val="clear" w:color="auto" w:fill="EAF0EE"/>
          </w:tcPr>
          <w:p>
            <w:pPr>
              <w:spacing w:after="20"/>
            </w:pPr>
            <w:r>
              <w:rPr>
                <w:b/>
                <w:color w:val="1C3A36"/>
                <w:sz w:val="18"/>
              </w:rPr>
              <w:t>Method</w:t>
            </w:r>
          </w:p>
        </w:tc>
        <w:tc>
          <w:tcPr>
            <w:tcW w:type="dxa" w:w="3600"/>
            <w:shd w:val="clear" w:color="auto" w:fill="EAF0EE"/>
          </w:tcPr>
          <w:p>
            <w:pPr>
              <w:spacing w:after="20"/>
            </w:pPr>
            <w:r>
              <w:rPr>
                <w:b/>
                <w:color w:val="1C3A36"/>
                <w:sz w:val="18"/>
              </w:rPr>
              <w:t>Single swing assumption</w:t>
            </w:r>
          </w:p>
        </w:tc>
        <w:tc>
          <w:tcPr>
            <w:tcW w:type="dxa" w:w="1872"/>
            <w:shd w:val="clear" w:color="auto" w:fill="EAF0EE"/>
          </w:tcPr>
          <w:p>
            <w:pPr>
              <w:spacing w:after="20"/>
            </w:pPr>
            <w:r>
              <w:rPr>
                <w:b/>
                <w:color w:val="1C3A36"/>
                <w:sz w:val="18"/>
              </w:rPr>
              <w:t>Base fair value</w:t>
            </w:r>
          </w:p>
        </w:tc>
      </w:tr>
      <w:tr>
        <w:tc>
          <w:tcPr>
            <w:tcW w:type="dxa" w:w="1440"/>
          </w:tcPr>
          <w:p>
            <w:pPr>
              <w:spacing w:after="20"/>
            </w:pPr>
            <w:r>
              <w:rPr>
                <w:b/>
                <w:color w:val="1C3A36"/>
                <w:sz w:val="18"/>
              </w:rPr>
              <w:t>Expert 1</w:t>
            </w:r>
          </w:p>
        </w:tc>
        <w:tc>
          <w:tcPr>
            <w:tcW w:type="dxa" w:w="3168"/>
          </w:tcPr>
          <w:p>
            <w:pPr>
              <w:spacing w:after="20"/>
              <w:jc w:val="right"/>
            </w:pPr>
            <w:r>
              <w:rPr>
                <w:color w:val="1C3A36"/>
                <w:sz w:val="18"/>
              </w:rPr>
              <w:t>Earnings power × justified multiple</w:t>
            </w:r>
          </w:p>
        </w:tc>
        <w:tc>
          <w:tcPr>
            <w:tcW w:type="dxa" w:w="3600"/>
          </w:tcPr>
          <w:p>
            <w:pPr>
              <w:spacing w:after="20"/>
              <w:jc w:val="right"/>
            </w:pPr>
            <w:r>
              <w:rPr>
                <w:color w:val="1C3A36"/>
                <w:sz w:val="18"/>
              </w:rPr>
              <w:t>Mid-cycle EBITDA margin 11.1% (the FY28E build)</w:t>
            </w:r>
          </w:p>
        </w:tc>
        <w:tc>
          <w:tcPr>
            <w:tcW w:type="dxa" w:w="1872"/>
          </w:tcPr>
          <w:p>
            <w:pPr>
              <w:spacing w:after="20"/>
              <w:jc w:val="right"/>
            </w:pPr>
            <w:r>
              <w:rPr>
                <w:color w:val="1C3A36"/>
                <w:sz w:val="18"/>
              </w:rPr>
              <w:t>EGP 0.70</w:t>
            </w:r>
          </w:p>
        </w:tc>
      </w:tr>
      <w:tr>
        <w:tc>
          <w:tcPr>
            <w:tcW w:type="dxa" w:w="1440"/>
          </w:tcPr>
          <w:p>
            <w:pPr>
              <w:spacing w:after="20"/>
            </w:pPr>
            <w:r>
              <w:rPr>
                <w:b/>
                <w:color w:val="1C3A36"/>
                <w:sz w:val="18"/>
              </w:rPr>
              <w:t>Expert 2</w:t>
            </w:r>
          </w:p>
        </w:tc>
        <w:tc>
          <w:tcPr>
            <w:tcW w:type="dxa" w:w="3168"/>
          </w:tcPr>
          <w:p>
            <w:pPr>
              <w:spacing w:after="20"/>
              <w:jc w:val="right"/>
            </w:pPr>
            <w:r>
              <w:rPr>
                <w:color w:val="1C3A36"/>
                <w:sz w:val="18"/>
              </w:rPr>
              <w:t>Owner cash earnings</w:t>
            </w:r>
          </w:p>
        </w:tc>
        <w:tc>
          <w:tcPr>
            <w:tcW w:type="dxa" w:w="3600"/>
          </w:tcPr>
          <w:p>
            <w:pPr>
              <w:spacing w:after="20"/>
              <w:jc w:val="right"/>
            </w:pPr>
            <w:r>
              <w:rPr>
                <w:color w:val="1C3A36"/>
                <w:sz w:val="18"/>
              </w:rPr>
              <w:t>Credit given to unproven collection</w:t>
            </w:r>
          </w:p>
        </w:tc>
        <w:tc>
          <w:tcPr>
            <w:tcW w:type="dxa" w:w="1872"/>
          </w:tcPr>
          <w:p>
            <w:pPr>
              <w:spacing w:after="20"/>
              <w:jc w:val="right"/>
            </w:pPr>
            <w:r>
              <w:rPr>
                <w:color w:val="1C3A36"/>
                <w:sz w:val="18"/>
              </w:rPr>
              <w:t>EGP 0.11</w:t>
            </w:r>
          </w:p>
        </w:tc>
      </w:tr>
      <w:tr>
        <w:tc>
          <w:tcPr>
            <w:tcW w:type="dxa" w:w="1440"/>
          </w:tcPr>
          <w:p>
            <w:pPr>
              <w:spacing w:after="20"/>
            </w:pPr>
            <w:r>
              <w:rPr>
                <w:b/>
                <w:color w:val="1C3A36"/>
                <w:sz w:val="18"/>
              </w:rPr>
              <w:t>Expert 3</w:t>
            </w:r>
          </w:p>
        </w:tc>
        <w:tc>
          <w:tcPr>
            <w:tcW w:type="dxa" w:w="3168"/>
          </w:tcPr>
          <w:p>
            <w:pPr>
              <w:spacing w:after="20"/>
              <w:jc w:val="right"/>
            </w:pPr>
            <w:r>
              <w:rPr>
                <w:color w:val="1C3A36"/>
                <w:sz w:val="18"/>
              </w:rPr>
              <w:t>Cash returns (ROIC vs WACC)</w:t>
            </w:r>
          </w:p>
        </w:tc>
        <w:tc>
          <w:tcPr>
            <w:tcW w:type="dxa" w:w="3600"/>
          </w:tcPr>
          <w:p>
            <w:pPr>
              <w:spacing w:after="20"/>
              <w:jc w:val="right"/>
            </w:pPr>
            <w:r>
              <w:rPr>
                <w:color w:val="1C3A36"/>
                <w:sz w:val="18"/>
              </w:rPr>
              <w:t>The net-debt anchor ±1 bn</w:t>
            </w:r>
          </w:p>
        </w:tc>
        <w:tc>
          <w:tcPr>
            <w:tcW w:type="dxa" w:w="1872"/>
          </w:tcPr>
          <w:p>
            <w:pPr>
              <w:spacing w:after="20"/>
              <w:jc w:val="right"/>
            </w:pPr>
            <w:r>
              <w:rPr>
                <w:color w:val="1C3A36"/>
                <w:sz w:val="18"/>
              </w:rPr>
              <w:t>EGP 0.10</w:t>
            </w:r>
          </w:p>
        </w:tc>
      </w:tr>
    </w:tbl>
    <w:p>
      <w:pPr>
        <w:spacing w:after="40"/>
      </w:pPr>
    </w:p>
    <w:p>
      <w:pPr>
        <w:spacing w:after="120" w:before="0"/>
      </w:pPr>
      <w:r>
        <w:rPr>
          <w:b w:val="0"/>
          <w:i w:val="0"/>
          <w:color w:val="1C3A36"/>
          <w:sz w:val="19"/>
        </w:rPr>
        <w:t>The spread — 0.10 to 0.70 at base — is wide in ratio terms but narrow in message: no method that starts from the company’s own disclosed numbers reaches the market price without assuming the best corner of the scenario space. The panel’s centre sits close to the study’s weighted central (EGP 0.34), which is the reassuring kind of agreement: three different roads, one neighbourhood.</w:t>
      </w:r>
    </w:p>
    <w:p>
      <w:pPr>
        <w:spacing w:after="200" w:before="0"/>
      </w:pPr>
      <w:r>
        <w:rPr>
          <w:b w:val="0"/>
          <w:i/>
          <w:color w:val="6E7B77"/>
          <w:sz w:val="17"/>
        </w:rPr>
        <w:t>Each expert’s point fair value (and range) is logged with the study date (5 Aug 2026) and spot (EGP 2.08) as an internal per-expert track record.</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Egypt’s Financial Regulatory Authority (FRA) — holds no brokerage or investment-advisory authorisation, and is not acting as your adviser or fiduciary. Nothing here is personalised to your circumstances.</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&amp; accuracy. </w:t>
      </w:r>
      <w:r>
        <w:rPr>
          <w:b w:val="0"/>
          <w:i w:val="0"/>
          <w:color w:val="1C3A36"/>
          <w:sz w:val="19"/>
        </w:rPr>
        <w:t>Reported financial and operating figures are drawn from public disclosure-reporting services believed reliable but not independently verified; the company’s audited statements were not directly accessible, and lines derived from disclosed totals are flagged as such throughout. Forward-looking inputs — margins, the working-capital path, multiples, the discount-rate schedule and simulation settings — are the preparer’s own judgments and are inherently uncertain.</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Monte Carlo models price, not value.</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&amp; figures. </w:t>
      </w:r>
      <w:r>
        <w:rPr>
          <w:b w:val="0"/>
          <w:i w:val="0"/>
          <w:color w:val="1C3A36"/>
          <w:sz w:val="19"/>
        </w:rPr>
        <w:t>Figures are in Egyptian pounds (EGP), millions unless stated; bn denotes billion. FX at study date: USD/EGP ≈ 50.3. Rounding may cause totals to differ slightly. Spot price and market data are as of 5 August 2026 and change continuously.</w:t>
      </w:r>
    </w:p>
    <w:p>
      <w:pPr>
        <w:spacing w:after="120" w:before="200"/>
        <w:jc w:val="center"/>
      </w:pPr>
      <w:r>
        <w:rPr>
          <w:b w:val="0"/>
          <w:i w:val="0"/>
          <w:color w:val="6E7B77"/>
          <w:sz w:val="17"/>
        </w:rPr>
        <w:t>TESTAHIL · Independent Valuation Study · Educational Analysis · Electro Cable Egypt Co. S.A.E. (EGX: ELEC) · edition 05-08-2026 · reporting currency EGP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