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(70% of DXB CoolCo, 35-year concession)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w:t>
            </w:r>
          </w:p>
        </w:tc>
        <w:tc>
          <w:tcPr>
            <w:tcW w:type="dxa" w:w="893"/>
          </w:tcPr>
          <w:p>
            <w:pPr>
              <w:spacing w:after="20"/>
            </w:pPr>
            <w:r>
              <w:rPr>
                <w:color w:val="1C3A36"/>
                <w:sz w:val="15"/>
              </w:rPr>
              <w:t>Market</w:t>
            </w:r>
          </w:p>
        </w:tc>
        <w:tc>
          <w:tcPr>
            <w:tcW w:type="dxa" w:w="1123"/>
          </w:tcPr>
          <w:p>
            <w:pPr>
              <w:spacing w:after="20"/>
            </w:pPr>
            <w:r>
              <w:rPr>
                <w:color w:val="1C3A36"/>
                <w:sz w:val="15"/>
              </w:rPr>
              <w:t>2026-08-07</w:t>
            </w:r>
          </w:p>
        </w:tc>
        <w:tc>
          <w:tcPr>
            <w:tcW w:type="dxa" w:w="7920"/>
          </w:tcPr>
          <w:p>
            <w:pPr>
              <w:spacing w:after="20"/>
            </w:pPr>
            <w:r>
              <w:rPr>
                <w:color w:val="1C3A36"/>
                <w:sz w:val="15"/>
              </w:rPr>
              <w:t>Uploaded DFM daily price history, last close</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(airport concession receivable),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246.6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14.624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(30% of DXB CoolCo et al.), 30-Jun-2026 reviewed BS</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in beta_result_dfmgi.json as a comparison).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Marginal cost of debt = the company's OWN FY2025 borrowing-cost capitalisation rate (note 30), struck on the 2025 full refinance of both AED 2.75bn RCFs at EIBOR + a REDUCED margin; sits above the 4.48% AED sovereign as a same-currency corporate must (2024 comparison: 5.993%; spot 3M EIBOR 3.66% + implied margin ~0.9-1.3%)</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longest AED sovereign print (4.4y tenor; the 5y+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 term</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Terminal growth: long-run UAE nominal-GDP-consistent 2.5% under a flat regulated tariff — bounded by Dubai build-out saturation (connected 1.7m of ~2.0m RT contracted; sensitised 1.5-3.5%)</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w:t>
            </w:r>
          </w:p>
        </w:tc>
        <w:tc>
          <w:tcPr>
            <w:tcW w:type="dxa" w:w="4176"/>
          </w:tcPr>
          <w:p>
            <w:pPr>
              <w:spacing w:after="20"/>
            </w:pPr>
            <w:r>
              <w:rPr>
                <w:color w:val="1C3A36"/>
                <w:sz w:val="15"/>
              </w:rPr>
              <w:t>Usage per connected ton carries a 6% shock in 2026 and recovers to the 2025 level through 2027; the never-recovers case is computed as a full alternative model (2.123 against 2.182 per share) and published beside it</w:t>
            </w:r>
          </w:p>
        </w:tc>
        <w:tc>
          <w:tcPr>
            <w:tcW w:type="dxa" w:w="3960"/>
          </w:tcPr>
          <w:p>
            <w:pPr>
              <w:spacing w:after="20"/>
            </w:pPr>
            <w:r>
              <w:rPr>
                <w:color w:val="1C3A36"/>
                <w:sz w:val="15"/>
              </w:rPr>
              <w:t>The interim notes tie the usage fall partly to conflict-hit hospitality occupancy; capacity connections kept growing through the same half, so the loss reads as demand-cyclical, not structural</w:t>
            </w:r>
          </w:p>
        </w:tc>
        <w:tc>
          <w:tcPr>
            <w:tcW w:type="dxa" w:w="3816"/>
          </w:tcPr>
          <w:p>
            <w:pPr>
              <w:spacing w:after="20"/>
            </w:pPr>
            <w:r>
              <w:rPr>
                <w:color w:val="1C3A36"/>
                <w:sz w:val="15"/>
              </w:rPr>
              <w:t>Two consecutive half-years with equivalent full-load hours below the 2026 trough — then the never-recovers column becomes the base</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(2.027 against 2.182)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w:t>
            </w:r>
          </w:p>
        </w:tc>
        <w:tc>
          <w:tcPr>
            <w:tcW w:type="dxa" w:w="4176"/>
          </w:tcPr>
          <w:p>
            <w:pPr>
              <w:spacing w:after="20"/>
            </w:pPr>
            <w:r>
              <w:rPr>
                <w:color w:val="1C3A36"/>
                <w:sz w:val="15"/>
              </w:rPr>
              <w:t>2.5% in nominal dirhams, sensitised 1.5%–3.5%</w:t>
            </w:r>
          </w:p>
        </w:tc>
        <w:tc>
          <w:tcPr>
            <w:tcW w:type="dxa" w:w="3960"/>
          </w:tcPr>
          <w:p>
            <w:pPr>
              <w:spacing w:after="20"/>
            </w:pPr>
            <w:r>
              <w:rPr>
                <w:color w:val="1C3A36"/>
                <w:sz w:val="15"/>
              </w:rPr>
              <w:t>Bounded by the flat regulated tariff and Dubai build-out saturation: connected capacity already covers most of the contracted pipeline, so perpetual growth above nominal GDP would require expansion the company has not announced</w:t>
            </w:r>
          </w:p>
        </w:tc>
        <w:tc>
          <w:tcPr>
            <w:tcW w:type="dxa" w:w="3816"/>
          </w:tcPr>
          <w:p>
            <w:pPr>
              <w:spacing w:after="20"/>
            </w:pPr>
            <w:r>
              <w:rPr>
                <w:color w:val="1C3A36"/>
                <w:sz w:val="15"/>
              </w:rPr>
              <w:t>A new-emirate or acquisition-led expansion commitment, or a tariff regime with real escalation</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longest dirham sovereign print less the UAE's own default spread; beta 0.863 from the stock's own weekly history against the FTSE ADX General Index (adopted as the UAE market index by instruction; the DFM-index regression, 0.652, is retained as a comparison);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w:t>
            </w:r>
          </w:p>
        </w:tc>
        <w:tc>
          <w:tcPr>
            <w:tcW w:type="dxa" w:w="3816"/>
          </w:tcPr>
          <w:p>
            <w:pPr>
              <w:spacing w:after="20"/>
            </w:pPr>
            <w:r>
              <w:rPr>
                <w:color w:val="1C3A36"/>
                <w:sz w:val="15"/>
              </w:rPr>
              <w:t>A longer dirham sovereign issue (replacing the tenor-mismatched anchor)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No accretion roll to the anchor date</w:t>
            </w:r>
          </w:p>
        </w:tc>
        <w:tc>
          <w:tcPr>
            <w:tcW w:type="dxa" w:w="4176"/>
          </w:tcPr>
          <w:p>
            <w:pPr>
              <w:spacing w:after="20"/>
            </w:pPr>
            <w:r>
              <w:rPr>
                <w:color w:val="1C3A36"/>
                <w:sz w:val="15"/>
              </w:rPr>
              <w:t>The valuation is struck on the 30-Jun-2026 reviewed balance sheet and compared directly with the 07-Aug-2026 closing price</w:t>
            </w:r>
          </w:p>
        </w:tc>
        <w:tc>
          <w:tcPr>
            <w:tcW w:type="dxa" w:w="3960"/>
          </w:tcPr>
          <w:p>
            <w:pPr>
              <w:spacing w:after="20"/>
            </w:pPr>
            <w:r>
              <w:rPr>
                <w:color w:val="1C3A36"/>
                <w:sz w:val="15"/>
              </w:rPr>
              <w:t>The window is five weeks with no dividend inside it; an accretion roll would move the comparison by well under one percent of value</w:t>
            </w:r>
          </w:p>
        </w:tc>
        <w:tc>
          <w:tcPr>
            <w:tcW w:type="dxa" w:w="3816"/>
          </w:tcPr>
          <w:p>
            <w:pPr>
              <w:spacing w:after="20"/>
            </w:pPr>
            <w:r>
              <w:rPr>
                <w:color w:val="1C3A36"/>
                <w:sz w:val="15"/>
              </w:rPr>
              <w:t>Nothing — stated so the reader knows the dating convention rather than to invite evidence</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w:t>
            </w:r>
          </w:p>
        </w:tc>
        <w:tc>
          <w:tcPr>
            <w:tcW w:type="dxa" w:w="6048"/>
          </w:tcPr>
          <w:p>
            <w:pPr>
              <w:spacing w:after="20"/>
            </w:pPr>
            <w:r>
              <w:rPr>
                <w:color w:val="1C3A36"/>
                <w:sz w:val="16"/>
              </w:rPr>
              <w:t>Reference and wire sources genuinely disagree: one widely used reference page records the ceasefire as holding since 8 April; another records it declared over on 8 July with low-intensity fighting after, following the June framework agreements</w:t>
            </w:r>
          </w:p>
        </w:tc>
        <w:tc>
          <w:tcPr>
            <w:tcW w:type="dxa" w:w="5328"/>
          </w:tcPr>
          <w:p>
            <w:pPr>
              <w:spacing w:after="20"/>
            </w:pPr>
            <w:r>
              <w:rPr>
                <w:color w:val="1C3A36"/>
                <w:sz w:val="16"/>
              </w:rPr>
              <w:t>BOTH readings are recorded and the status is treated as an unresolved, fragile truce; the bear scenario prices the re-escalation reading rather than averaging the two</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